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438"/>
        <w:gridCol w:w="1840"/>
        <w:gridCol w:w="1309"/>
        <w:gridCol w:w="1618"/>
        <w:gridCol w:w="1421"/>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488"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184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309"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仿宋" w:hAnsi="仿宋" w:eastAsia="仿宋" w:cs="仿宋"/>
                <w:color w:val="000000"/>
                <w:kern w:val="0"/>
                <w:szCs w:val="21"/>
                <w:lang w:eastAsia="zh-CN"/>
              </w:rPr>
              <w:t>其</w:t>
            </w:r>
            <w:r>
              <w:rPr>
                <w:rFonts w:hint="eastAsia" w:ascii="仿宋" w:hAnsi="仿宋" w:eastAsia="仿宋" w:cs="仿宋"/>
                <w:color w:val="000000"/>
                <w:kern w:val="0"/>
                <w:szCs w:val="21"/>
                <w:lang w:val="en-US" w:eastAsia="zh-CN"/>
              </w:rPr>
              <w:t>他</w:t>
            </w:r>
            <w:r>
              <w:rPr>
                <w:rFonts w:hint="eastAsia" w:ascii="仿宋" w:hAnsi="仿宋" w:eastAsia="仿宋" w:cs="仿宋"/>
                <w:color w:val="000000"/>
                <w:kern w:val="0"/>
                <w:szCs w:val="21"/>
                <w:lang w:eastAsia="zh-CN"/>
              </w:rPr>
              <w:t>权力</w:t>
            </w:r>
          </w:p>
        </w:tc>
        <w:tc>
          <w:tcPr>
            <w:tcW w:w="1618" w:type="dxa"/>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黑体" w:eastAsia="黑体" w:cs="黑体"/>
                <w:b/>
                <w:bCs/>
                <w:color w:val="000000"/>
                <w:kern w:val="0"/>
                <w:szCs w:val="21"/>
                <w:lang w:eastAsia="zh-CN"/>
              </w:rPr>
              <w:t>实施主体</w:t>
            </w:r>
          </w:p>
        </w:tc>
        <w:tc>
          <w:tcPr>
            <w:tcW w:w="2580" w:type="dxa"/>
            <w:gridSpan w:val="2"/>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hint="eastAsia" w:ascii="黑体" w:eastAsia="黑体" w:cs="黑体"/>
                <w:b/>
                <w:bCs/>
                <w:color w:val="000000"/>
                <w:szCs w:val="21"/>
                <w:lang w:eastAsia="zh-CN"/>
              </w:rPr>
            </w:pPr>
            <w:r>
              <w:rPr>
                <w:rFonts w:hint="eastAsia" w:ascii="仿宋_GB2312" w:hAnsi="仿宋_GB2312" w:eastAsia="仿宋_GB2312" w:cs="仿宋_GB2312"/>
                <w:i w:val="0"/>
                <w:color w:val="000000"/>
                <w:kern w:val="0"/>
                <w:sz w:val="21"/>
                <w:szCs w:val="21"/>
                <w:highlight w:val="none"/>
                <w:u w:val="none"/>
                <w:lang w:val="en-US" w:eastAsia="zh-CN" w:bidi="ar"/>
              </w:rPr>
              <w:t>林木种苗技术服务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hint="eastAsia" w:ascii="黑体" w:eastAsia="黑体" w:cs="黑体"/>
                <w:b/>
                <w:bCs/>
                <w:color w:val="000000"/>
                <w:szCs w:val="21"/>
                <w:lang w:eastAsia="zh-CN"/>
              </w:rPr>
            </w:pPr>
            <w:r>
              <w:rPr>
                <w:rFonts w:hint="eastAsia" w:ascii="黑体" w:eastAsia="黑体" w:cs="黑体"/>
                <w:b/>
                <w:bCs/>
                <w:color w:val="000000"/>
                <w:kern w:val="0"/>
                <w:szCs w:val="21"/>
                <w:lang w:eastAsia="zh-CN"/>
              </w:rPr>
              <w:t>履职依据</w:t>
            </w:r>
          </w:p>
        </w:tc>
        <w:tc>
          <w:tcPr>
            <w:tcW w:w="8835" w:type="dxa"/>
            <w:gridSpan w:val="7"/>
            <w:tcBorders>
              <w:tl2br w:val="nil"/>
              <w:tr2bl w:val="nil"/>
            </w:tcBorders>
            <w:shd w:val="clear" w:color="auto" w:fill="auto"/>
            <w:vAlign w:val="center"/>
          </w:tcPr>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【法律法规】</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1.《中华人民共和国种子法》第二十三条 从事种子进出口业务的种子生产经营许可证，由省人民政府农业、林业主管部门审核，国务院农业、林业主管部门核发。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从事主要农作物杂交种子及其亲本种子、林木良种种子的生产经营以及实行选育生产经营相结合，符合国务院农业、林业主管部门规定条件的种子企业的种子生产经营许可证，由生产经营者所在地人民政府农业、林业主管部门审核，省人民政府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前两款规定以外的其他种子的生产经营许可证，由生产经营者所在地县级以上人民政府农业、林业主管部门核发。</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只从事非主要农作物种子和非主要林木种子生产的，不需要办理种子生产经营许可证。</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【三定规定】</w:t>
            </w:r>
          </w:p>
          <w:p>
            <w:pPr>
              <w:numPr>
                <w:ilvl w:val="0"/>
                <w:numId w:val="0"/>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受理</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公示依法应当提交的材料；一次性告知补正材料；依法受理或不予受理（不予受理应当告知理由）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审查</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按照政策规定对材料进行审核，提出审核意见。</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建立实施监督检查的运行机制和管理制度，对相关活动开展检查，依法采取相关处置措施。</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04579BD"/>
    <w:rsid w:val="17FF6CC1"/>
    <w:rsid w:val="18DA1F55"/>
    <w:rsid w:val="1C407CE8"/>
    <w:rsid w:val="346B31E6"/>
    <w:rsid w:val="3814248D"/>
    <w:rsid w:val="3E484EBC"/>
    <w:rsid w:val="480B6841"/>
    <w:rsid w:val="4AE675FB"/>
    <w:rsid w:val="516D5D57"/>
    <w:rsid w:val="531F2FEB"/>
    <w:rsid w:val="5B076365"/>
    <w:rsid w:val="5D433711"/>
    <w:rsid w:val="60D80CEE"/>
    <w:rsid w:val="745460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2024-02-01T06:03:07Z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A7EFDC6830AC432CB43EAC2E81633E9C_13</vt:lpwstr>
  </property>
</Properties>
</file>