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72"/>
        <w:gridCol w:w="1618"/>
        <w:gridCol w:w="1556"/>
        <w:gridCol w:w="1495"/>
        <w:gridCol w:w="1285"/>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722" w:type="dxa"/>
            <w:gridSpan w:val="2"/>
            <w:tcBorders>
              <w:tl2br w:val="nil"/>
              <w:tr2bl w:val="nil"/>
            </w:tcBorders>
            <w:shd w:val="clear" w:color="auto" w:fill="auto"/>
            <w:vAlign w:val="center"/>
          </w:tcPr>
          <w:p>
            <w:pPr>
              <w:jc w:val="center"/>
              <w:rPr>
                <w:rFonts w:hint="eastAsia" w:ascii="黑体" w:eastAsia="黑体" w:cs="黑体"/>
                <w:b/>
                <w:bCs/>
                <w:color w:val="000000"/>
                <w:szCs w:val="21"/>
                <w:lang w:val="en-US" w:eastAsia="zh-CN"/>
              </w:rPr>
            </w:pPr>
          </w:p>
        </w:tc>
        <w:tc>
          <w:tcPr>
            <w:tcW w:w="161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556" w:type="dxa"/>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仿宋" w:hAnsi="仿宋" w:eastAsia="仿宋" w:cs="仿宋"/>
                <w:color w:val="000000"/>
                <w:kern w:val="0"/>
                <w:sz w:val="21"/>
                <w:szCs w:val="21"/>
                <w:lang w:val="en-US" w:eastAsia="zh-CN" w:bidi="ar-SA"/>
              </w:rPr>
              <w:t>其他权力</w:t>
            </w:r>
          </w:p>
        </w:tc>
        <w:tc>
          <w:tcPr>
            <w:tcW w:w="1495" w:type="dxa"/>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黑体" w:eastAsia="黑体" w:cs="黑体"/>
                <w:b/>
                <w:bCs/>
                <w:color w:val="000000"/>
                <w:kern w:val="0"/>
                <w:szCs w:val="21"/>
                <w:lang w:eastAsia="zh-CN"/>
              </w:rPr>
              <w:t>实施主体</w:t>
            </w:r>
          </w:p>
        </w:tc>
        <w:tc>
          <w:tcPr>
            <w:tcW w:w="2444" w:type="dxa"/>
            <w:gridSpan w:val="2"/>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r>
              <w:rPr>
                <w:rFonts w:hint="eastAsia" w:ascii="仿宋" w:hAnsi="仿宋" w:eastAsia="仿宋" w:cs="仿宋"/>
                <w:b w:val="0"/>
                <w:bCs w:val="0"/>
                <w:color w:val="000000"/>
                <w:szCs w:val="21"/>
                <w:lang w:eastAsia="zh-CN"/>
              </w:rPr>
              <w:t>苗木培育咨询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hint="eastAsia" w:ascii="黑体" w:eastAsia="黑体" w:cs="黑体"/>
                <w:b/>
                <w:bCs/>
                <w:color w:val="000000"/>
                <w:szCs w:val="21"/>
                <w:lang w:eastAsia="zh-CN"/>
              </w:rPr>
            </w:pPr>
            <w:r>
              <w:rPr>
                <w:rFonts w:hint="eastAsia" w:ascii="黑体" w:eastAsia="黑体" w:cs="黑体"/>
                <w:b/>
                <w:bCs/>
                <w:color w:val="000000"/>
                <w:kern w:val="0"/>
                <w:szCs w:val="21"/>
                <w:lang w:eastAsia="zh-CN"/>
              </w:rPr>
              <w:t>履职依据</w:t>
            </w:r>
          </w:p>
        </w:tc>
        <w:tc>
          <w:tcPr>
            <w:tcW w:w="8835" w:type="dxa"/>
            <w:gridSpan w:val="7"/>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w:t>
            </w:r>
            <w:r>
              <w:rPr>
                <w:rFonts w:hint="eastAsia" w:ascii="仿宋_GB2312" w:hAnsi="仿宋_GB2312" w:eastAsia="仿宋_GB2312" w:cs="仿宋_GB2312"/>
                <w:i w:val="0"/>
                <w:color w:val="000000"/>
                <w:kern w:val="0"/>
                <w:sz w:val="21"/>
                <w:szCs w:val="21"/>
                <w:highlight w:val="none"/>
                <w:u w:val="none"/>
                <w:lang w:val="en-US" w:eastAsia="zh-CN" w:bidi="ar"/>
              </w:rPr>
              <w:t>《中华人民共和国种子法》第二十三条 从事种子进出口业务的种子生产经营许可证，由省人民政府农业、林业主管部门审核，国务院农业、林业主管部门核发。</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从事主要农作物杂交种子及其亲本种子、林木良种种子的生产经营以及实行选育生产经营相结合，符合国务院农业、林业主管部门规定条件的种子企业的种子生产经营许可证，由生产经营者所在地人民政府农业、林业主管部门审核，省人民政府农业、林业主管部门核发。</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前两款规定以外的其他种子的生产经营许可证，由生产经营者所在地县级以上人民政府农业、林业主管部门核发。</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只从事非主要农作物种子和非主要林木种子生产的，不需要办理种子生产经营许可证。</w:t>
            </w:r>
          </w:p>
          <w:p>
            <w:pPr>
              <w:numPr>
                <w:ilvl w:val="0"/>
                <w:numId w:val="0"/>
              </w:numPr>
              <w:spacing w:line="240" w:lineRule="exact"/>
              <w:ind w:leftChars="0"/>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ind w:firstLine="420" w:firstLineChars="200"/>
              <w:jc w:val="left"/>
            </w:pPr>
            <w:r>
              <w:rPr>
                <w:rFonts w:hint="eastAsia" w:ascii="仿宋_GB2312" w:hAnsi="仿宋_GB2312" w:eastAsia="仿宋_GB2312" w:cs="仿宋_GB2312"/>
                <w:i w:val="0"/>
                <w:color w:val="000000"/>
                <w:kern w:val="0"/>
                <w:sz w:val="21"/>
                <w:szCs w:val="21"/>
                <w:highlight w:val="none"/>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受理</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公示依法应当提交的材料；一次性告知补正材料；依法受理或不予受理（不予受理应当告知理由）</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审查</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按照政策规定对材料进行审核，提出审核意见。</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决定</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建立实施监督检查的运行机制和管理制度，对相关活动开展检查，依法采取相关处置措施。</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ind w:firstLine="640" w:firstLineChars="200"/>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04579BD"/>
    <w:rsid w:val="17FF6CC1"/>
    <w:rsid w:val="18DA1F55"/>
    <w:rsid w:val="1C407CE8"/>
    <w:rsid w:val="228C7DBD"/>
    <w:rsid w:val="346B31E6"/>
    <w:rsid w:val="3814248D"/>
    <w:rsid w:val="3D4655A4"/>
    <w:rsid w:val="3E484EBC"/>
    <w:rsid w:val="480B6841"/>
    <w:rsid w:val="4AE675FB"/>
    <w:rsid w:val="516D5D57"/>
    <w:rsid w:val="531F2FEB"/>
    <w:rsid w:val="5B076365"/>
    <w:rsid w:val="5CA93512"/>
    <w:rsid w:val="5D433711"/>
    <w:rsid w:val="60D80CEE"/>
    <w:rsid w:val="66670D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2024-02-01T06:03:21Z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BBAFEAF08E4840B89C6CD8FADAB98CF2_13</vt:lpwstr>
  </property>
</Properties>
</file>