
<file path=[Content_Types].xml><?xml version="1.0" encoding="utf-8"?>
<Types xmlns="http://schemas.openxmlformats.org/package/2006/content-types">
  <Default ContentType="application/vnd.openxmlformats-package.relationships+xml" Extension="rels"/>
  <Default ContentType="application/xml" Extension="xml"/>
  <Override ContentType="application/vnd.openxmlformats-officedocument.extended-properties+xml" PartName="/docProps/app.xml"/>
  <Override ContentType="application/vnd.openxmlformats-package.core-properties+xml" PartName="/docProps/core.xml"/>
  <Override ContentType="application/vnd.openxmlformats-officedocument.custom-properties+xml" PartName="/docProps/custom.xml"/>
  <Override ContentType="application/vnd.openxmlformats-officedocument.wordprocessingml.document.main+xml" PartName="/word/document.xml"/>
  <Override ContentType="application/vnd.openxmlformats-officedocument.wordprocessingml.fontTable+xml" PartName="/word/fontTable.xml"/>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theme+xml" PartName="/word/theme/theme1.xml"/>
</Types>
</file>

<file path=_rels/.rels><?xml version="1.0" encoding="UTF-8" standalone="no"?><Relationships xmlns="http://schemas.openxmlformats.org/package/2006/relationships"><Relationship Id="rId1" Target="docProps/app.xml" Type="http://schemas.openxmlformats.org/officeDocument/2006/relationships/extended-properties"/><Relationship Id="rId2" Target="docProps/core.xml" Type="http://schemas.openxmlformats.org/package/2006/relationships/metadata/core-properties"/><Relationship Id="rId3" Target="docProps/custom.xml" Type="http://schemas.openxmlformats.org/officeDocument/2006/relationships/custom-properties"/><Relationship Id="rId4" Target="word/document.xml" Type="http://schemas.openxmlformats.org/officeDocument/2006/relationships/officeDocument"/></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jc w:val="center"/>
        <w:textAlignment w:val="center"/>
        <w:rPr>
          <w:rFonts w:ascii="方正小标宋简体" w:eastAsia="方正小标宋简体" w:cs="方正小标宋简体"/>
          <w:color w:val="000000"/>
          <w:kern w:val="0"/>
          <w:sz w:val="44"/>
          <w:szCs w:val="44"/>
        </w:rPr>
      </w:pPr>
      <w:bookmarkStart w:id="0" w:name="_GoBack"/>
      <w:bookmarkEnd w:id="0"/>
      <w:r>
        <w:rPr>
          <w:rFonts w:hint="eastAsia" w:ascii="方正小标宋简体" w:eastAsia="方正小标宋简体" w:cs="方正小标宋简体"/>
          <w:color w:val="000000"/>
          <w:kern w:val="0"/>
          <w:sz w:val="44"/>
          <w:szCs w:val="44"/>
          <w:lang w:val="en-US" w:eastAsia="zh-CN"/>
        </w:rPr>
        <w:t>289号</w:t>
      </w:r>
      <w:r>
        <w:rPr>
          <w:rFonts w:hint="eastAsia" w:ascii="方正小标宋简体" w:eastAsia="方正小标宋简体" w:cs="方正小标宋简体"/>
          <w:color w:val="000000"/>
          <w:kern w:val="0"/>
          <w:sz w:val="44"/>
          <w:szCs w:val="44"/>
        </w:rPr>
        <w:t>履职行权规程</w:t>
      </w:r>
    </w:p>
    <w:tbl>
      <w:tblPr>
        <w:tblStyle w:val="2"/>
        <w:tblW w:w="1029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15" w:type="dxa"/>
          <w:left w:w="15" w:type="dxa"/>
          <w:bottom w:w="15" w:type="dxa"/>
          <w:right w:w="15" w:type="dxa"/>
        </w:tblCellMar>
      </w:tblPr>
      <w:tblGrid>
        <w:gridCol w:w="1463"/>
        <w:gridCol w:w="1050"/>
        <w:gridCol w:w="641"/>
        <w:gridCol w:w="1691"/>
        <w:gridCol w:w="1963"/>
        <w:gridCol w:w="992"/>
        <w:gridCol w:w="567"/>
        <w:gridCol w:w="772"/>
        <w:gridCol w:w="1159"/>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4"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编号</w:t>
            </w:r>
          </w:p>
        </w:tc>
        <w:tc>
          <w:tcPr>
            <w:tcW w:w="1691" w:type="dxa"/>
            <w:gridSpan w:val="2"/>
            <w:tcBorders>
              <w:tl2br w:val="nil"/>
              <w:tr2bl w:val="nil"/>
            </w:tcBorders>
            <w:shd w:val="clear" w:color="auto" w:fill="auto"/>
            <w:vAlign w:val="center"/>
          </w:tcPr>
          <w:p>
            <w:pPr>
              <w:jc w:val="center"/>
              <w:rPr>
                <w:rFonts w:ascii="黑体" w:eastAsia="黑体" w:cs="黑体"/>
                <w:b/>
                <w:bCs/>
                <w:color w:val="000000"/>
                <w:szCs w:val="21"/>
              </w:rPr>
            </w:pPr>
          </w:p>
        </w:tc>
        <w:tc>
          <w:tcPr>
            <w:tcW w:w="1691" w:type="dxa"/>
            <w:tcBorders>
              <w:tl2br w:val="nil"/>
              <w:tr2bl w:val="nil"/>
            </w:tcBorders>
            <w:shd w:val="clear" w:color="auto" w:fill="auto"/>
            <w:vAlign w:val="center"/>
          </w:tcPr>
          <w:p>
            <w:pPr>
              <w:jc w:val="center"/>
              <w:rPr>
                <w:rFonts w:ascii="黑体" w:eastAsia="黑体" w:cs="黑体"/>
                <w:b/>
                <w:bCs/>
                <w:color w:val="000000"/>
                <w:szCs w:val="21"/>
              </w:rPr>
            </w:pPr>
            <w:r>
              <w:rPr>
                <w:rFonts w:hint="eastAsia" w:ascii="黑体" w:eastAsia="黑体" w:cs="黑体"/>
                <w:b/>
                <w:bCs/>
                <w:color w:val="000000"/>
                <w:kern w:val="0"/>
                <w:szCs w:val="21"/>
              </w:rPr>
              <w:t>权力类型</w:t>
            </w:r>
          </w:p>
        </w:tc>
        <w:tc>
          <w:tcPr>
            <w:tcW w:w="1963" w:type="dxa"/>
            <w:tcBorders>
              <w:tl2br w:val="nil"/>
              <w:tr2bl w:val="nil"/>
            </w:tcBorders>
            <w:shd w:val="clear" w:color="auto" w:fill="auto"/>
            <w:vAlign w:val="center"/>
          </w:tcPr>
          <w:p>
            <w:pPr>
              <w:widowControl/>
              <w:jc w:val="center"/>
              <w:textAlignment w:val="center"/>
              <w:rPr>
                <w:rFonts w:hint="eastAsia" w:ascii="仿宋_GB2312" w:eastAsia="仿宋_GB2312" w:cs="仿宋_GB2312"/>
                <w:color w:val="000000"/>
                <w:kern w:val="0"/>
                <w:sz w:val="18"/>
                <w:szCs w:val="18"/>
                <w:lang w:eastAsia="zh-CN"/>
              </w:rPr>
            </w:pPr>
            <w:r>
              <w:rPr>
                <w:rFonts w:hint="eastAsia" w:ascii="仿宋" w:hAnsi="仿宋" w:eastAsia="仿宋" w:cs="仿宋"/>
                <w:color w:val="000000"/>
                <w:kern w:val="0"/>
                <w:szCs w:val="21"/>
                <w:lang w:eastAsia="zh-CN"/>
              </w:rPr>
              <w:t>其它权力</w:t>
            </w:r>
          </w:p>
        </w:tc>
        <w:tc>
          <w:tcPr>
            <w:tcW w:w="1559" w:type="dxa"/>
            <w:gridSpan w:val="2"/>
            <w:tcBorders>
              <w:right w:val="single" w:color="auto" w:sz="4" w:space="0"/>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szCs w:val="21"/>
              </w:rPr>
              <w:t>实施主体</w:t>
            </w:r>
          </w:p>
        </w:tc>
        <w:tc>
          <w:tcPr>
            <w:tcW w:w="1931" w:type="dxa"/>
            <w:gridSpan w:val="2"/>
            <w:tcBorders>
              <w:top w:val="single" w:color="auto" w:sz="4" w:space="0"/>
              <w:left w:val="single" w:color="auto" w:sz="4" w:space="0"/>
              <w:bottom w:val="single" w:color="auto" w:sz="4" w:space="0"/>
              <w:right w:val="single" w:color="auto" w:sz="4" w:space="0"/>
              <w:tl2br w:val="nil"/>
              <w:tr2bl w:val="nil"/>
            </w:tcBorders>
            <w:shd w:val="clear" w:color="auto" w:fill="auto"/>
            <w:vAlign w:val="center"/>
          </w:tcPr>
          <w:p>
            <w:pPr>
              <w:widowControl/>
              <w:jc w:val="center"/>
              <w:textAlignment w:val="center"/>
              <w:rPr>
                <w:rFonts w:ascii="仿宋_GB2312" w:eastAsia="仿宋_GB2312" w:cs="仿宋_GB2312"/>
                <w:color w:val="000000"/>
                <w:kern w:val="0"/>
                <w:sz w:val="18"/>
                <w:szCs w:val="18"/>
              </w:rPr>
            </w:pPr>
            <w:r>
              <w:rPr>
                <w:rFonts w:hint="eastAsia" w:ascii="仿宋" w:hAnsi="仿宋" w:eastAsia="仿宋" w:cs="仿宋"/>
                <w:color w:val="000000"/>
                <w:kern w:val="0"/>
                <w:sz w:val="21"/>
                <w:szCs w:val="21"/>
              </w:rPr>
              <w:t>区自然资源和规划局</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90"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事项名称</w:t>
            </w:r>
          </w:p>
        </w:tc>
        <w:tc>
          <w:tcPr>
            <w:tcW w:w="8835" w:type="dxa"/>
            <w:gridSpan w:val="8"/>
            <w:tcBorders>
              <w:tl2br w:val="nil"/>
              <w:tr2bl w:val="nil"/>
            </w:tcBorders>
            <w:shd w:val="clear" w:color="auto" w:fill="auto"/>
            <w:vAlign w:val="center"/>
          </w:tcPr>
          <w:p>
            <w:pPr>
              <w:widowControl/>
              <w:jc w:val="center"/>
              <w:textAlignment w:val="center"/>
              <w:rPr>
                <w:rFonts w:ascii="仿宋_GB2312" w:eastAsia="仿宋_GB2312" w:cs="仿宋_GB2312"/>
                <w:color w:val="000000"/>
                <w:kern w:val="0"/>
                <w:sz w:val="21"/>
                <w:szCs w:val="21"/>
              </w:rPr>
            </w:pPr>
            <w:r>
              <w:rPr>
                <w:rFonts w:hint="eastAsia" w:ascii="仿宋" w:hAnsi="仿宋" w:eastAsia="仿宋" w:cs="仿宋"/>
                <w:i w:val="0"/>
                <w:color w:val="000000"/>
                <w:kern w:val="0"/>
                <w:sz w:val="21"/>
                <w:szCs w:val="21"/>
                <w:highlight w:val="none"/>
                <w:u w:val="none"/>
                <w:lang w:val="en-US" w:eastAsia="zh-CN" w:bidi="ar"/>
              </w:rPr>
              <w:t>林业有害生物检疫</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6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管辖范围</w:t>
            </w:r>
          </w:p>
        </w:tc>
        <w:tc>
          <w:tcPr>
            <w:tcW w:w="8835" w:type="dxa"/>
            <w:gridSpan w:val="8"/>
            <w:tcBorders>
              <w:tl2br w:val="nil"/>
              <w:tr2bl w:val="nil"/>
            </w:tcBorders>
            <w:shd w:val="clear" w:color="auto" w:fill="auto"/>
            <w:vAlign w:val="center"/>
          </w:tcPr>
          <w:p>
            <w:pPr>
              <w:jc w:val="center"/>
              <w:rPr>
                <w:rFonts w:ascii="黑体" w:hAnsi="黑体" w:eastAsia="黑体" w:cs="黑体"/>
                <w:color w:val="000000"/>
                <w:kern w:val="0"/>
                <w:sz w:val="21"/>
                <w:szCs w:val="21"/>
                <w:lang w:bidi="ar"/>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425"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val="0"/>
                <w:bCs w:val="0"/>
                <w:color w:val="000000"/>
                <w:szCs w:val="21"/>
              </w:rPr>
            </w:pPr>
            <w:r>
              <w:rPr>
                <w:rFonts w:hint="eastAsia" w:ascii="黑体" w:eastAsia="黑体" w:cs="黑体"/>
                <w:b w:val="0"/>
                <w:bCs w:val="0"/>
                <w:color w:val="000000"/>
                <w:kern w:val="0"/>
                <w:szCs w:val="21"/>
              </w:rPr>
              <w:t>履职依据</w:t>
            </w:r>
          </w:p>
        </w:tc>
        <w:tc>
          <w:tcPr>
            <w:tcW w:w="8835" w:type="dxa"/>
            <w:gridSpan w:val="8"/>
            <w:tcBorders>
              <w:tl2br w:val="nil"/>
              <w:tr2bl w:val="nil"/>
            </w:tcBorders>
            <w:shd w:val="clear" w:color="auto" w:fill="auto"/>
            <w:vAlign w:val="center"/>
          </w:tcPr>
          <w:p>
            <w:pPr>
              <w:spacing w:line="240" w:lineRule="exact"/>
              <w:rPr>
                <w:rFonts w:ascii="黑体" w:hAnsi="黑体" w:eastAsia="黑体" w:cs="仿宋_GB2312"/>
                <w:b w:val="0"/>
                <w:bCs w:val="0"/>
                <w:kern w:val="0"/>
                <w:szCs w:val="21"/>
              </w:rPr>
            </w:pPr>
            <w:r>
              <w:rPr>
                <w:rFonts w:hint="eastAsia" w:ascii="黑体" w:hAnsi="黑体" w:eastAsia="黑体" w:cs="仿宋_GB2312"/>
                <w:b w:val="0"/>
                <w:bCs w:val="0"/>
                <w:kern w:val="0"/>
                <w:szCs w:val="21"/>
              </w:rPr>
              <w:t>【法律法规】</w:t>
            </w:r>
          </w:p>
          <w:p>
            <w:pPr>
              <w:spacing w:line="240" w:lineRule="exact"/>
              <w:rPr>
                <w:rFonts w:hint="eastAsia" w:ascii="仿宋" w:hAnsi="仿宋" w:eastAsia="仿宋" w:cs="仿宋"/>
                <w:i w:val="0"/>
                <w:color w:val="auto"/>
                <w:kern w:val="0"/>
                <w:sz w:val="18"/>
                <w:szCs w:val="18"/>
                <w:u w:val="none"/>
                <w:lang w:val="en-US" w:eastAsia="zh-CN" w:bidi="ar"/>
              </w:rPr>
            </w:pPr>
            <w:r>
              <w:rPr>
                <w:rFonts w:hint="eastAsia" w:ascii="仿宋" w:hAnsi="仿宋" w:eastAsia="仿宋" w:cs="仿宋"/>
                <w:i w:val="0"/>
                <w:color w:val="auto"/>
                <w:kern w:val="0"/>
                <w:sz w:val="18"/>
                <w:szCs w:val="18"/>
                <w:u w:val="none"/>
                <w:lang w:val="en-US" w:eastAsia="zh-CN" w:bidi="ar"/>
              </w:rPr>
              <w:t>《中华人民共和国森林法》第三十五条 县级以上人民政府林业主管部门负责本行政区域的林业有害生物的监测、检疫和防治。省级以上人民政府林业主管部门负责确定林业植物及其产品的检疫性有害生物，划定疫区和保护区。重大林业有害生物灾害防治实行地方人民政府负责制。发生暴发性、危险性等重大林业有害生物灾害时，当地人民政府应当及时组织除治。林业经营者在政府支持引导下，对其经营管理范围内的林业有害生物进行防治。</w:t>
            </w:r>
          </w:p>
          <w:p>
            <w:pPr>
              <w:spacing w:line="240" w:lineRule="exact"/>
              <w:rPr>
                <w:rFonts w:ascii="黑体" w:hAnsi="黑体" w:eastAsia="黑体" w:cs="仿宋_GB2312"/>
                <w:b w:val="0"/>
                <w:bCs w:val="0"/>
                <w:kern w:val="0"/>
                <w:szCs w:val="21"/>
              </w:rPr>
            </w:pPr>
            <w:r>
              <w:rPr>
                <w:rFonts w:hint="eastAsia" w:ascii="黑体" w:hAnsi="黑体" w:eastAsia="黑体" w:cs="仿宋_GB2312"/>
                <w:b w:val="0"/>
                <w:bCs w:val="0"/>
                <w:kern w:val="0"/>
                <w:szCs w:val="21"/>
              </w:rPr>
              <w:t>【三定规定】</w:t>
            </w:r>
          </w:p>
          <w:p>
            <w:pPr>
              <w:widowControl/>
              <w:spacing w:line="240" w:lineRule="exact"/>
              <w:jc w:val="left"/>
              <w:textAlignment w:val="center"/>
              <w:rPr>
                <w:rFonts w:ascii="仿宋_GB2312" w:eastAsia="仿宋_GB2312" w:cs="黑体"/>
                <w:b w:val="0"/>
                <w:bCs w:val="0"/>
                <w:color w:val="000000" w:themeColor="text1"/>
                <w:sz w:val="21"/>
                <w:szCs w:val="21"/>
                <w14:textFill>
                  <w14:solidFill>
                    <w14:schemeClr w14:val="tx1"/>
                  </w14:solidFill>
                </w14:textFill>
              </w:rPr>
            </w:pPr>
            <w:r>
              <w:rPr>
                <w:rFonts w:hint="eastAsia" w:ascii="仿宋" w:hAnsi="仿宋" w:eastAsia="仿宋" w:cs="仿宋"/>
                <w:b w:val="0"/>
                <w:bCs w:val="0"/>
                <w:color w:val="000000"/>
                <w:sz w:val="18"/>
                <w:szCs w:val="18"/>
                <w:lang w:val="en-US" w:eastAsia="zh-CN"/>
              </w:rPr>
              <w:t>抚编批字【2020】11号 二、13 负责全区森林植物检疫工作，负责重大林业和草原及林下农作物有害生物灾害预防和除治相关技术服务工作，负责林业和草原病虫鼠害的监测、预报工作。</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20" w:hRule="atLeast"/>
          <w:jc w:val="center"/>
        </w:trPr>
        <w:tc>
          <w:tcPr>
            <w:tcW w:w="1463" w:type="dxa"/>
            <w:vMerge w:val="restart"/>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履职流程</w:t>
            </w:r>
          </w:p>
        </w:tc>
        <w:tc>
          <w:tcPr>
            <w:tcW w:w="1050"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办理环节</w:t>
            </w:r>
          </w:p>
        </w:tc>
        <w:tc>
          <w:tcPr>
            <w:tcW w:w="5287" w:type="dxa"/>
            <w:gridSpan w:val="4"/>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办理内容</w:t>
            </w:r>
          </w:p>
        </w:tc>
        <w:tc>
          <w:tcPr>
            <w:tcW w:w="1339" w:type="dxa"/>
            <w:gridSpan w:val="2"/>
            <w:tcBorders>
              <w:tl2br w:val="nil"/>
              <w:tr2bl w:val="nil"/>
            </w:tcBorders>
            <w:shd w:val="clear" w:color="auto" w:fill="auto"/>
            <w:vAlign w:val="center"/>
          </w:tcPr>
          <w:p>
            <w:pPr>
              <w:widowControl/>
              <w:jc w:val="center"/>
              <w:textAlignment w:val="center"/>
              <w:rPr>
                <w:rFonts w:ascii="黑体" w:eastAsia="黑体" w:cs="黑体"/>
                <w:b/>
                <w:bCs/>
                <w:color w:val="000000" w:themeColor="text1"/>
                <w:sz w:val="21"/>
                <w:szCs w:val="21"/>
                <w14:textFill>
                  <w14:solidFill>
                    <w14:schemeClr w14:val="tx1"/>
                  </w14:solidFill>
                </w14:textFill>
              </w:rPr>
            </w:pPr>
            <w:r>
              <w:rPr>
                <w:rFonts w:hint="eastAsia" w:ascii="黑体" w:eastAsia="黑体" w:cs="黑体"/>
                <w:b/>
                <w:bCs/>
                <w:color w:val="000000" w:themeColor="text1"/>
                <w:sz w:val="21"/>
                <w:szCs w:val="21"/>
                <w14:textFill>
                  <w14:solidFill>
                    <w14:schemeClr w14:val="tx1"/>
                  </w14:solidFill>
                </w14:textFill>
              </w:rPr>
              <w:t>办理时限</w:t>
            </w:r>
          </w:p>
        </w:tc>
        <w:tc>
          <w:tcPr>
            <w:tcW w:w="1159" w:type="dxa"/>
            <w:tcBorders>
              <w:tl2br w:val="nil"/>
              <w:tr2bl w:val="nil"/>
            </w:tcBorders>
            <w:shd w:val="clear" w:color="auto" w:fill="auto"/>
            <w:vAlign w:val="center"/>
          </w:tcPr>
          <w:p>
            <w:pPr>
              <w:widowControl/>
              <w:jc w:val="center"/>
              <w:textAlignment w:val="center"/>
              <w:rPr>
                <w:rFonts w:ascii="黑体" w:eastAsia="黑体" w:cs="黑体"/>
                <w:b/>
                <w:bCs/>
                <w:color w:val="000000" w:themeColor="text1"/>
                <w:kern w:val="0"/>
                <w:sz w:val="21"/>
                <w:szCs w:val="21"/>
                <w14:textFill>
                  <w14:solidFill>
                    <w14:schemeClr w14:val="tx1"/>
                  </w14:solidFill>
                </w14:textFill>
              </w:rPr>
            </w:pPr>
            <w:r>
              <w:rPr>
                <w:rFonts w:hint="eastAsia" w:ascii="黑体" w:eastAsia="黑体" w:cs="黑体"/>
                <w:b/>
                <w:bCs/>
                <w:color w:val="000000" w:themeColor="text1"/>
                <w:kern w:val="0"/>
                <w:sz w:val="21"/>
                <w:szCs w:val="21"/>
                <w14:textFill>
                  <w14:solidFill>
                    <w14:schemeClr w14:val="tx1"/>
                  </w14:solidFill>
                </w14:textFill>
              </w:rPr>
              <w:t>责任科室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906"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受理</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公示依法应当提交的材料；一次性告知补正材料；依法受理或不予受理（不予受理应当告知理由）</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default" w:ascii="仿宋" w:hAnsi="仿宋" w:eastAsia="仿宋" w:cs="仿宋"/>
                <w:color w:val="000000"/>
                <w:kern w:val="0"/>
                <w:sz w:val="18"/>
                <w:szCs w:val="18"/>
                <w:lang w:val="en-US" w:eastAsia="zh-CN"/>
              </w:rPr>
            </w:pPr>
            <w:r>
              <w:rPr>
                <w:rFonts w:hint="eastAsia" w:ascii="仿宋" w:hAnsi="仿宋" w:eastAsia="仿宋" w:cs="仿宋"/>
                <w:color w:val="000000"/>
                <w:kern w:val="0"/>
                <w:sz w:val="18"/>
                <w:szCs w:val="18"/>
                <w:lang w:val="en-US" w:eastAsia="zh-CN"/>
              </w:rPr>
              <w:t>秦皇岛市抚宁区森林病虫害防治检疫站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335"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审查</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color w:val="000000"/>
                <w:sz w:val="18"/>
                <w:szCs w:val="18"/>
              </w:rPr>
              <w:t>按照政策规定对材料进行审核，提出审核意见。</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default" w:ascii="仿宋" w:hAnsi="仿宋" w:eastAsia="仿宋" w:cs="仿宋"/>
                <w:color w:val="000000"/>
                <w:kern w:val="0"/>
                <w:sz w:val="18"/>
                <w:szCs w:val="18"/>
                <w:lang w:val="en-US"/>
              </w:rPr>
            </w:pPr>
            <w:r>
              <w:rPr>
                <w:rFonts w:hint="eastAsia" w:ascii="仿宋" w:hAnsi="仿宋" w:eastAsia="仿宋" w:cs="仿宋"/>
                <w:color w:val="000000"/>
                <w:kern w:val="0"/>
                <w:sz w:val="18"/>
                <w:szCs w:val="18"/>
                <w:lang w:val="en-US" w:eastAsia="zh-CN"/>
              </w:rPr>
              <w:t>秦皇岛市抚宁区森林病虫害防治检疫站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监管</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color w:val="000000"/>
                <w:sz w:val="18"/>
                <w:szCs w:val="18"/>
              </w:rPr>
              <w:t>建立实施监督检查的运行机制和管理制度，对相关活动开展检查，依法采取相关处置措施。</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default" w:ascii="仿宋" w:hAnsi="仿宋" w:eastAsia="仿宋" w:cs="仿宋"/>
                <w:color w:val="000000"/>
                <w:kern w:val="0"/>
                <w:sz w:val="18"/>
                <w:szCs w:val="18"/>
                <w:lang w:val="en-US"/>
              </w:rPr>
            </w:pPr>
            <w:r>
              <w:rPr>
                <w:rFonts w:hint="eastAsia" w:ascii="仿宋" w:hAnsi="仿宋" w:eastAsia="仿宋" w:cs="仿宋"/>
                <w:color w:val="000000"/>
                <w:kern w:val="0"/>
                <w:sz w:val="18"/>
                <w:szCs w:val="18"/>
                <w:lang w:val="en-US" w:eastAsia="zh-CN"/>
              </w:rPr>
              <w:t>秦皇岛市抚宁区森林病虫害防治检疫站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89" w:hRule="atLeast"/>
          <w:jc w:val="center"/>
        </w:trPr>
        <w:tc>
          <w:tcPr>
            <w:tcW w:w="1463" w:type="dxa"/>
            <w:vMerge w:val="continue"/>
            <w:tcBorders>
              <w:tl2br w:val="nil"/>
              <w:tr2bl w:val="nil"/>
            </w:tcBorders>
            <w:shd w:val="clear" w:color="auto" w:fill="auto"/>
            <w:vAlign w:val="center"/>
          </w:tcPr>
          <w:p/>
        </w:tc>
        <w:tc>
          <w:tcPr>
            <w:tcW w:w="1050" w:type="dxa"/>
            <w:tcBorders>
              <w:tl2br w:val="nil"/>
              <w:tr2bl w:val="nil"/>
            </w:tcBorders>
            <w:shd w:val="clear" w:color="auto" w:fill="auto"/>
            <w:vAlign w:val="center"/>
          </w:tcPr>
          <w:p>
            <w:pPr>
              <w:jc w:val="center"/>
              <w:rPr>
                <w:rFonts w:hint="eastAsia" w:ascii="黑体" w:hAnsi="黑体" w:eastAsia="黑体" w:cs="黑体"/>
                <w:b/>
                <w:bCs/>
                <w:color w:val="000000" w:themeColor="text1"/>
                <w:sz w:val="18"/>
                <w:szCs w:val="18"/>
                <w14:textFill>
                  <w14:solidFill>
                    <w14:schemeClr w14:val="tx1"/>
                  </w14:solidFill>
                </w14:textFill>
              </w:rPr>
            </w:pPr>
            <w:r>
              <w:rPr>
                <w:rFonts w:hint="eastAsia" w:ascii="黑体" w:eastAsia="黑体" w:cs="黑体"/>
                <w:b/>
                <w:bCs/>
                <w:color w:val="000000"/>
                <w:sz w:val="18"/>
                <w:szCs w:val="18"/>
                <w:lang w:eastAsia="zh-CN"/>
              </w:rPr>
              <w:t>其它</w:t>
            </w:r>
          </w:p>
        </w:tc>
        <w:tc>
          <w:tcPr>
            <w:tcW w:w="5287" w:type="dxa"/>
            <w:gridSpan w:val="4"/>
            <w:tcBorders>
              <w:tl2br w:val="nil"/>
              <w:tr2bl w:val="nil"/>
            </w:tcBorders>
            <w:shd w:val="clear" w:color="auto" w:fill="auto"/>
            <w:vAlign w:val="center"/>
          </w:tcPr>
          <w:p>
            <w:pPr>
              <w:rPr>
                <w:rFonts w:hint="eastAsia" w:ascii="仿宋" w:hAnsi="仿宋" w:eastAsia="仿宋" w:cs="仿宋"/>
                <w:color w:val="000000"/>
                <w:kern w:val="0"/>
                <w:sz w:val="18"/>
                <w:szCs w:val="18"/>
              </w:rPr>
            </w:pPr>
            <w:r>
              <w:rPr>
                <w:rFonts w:hint="eastAsia" w:ascii="仿宋" w:hAnsi="仿宋" w:eastAsia="仿宋" w:cs="仿宋"/>
                <w:i w:val="0"/>
                <w:color w:val="000000"/>
                <w:kern w:val="0"/>
                <w:sz w:val="18"/>
                <w:szCs w:val="18"/>
                <w:highlight w:val="none"/>
                <w:u w:val="none"/>
                <w:lang w:val="en-US" w:eastAsia="zh-CN" w:bidi="ar"/>
              </w:rPr>
              <w:t>其他法律法规规章文件规定应履行的责任。</w:t>
            </w:r>
          </w:p>
        </w:tc>
        <w:tc>
          <w:tcPr>
            <w:tcW w:w="1339" w:type="dxa"/>
            <w:gridSpan w:val="2"/>
            <w:tcBorders>
              <w:tl2br w:val="nil"/>
              <w:tr2bl w:val="nil"/>
            </w:tcBorders>
            <w:shd w:val="clear" w:color="auto" w:fill="auto"/>
            <w:vAlign w:val="center"/>
          </w:tcPr>
          <w:p>
            <w:pPr>
              <w:widowControl/>
              <w:spacing w:line="240" w:lineRule="exact"/>
              <w:jc w:val="left"/>
              <w:textAlignment w:val="center"/>
              <w:rPr>
                <w:rFonts w:hint="default" w:ascii="仿宋_GB2312" w:eastAsia="仿宋_GB2312" w:cs="仿宋_GB2312"/>
                <w:color w:val="000000"/>
                <w:kern w:val="0"/>
                <w:sz w:val="21"/>
                <w:szCs w:val="21"/>
              </w:rPr>
            </w:pPr>
          </w:p>
        </w:tc>
        <w:tc>
          <w:tcPr>
            <w:tcW w:w="1159" w:type="dxa"/>
            <w:tcBorders>
              <w:tl2br w:val="nil"/>
              <w:tr2bl w:val="nil"/>
            </w:tcBorders>
            <w:shd w:val="clear" w:color="auto" w:fill="auto"/>
            <w:vAlign w:val="center"/>
          </w:tcPr>
          <w:p>
            <w:pPr>
              <w:widowControl/>
              <w:spacing w:line="240" w:lineRule="exact"/>
              <w:jc w:val="left"/>
              <w:textAlignment w:val="center"/>
              <w:rPr>
                <w:rFonts w:hint="default" w:ascii="仿宋" w:hAnsi="仿宋" w:eastAsia="仿宋" w:cs="仿宋"/>
                <w:color w:val="000000"/>
                <w:kern w:val="0"/>
                <w:sz w:val="18"/>
                <w:szCs w:val="18"/>
                <w:lang w:val="en-US"/>
              </w:rPr>
            </w:pPr>
            <w:r>
              <w:rPr>
                <w:rFonts w:hint="eastAsia" w:ascii="仿宋" w:hAnsi="仿宋" w:eastAsia="仿宋" w:cs="仿宋"/>
                <w:color w:val="000000"/>
                <w:kern w:val="0"/>
                <w:sz w:val="18"/>
                <w:szCs w:val="18"/>
                <w:lang w:val="en-US" w:eastAsia="zh-CN"/>
              </w:rPr>
              <w:t>秦皇岛市抚宁区森林病虫害防治检疫站</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1170" w:hRule="atLeast"/>
          <w:jc w:val="center"/>
        </w:trPr>
        <w:tc>
          <w:tcPr>
            <w:tcW w:w="1463" w:type="dxa"/>
            <w:tcBorders>
              <w:tl2br w:val="nil"/>
              <w:tr2bl w:val="nil"/>
            </w:tcBorders>
            <w:shd w:val="clear" w:color="auto" w:fill="auto"/>
            <w:vAlign w:val="center"/>
          </w:tcPr>
          <w:p>
            <w:pPr>
              <w:widowControl/>
              <w:spacing w:line="240" w:lineRule="exact"/>
              <w:jc w:val="center"/>
              <w:textAlignment w:val="center"/>
              <w:rPr>
                <w:rFonts w:ascii="黑体" w:eastAsia="黑体" w:cs="黑体"/>
                <w:b/>
                <w:bCs/>
                <w:color w:val="000000"/>
                <w:szCs w:val="21"/>
              </w:rPr>
            </w:pPr>
            <w:r>
              <w:rPr>
                <w:rFonts w:hint="eastAsia" w:ascii="黑体" w:eastAsia="黑体" w:cs="黑体"/>
                <w:b/>
                <w:bCs/>
                <w:color w:val="000000"/>
                <w:kern w:val="0"/>
                <w:szCs w:val="21"/>
              </w:rPr>
              <w:t>追责情形</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default" w:ascii="Times New Roman" w:hAnsi="Times New Roman" w:eastAsia="方正仿宋_GBK" w:cs="Times New Roman"/>
                <w:color w:val="000000" w:themeColor="text1"/>
                <w:sz w:val="21"/>
                <w:szCs w:val="21"/>
                <w14:textFill>
                  <w14:solidFill>
                    <w14:schemeClr w14:val="tx1"/>
                  </w14:solidFill>
                </w14:textFill>
              </w:rPr>
            </w:pPr>
            <w:r>
              <w:rPr>
                <w:rFonts w:hint="eastAsia" w:ascii="仿宋" w:hAnsi="仿宋" w:eastAsia="仿宋" w:cs="仿宋"/>
                <w:i w:val="0"/>
                <w:color w:val="000000"/>
                <w:kern w:val="0"/>
                <w:sz w:val="18"/>
                <w:szCs w:val="18"/>
                <w:highlight w:val="none"/>
                <w:u w:val="none"/>
                <w:lang w:val="en-US" w:eastAsia="zh-CN" w:bidi="ar"/>
              </w:rPr>
              <w:t>因不履行或不正确履行行政职责，有下列情形的，行政机关及相关工作人员应承担相应责任：</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 xml:space="preserve">1.工作中滥用职权、徇私舞弊、玩忽职守造成不良后果的。 </w:t>
            </w:r>
            <w:r>
              <w:rPr>
                <w:rFonts w:hint="eastAsia" w:ascii="仿宋" w:hAnsi="仿宋" w:eastAsia="仿宋" w:cs="仿宋"/>
                <w:i w:val="0"/>
                <w:color w:val="000000"/>
                <w:kern w:val="0"/>
                <w:sz w:val="18"/>
                <w:szCs w:val="18"/>
                <w:highlight w:val="none"/>
                <w:u w:val="none"/>
                <w:lang w:val="en-US" w:eastAsia="zh-CN" w:bidi="ar"/>
              </w:rPr>
              <w:br w:type="textWrapping"/>
            </w:r>
            <w:r>
              <w:rPr>
                <w:rFonts w:hint="eastAsia" w:ascii="仿宋" w:hAnsi="仿宋" w:eastAsia="仿宋" w:cs="仿宋"/>
                <w:i w:val="0"/>
                <w:color w:val="000000"/>
                <w:kern w:val="0"/>
                <w:sz w:val="18"/>
                <w:szCs w:val="18"/>
                <w:highlight w:val="none"/>
                <w:u w:val="none"/>
                <w:lang w:val="en-US" w:eastAsia="zh-CN" w:bidi="ar"/>
              </w:rPr>
              <w:t>2.其他违反法律法规规章文件规定的行为。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636"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监督方式</w:t>
            </w:r>
          </w:p>
        </w:tc>
        <w:tc>
          <w:tcPr>
            <w:tcW w:w="8835" w:type="dxa"/>
            <w:gridSpan w:val="8"/>
            <w:tcBorders>
              <w:tl2br w:val="nil"/>
              <w:tr2bl w:val="nil"/>
            </w:tcBorders>
            <w:shd w:val="clear" w:color="auto" w:fill="auto"/>
            <w:vAlign w:val="center"/>
          </w:tcPr>
          <w:p>
            <w:pPr>
              <w:widowControl/>
              <w:spacing w:line="24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 xml:space="preserve">1.业务咨询：0335-6680610-80904 </w:t>
            </w:r>
          </w:p>
          <w:p>
            <w:pPr>
              <w:widowControl/>
              <w:spacing w:line="24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2.投诉举报电话：0335-6682748</w:t>
            </w:r>
          </w:p>
          <w:p>
            <w:pPr>
              <w:widowControl/>
              <w:spacing w:line="240" w:lineRule="exact"/>
              <w:jc w:val="left"/>
              <w:textAlignment w:val="center"/>
              <w:rPr>
                <w:rFonts w:hint="default" w:ascii="Times New Roman" w:hAnsi="Times New Roman" w:eastAsia="方正仿宋_GBK" w:cs="Times New Roman"/>
                <w:color w:val="000000"/>
                <w:sz w:val="21"/>
                <w:szCs w:val="21"/>
              </w:rPr>
            </w:pPr>
            <w:r>
              <w:rPr>
                <w:rFonts w:hint="eastAsia" w:ascii="仿宋" w:hAnsi="仿宋" w:eastAsia="仿宋" w:cs="仿宋"/>
                <w:color w:val="000000"/>
                <w:kern w:val="0"/>
                <w:sz w:val="18"/>
                <w:szCs w:val="18"/>
              </w:rPr>
              <w:t>3.纪检监察投诉：区纪检驻资源规划局纪检组     电话：0335-6689311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501"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szCs w:val="21"/>
              </w:rPr>
            </w:pPr>
            <w:r>
              <w:rPr>
                <w:rFonts w:hint="eastAsia" w:ascii="黑体" w:eastAsia="黑体" w:cs="黑体"/>
                <w:b/>
                <w:bCs/>
                <w:color w:val="000000"/>
                <w:kern w:val="0"/>
                <w:szCs w:val="21"/>
              </w:rPr>
              <w:t>法定救济途径</w:t>
            </w:r>
          </w:p>
        </w:tc>
        <w:tc>
          <w:tcPr>
            <w:tcW w:w="8835" w:type="dxa"/>
            <w:gridSpan w:val="8"/>
            <w:tcBorders>
              <w:tl2br w:val="nil"/>
              <w:tr2bl w:val="nil"/>
            </w:tcBorders>
            <w:shd w:val="clear" w:color="auto" w:fill="auto"/>
            <w:vAlign w:val="center"/>
          </w:tcPr>
          <w:p>
            <w:pPr>
              <w:keepNext w:val="0"/>
              <w:keepLines w:val="0"/>
              <w:pageBreakBefore w:val="0"/>
              <w:widowControl/>
              <w:kinsoku/>
              <w:wordWrap/>
              <w:overflowPunct/>
              <w:topLinePunct w:val="0"/>
              <w:autoSpaceDE/>
              <w:autoSpaceDN/>
              <w:bidi w:val="0"/>
              <w:adjustRightInd/>
              <w:snapToGrid/>
              <w:spacing w:line="200" w:lineRule="exact"/>
              <w:jc w:val="left"/>
              <w:textAlignment w:val="center"/>
              <w:rPr>
                <w:rFonts w:hint="eastAsia" w:ascii="仿宋" w:hAnsi="仿宋" w:eastAsia="仿宋" w:cs="仿宋"/>
                <w:color w:val="000000"/>
                <w:kern w:val="0"/>
                <w:sz w:val="18"/>
                <w:szCs w:val="18"/>
              </w:rPr>
            </w:pPr>
            <w:r>
              <w:rPr>
                <w:rFonts w:hint="eastAsia" w:ascii="仿宋" w:hAnsi="仿宋" w:eastAsia="仿宋" w:cs="仿宋"/>
                <w:color w:val="000000"/>
                <w:kern w:val="0"/>
                <w:sz w:val="18"/>
                <w:szCs w:val="18"/>
              </w:rPr>
              <w:t>1</w:t>
            </w:r>
            <w:r>
              <w:rPr>
                <w:rFonts w:hint="eastAsia" w:ascii="仿宋" w:hAnsi="仿宋" w:eastAsia="仿宋" w:cs="仿宋"/>
                <w:color w:val="000000"/>
                <w:kern w:val="0"/>
                <w:sz w:val="18"/>
                <w:szCs w:val="18"/>
                <w:lang w:val="en-US" w:eastAsia="zh-CN"/>
              </w:rPr>
              <w:t>.</w:t>
            </w:r>
            <w:r>
              <w:rPr>
                <w:rFonts w:hint="eastAsia" w:ascii="仿宋" w:hAnsi="仿宋" w:eastAsia="仿宋" w:cs="仿宋"/>
                <w:color w:val="000000"/>
                <w:kern w:val="0"/>
                <w:sz w:val="18"/>
                <w:szCs w:val="18"/>
              </w:rPr>
              <w:t>不服许可决定自知道该具体行政行为之日起六十日内向区政府申请行政复议。</w:t>
            </w:r>
          </w:p>
          <w:p>
            <w:pPr>
              <w:widowControl/>
              <w:spacing w:line="240" w:lineRule="exact"/>
              <w:jc w:val="left"/>
              <w:textAlignment w:val="center"/>
              <w:rPr>
                <w:rFonts w:hint="default" w:ascii="Times New Roman" w:hAnsi="Times New Roman" w:eastAsia="方正仿宋_GBK" w:cs="Times New Roman"/>
                <w:b/>
                <w:bCs/>
                <w:color w:val="000000"/>
                <w:sz w:val="21"/>
                <w:szCs w:val="21"/>
              </w:rPr>
            </w:pPr>
            <w:r>
              <w:rPr>
                <w:rFonts w:hint="eastAsia" w:ascii="仿宋" w:hAnsi="仿宋" w:eastAsia="仿宋" w:cs="仿宋"/>
                <w:color w:val="000000"/>
                <w:kern w:val="0"/>
                <w:sz w:val="18"/>
                <w:szCs w:val="18"/>
              </w:rPr>
              <w:t>2</w:t>
            </w:r>
            <w:r>
              <w:rPr>
                <w:rFonts w:hint="eastAsia" w:ascii="仿宋" w:hAnsi="仿宋" w:eastAsia="仿宋" w:cs="仿宋"/>
                <w:color w:val="000000"/>
                <w:kern w:val="0"/>
                <w:sz w:val="18"/>
                <w:szCs w:val="18"/>
                <w:lang w:val="en-US" w:eastAsia="zh-CN"/>
              </w:rPr>
              <w:t>.</w:t>
            </w:r>
            <w:r>
              <w:rPr>
                <w:rFonts w:hint="eastAsia" w:ascii="仿宋" w:hAnsi="仿宋" w:eastAsia="仿宋" w:cs="仿宋"/>
                <w:color w:val="000000"/>
                <w:kern w:val="0"/>
                <w:sz w:val="18"/>
                <w:szCs w:val="18"/>
              </w:rPr>
              <w:t>不服许可决定应当自知道或者应当知道作出行政行为之日起六个月内提出向抚宁区人民法院提起行政诉讼。</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15" w:type="dxa"/>
            <w:left w:w="15" w:type="dxa"/>
            <w:bottom w:w="15" w:type="dxa"/>
            <w:right w:w="15" w:type="dxa"/>
          </w:tblCellMar>
        </w:tblPrEx>
        <w:trPr>
          <w:trHeight w:val="417" w:hRule="atLeast"/>
          <w:jc w:val="center"/>
        </w:trPr>
        <w:tc>
          <w:tcPr>
            <w:tcW w:w="1463" w:type="dxa"/>
            <w:tcBorders>
              <w:tl2br w:val="nil"/>
              <w:tr2bl w:val="nil"/>
            </w:tcBorders>
            <w:shd w:val="clear" w:color="auto" w:fill="auto"/>
            <w:vAlign w:val="center"/>
          </w:tcPr>
          <w:p>
            <w:pPr>
              <w:widowControl/>
              <w:jc w:val="center"/>
              <w:textAlignment w:val="center"/>
              <w:rPr>
                <w:rFonts w:ascii="黑体" w:eastAsia="黑体" w:cs="黑体"/>
                <w:b/>
                <w:bCs/>
                <w:color w:val="000000"/>
                <w:kern w:val="0"/>
                <w:szCs w:val="21"/>
              </w:rPr>
            </w:pPr>
            <w:r>
              <w:rPr>
                <w:rFonts w:hint="eastAsia" w:ascii="黑体" w:eastAsia="黑体" w:cs="黑体"/>
                <w:b/>
                <w:bCs/>
                <w:color w:val="000000"/>
                <w:kern w:val="0"/>
                <w:szCs w:val="21"/>
              </w:rPr>
              <w:t>备注</w:t>
            </w:r>
          </w:p>
        </w:tc>
        <w:tc>
          <w:tcPr>
            <w:tcW w:w="8835" w:type="dxa"/>
            <w:gridSpan w:val="8"/>
            <w:tcBorders>
              <w:tl2br w:val="nil"/>
              <w:tr2bl w:val="nil"/>
            </w:tcBorders>
            <w:shd w:val="clear" w:color="auto" w:fill="auto"/>
            <w:vAlign w:val="center"/>
          </w:tcPr>
          <w:p>
            <w:pPr>
              <w:widowControl/>
              <w:jc w:val="left"/>
              <w:textAlignment w:val="center"/>
              <w:rPr>
                <w:rFonts w:ascii="黑体" w:eastAsia="黑体" w:cs="黑体"/>
                <w:color w:val="000000"/>
                <w:kern w:val="0"/>
                <w:sz w:val="18"/>
                <w:szCs w:val="18"/>
              </w:rPr>
            </w:pPr>
          </w:p>
        </w:tc>
      </w:tr>
    </w:tbl>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方正小标宋简体">
    <w:altName w:val="黑体"/>
    <w:panose1 w:val="02000000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方正仿宋_GBK">
    <w:altName w:val="微软雅黑"/>
    <w:panose1 w:val="00000000000000000000"/>
    <w:charset w:val="86"/>
    <w:family w:val="auto"/>
    <w:pitch w:val="default"/>
    <w:sig w:usb0="00000000" w:usb1="00000000" w:usb2="00000000" w:usb3="00000000" w:csb0="0004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39272E6C"/>
    <w:rsid w:val="4A274436"/>
    <w:rsid w:val="52B96A68"/>
    <w:rsid w:val="59E7360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Arial"/>
      <w:kern w:val="2"/>
      <w:sz w:val="21"/>
      <w:szCs w:val="24"/>
      <w:lang w:val="en-US" w:eastAsia="zh-CN" w:bidi="ar-SA"/>
    </w:rPr>
  </w:style>
  <w:style w:type="character" w:default="1" w:styleId="3">
    <w:name w:val="Default Paragraph Font"/>
    <w:semiHidden/>
    <w:qFormat/>
    <w:uiPriority w:val="0"/>
  </w:style>
  <w:style w:type="table" w:default="1" w:styleId="2">
    <w:name w:val="Normal Table"/>
    <w:semiHidden/>
    <w:qFormat/>
    <w:uiPriority w:val="0"/>
    <w:tblPr>
      <w:tblCellMar>
        <w:top w:w="0" w:type="dxa"/>
        <w:left w:w="108" w:type="dxa"/>
        <w:bottom w:w="0" w:type="dxa"/>
        <w:right w:w="108" w:type="dxa"/>
      </w:tblCellMar>
    </w:tblPr>
  </w:style>
</w:styles>
</file>

<file path=word/_rels/document.xml.rels><?xml version="1.0" encoding="UTF-8" standalone="no"?><Relationships xmlns="http://schemas.openxmlformats.org/package/2006/relationships"><Relationship Id="rId1" Target="styles.xml" Type="http://schemas.openxmlformats.org/officeDocument/2006/relationships/styles"/><Relationship Id="rId2" Target="settings.xml" Type="http://schemas.openxmlformats.org/officeDocument/2006/relationships/settings"/><Relationship Id="rId3" Target="theme/theme1.xml" Type="http://schemas.openxmlformats.org/officeDocument/2006/relationships/theme"/><Relationship Id="rId4" Target="fontTable.xml" Type="http://schemas.openxmlformats.org/officeDocument/2006/relationships/fontTable"/></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Office_12.1.0.15946_F1E327BC-269C-435d-A152-05C5408002CA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xsi="http://www.w3.org/2001/XMLSchema-instance">
  <dcterms:created xsi:type="dcterms:W3CDTF">2023-12-12T07:36:00Z</dcterms:created>
  <dc:creator>HP</dc:creator>
  <cp:lastModifiedBy>大地欢歌</cp:lastModifiedBy>
  <dcterms:modified xsi:type="dcterms:W3CDTF">2023-12-13T05:45:44Z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2052-12.1.0.15946</vt:lpwstr>
  </property>
  <property fmtid="{D5CDD505-2E9C-101B-9397-08002B2CF9AE}" pid="3" name="ICV">
    <vt:lpwstr>AC1BDFFA731F454FA87F274C6C85702B_13</vt:lpwstr>
  </property>
</Properties>
</file>