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r>
              <w:rPr>
                <w:rFonts w:hint="eastAsia" w:ascii="仿宋_GB2312" w:hAnsi="仿宋_GB2312" w:eastAsia="仿宋_GB2312" w:cs="仿宋_GB2312"/>
                <w:kern w:val="0"/>
                <w:sz w:val="18"/>
                <w:szCs w:val="18"/>
              </w:rPr>
              <w:t>对测绘资质单位的测绘项目备案登记的监管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Cs w:val="21"/>
              </w:rPr>
            </w:pPr>
            <w:r>
              <w:rPr>
                <w:rFonts w:hint="eastAsia" w:ascii="仿宋_GB2312" w:hAnsi="仿宋_GB2312" w:eastAsia="仿宋_GB2312" w:cs="仿宋_GB2312"/>
                <w:kern w:val="0"/>
                <w:szCs w:val="21"/>
              </w:rPr>
              <w:t>抚宁区辖区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1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《河北省实施&lt;中华人民共和国测绘法&gt;办法》（2005年5月27日河北省第十届人民代表大会常务委员会第十五次会议通过）第十九条 测绘单位在实施测绘项目前，应当告知测绘项目所在地的测绘行政主管部门。</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测绘项目所在地的测绘行政主管部门应当对测绘项目进行备案登记，并为测绘单位提供必要的服务。</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hint="eastAsia" w:ascii="黑体" w:eastAsia="黑体" w:cs="黑体"/>
                <w:b/>
                <w:bCs/>
                <w:color w:val="000000"/>
                <w:sz w:val="18"/>
                <w:szCs w:val="18"/>
              </w:rPr>
              <w:t>制定计划</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制定检查计划</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ascii="黑体" w:eastAsia="黑体" w:cs="黑体"/>
                <w:b/>
                <w:bCs/>
                <w:color w:val="00000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发布通知，开展双随机检查</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47"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1.不对本辖区内测绘资质单位的测绘项目备案登记情况组织监督检查；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4.对监督检查发现的问题，测绘资质单位整改完成后，不对整改情况组织进行核查；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2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28EB10B1"/>
    <w:rsid w:val="2D385E3D"/>
    <w:rsid w:val="30A003C2"/>
    <w:rsid w:val="346B31E6"/>
    <w:rsid w:val="380C2E83"/>
    <w:rsid w:val="3E484EBC"/>
    <w:rsid w:val="4389125B"/>
    <w:rsid w:val="43B2241F"/>
    <w:rsid w:val="480B6841"/>
    <w:rsid w:val="4AE414ED"/>
    <w:rsid w:val="4F4E7DA7"/>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2023-12-04T01:42:27Z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912E4A948EAA477387C73A8DB218BA86_13</vt:lpwstr>
  </property>
</Properties>
</file>