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w:t>
            </w: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val="en-US" w:eastAsia="zh-CN"/>
              </w:rPr>
              <w:t>自然</w:t>
            </w:r>
            <w:r>
              <w:rPr>
                <w:rFonts w:hint="eastAsia" w:ascii="仿宋_GB2312" w:eastAsia="仿宋_GB2312" w:cs="仿宋_GB2312"/>
                <w:color w:val="000000"/>
                <w:kern w:val="0"/>
                <w:sz w:val="18"/>
                <w:szCs w:val="18"/>
              </w:rPr>
              <w:t>资源</w:t>
            </w:r>
            <w:r>
              <w:rPr>
                <w:rFonts w:hint="eastAsia" w:ascii="仿宋_GB2312" w:eastAsia="仿宋_GB2312" w:cs="仿宋_GB2312"/>
                <w:color w:val="000000"/>
                <w:kern w:val="0"/>
                <w:sz w:val="18"/>
                <w:szCs w:val="18"/>
                <w:lang w:val="en-US" w:eastAsia="zh-CN"/>
              </w:rPr>
              <w:t>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bookmarkStart w:id="0" w:name="_GoBack"/>
            <w:r>
              <w:rPr>
                <w:rFonts w:hint="eastAsia" w:ascii="仿宋_GB2312" w:eastAsia="仿宋_GB2312" w:cs="仿宋_GB2312"/>
                <w:color w:val="000000"/>
                <w:kern w:val="0"/>
                <w:sz w:val="18"/>
                <w:szCs w:val="18"/>
              </w:rPr>
              <w:t>建设工程批后监督检查</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华文仿宋" w:hAnsi="华文仿宋" w:eastAsia="华文仿宋" w:cs="华文仿宋"/>
                <w:color w:val="000000"/>
                <w:kern w:val="0"/>
                <w:sz w:val="18"/>
                <w:szCs w:val="18"/>
              </w:rPr>
              <w:t>抚宁区审批的建设项目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1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仿宋" w:hAnsi="仿宋" w:eastAsia="仿宋" w:cs="仿宋_GB2312"/>
                <w:kern w:val="0"/>
                <w:sz w:val="16"/>
                <w:szCs w:val="16"/>
              </w:rPr>
            </w:pPr>
            <w:r>
              <w:rPr>
                <w:rFonts w:hint="eastAsia" w:ascii="仿宋" w:hAnsi="仿宋" w:eastAsia="仿宋" w:cs="仿宋_GB2312"/>
                <w:kern w:val="0"/>
                <w:sz w:val="16"/>
                <w:szCs w:val="16"/>
              </w:rPr>
              <w:t>1.《中华人民共和国城乡规划法》第五十三条规定：县级以上人民政府城乡规划主管部门对城乡规划的实施情况进行监督检查，有权采取以下措施：（一）要求有关单位和人员提供与监督事项有关的文件、资料、并进行复制；（二）要求有关单位和人员就监督事项涉及的问题作出解释和说明，并根据需要进入现场进行勘测；（三）责令有关单位和人员停止违反有关城乡规划的法律、法规的行为。</w:t>
            </w:r>
            <w:r>
              <w:rPr>
                <w:rFonts w:hint="eastAsia" w:ascii="仿宋" w:hAnsi="仿宋" w:eastAsia="仿宋" w:cs="仿宋_GB2312"/>
                <w:kern w:val="0"/>
                <w:sz w:val="16"/>
                <w:szCs w:val="16"/>
              </w:rPr>
              <w:br w:type="textWrapping"/>
            </w:r>
            <w:r>
              <w:rPr>
                <w:rFonts w:hint="eastAsia" w:ascii="仿宋" w:hAnsi="仿宋" w:eastAsia="仿宋" w:cs="仿宋_GB2312"/>
                <w:kern w:val="0"/>
                <w:sz w:val="16"/>
                <w:szCs w:val="16"/>
              </w:rPr>
              <w:t>2.《河北省城乡规划条例》第七十一条规定：城市、县人民政府城乡规划主管部门、县人民政府所在地镇以外的镇、乡人民政府应当建立城乡规划执法巡查制度和巡查责任追究制度、城乡规划违法建设行政处罚工作信息共享平台，采取网格化管理等措施监控建设项目。第七十二条规定：城市、县人民政府城乡规划主管部门、省人民政府授权的镇人民政府应当对批准后的建设工程的基槽开挖、基础施工、地面首层和顶层封顶、建设工程外装修、室外工程和景观环境设施等建设过程进行监督。经检查不合格的，责令改正；改正后符合要求的，方可进行下一阶段施工 。</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仿宋" w:hAnsi="仿宋" w:eastAsia="仿宋" w:cs="黑体"/>
                <w:b/>
                <w:bCs/>
                <w:color w:val="000000"/>
                <w:szCs w:val="21"/>
              </w:rPr>
            </w:pPr>
            <w:r>
              <w:rPr>
                <w:rFonts w:hint="eastAsia" w:ascii="仿宋" w:hAnsi="仿宋" w:eastAsia="仿宋" w:cs="仿宋_GB2312"/>
                <w:kern w:val="0"/>
                <w:sz w:val="18"/>
                <w:szCs w:val="18"/>
              </w:rPr>
              <w:t>抚办字﹝2019﹞6号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检查</w:t>
            </w:r>
          </w:p>
        </w:tc>
        <w:tc>
          <w:tcPr>
            <w:tcW w:w="5287" w:type="dxa"/>
            <w:gridSpan w:val="4"/>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按照建设项目的施工节点进行巡查。</w:t>
            </w:r>
          </w:p>
        </w:tc>
        <w:tc>
          <w:tcPr>
            <w:tcW w:w="1339" w:type="dxa"/>
            <w:gridSpan w:val="2"/>
            <w:tcBorders>
              <w:tl2br w:val="nil"/>
              <w:tr2bl w:val="nil"/>
            </w:tcBorders>
            <w:shd w:val="clear" w:color="auto" w:fill="auto"/>
            <w:vAlign w:val="center"/>
          </w:tcPr>
          <w:p>
            <w:pPr>
              <w:snapToGrid w:val="0"/>
              <w:jc w:val="left"/>
              <w:rPr>
                <w:rFonts w:ascii="仿宋_GB2312" w:eastAsia="仿宋_GB2312" w:cs="仿宋_GB2312"/>
                <w:color w:val="000000"/>
                <w:kern w:val="0"/>
                <w:sz w:val="18"/>
                <w:szCs w:val="18"/>
              </w:rPr>
            </w:pPr>
            <w:r>
              <w:rPr>
                <w:rFonts w:hint="eastAsia" w:ascii="仿宋_GB2312" w:eastAsia="仿宋_GB2312" w:cs="仿宋_GB2312"/>
                <w:kern w:val="0"/>
                <w:sz w:val="18"/>
                <w:szCs w:val="18"/>
              </w:rPr>
              <w:t>放现坐标核验3个工作日，其他节点1个工作日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9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移送</w:t>
            </w:r>
          </w:p>
        </w:tc>
        <w:tc>
          <w:tcPr>
            <w:tcW w:w="5287"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对发现的疑似违法建设线索移交规划执法部门查处。</w:t>
            </w:r>
          </w:p>
        </w:tc>
        <w:tc>
          <w:tcPr>
            <w:tcW w:w="133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43"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kern w:val="0"/>
                <w:sz w:val="18"/>
                <w:szCs w:val="18"/>
              </w:rPr>
              <w:t>因不履行或不正确履行行政职责，有下列情形的，行政机关及相关工作人员应承担相应责任：</w:t>
            </w:r>
            <w:r>
              <w:rPr>
                <w:rFonts w:hint="eastAsia" w:ascii="仿宋" w:hAnsi="仿宋" w:eastAsia="仿宋" w:cs="仿宋_GB2312"/>
                <w:kern w:val="0"/>
                <w:sz w:val="18"/>
                <w:szCs w:val="18"/>
              </w:rPr>
              <w:br w:type="textWrapping"/>
            </w:r>
            <w:r>
              <w:rPr>
                <w:rFonts w:hint="eastAsia" w:ascii="仿宋" w:hAnsi="仿宋" w:eastAsia="仿宋" w:cs="仿宋_GB2312"/>
                <w:kern w:val="0"/>
                <w:sz w:val="18"/>
                <w:szCs w:val="18"/>
              </w:rPr>
              <w:t>1.检查责任：按照建设项目的建设节点进行巡查。</w:t>
            </w:r>
            <w:r>
              <w:rPr>
                <w:rFonts w:hint="eastAsia" w:ascii="仿宋" w:hAnsi="仿宋" w:eastAsia="仿宋" w:cs="仿宋_GB2312"/>
                <w:kern w:val="0"/>
                <w:sz w:val="18"/>
                <w:szCs w:val="18"/>
              </w:rPr>
              <w:br w:type="textWrapping"/>
            </w:r>
            <w:r>
              <w:rPr>
                <w:rFonts w:hint="eastAsia" w:ascii="仿宋" w:hAnsi="仿宋" w:eastAsia="仿宋" w:cs="仿宋_GB2312"/>
                <w:kern w:val="0"/>
                <w:sz w:val="18"/>
                <w:szCs w:val="18"/>
              </w:rPr>
              <w:t>2.处置责任：及时发现违法建设行为，进行劝阻、制止。</w:t>
            </w:r>
            <w:r>
              <w:rPr>
                <w:rFonts w:hint="eastAsia" w:ascii="仿宋" w:hAnsi="仿宋" w:eastAsia="仿宋" w:cs="仿宋_GB2312"/>
                <w:kern w:val="0"/>
                <w:sz w:val="18"/>
                <w:szCs w:val="18"/>
              </w:rPr>
              <w:br w:type="textWrapping"/>
            </w:r>
            <w:r>
              <w:rPr>
                <w:rFonts w:hint="eastAsia" w:ascii="仿宋" w:hAnsi="仿宋" w:eastAsia="仿宋" w:cs="仿宋_GB2312"/>
                <w:kern w:val="0"/>
                <w:sz w:val="18"/>
                <w:szCs w:val="18"/>
              </w:rPr>
              <w:t>3.移送责任：需要采取强制措施和行政处罚的，移送综合执法部门。</w:t>
            </w:r>
            <w:r>
              <w:rPr>
                <w:rFonts w:hint="eastAsia" w:ascii="仿宋" w:hAnsi="仿宋" w:eastAsia="仿宋" w:cs="仿宋_GB2312"/>
                <w:kern w:val="0"/>
                <w:sz w:val="18"/>
                <w:szCs w:val="18"/>
              </w:rPr>
              <w:br w:type="textWrapping"/>
            </w:r>
            <w:r>
              <w:rPr>
                <w:rFonts w:hint="eastAsia" w:ascii="仿宋" w:hAnsi="仿宋" w:eastAsia="仿宋" w:cs="仿宋_GB2312"/>
                <w:kern w:val="0"/>
                <w:sz w:val="18"/>
                <w:szCs w:val="18"/>
              </w:rPr>
              <w:t>4.事后管理责任：加强日常监督检查。</w:t>
            </w:r>
            <w:r>
              <w:rPr>
                <w:rFonts w:hint="eastAsia" w:ascii="仿宋" w:hAnsi="仿宋" w:eastAsia="仿宋" w:cs="仿宋_GB2312"/>
                <w:kern w:val="0"/>
                <w:sz w:val="18"/>
                <w:szCs w:val="18"/>
              </w:rPr>
              <w:br w:type="textWrapping"/>
            </w:r>
            <w:r>
              <w:rPr>
                <w:rFonts w:hint="eastAsia" w:ascii="仿宋" w:hAnsi="仿宋" w:eastAsia="仿宋" w:cs="仿宋_GB2312"/>
                <w:kern w:val="0"/>
                <w:sz w:val="18"/>
                <w:szCs w:val="18"/>
              </w:rPr>
              <w:t>5.其他法律法规规章文件规定应履行的责任。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1.业务咨询：</w:t>
            </w:r>
            <w:r>
              <w:rPr>
                <w:rFonts w:ascii="仿宋" w:hAnsi="仿宋" w:eastAsia="仿宋" w:cs="仿宋_GB2312"/>
                <w:color w:val="000000"/>
                <w:kern w:val="0"/>
                <w:sz w:val="18"/>
                <w:szCs w:val="18"/>
              </w:rPr>
              <w:t>0335-</w:t>
            </w:r>
            <w:r>
              <w:rPr>
                <w:rFonts w:hint="eastAsia" w:ascii="仿宋" w:hAnsi="仿宋" w:eastAsia="仿宋" w:cs="仿宋_GB2312"/>
                <w:color w:val="000000"/>
                <w:kern w:val="0"/>
                <w:sz w:val="18"/>
                <w:szCs w:val="18"/>
              </w:rPr>
              <w:t>6682748</w:t>
            </w:r>
          </w:p>
          <w:p>
            <w:pPr>
              <w:widowControl/>
              <w:spacing w:line="240" w:lineRule="exact"/>
              <w:jc w:val="left"/>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2.投诉举报电话：0335-6682748</w:t>
            </w:r>
          </w:p>
          <w:p>
            <w:pPr>
              <w:widowControl/>
              <w:spacing w:line="240" w:lineRule="exact"/>
              <w:jc w:val="left"/>
              <w:textAlignment w:val="center"/>
              <w:rPr>
                <w:rFonts w:ascii="仿宋" w:hAnsi="仿宋" w:eastAsia="仿宋" w:cs="黑体"/>
                <w:color w:val="000000"/>
                <w:sz w:val="24"/>
              </w:rPr>
            </w:pPr>
            <w:r>
              <w:rPr>
                <w:rFonts w:hint="eastAsia" w:ascii="仿宋" w:hAnsi="仿宋" w:eastAsia="仿宋" w:cs="仿宋_GB2312"/>
                <w:color w:val="000000"/>
                <w:kern w:val="0"/>
                <w:sz w:val="18"/>
                <w:szCs w:val="18"/>
              </w:rPr>
              <w:t>2.纪检监察投诉：区纪检驻资源和规划局纪检监察组，电话：0335-6689311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textAlignment w:val="center"/>
              <w:rPr>
                <w:rFonts w:ascii="仿宋" w:hAnsi="仿宋" w:eastAsia="仿宋" w:cs="华文仿宋"/>
                <w:color w:val="000000"/>
                <w:kern w:val="0"/>
                <w:sz w:val="18"/>
                <w:szCs w:val="18"/>
              </w:rPr>
            </w:pPr>
            <w:r>
              <w:rPr>
                <w:rFonts w:hint="eastAsia" w:ascii="仿宋" w:hAnsi="仿宋" w:eastAsia="仿宋" w:cs="华文仿宋"/>
                <w:color w:val="000000"/>
                <w:kern w:val="0"/>
                <w:sz w:val="18"/>
                <w:szCs w:val="18"/>
              </w:rPr>
              <w:t>1.公民、法人或其他组织不服该具体行为的</w:t>
            </w:r>
            <w:r>
              <w:rPr>
                <w:rFonts w:hint="eastAsia" w:ascii="仿宋" w:hAnsi="仿宋" w:eastAsia="仿宋" w:cs="华文仿宋"/>
                <w:sz w:val="18"/>
                <w:szCs w:val="18"/>
              </w:rPr>
              <w:t>，可以</w:t>
            </w:r>
            <w:r>
              <w:rPr>
                <w:rFonts w:hint="eastAsia" w:ascii="仿宋" w:hAnsi="仿宋" w:eastAsia="仿宋" w:cs="华文仿宋"/>
                <w:color w:val="000000"/>
                <w:kern w:val="0"/>
                <w:sz w:val="18"/>
                <w:szCs w:val="18"/>
              </w:rPr>
              <w:t>自知道该行政行为之日起六十日内向区政府提出行政复议。</w:t>
            </w:r>
          </w:p>
          <w:p>
            <w:pPr>
              <w:widowControl/>
              <w:jc w:val="left"/>
              <w:textAlignment w:val="center"/>
              <w:rPr>
                <w:rFonts w:ascii="仿宋" w:hAnsi="仿宋" w:eastAsia="仿宋" w:cs="黑体"/>
                <w:b/>
                <w:bCs/>
                <w:color w:val="000000"/>
                <w:szCs w:val="21"/>
              </w:rPr>
            </w:pPr>
            <w:r>
              <w:rPr>
                <w:rFonts w:hint="eastAsia" w:ascii="仿宋" w:hAnsi="仿宋" w:eastAsia="仿宋" w:cs="华文仿宋"/>
                <w:color w:val="000000"/>
                <w:kern w:val="0"/>
                <w:sz w:val="18"/>
                <w:szCs w:val="18"/>
              </w:rPr>
              <w:t>2.公民、法人或其他组织不服该具体行为的</w:t>
            </w:r>
            <w:r>
              <w:rPr>
                <w:rFonts w:hint="eastAsia" w:ascii="仿宋" w:hAnsi="仿宋" w:eastAsia="仿宋" w:cs="华文仿宋"/>
                <w:sz w:val="18"/>
                <w:szCs w:val="18"/>
              </w:rPr>
              <w:t>，可以</w:t>
            </w:r>
            <w:r>
              <w:rPr>
                <w:rFonts w:hint="eastAsia" w:ascii="仿宋" w:hAnsi="仿宋" w:eastAsia="仿宋" w:cs="华文仿宋"/>
                <w:color w:val="000000"/>
                <w:kern w:val="0"/>
                <w:sz w:val="18"/>
                <w:szCs w:val="18"/>
              </w:rPr>
              <w:t>自知道该行政行为之日起六个月内向</w:t>
            </w:r>
            <w:r>
              <w:rPr>
                <w:rFonts w:hint="eastAsia" w:ascii="仿宋" w:hAnsi="仿宋" w:eastAsia="仿宋" w:cs="华文仿宋"/>
                <w:color w:val="000000"/>
                <w:kern w:val="0"/>
                <w:sz w:val="18"/>
                <w:szCs w:val="18"/>
                <w:lang w:val="en-US" w:eastAsia="zh-CN"/>
              </w:rPr>
              <w:t>抚宁区</w:t>
            </w:r>
            <w:r>
              <w:rPr>
                <w:rFonts w:hint="eastAsia" w:ascii="仿宋" w:hAnsi="仿宋" w:eastAsia="仿宋" w:cs="华文仿宋"/>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modern"/>
    <w:pitch w:val="default"/>
    <w:sig w:usb0="00000000" w:usb1="00000000" w:usb2="00000010" w:usb3="00000000" w:csb0="00040000" w:csb1="00000000"/>
  </w:font>
  <w:font w:name="方正小标宋简体">
    <w:altName w:val="黑体"/>
    <w:panose1 w:val="00000000000000000000"/>
    <w:charset w:val="86"/>
    <w:family w:val="auto"/>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96EBD"/>
    <w:rsid w:val="000C0BFD"/>
    <w:rsid w:val="0018013F"/>
    <w:rsid w:val="002455E6"/>
    <w:rsid w:val="00252F81"/>
    <w:rsid w:val="002F371C"/>
    <w:rsid w:val="003E269F"/>
    <w:rsid w:val="00464D7C"/>
    <w:rsid w:val="004E43D5"/>
    <w:rsid w:val="00526E1F"/>
    <w:rsid w:val="005938D4"/>
    <w:rsid w:val="005C397D"/>
    <w:rsid w:val="00646AB2"/>
    <w:rsid w:val="00682557"/>
    <w:rsid w:val="006A7DFC"/>
    <w:rsid w:val="0073198C"/>
    <w:rsid w:val="007B3AB4"/>
    <w:rsid w:val="00826CFE"/>
    <w:rsid w:val="009A0D43"/>
    <w:rsid w:val="00A52FD2"/>
    <w:rsid w:val="00AD7D61"/>
    <w:rsid w:val="00B413D5"/>
    <w:rsid w:val="00C34E7F"/>
    <w:rsid w:val="00CA20EC"/>
    <w:rsid w:val="00D24BC2"/>
    <w:rsid w:val="00DB558F"/>
    <w:rsid w:val="00E374A8"/>
    <w:rsid w:val="00E454F1"/>
    <w:rsid w:val="00EF269E"/>
    <w:rsid w:val="00F03CB5"/>
    <w:rsid w:val="00F35FED"/>
    <w:rsid w:val="00F74B70"/>
    <w:rsid w:val="00F81182"/>
    <w:rsid w:val="1B58697C"/>
    <w:rsid w:val="A1DF5124"/>
    <w:rsid w:val="AFFDC0E1"/>
    <w:rsid w:val="DC9455E7"/>
    <w:rsid w:val="DFB777E1"/>
    <w:rsid w:val="FF935D58"/>
    <w:rsid w:val="FFFF7E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character" w:customStyle="1" w:styleId="9">
    <w:name w:val="页眉 Char"/>
    <w:basedOn w:val="6"/>
    <w:link w:val="4"/>
    <w:semiHidden/>
    <w:qFormat/>
    <w:uiPriority w:val="99"/>
    <w:rPr>
      <w:rFonts w:ascii="Calibri" w:hAnsi="Calibri" w:eastAsia="宋体" w:cs="Arial"/>
      <w:kern w:val="2"/>
      <w:sz w:val="18"/>
      <w:szCs w:val="18"/>
    </w:rPr>
  </w:style>
  <w:style w:type="character" w:customStyle="1" w:styleId="10">
    <w:name w:val="页脚 Char"/>
    <w:basedOn w:val="6"/>
    <w:link w:val="3"/>
    <w:semiHidden/>
    <w:qFormat/>
    <w:uiPriority w:val="99"/>
    <w:rPr>
      <w:rFonts w:ascii="Calibri" w:hAnsi="Calibri" w:eastAsia="宋体"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Pages>
  <Words>154</Words>
  <Characters>878</Characters>
  <Lines>7</Lines>
  <Paragraphs>2</Paragraphs>
  <TotalTime>8</TotalTime>
  <ScaleCrop>false</ScaleCrop>
  <LinksUpToDate>false</LinksUpToDate>
  <CharactersWithSpaces>1030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2023-12-20T07:20:00Z</dcterms:created>
  <dc:creator>xb21cn</dc:creator>
  <cp:lastModifiedBy>大地欢歌</cp:lastModifiedBy>
  <cp:lastPrinted>2023-08-16T09:13:00Z</cp:lastPrinted>
  <dcterms:modified xsi:type="dcterms:W3CDTF">2023-12-20T09:17:45Z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AC9447FD60264E7A9F8944B78B480DCF_13</vt:lpwstr>
  </property>
</Properties>
</file>