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2332"/>
        <w:gridCol w:w="2265"/>
        <w:gridCol w:w="2029"/>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3382" w:type="dxa"/>
            <w:gridSpan w:val="2"/>
            <w:tcBorders>
              <w:tl2br w:val="nil"/>
              <w:tr2bl w:val="nil"/>
            </w:tcBorders>
            <w:shd w:val="clear" w:color="auto" w:fill="auto"/>
            <w:vAlign w:val="center"/>
          </w:tcPr>
          <w:p>
            <w:pPr>
              <w:jc w:val="center"/>
              <w:rPr>
                <w:rFonts w:hint="eastAsia" w:ascii="黑体" w:eastAsia="黑体" w:cs="黑体"/>
                <w:b/>
                <w:bCs/>
                <w:color w:val="000000"/>
                <w:szCs w:val="21"/>
                <w:lang w:val="en-US" w:eastAsia="zh-CN"/>
              </w:rPr>
            </w:pPr>
          </w:p>
        </w:tc>
        <w:tc>
          <w:tcPr>
            <w:tcW w:w="2265"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3188" w:type="dxa"/>
            <w:gridSpan w:val="2"/>
            <w:tcBorders>
              <w:tl2br w:val="nil"/>
              <w:tr2bl w:val="nil"/>
            </w:tcBorders>
            <w:shd w:val="clear" w:color="auto" w:fill="auto"/>
            <w:vAlign w:val="center"/>
          </w:tcPr>
          <w:p>
            <w:pPr>
              <w:widowControl/>
              <w:jc w:val="center"/>
              <w:textAlignment w:val="center"/>
              <w:rPr>
                <w:rFonts w:hint="eastAsia" w:ascii="黑体" w:eastAsia="黑体" w:cs="黑体"/>
                <w:b/>
                <w:bCs/>
                <w:color w:val="000000"/>
                <w:szCs w:val="21"/>
                <w:lang w:eastAsia="zh-CN"/>
              </w:rPr>
            </w:pPr>
            <w:r>
              <w:rPr>
                <w:rFonts w:hint="eastAsia" w:ascii="黑体" w:eastAsia="黑体" w:cs="黑体"/>
                <w:color w:val="000000"/>
                <w:kern w:val="0"/>
                <w:szCs w:val="21"/>
                <w:lang w:eastAsia="zh-CN"/>
              </w:rPr>
              <w:t>行政检查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5"/>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i w:val="0"/>
                <w:color w:val="000000"/>
                <w:kern w:val="0"/>
                <w:sz w:val="21"/>
                <w:szCs w:val="21"/>
                <w:highlight w:val="none"/>
                <w:u w:val="none"/>
                <w:lang w:val="en-US" w:eastAsia="zh-CN" w:bidi="ar"/>
              </w:rPr>
              <w:t>负责对植物新品种权的保护和监督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0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hAnsi="黑体" w:eastAsia="黑体" w:cs="仿宋_GB2312"/>
                <w:kern w:val="0"/>
                <w:szCs w:val="21"/>
              </w:rPr>
              <w:t>【法律法规】</w:t>
            </w:r>
          </w:p>
        </w:tc>
        <w:tc>
          <w:tcPr>
            <w:tcW w:w="8835" w:type="dxa"/>
            <w:gridSpan w:val="5"/>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kern w:val="0"/>
                <w:szCs w:val="21"/>
              </w:rPr>
              <w:t>1.</w:t>
            </w:r>
            <w:r>
              <w:rPr>
                <w:rFonts w:hint="eastAsia" w:ascii="仿宋_GB2312" w:hAnsi="仿宋_GB2312" w:eastAsia="仿宋_GB2312" w:cs="仿宋_GB2312"/>
                <w:i w:val="0"/>
                <w:color w:val="auto"/>
                <w:kern w:val="0"/>
                <w:sz w:val="21"/>
                <w:szCs w:val="21"/>
                <w:u w:val="none"/>
                <w:lang w:val="en-US" w:eastAsia="zh-CN" w:bidi="ar"/>
              </w:rPr>
              <w:t>《中华人民共和国种子法》第二十八条　植物新品种权所有人对其授权品种享有排他的独占权。植物新品种权所有人可以将植物新品种权许可他人实施，并按照合同约定收取许可使用费；许可使用费可以采取固定价款、从推广收益中提成等方式收取。</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任何单位或者个人未经植物新品种权所有人许可，不得生产、繁殖和为繁殖而进行处理、许诺销售、销售、进口、出口以及为实施上述行为储存该授权品种的繁殖材料，不得为商业目的将该授权品种的繁殖材料重复使用于生产另一品种的繁殖材料。本法、有关法律、行政法规另有规定的除外。</w:t>
            </w:r>
          </w:p>
          <w:p>
            <w:p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实施前款规定的行为，涉及由未经许可使用授权品种的繁殖材料而获得的收获材料的，应当得到植物新品种权所有人的许可；但是，植物新品种权所有人对繁殖材料已有合理机会行使其权利的除外。</w:t>
            </w:r>
          </w:p>
          <w:p>
            <w:pPr>
              <w:numPr>
                <w:ilvl w:val="0"/>
                <w:numId w:val="1"/>
              </w:numPr>
              <w:spacing w:line="240" w:lineRule="exact"/>
              <w:ind w:firstLine="420" w:firstLineChars="200"/>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w:t>
            </w:r>
            <w:r>
              <w:rPr>
                <w:rFonts w:hint="eastAsia" w:ascii="仿宋_GB2312" w:hAnsi="仿宋_GB2312" w:eastAsia="仿宋_GB2312" w:cs="仿宋_GB2312"/>
                <w:i w:val="0"/>
                <w:color w:val="auto"/>
                <w:kern w:val="0"/>
                <w:sz w:val="21"/>
                <w:szCs w:val="21"/>
                <w:u w:val="none"/>
                <w:lang w:val="en-US" w:eastAsia="zh-CN" w:bidi="ar"/>
              </w:rPr>
              <w:fldChar w:fldCharType="begin"/>
            </w:r>
            <w:r>
              <w:rPr>
                <w:rFonts w:hint="eastAsia" w:ascii="仿宋_GB2312" w:hAnsi="仿宋_GB2312" w:eastAsia="仿宋_GB2312" w:cs="仿宋_GB2312"/>
                <w:i w:val="0"/>
                <w:color w:val="auto"/>
                <w:kern w:val="0"/>
                <w:sz w:val="21"/>
                <w:szCs w:val="21"/>
                <w:u w:val="none"/>
                <w:lang w:val="en-US" w:eastAsia="zh-CN" w:bidi="ar"/>
              </w:rPr>
              <w:instrText xml:space="preserve"> HYPERLINK "http://www.chinaseed114.com/sell" \t "https://www.chinaseed114.com/news/20/_blank" </w:instrText>
            </w:r>
            <w:r>
              <w:rPr>
                <w:rFonts w:hint="eastAsia" w:ascii="仿宋_GB2312" w:hAnsi="仿宋_GB2312" w:eastAsia="仿宋_GB2312" w:cs="仿宋_GB2312"/>
                <w:i w:val="0"/>
                <w:color w:val="auto"/>
                <w:kern w:val="0"/>
                <w:sz w:val="21"/>
                <w:szCs w:val="21"/>
                <w:u w:val="none"/>
                <w:lang w:val="en-US" w:eastAsia="zh-CN" w:bidi="ar"/>
              </w:rPr>
              <w:fldChar w:fldCharType="separate"/>
            </w:r>
            <w:r>
              <w:rPr>
                <w:rFonts w:hint="eastAsia" w:ascii="仿宋_GB2312" w:hAnsi="仿宋_GB2312" w:eastAsia="仿宋_GB2312" w:cs="仿宋_GB2312"/>
                <w:i w:val="0"/>
                <w:color w:val="auto"/>
                <w:kern w:val="0"/>
                <w:sz w:val="21"/>
                <w:szCs w:val="21"/>
                <w:u w:val="none"/>
                <w:lang w:val="en-US" w:eastAsia="zh-CN" w:bidi="ar"/>
              </w:rPr>
              <w:t>种子</w:t>
            </w:r>
            <w:r>
              <w:rPr>
                <w:rFonts w:hint="eastAsia" w:ascii="仿宋_GB2312" w:hAnsi="仿宋_GB2312" w:eastAsia="仿宋_GB2312" w:cs="仿宋_GB2312"/>
                <w:i w:val="0"/>
                <w:color w:val="auto"/>
                <w:kern w:val="0"/>
                <w:sz w:val="21"/>
                <w:szCs w:val="21"/>
                <w:u w:val="none"/>
                <w:lang w:val="en-US" w:eastAsia="zh-CN" w:bidi="ar"/>
              </w:rPr>
              <w:fldChar w:fldCharType="end"/>
            </w:r>
            <w:r>
              <w:rPr>
                <w:rFonts w:hint="eastAsia" w:ascii="仿宋_GB2312" w:hAnsi="仿宋_GB2312" w:eastAsia="仿宋_GB2312" w:cs="仿宋_GB2312"/>
                <w:i w:val="0"/>
                <w:color w:val="auto"/>
                <w:kern w:val="0"/>
                <w:sz w:val="21"/>
                <w:szCs w:val="21"/>
                <w:u w:val="none"/>
                <w:lang w:val="en-US" w:eastAsia="zh-CN" w:bidi="ar"/>
              </w:rPr>
              <w:t>管理条例  第九条  县级以上人民政府农业、林业主管部门应当加强植物新品种保护工作，鼓励和支持种业</w:t>
            </w:r>
            <w:r>
              <w:rPr>
                <w:rFonts w:hint="eastAsia" w:ascii="仿宋_GB2312" w:hAnsi="仿宋_GB2312" w:eastAsia="仿宋_GB2312" w:cs="仿宋_GB2312"/>
                <w:i w:val="0"/>
                <w:color w:val="auto"/>
                <w:kern w:val="0"/>
                <w:sz w:val="21"/>
                <w:szCs w:val="21"/>
                <w:u w:val="none"/>
                <w:lang w:val="en-US" w:eastAsia="zh-CN" w:bidi="ar"/>
              </w:rPr>
              <w:fldChar w:fldCharType="begin"/>
            </w:r>
            <w:r>
              <w:rPr>
                <w:rFonts w:hint="eastAsia" w:ascii="仿宋_GB2312" w:hAnsi="仿宋_GB2312" w:eastAsia="仿宋_GB2312" w:cs="仿宋_GB2312"/>
                <w:i w:val="0"/>
                <w:color w:val="auto"/>
                <w:kern w:val="0"/>
                <w:sz w:val="21"/>
                <w:szCs w:val="21"/>
                <w:u w:val="none"/>
                <w:lang w:val="en-US" w:eastAsia="zh-CN" w:bidi="ar"/>
              </w:rPr>
              <w:instrText xml:space="preserve"> HYPERLINK "http://www.chinaseed114.com/news/keji/" \t "https://www.chinaseed114.com/news/20/_blank" </w:instrText>
            </w:r>
            <w:r>
              <w:rPr>
                <w:rFonts w:hint="eastAsia" w:ascii="仿宋_GB2312" w:hAnsi="仿宋_GB2312" w:eastAsia="仿宋_GB2312" w:cs="仿宋_GB2312"/>
                <w:i w:val="0"/>
                <w:color w:val="auto"/>
                <w:kern w:val="0"/>
                <w:sz w:val="21"/>
                <w:szCs w:val="21"/>
                <w:u w:val="none"/>
                <w:lang w:val="en-US" w:eastAsia="zh-CN" w:bidi="ar"/>
              </w:rPr>
              <w:fldChar w:fldCharType="separate"/>
            </w:r>
            <w:r>
              <w:rPr>
                <w:rFonts w:hint="eastAsia" w:ascii="仿宋_GB2312" w:hAnsi="仿宋_GB2312" w:eastAsia="仿宋_GB2312" w:cs="仿宋_GB2312"/>
                <w:i w:val="0"/>
                <w:color w:val="auto"/>
                <w:kern w:val="0"/>
                <w:sz w:val="21"/>
                <w:szCs w:val="21"/>
                <w:u w:val="none"/>
                <w:lang w:val="en-US" w:eastAsia="zh-CN" w:bidi="ar"/>
              </w:rPr>
              <w:t>科技</w:t>
            </w:r>
            <w:r>
              <w:rPr>
                <w:rFonts w:hint="eastAsia" w:ascii="仿宋_GB2312" w:hAnsi="仿宋_GB2312" w:eastAsia="仿宋_GB2312" w:cs="仿宋_GB2312"/>
                <w:i w:val="0"/>
                <w:color w:val="auto"/>
                <w:kern w:val="0"/>
                <w:sz w:val="21"/>
                <w:szCs w:val="21"/>
                <w:u w:val="none"/>
                <w:lang w:val="en-US" w:eastAsia="zh-CN" w:bidi="ar"/>
              </w:rPr>
              <w:fldChar w:fldCharType="end"/>
            </w:r>
            <w:r>
              <w:rPr>
                <w:rFonts w:hint="eastAsia" w:ascii="仿宋_GB2312" w:hAnsi="仿宋_GB2312" w:eastAsia="仿宋_GB2312" w:cs="仿宋_GB2312"/>
                <w:i w:val="0"/>
                <w:color w:val="auto"/>
                <w:kern w:val="0"/>
                <w:sz w:val="21"/>
                <w:szCs w:val="21"/>
                <w:u w:val="none"/>
                <w:lang w:val="en-US" w:eastAsia="zh-CN" w:bidi="ar"/>
              </w:rPr>
              <w:t>创新、植物新品种培育及成果转化，健全知识产权服务机制，依法保护植物新品种权所有人的合法权益。</w:t>
            </w:r>
          </w:p>
          <w:p>
            <w:pPr>
              <w:numPr>
                <w:ilvl w:val="0"/>
                <w:numId w:val="0"/>
              </w:num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xml:space="preserve">    任何单位和个人不得侵占和破坏种质资源。</w:t>
            </w:r>
          </w:p>
          <w:p>
            <w:pPr>
              <w:numPr>
                <w:ilvl w:val="0"/>
                <w:numId w:val="0"/>
              </w:num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      第十三条  县级以上人民政府农业、林业主管部门应当在种质资源保护区或者种质资源保护地设立保护标志，加强保护和管理。</w:t>
            </w:r>
          </w:p>
          <w:p>
            <w:pPr>
              <w:spacing w:line="240" w:lineRule="exact"/>
              <w:rPr>
                <w:rFonts w:ascii="黑体" w:hAnsi="黑体" w:eastAsia="黑体" w:cs="仿宋_GB2312"/>
                <w:kern w:val="0"/>
                <w:szCs w:val="21"/>
              </w:rPr>
            </w:pPr>
            <w:bookmarkStart w:id="0" w:name="_GoBack"/>
            <w:bookmarkEnd w:id="0"/>
            <w:r>
              <w:rPr>
                <w:rFonts w:hint="eastAsia" w:ascii="黑体" w:hAnsi="黑体" w:eastAsia="黑体" w:cs="仿宋_GB2312"/>
                <w:kern w:val="0"/>
                <w:szCs w:val="21"/>
              </w:rPr>
              <w:t>【三定规定】</w:t>
            </w:r>
          </w:p>
          <w:p>
            <w:pPr>
              <w:spacing w:line="240" w:lineRule="exact"/>
            </w:pPr>
            <w:r>
              <w:rPr>
                <w:rFonts w:hint="eastAsia" w:ascii="仿宋_GB2312" w:hAnsi="仿宋_GB2312" w:eastAsia="仿宋_GB2312" w:cs="仿宋_GB2312"/>
                <w:i w:val="0"/>
                <w:color w:val="auto"/>
                <w:kern w:val="0"/>
                <w:sz w:val="21"/>
                <w:szCs w:val="21"/>
                <w:u w:val="none"/>
                <w:lang w:val="en-US" w:eastAsia="zh-CN" w:bidi="ar"/>
              </w:rPr>
              <w:t>抚编批字【2020】11号　承办林木种子生产、经营许可证的具体事务性工作。种子执法。林木种苗繁育新技术、新成果的应用推广。新品种引进、试验、繁育与推广。良种示范基地建设。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6626" w:type="dxa"/>
            <w:gridSpan w:val="3"/>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选案</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根据随机抽查细则、举报或上级安排以及日常管理中发现的问题确定检查对象。</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检查</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对植物新品种权情况组织监督检查。按有关程序进行，指定专人负责，与当事人有直接利害关系的应当回避，执法人员不得少于两人。</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处置</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核实检查报告及其他有关材料，对检查发现的问题，依法实施处罚。信息公开。</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事后监管</w:t>
            </w:r>
          </w:p>
        </w:tc>
        <w:tc>
          <w:tcPr>
            <w:tcW w:w="6626"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对检查验收发现的问题进行跟踪监管，被检查对象整改落实后，对整改情况进行检查。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6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18"/>
                <w:szCs w:val="18"/>
                <w:lang w:eastAsia="zh-CN"/>
              </w:rPr>
            </w:pPr>
            <w:r>
              <w:rPr>
                <w:rFonts w:hint="eastAsia" w:ascii="黑体" w:eastAsia="黑体" w:cs="黑体"/>
                <w:color w:val="000000"/>
                <w:sz w:val="18"/>
                <w:szCs w:val="18"/>
                <w:lang w:eastAsia="zh-CN"/>
              </w:rPr>
              <w:t>其它</w:t>
            </w:r>
          </w:p>
        </w:tc>
        <w:tc>
          <w:tcPr>
            <w:tcW w:w="6626" w:type="dxa"/>
            <w:gridSpan w:val="3"/>
            <w:tcBorders>
              <w:tl2br w:val="nil"/>
              <w:tr2bl w:val="nil"/>
            </w:tcBorders>
            <w:shd w:val="clear" w:color="auto" w:fill="auto"/>
            <w:vAlign w:val="center"/>
          </w:tcPr>
          <w:p>
            <w:pPr>
              <w:rPr>
                <w:rFonts w:ascii="黑体" w:eastAsia="黑体" w:cs="黑体"/>
                <w:color w:val="000000"/>
                <w:sz w:val="18"/>
                <w:szCs w:val="18"/>
              </w:rPr>
            </w:pPr>
            <w:r>
              <w:rPr>
                <w:rFonts w:hint="eastAsia" w:ascii="仿宋_GB2312" w:hAnsi="仿宋_GB2312" w:eastAsia="仿宋_GB2312" w:cs="仿宋_GB2312"/>
                <w:i w:val="0"/>
                <w:color w:val="000000"/>
                <w:kern w:val="0"/>
                <w:sz w:val="21"/>
                <w:szCs w:val="21"/>
                <w:highlight w:val="none"/>
                <w:u w:val="none"/>
                <w:lang w:val="en-US" w:eastAsia="zh-CN" w:bidi="ar"/>
              </w:rPr>
              <w:t>其他法律法规规章文件规定应履行的责任。</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w:t>
            </w:r>
            <w:r>
              <w:rPr>
                <w:rFonts w:hint="eastAsia" w:ascii="仿宋_GB2312" w:eastAsia="仿宋_GB2312" w:cs="仿宋_GB2312"/>
                <w:color w:val="000000"/>
                <w:kern w:val="0"/>
                <w:sz w:val="18"/>
                <w:szCs w:val="18"/>
                <w:lang w:eastAsia="zh-CN"/>
              </w:rPr>
              <w:t>林木种苗科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5"/>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黑体" w:eastAsia="黑体" w:cs="黑体"/>
                <w:color w:val="000000"/>
                <w:kern w:val="0"/>
                <w:sz w:val="18"/>
                <w:szCs w:val="18"/>
              </w:rPr>
              <w:t>1</w:t>
            </w:r>
            <w:r>
              <w:rPr>
                <w:rFonts w:hint="eastAsia" w:ascii="仿宋_GB2312" w:eastAsia="仿宋_GB2312" w:cs="仿宋_GB2312"/>
                <w:color w:val="000000"/>
                <w:kern w:val="0"/>
                <w:szCs w:val="21"/>
              </w:rPr>
              <w:t xml:space="preserve">.业务咨询：0335-6680610-80904 </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5"/>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hint="default" w:ascii="黑体" w:eastAsia="黑体" w:cs="黑体"/>
                <w:color w:val="000000"/>
                <w:sz w:val="24"/>
                <w:lang w:val="en-US" w:eastAsia="zh-CN"/>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5"/>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57C512"/>
    <w:multiLevelType w:val="singleLevel"/>
    <w:tmpl w:val="0957C512"/>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222C4A27"/>
    <w:rsid w:val="0823486A"/>
    <w:rsid w:val="147E132C"/>
    <w:rsid w:val="17451645"/>
    <w:rsid w:val="17FF6CC1"/>
    <w:rsid w:val="222C4A27"/>
    <w:rsid w:val="2FE25763"/>
    <w:rsid w:val="300F6E18"/>
    <w:rsid w:val="3FDC2D53"/>
    <w:rsid w:val="69694FE8"/>
    <w:rsid w:val="7070723E"/>
    <w:rsid w:val="7BE847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character" w:customStyle="1" w:styleId="6">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2023-12-18T03:02:00Z</dcterms:created>
  <dc:creator>大地欢歌</dc:creator>
  <cp:lastModifiedBy>大地欢歌</cp:lastModifiedBy>
  <dcterms:modified xsi:type="dcterms:W3CDTF">2023-12-18T03:09:33Z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BD06721ACA814EFAA769F566A2F03ED4_13</vt:lpwstr>
  </property>
</Properties>
</file>