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bookmarkStart w:id="0" w:name="_GoBack"/>
      <w:bookmarkEnd w:id="0"/>
      <w:r>
        <w:rPr>
          <w:rFonts w:hint="eastAsia" w:ascii="方正小标宋简体" w:eastAsia="方正小标宋简体" w:cs="方正小标宋简体"/>
          <w:color w:val="000000"/>
          <w:kern w:val="0"/>
          <w:sz w:val="44"/>
          <w:szCs w:val="44"/>
          <w:lang w:val="en-US" w:eastAsia="zh-CN"/>
        </w:rPr>
        <w:t>233号号</w:t>
      </w: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 w:hAnsi="仿宋" w:eastAsia="仿宋" w:cs="仿宋"/>
                <w:color w:val="000000"/>
                <w:kern w:val="0"/>
                <w:szCs w:val="21"/>
                <w:lang w:eastAsia="zh-CN"/>
              </w:rPr>
              <w:t>行政</w:t>
            </w:r>
            <w:r>
              <w:rPr>
                <w:rFonts w:hint="eastAsia" w:ascii="仿宋" w:hAnsi="仿宋" w:eastAsia="仿宋" w:cs="仿宋"/>
                <w:color w:val="000000"/>
                <w:kern w:val="0"/>
                <w:szCs w:val="21"/>
                <w:lang w:val="en-US" w:eastAsia="zh-CN"/>
              </w:rPr>
              <w:t>检查</w:t>
            </w:r>
          </w:p>
        </w:tc>
        <w:tc>
          <w:tcPr>
            <w:tcW w:w="1559" w:type="dxa"/>
            <w:gridSpan w:val="2"/>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op w:val="single" w:color="auto" w:sz="4" w:space="0"/>
              <w:left w:val="single" w:color="auto" w:sz="4" w:space="0"/>
              <w:bottom w:val="single" w:color="auto" w:sz="4" w:space="0"/>
              <w:right w:val="single" w:color="auto" w:sz="4" w:space="0"/>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 w:hAnsi="仿宋" w:eastAsia="仿宋" w:cs="仿宋"/>
                <w:color w:val="000000"/>
                <w:kern w:val="0"/>
                <w:sz w:val="21"/>
                <w:szCs w:val="21"/>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21"/>
                <w:szCs w:val="21"/>
                <w:lang w:val="en-US"/>
              </w:rPr>
            </w:pPr>
            <w:r>
              <w:rPr>
                <w:rFonts w:hint="eastAsia" w:ascii="仿宋" w:hAnsi="仿宋" w:eastAsia="仿宋" w:cs="仿宋"/>
                <w:i w:val="0"/>
                <w:color w:val="000000"/>
                <w:kern w:val="0"/>
                <w:sz w:val="21"/>
                <w:szCs w:val="21"/>
                <w:highlight w:val="none"/>
                <w:u w:val="none"/>
                <w:lang w:val="en-US" w:eastAsia="zh-CN" w:bidi="ar"/>
              </w:rPr>
              <w:t>普及型国外引种试种及应施检疫林业植物及其产品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val="0"/>
                <w:bCs w:val="0"/>
                <w:color w:val="000000"/>
                <w:szCs w:val="21"/>
              </w:rPr>
            </w:pPr>
            <w:r>
              <w:rPr>
                <w:rFonts w:hint="eastAsia" w:ascii="黑体" w:eastAsia="黑体" w:cs="黑体"/>
                <w:b w:val="0"/>
                <w:bCs w:val="0"/>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i w:val="0"/>
                <w:color w:val="000000"/>
                <w:kern w:val="0"/>
                <w:sz w:val="18"/>
                <w:szCs w:val="18"/>
                <w:u w:val="none"/>
                <w:lang w:val="en-US" w:eastAsia="zh-CN" w:bidi="ar"/>
              </w:rPr>
            </w:pPr>
            <w:r>
              <w:rPr>
                <w:rFonts w:hint="eastAsia" w:ascii="仿宋" w:hAnsi="仿宋" w:eastAsia="仿宋" w:cs="仿宋"/>
                <w:i w:val="0"/>
                <w:color w:val="000000"/>
                <w:kern w:val="0"/>
                <w:sz w:val="18"/>
                <w:szCs w:val="18"/>
                <w:u w:val="none"/>
                <w:lang w:val="en-US" w:eastAsia="zh-CN" w:bidi="ar"/>
              </w:rPr>
              <w:t>1.《植物检疫条例》第三条第一款 县级以上地方各级农业主管部门、林业主管部门所属的植物检疫机构，负责执行国家的植物检疫任务。第十条 省、自治区、直辖市间调运本条例第七条规定必须经过检疫的植物和植物产品的，调入单位必须事先征得所在地的省、自治区、直辖市植物检疫机构的同意，并向调出单位提出检疫要求；调出单位必须根据该检疫要求向所在地的省、自治区、直辖市植物检疫机构申请检疫。对调入的植物和植物产品，调入单位所在地的省、自治区、直辖市的植物检疫机构应当查验检疫证书，必要时可以复检。</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i w:val="0"/>
                <w:color w:val="000000"/>
                <w:kern w:val="0"/>
                <w:sz w:val="18"/>
                <w:szCs w:val="18"/>
                <w:u w:val="none"/>
                <w:lang w:val="en-US" w:eastAsia="zh-CN" w:bidi="ar"/>
              </w:rPr>
            </w:pPr>
            <w:r>
              <w:rPr>
                <w:rFonts w:hint="eastAsia" w:ascii="仿宋" w:hAnsi="仿宋" w:eastAsia="仿宋" w:cs="仿宋"/>
                <w:i w:val="0"/>
                <w:color w:val="000000"/>
                <w:kern w:val="0"/>
                <w:sz w:val="18"/>
                <w:szCs w:val="18"/>
                <w:u w:val="none"/>
                <w:lang w:val="en-US" w:eastAsia="zh-CN" w:bidi="ar"/>
              </w:rPr>
              <w:t>2.《植物检疫条例实施细则（林业部分）》第二条 林业部主管全国森林植物检疫（以下简称森检）工作。县级以上地方林业主管部门主管本地区的森检工作。县级以上地方林业主管部门应当建立健全森检机构，由其负责执行本地区的森检任务。 国有林业局所属的森检机构负责执行本单位的森检任务，但是，须经省级以上林业主管部门确认。第五条 森检人员在执行森检任务时有权行使下列职权：（一）进入车站、机场、港口、仓库和森林植物及其产品的生产、经营、存放等场所，依照规定实施现场检疫或者复检、查验植物检疫证书和进行疫情监测调查；（二）依法监督有关单位或者个人进行消毒处理、除害处理、隔离试种和采取封锁、消灭等措施；（三）依法查阅、摘录或者复制与森检工作有关的资料，收集证据。</w:t>
            </w:r>
          </w:p>
          <w:p>
            <w:pPr>
              <w:spacing w:line="240" w:lineRule="exact"/>
              <w:rPr>
                <w:rFonts w:hint="eastAsia" w:ascii="仿宋" w:hAnsi="仿宋" w:eastAsia="仿宋" w:cs="仿宋"/>
                <w:i w:val="0"/>
                <w:color w:val="000000"/>
                <w:kern w:val="0"/>
                <w:sz w:val="18"/>
                <w:szCs w:val="18"/>
                <w:u w:val="none"/>
                <w:lang w:val="en-US" w:eastAsia="zh-CN" w:bidi="ar"/>
              </w:rPr>
            </w:pPr>
            <w:r>
              <w:rPr>
                <w:rFonts w:hint="eastAsia" w:ascii="仿宋" w:hAnsi="仿宋" w:eastAsia="仿宋" w:cs="仿宋"/>
                <w:i w:val="0"/>
                <w:color w:val="000000"/>
                <w:kern w:val="0"/>
                <w:sz w:val="18"/>
                <w:szCs w:val="18"/>
                <w:u w:val="none"/>
                <w:lang w:val="en-US" w:eastAsia="zh-CN" w:bidi="ar"/>
              </w:rPr>
              <w:t>3.《普及型国外引种试种苗圃资格认定管理办法》第十一条 国家林业局应当依法对被许可人从事行政许可事项的活动进行监督检查。</w:t>
            </w:r>
          </w:p>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【三定规定】</w:t>
            </w:r>
          </w:p>
          <w:p>
            <w:pPr>
              <w:widowControl/>
              <w:spacing w:line="240" w:lineRule="exact"/>
              <w:jc w:val="left"/>
              <w:textAlignment w:val="center"/>
              <w:rPr>
                <w:rFonts w:ascii="仿宋_GB2312" w:eastAsia="仿宋_GB2312" w:cs="黑体"/>
                <w:b w:val="0"/>
                <w:bCs w:val="0"/>
                <w:color w:val="000000" w:themeColor="text1"/>
                <w:sz w:val="21"/>
                <w:szCs w:val="21"/>
                <w14:textFill>
                  <w14:solidFill>
                    <w14:schemeClr w14:val="tx1"/>
                  </w14:solidFill>
                </w14:textFill>
              </w:rPr>
            </w:pPr>
            <w:r>
              <w:rPr>
                <w:rFonts w:hint="eastAsia" w:ascii="仿宋" w:hAnsi="仿宋" w:eastAsia="仿宋" w:cs="仿宋"/>
                <w:b w:val="0"/>
                <w:bCs w:val="0"/>
                <w:color w:val="000000"/>
                <w:sz w:val="18"/>
                <w:szCs w:val="18"/>
                <w:lang w:val="en-US" w:eastAsia="zh-CN"/>
              </w:rPr>
              <w:t>抚编批字【2020】11号 二、13 负责全区森林植物检疫工作，负责重大林业和草原及林下农作物有害生物灾害预防和除治相关技术服务工作，负责林业和草原病虫鼠害的监测、预报工作。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6"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选案</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根据随机抽查细则、举报或上级安排以及日常管理中发现的问题确定检查对象。</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秦皇岛市抚宁区森林病虫害防治检疫站、森林资源股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检查</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组织监督检查。按有关程序进行，指定专人负责，与当事人有直接利害关系的应当回避，执法人员不得少于两人。</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秦皇岛市抚宁区森林病虫害防治检疫站、森林资源股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处置</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核实检查报告及其他有关材料，对检查发现的问题，依法实施处罚。信息公开。</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秦皇岛市抚宁区森林病虫害防治检疫站、局执法大队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事后监管</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对检查验收发现的问题进行跟踪监管，被检查对象整改落实后，对整改情况进行检查。</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秦皇岛市抚宁区森林病虫害防治检疫站、森林资源股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其它</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秦皇岛市抚宁区森林病虫害防治检疫站、森林资源股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 w:hAnsi="仿宋" w:eastAsia="仿宋" w:cs="仿宋"/>
                <w:i w:val="0"/>
                <w:color w:val="000000"/>
                <w:kern w:val="0"/>
                <w:sz w:val="18"/>
                <w:szCs w:val="18"/>
                <w:highlight w:val="none"/>
                <w:u w:val="none"/>
                <w:lang w:val="en-US" w:eastAsia="zh-CN" w:bidi="ar"/>
              </w:rPr>
              <w:t>因不履行或不正确履行行政职责，有下列情形的，行政机关及相关工作人员应承担相应责任：</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1.不履行或不正确履行职责，对检查工作不认真执行的；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2.在监督检查中玩忽职守、徇私舞弊的；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3.在监督检查中滥用职权，谋取不正当利益和发生腐败行为的；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1.业务咨询：0335-6680610-80904 </w:t>
            </w:r>
          </w:p>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2.投诉举报电话：0335-6682748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 w:hAnsi="仿宋" w:eastAsia="仿宋" w:cs="仿宋"/>
                <w:color w:val="000000"/>
                <w:kern w:val="0"/>
                <w:sz w:val="18"/>
                <w:szCs w:val="18"/>
              </w:rPr>
              <w:t>3.纪检监察投诉：区纪检驻资源规划局纪检组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1</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不服许可决定自知道该具体行政行为之日起六十日内向区政府申请行政复议。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eastAsia" w:ascii="仿宋" w:hAnsi="仿宋" w:eastAsia="仿宋" w:cs="仿宋"/>
                <w:color w:val="000000"/>
                <w:kern w:val="0"/>
                <w:sz w:val="18"/>
                <w:szCs w:val="18"/>
              </w:rPr>
              <w:t>2</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00000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2B11B3"/>
    <w:rsid w:val="09B124FE"/>
    <w:rsid w:val="19754D4B"/>
    <w:rsid w:val="74B64D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2023-12-12T07:15:00Z</dcterms:created>
  <dc:creator>HP</dc:creator>
  <cp:lastModifiedBy>大地欢歌</cp:lastModifiedBy>
  <dcterms:modified xsi:type="dcterms:W3CDTF">2023-12-13T05:45:17Z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0A4A7875958840D7996129406F049778_13</vt:lpwstr>
  </property>
</Properties>
</file>