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241号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eastAsia" w:ascii="仿宋" w:hAnsi="仿宋" w:eastAsia="仿宋" w:cs="仿宋"/>
                <w:i w:val="0"/>
                <w:color w:val="000000"/>
                <w:kern w:val="0"/>
                <w:sz w:val="21"/>
                <w:szCs w:val="21"/>
                <w:highlight w:val="none"/>
                <w:u w:val="none"/>
                <w:lang w:val="en-US" w:eastAsia="zh-CN" w:bidi="ar"/>
              </w:rPr>
              <w:t>对涉木单位和个人的检疫检查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《国家林业和草原局关于印发重新修订的&lt;松材线虫病疫区和疫木管理办法&gt;的通知》第十八条 疫木安全利用必须实施全过程监管。县级以上地方各级林业植物检疫机构负责本辖区内疫木安全利用的监管。</w:t>
            </w:r>
          </w:p>
          <w:p>
            <w:pPr>
              <w:spacing w:line="240" w:lineRule="exact"/>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各级林业主管部门应当每年定期或不定期对疫木安全利用进行检查，确保疫木在指定时间、地点内完成加工利用，严防疫木流失。疫木加工板材安全利用的监管情况，由省级林业植物检疫机构在每年1月31日前，将本省上年度监管情况报送国家林业局。</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秦皇岛市抚宁区森林病虫害防治检疫站、局执法大队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秦皇岛市抚宁区森林病虫害防治检疫站、森林资源股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7713DE"/>
    <w:rsid w:val="100E2CD2"/>
    <w:rsid w:val="2E411DFF"/>
    <w:rsid w:val="31B90F62"/>
    <w:rsid w:val="5ACF61ED"/>
    <w:rsid w:val="6C696F79"/>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dcterms:modified xsi:type="dcterms:W3CDTF">2023-12-13T05:46:10Z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5904755F17194A6D91B2AAC6C5C31D52_13</vt:lpwstr>
  </property>
</Properties>
</file>