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Cs w:val="21"/>
                <w:lang w:eastAsia="zh-CN"/>
              </w:rPr>
              <w:t>行政</w:t>
            </w:r>
            <w:r>
              <w:rPr>
                <w:rFonts w:hint="eastAsia" w:ascii="仿宋" w:hAnsi="仿宋" w:eastAsia="仿宋" w:cs="仿宋"/>
                <w:color w:val="000000"/>
                <w:kern w:val="0"/>
                <w:szCs w:val="21"/>
                <w:lang w:val="en-US" w:eastAsia="zh-CN"/>
              </w:rPr>
              <w:t>检查</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val="en-US" w:eastAsia="zh-CN"/>
              </w:rPr>
            </w:pPr>
            <w:r>
              <w:rPr>
                <w:rFonts w:hint="eastAsia" w:ascii="仿宋" w:hAnsi="仿宋" w:eastAsia="仿宋" w:cs="仿宋"/>
                <w:color w:val="000000"/>
                <w:kern w:val="0"/>
                <w:sz w:val="21"/>
                <w:szCs w:val="21"/>
                <w:lang w:val="en-US" w:eastAsia="zh-CN"/>
              </w:rPr>
              <w:t>秦皇岛市抚宁区自然资源和规划局</w:t>
            </w:r>
            <w:bookmarkStart w:id="0" w:name="_GoBack"/>
            <w:bookmarkEnd w:id="0"/>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hint="default" w:ascii="仿宋_GB2312" w:eastAsia="仿宋_GB2312" w:cs="仿宋_GB2312"/>
                <w:color w:val="000000"/>
                <w:kern w:val="0"/>
                <w:sz w:val="21"/>
                <w:szCs w:val="21"/>
                <w:lang w:val="en-US"/>
              </w:rPr>
            </w:pPr>
            <w:r>
              <w:rPr>
                <w:rFonts w:hint="eastAsia" w:ascii="仿宋_GB2312" w:hAnsi="仿宋_GB2312" w:eastAsia="仿宋_GB2312" w:cs="仿宋_GB2312"/>
                <w:i w:val="0"/>
                <w:color w:val="000000"/>
                <w:kern w:val="0"/>
                <w:sz w:val="21"/>
                <w:szCs w:val="21"/>
                <w:u w:val="none"/>
                <w:lang w:val="en-US" w:eastAsia="zh-CN" w:bidi="ar"/>
              </w:rPr>
              <w:t>对国家级森林公园总体规划、专项规划及其他经营管理活动的监督检查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hint="eastAsia" w:ascii="黑体" w:hAnsi="黑体" w:eastAsia="黑体" w:cs="仿宋_GB2312"/>
                <w:b w:val="0"/>
                <w:bCs w:val="0"/>
                <w:kern w:val="0"/>
                <w:szCs w:val="21"/>
              </w:rPr>
            </w:pPr>
            <w:r>
              <w:rPr>
                <w:rFonts w:hint="eastAsia" w:ascii="黑体" w:hAnsi="黑体" w:eastAsia="黑体" w:cs="仿宋_GB2312"/>
                <w:b w:val="0"/>
                <w:bCs w:val="0"/>
                <w:kern w:val="0"/>
                <w:szCs w:val="21"/>
              </w:rPr>
              <w:t>【法律法规】</w:t>
            </w:r>
          </w:p>
          <w:p>
            <w:pPr>
              <w:spacing w:line="240" w:lineRule="exact"/>
              <w:rPr>
                <w:rFonts w:hint="eastAsia" w:ascii="仿宋_GB2312" w:hAnsi="仿宋_GB2312" w:eastAsia="仿宋_GB2312" w:cs="仿宋_GB2312"/>
                <w:i w:val="0"/>
                <w:color w:val="auto"/>
                <w:kern w:val="0"/>
                <w:sz w:val="21"/>
                <w:szCs w:val="21"/>
                <w:u w:val="none"/>
                <w:lang w:val="en-US" w:eastAsia="zh-CN" w:bidi="ar"/>
              </w:rPr>
            </w:pPr>
            <w:r>
              <w:rPr>
                <w:rFonts w:hint="eastAsia" w:ascii="仿宋_GB2312" w:hAnsi="仿宋_GB2312" w:eastAsia="仿宋_GB2312" w:cs="仿宋_GB2312"/>
                <w:i w:val="0"/>
                <w:color w:val="auto"/>
                <w:kern w:val="0"/>
                <w:sz w:val="21"/>
                <w:szCs w:val="21"/>
                <w:u w:val="none"/>
                <w:lang w:val="en-US" w:eastAsia="zh-CN" w:bidi="ar"/>
              </w:rPr>
              <w:t>《国家级森林公园管理办法》第二十九条　县级以上人民政府林业主管部门应当健全监督管理制度，加强对国家级森林公园总体规划、专项规划及其他经营管理活动的监督检查。国家级森林公园经营管理机构应当配合监督检查，如实提供有关材料。</w:t>
            </w:r>
          </w:p>
          <w:p>
            <w:pPr>
              <w:spacing w:line="240" w:lineRule="exact"/>
              <w:rPr>
                <w:rFonts w:ascii="黑体" w:hAnsi="黑体" w:eastAsia="黑体" w:cs="仿宋_GB2312"/>
                <w:b w:val="0"/>
                <w:bCs w:val="0"/>
                <w:kern w:val="0"/>
                <w:szCs w:val="21"/>
              </w:rPr>
            </w:pPr>
            <w:r>
              <w:rPr>
                <w:rFonts w:hint="eastAsia" w:ascii="仿宋_GB2312" w:hAnsi="仿宋_GB2312" w:eastAsia="仿宋_GB2312" w:cs="仿宋_GB2312"/>
                <w:i w:val="0"/>
                <w:color w:val="auto"/>
                <w:kern w:val="0"/>
                <w:sz w:val="21"/>
                <w:szCs w:val="21"/>
                <w:u w:val="none"/>
                <w:lang w:val="en-US" w:eastAsia="zh-CN" w:bidi="ar"/>
              </w:rPr>
              <w:br w:type="textWrapping"/>
            </w:r>
            <w:r>
              <w:rPr>
                <w:rFonts w:hint="eastAsia" w:ascii="仿宋_GB2312" w:hAnsi="仿宋_GB2312" w:eastAsia="仿宋_GB2312" w:cs="仿宋_GB2312"/>
                <w:i w:val="0"/>
                <w:color w:val="auto"/>
                <w:kern w:val="0"/>
                <w:sz w:val="21"/>
                <w:szCs w:val="21"/>
                <w:u w:val="none"/>
                <w:lang w:val="en-US" w:eastAsia="zh-CN" w:bidi="ar"/>
              </w:rPr>
              <w:t xml:space="preserve"> </w:t>
            </w:r>
            <w:r>
              <w:rPr>
                <w:rFonts w:hint="eastAsia" w:ascii="黑体" w:hAnsi="黑体" w:eastAsia="黑体" w:cs="仿宋_GB2312"/>
                <w:b w:val="0"/>
                <w:bCs w:val="0"/>
                <w:kern w:val="0"/>
                <w:szCs w:val="21"/>
              </w:rPr>
              <w:t>【三定规定】</w:t>
            </w:r>
          </w:p>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r>
              <w:rPr>
                <w:rFonts w:hint="eastAsia" w:ascii="仿宋_GB2312" w:hAnsi="仿宋_GB2312" w:eastAsia="仿宋_GB2312" w:cs="仿宋_GB2312"/>
                <w:i w:val="0"/>
                <w:color w:val="auto"/>
                <w:kern w:val="0"/>
                <w:sz w:val="21"/>
                <w:szCs w:val="21"/>
                <w:u w:val="none"/>
                <w:lang w:val="en-US" w:eastAsia="zh-CN" w:bidi="ar"/>
              </w:rPr>
              <w:t>抚编批字【2020】11号 二、14负责做好全区湿地保护工作，编制全区湿地保护规划，做好湿地生态修复、生态补偿和湿地开发利用的可行性研究工作。做好全区各类自然保护地资源调查、保护建设、生态修复、监测评价的技术性工作。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选案</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根据随机抽查细则、举报或上级安排以及日常管理中发现的问题确定检查对象。</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检查</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组织监督检查。按有关程序进行，指定专人负责，与当事人有直接利害关系的应当回避，执法人员不得少于两人。</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处置</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核实检查报告及其他有关材料，对检查发现的问题，依法实施处罚。信息公开。</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自然保护地</w:t>
            </w:r>
          </w:p>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林业执法部门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事后监管</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对检查验收发现的问题进行跟踪监管，被检查对象整改落实后，对整改情况进行检查。</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其它</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lang w:val="en-US" w:eastAsia="zh-CN"/>
              </w:rPr>
              <w:t>自然保护地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1.不履行或不正确履行职责，对检查工作不认真执行的；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2.在监督检查中玩忽职守、徇私舞弊的；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3.在监督检查中滥用职权，谋取不正当利益和发生腐败行为的；</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4.其他违反法律法规规章文件规定的行为。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000000"/>
    <w:rsid w:val="057D2621"/>
    <w:rsid w:val="0B7713DE"/>
    <w:rsid w:val="100E2CD2"/>
    <w:rsid w:val="113B06CA"/>
    <w:rsid w:val="13134DD9"/>
    <w:rsid w:val="29DC5E0F"/>
    <w:rsid w:val="2E017E04"/>
    <w:rsid w:val="2E411DFF"/>
    <w:rsid w:val="31B90F62"/>
    <w:rsid w:val="53723BFD"/>
    <w:rsid w:val="65E77686"/>
    <w:rsid w:val="6C696F79"/>
    <w:rsid w:val="793A1C2F"/>
    <w:rsid w:val="7B8C2D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2023-12-12T06:58:00Z</dcterms:created>
  <dc:creator>HP</dc:creator>
  <cp:lastModifiedBy>大地欢歌</cp:lastModifiedBy>
  <cp:lastPrinted>2023-12-18T08:37:00Z</cp:lastPrinted>
  <dcterms:modified xsi:type="dcterms:W3CDTF">2023-12-21T06:11:35Z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1BC6F0B382AB4D90951EE7282E6D2F95_13</vt:lpwstr>
  </property>
</Properties>
</file>