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对陆生野生动植物保护和合理开发利用工作的监督管理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第七条  国务院林业草原 、渔业主管部门分别主管全国陆生、水生野生动物保护工作。县级以上地方人民政府林业、渔业主管部门分别主管本行政区域内陆生、水生野生动物保护工作。第三十四条 县级以上人民政府野生动物保护主管部门应当对科学研究、人工繁育、公众展示展演等利用野生动物及其制品的活动进行监督管理。县级以上人民政府其他有关部门，应当按照职责分工对野生动物及其制品出售、购买、利用、运输、寄递等活动进行监督检查。</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F7836B0"/>
    <w:rsid w:val="61E97C32"/>
    <w:rsid w:val="6A5034F9"/>
    <w:rsid w:val="701C77FC"/>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FAE3F400524E411B88BAA81A52000A62_13</vt:lpwstr>
  </property>
</Properties>
</file>