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查封与破坏森林资源获得有关的场所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 第六十七条 县级以上人民政府林业主管部门履行森林资源保护监督检查职责，有权采取下列措施：（一）进入生产经营场所进行现场检查；（二）查阅、复制有关文件、资料，对可能被转移、销毁、隐匿或者篡改的文件、资料予以封存；（三）查封、扣押有证据证明来源非法的林木以及从事破坏森林资源活动的工具、设备或者财物；（四）查封与破坏森林资源活动有关的场所。省级以上人民政府林业主管部门对森林资源保护发展工作不力、问题突出、群众反映强烈的地区，可以约谈所在地区县级以上地方人民政府及其有关部门主要负责人，要求其采取措施及时整改。约谈整改情况应当向社会公开。</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审查催告</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追缴代履行费用责任：核算代履行费用，并向被履行单位追缴费用。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25351"/>
    <w:rsid w:val="00225351"/>
    <w:rsid w:val="16677B31"/>
    <w:rsid w:val="17451645"/>
    <w:rsid w:val="17FF6CC1"/>
    <w:rsid w:val="2F280B6B"/>
    <w:rsid w:val="2FE25763"/>
    <w:rsid w:val="300F6E18"/>
    <w:rsid w:val="3F2D6433"/>
    <w:rsid w:val="4058228F"/>
    <w:rsid w:val="53CB6987"/>
    <w:rsid w:val="69694FE8"/>
    <w:rsid w:val="7070723E"/>
    <w:rsid w:val="72DA3E7D"/>
    <w:rsid w:val="74257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customStyle="1" w:styleId="6">
    <w:name w:val="font241"/>
    <w:basedOn w:val="5"/>
    <w:qFormat/>
    <w:uiPriority w:val="0"/>
    <w:rPr>
      <w:rFonts w:hint="eastAsia" w:ascii="宋体" w:hAnsi="宋体" w:eastAsia="宋体" w:cs="宋体"/>
      <w:color w:val="000000"/>
      <w:sz w:val="18"/>
      <w:szCs w:val="18"/>
      <w:u w:val="none"/>
    </w:rPr>
  </w:style>
  <w:style w:type="character" w:customStyle="1" w:styleId="7">
    <w:name w:val="font12"/>
    <w:basedOn w:val="5"/>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2023-12-20T09:45:00Z</dcterms:created>
  <dc:creator>大地欢歌</dc:creator>
  <cp:lastModifiedBy>大地欢歌</cp:lastModifiedBy>
  <dcterms:modified xsi:type="dcterms:W3CDTF">2023-12-20T09:55:06Z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872805BBFE974221A43DC6AE91B6D937_13</vt:lpwstr>
  </property>
</Properties>
</file>