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png" ContentType="image/png"/>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2E27B5">
      <w:pPr>
        <w:rPr>
          <w:rFonts w:eastAsia="仿宋_GB2312"/>
          <w:color w:val="auto"/>
          <w:sz w:val="36"/>
          <w:szCs w:val="36"/>
          <w:highlight w:val="none"/>
        </w:rPr>
      </w:pPr>
    </w:p>
    <w:p w14:paraId="454210E5">
      <w:pPr>
        <w:rPr>
          <w:rFonts w:eastAsia="仿宋_GB2312"/>
          <w:color w:val="auto"/>
          <w:sz w:val="36"/>
          <w:szCs w:val="36"/>
          <w:highlight w:val="none"/>
        </w:rPr>
      </w:pPr>
    </w:p>
    <w:p w14:paraId="7823B9D5">
      <w:pPr>
        <w:pStyle w:val="33"/>
        <w:ind w:left="480" w:firstLine="480"/>
        <w:rPr>
          <w:color w:val="auto"/>
          <w:highlight w:val="none"/>
        </w:rPr>
      </w:pPr>
    </w:p>
    <w:p w14:paraId="28B5287D">
      <w:pPr>
        <w:adjustRightInd w:val="0"/>
        <w:snapToGrid w:val="0"/>
        <w:spacing w:line="240" w:lineRule="auto"/>
        <w:jc w:val="center"/>
        <w:outlineLvl w:val="0"/>
        <w:rPr>
          <w:rFonts w:eastAsia="方正小标宋_GBK"/>
          <w:bCs/>
          <w:color w:val="auto"/>
          <w:sz w:val="72"/>
          <w:szCs w:val="72"/>
          <w:highlight w:val="none"/>
        </w:rPr>
      </w:pPr>
      <w:r>
        <w:rPr>
          <w:rFonts w:eastAsia="方正小标宋_GBK"/>
          <w:bCs/>
          <w:color w:val="auto"/>
          <w:sz w:val="72"/>
          <w:szCs w:val="72"/>
          <w:highlight w:val="none"/>
        </w:rPr>
        <w:t>建设项目环境影响报告表</w:t>
      </w:r>
    </w:p>
    <w:p w14:paraId="3FFC6DDB">
      <w:pPr>
        <w:adjustRightInd w:val="0"/>
        <w:snapToGrid w:val="0"/>
        <w:spacing w:before="192" w:beforeLines="80" w:line="240" w:lineRule="auto"/>
        <w:jc w:val="center"/>
        <w:outlineLvl w:val="0"/>
        <w:rPr>
          <w:rFonts w:hint="eastAsia" w:eastAsia="楷体_GB2312"/>
          <w:bCs/>
          <w:color w:val="auto"/>
          <w:sz w:val="44"/>
          <w:szCs w:val="44"/>
          <w:highlight w:val="none"/>
          <w:lang w:val="en-US" w:eastAsia="zh-CN"/>
        </w:rPr>
      </w:pPr>
      <w:r>
        <w:rPr>
          <w:rFonts w:eastAsia="楷体_GB2312"/>
          <w:bCs/>
          <w:color w:val="auto"/>
          <w:sz w:val="44"/>
          <w:szCs w:val="44"/>
          <w:highlight w:val="none"/>
        </w:rPr>
        <w:t>（污染影响类）</w:t>
      </w:r>
    </w:p>
    <w:p w14:paraId="42E61ACA">
      <w:pPr>
        <w:jc w:val="center"/>
        <w:rPr>
          <w:rFonts w:eastAsia="仿宋"/>
          <w:color w:val="auto"/>
          <w:sz w:val="32"/>
          <w:szCs w:val="32"/>
          <w:highlight w:val="none"/>
        </w:rPr>
      </w:pPr>
    </w:p>
    <w:p w14:paraId="2C133B37">
      <w:pPr>
        <w:rPr>
          <w:color w:val="auto"/>
          <w:sz w:val="32"/>
          <w:szCs w:val="32"/>
          <w:highlight w:val="none"/>
        </w:rPr>
      </w:pPr>
    </w:p>
    <w:p w14:paraId="62E2DFCB">
      <w:pPr>
        <w:pStyle w:val="33"/>
        <w:ind w:left="480" w:firstLine="640"/>
        <w:rPr>
          <w:color w:val="auto"/>
          <w:sz w:val="32"/>
          <w:szCs w:val="32"/>
          <w:highlight w:val="none"/>
        </w:rPr>
      </w:pPr>
    </w:p>
    <w:p w14:paraId="34ABADA9">
      <w:pPr>
        <w:adjustRightInd w:val="0"/>
        <w:snapToGrid w:val="0"/>
        <w:ind w:left="3838" w:leftChars="399" w:hanging="2880" w:hangingChars="900"/>
        <w:jc w:val="both"/>
        <w:outlineLvl w:val="0"/>
        <w:rPr>
          <w:rFonts w:eastAsia="仿宋_GB2312"/>
          <w:color w:val="auto"/>
          <w:sz w:val="32"/>
          <w:szCs w:val="32"/>
          <w:highlight w:val="none"/>
        </w:rPr>
      </w:pPr>
    </w:p>
    <w:p w14:paraId="6718812D">
      <w:pPr>
        <w:adjustRightInd w:val="0"/>
        <w:snapToGrid w:val="0"/>
        <w:ind w:left="3478" w:leftChars="399" w:hanging="2520" w:hangingChars="900"/>
        <w:jc w:val="both"/>
        <w:outlineLvl w:val="0"/>
        <w:rPr>
          <w:color w:val="auto"/>
          <w:sz w:val="28"/>
          <w:szCs w:val="28"/>
          <w:highlight w:val="none"/>
        </w:rPr>
      </w:pPr>
    </w:p>
    <w:p w14:paraId="17307975">
      <w:pPr>
        <w:adjustRightInd w:val="0"/>
        <w:snapToGrid w:val="0"/>
        <w:ind w:left="3478" w:leftChars="399" w:hanging="2520" w:hangingChars="900"/>
        <w:jc w:val="both"/>
        <w:outlineLvl w:val="0"/>
        <w:rPr>
          <w:color w:val="auto"/>
          <w:sz w:val="28"/>
          <w:szCs w:val="28"/>
          <w:highlight w:val="none"/>
        </w:rPr>
      </w:pPr>
    </w:p>
    <w:p w14:paraId="128DD9C0">
      <w:pPr>
        <w:adjustRightInd w:val="0"/>
        <w:snapToGrid w:val="0"/>
        <w:ind w:left="3715" w:leftChars="348" w:hanging="2880" w:hangingChars="900"/>
        <w:outlineLvl w:val="0"/>
        <w:rPr>
          <w:rFonts w:hint="eastAsia" w:ascii="仿宋" w:hAnsi="仿宋" w:eastAsia="仿宋" w:cs="仿宋"/>
          <w:color w:val="auto"/>
          <w:sz w:val="32"/>
          <w:szCs w:val="32"/>
          <w:highlight w:val="none"/>
          <w:u w:val="single"/>
        </w:rPr>
      </w:pPr>
      <w:r>
        <w:rPr>
          <w:rFonts w:hint="eastAsia" w:ascii="仿宋" w:hAnsi="仿宋" w:eastAsia="仿宋" w:cs="仿宋"/>
          <w:color w:val="auto"/>
          <w:sz w:val="32"/>
          <w:szCs w:val="32"/>
          <w:highlight w:val="none"/>
        </w:rPr>
        <w:t>项   目  名  称 ：</w:t>
      </w:r>
      <w:r>
        <w:rPr>
          <w:rFonts w:hint="eastAsia" w:ascii="仿宋" w:hAnsi="仿宋" w:eastAsia="仿宋" w:cs="仿宋"/>
          <w:color w:val="auto"/>
          <w:sz w:val="32"/>
          <w:szCs w:val="32"/>
          <w:highlight w:val="none"/>
          <w:u w:val="single"/>
        </w:rPr>
        <w:t>汽车零部件加工扩建项目</w:t>
      </w:r>
    </w:p>
    <w:p w14:paraId="26C3A117">
      <w:pPr>
        <w:adjustRightInd w:val="0"/>
        <w:snapToGrid w:val="0"/>
        <w:ind w:firstLine="960" w:firstLineChars="300"/>
        <w:jc w:val="both"/>
        <w:outlineLvl w:val="0"/>
        <w:rPr>
          <w:rFonts w:hint="eastAsia" w:ascii="仿宋" w:hAnsi="仿宋" w:eastAsia="仿宋" w:cs="仿宋"/>
          <w:color w:val="auto"/>
          <w:sz w:val="32"/>
          <w:szCs w:val="32"/>
          <w:highlight w:val="none"/>
          <w:u w:val="single"/>
        </w:rPr>
      </w:pPr>
      <w:r>
        <w:rPr>
          <w:rFonts w:hint="eastAsia" w:ascii="仿宋" w:hAnsi="仿宋" w:eastAsia="仿宋" w:cs="仿宋"/>
          <w:color w:val="auto"/>
          <w:sz w:val="32"/>
          <w:szCs w:val="32"/>
          <w:highlight w:val="none"/>
        </w:rPr>
        <w:t>建设单位（盖章）：</w:t>
      </w:r>
      <w:r>
        <w:rPr>
          <w:rFonts w:hint="eastAsia" w:ascii="仿宋" w:hAnsi="仿宋" w:eastAsia="仿宋"/>
          <w:color w:val="auto"/>
          <w:sz w:val="32"/>
          <w:szCs w:val="32"/>
          <w:highlight w:val="none"/>
          <w:u w:val="single"/>
          <w:lang w:eastAsia="zh-CN"/>
        </w:rPr>
        <w:t>秦皇岛市日昌升农产品有限公司</w:t>
      </w:r>
      <w:r>
        <w:rPr>
          <w:rFonts w:hint="eastAsia" w:ascii="仿宋" w:hAnsi="仿宋" w:eastAsia="仿宋" w:cs="仿宋"/>
          <w:color w:val="auto"/>
          <w:sz w:val="32"/>
          <w:szCs w:val="32"/>
          <w:highlight w:val="none"/>
          <w:u w:val="single"/>
        </w:rPr>
        <w:t xml:space="preserve">          </w:t>
      </w:r>
    </w:p>
    <w:p w14:paraId="2B10A00F">
      <w:pPr>
        <w:adjustRightInd w:val="0"/>
        <w:snapToGrid w:val="0"/>
        <w:ind w:firstLine="960" w:firstLineChars="300"/>
        <w:jc w:val="both"/>
        <w:outlineLvl w:val="0"/>
        <w:rPr>
          <w:color w:val="auto"/>
          <w:sz w:val="28"/>
          <w:szCs w:val="28"/>
          <w:highlight w:val="none"/>
          <w:u w:val="single"/>
        </w:rPr>
      </w:pPr>
      <w:r>
        <w:rPr>
          <w:rFonts w:hint="eastAsia" w:ascii="仿宋" w:hAnsi="仿宋" w:eastAsia="仿宋" w:cs="仿宋"/>
          <w:color w:val="auto"/>
          <w:sz w:val="32"/>
          <w:szCs w:val="32"/>
          <w:highlight w:val="none"/>
        </w:rPr>
        <w:t>编   制  日  期 ：</w:t>
      </w:r>
      <w:r>
        <w:rPr>
          <w:rFonts w:hint="eastAsia" w:ascii="仿宋" w:hAnsi="仿宋" w:eastAsia="仿宋" w:cs="仿宋"/>
          <w:color w:val="auto"/>
          <w:sz w:val="32"/>
          <w:szCs w:val="32"/>
          <w:highlight w:val="none"/>
          <w:u w:val="single"/>
          <w:lang w:val="en-US" w:eastAsia="zh-CN"/>
        </w:rPr>
        <w:t xml:space="preserve">      </w:t>
      </w:r>
      <w:r>
        <w:rPr>
          <w:rFonts w:hint="eastAsia" w:ascii="仿宋" w:hAnsi="仿宋" w:eastAsia="仿宋" w:cs="仿宋"/>
          <w:color w:val="auto"/>
          <w:sz w:val="32"/>
          <w:szCs w:val="32"/>
          <w:highlight w:val="none"/>
          <w:u w:val="single"/>
        </w:rPr>
        <w:t>202</w:t>
      </w:r>
      <w:r>
        <w:rPr>
          <w:rFonts w:hint="eastAsia" w:ascii="仿宋" w:hAnsi="仿宋" w:eastAsia="仿宋" w:cs="仿宋"/>
          <w:color w:val="auto"/>
          <w:sz w:val="32"/>
          <w:szCs w:val="32"/>
          <w:highlight w:val="none"/>
          <w:u w:val="single"/>
          <w:lang w:val="en-US" w:eastAsia="zh-CN"/>
        </w:rPr>
        <w:t>4</w:t>
      </w:r>
      <w:r>
        <w:rPr>
          <w:rFonts w:hint="eastAsia" w:ascii="仿宋" w:hAnsi="仿宋" w:eastAsia="仿宋" w:cs="仿宋"/>
          <w:color w:val="auto"/>
          <w:sz w:val="32"/>
          <w:szCs w:val="32"/>
          <w:highlight w:val="none"/>
          <w:u w:val="single"/>
        </w:rPr>
        <w:t>年</w:t>
      </w:r>
      <w:r>
        <w:rPr>
          <w:rFonts w:hint="eastAsia" w:ascii="仿宋" w:hAnsi="仿宋" w:eastAsia="仿宋" w:cs="仿宋"/>
          <w:color w:val="auto"/>
          <w:sz w:val="32"/>
          <w:szCs w:val="32"/>
          <w:highlight w:val="none"/>
          <w:u w:val="single"/>
          <w:lang w:val="en-US" w:eastAsia="zh-CN"/>
        </w:rPr>
        <w:t>11</w:t>
      </w:r>
      <w:r>
        <w:rPr>
          <w:rFonts w:hint="eastAsia" w:ascii="仿宋" w:hAnsi="仿宋" w:eastAsia="仿宋" w:cs="仿宋"/>
          <w:color w:val="auto"/>
          <w:sz w:val="32"/>
          <w:szCs w:val="32"/>
          <w:highlight w:val="none"/>
          <w:u w:val="single"/>
        </w:rPr>
        <w:t xml:space="preserve">月                   </w:t>
      </w:r>
      <w:r>
        <w:rPr>
          <w:color w:val="auto"/>
          <w:sz w:val="28"/>
          <w:szCs w:val="28"/>
          <w:highlight w:val="none"/>
          <w:u w:val="single"/>
        </w:rPr>
        <w:t xml:space="preserve">           </w:t>
      </w:r>
    </w:p>
    <w:p w14:paraId="35E9967B">
      <w:pPr>
        <w:ind w:firstLine="1040"/>
        <w:rPr>
          <w:rFonts w:eastAsia="仿宋"/>
          <w:color w:val="auto"/>
          <w:sz w:val="36"/>
          <w:szCs w:val="36"/>
          <w:highlight w:val="none"/>
        </w:rPr>
      </w:pPr>
    </w:p>
    <w:p w14:paraId="411D0BCD">
      <w:pPr>
        <w:adjustRightInd w:val="0"/>
        <w:snapToGrid w:val="0"/>
        <w:spacing w:line="288" w:lineRule="auto"/>
        <w:rPr>
          <w:rFonts w:eastAsia="仿宋_GB2312"/>
          <w:color w:val="auto"/>
          <w:sz w:val="36"/>
          <w:szCs w:val="36"/>
          <w:highlight w:val="none"/>
        </w:rPr>
      </w:pPr>
      <w:bookmarkStart w:id="0" w:name="_Hlk57884087"/>
    </w:p>
    <w:p w14:paraId="0AEF3C08">
      <w:pPr>
        <w:pStyle w:val="33"/>
        <w:ind w:left="480" w:firstLine="480"/>
        <w:rPr>
          <w:color w:val="auto"/>
          <w:highlight w:val="none"/>
        </w:rPr>
      </w:pPr>
    </w:p>
    <w:bookmarkEnd w:id="0"/>
    <w:p w14:paraId="6D557D33">
      <w:pPr>
        <w:adjustRightInd w:val="0"/>
        <w:snapToGrid w:val="0"/>
        <w:spacing w:line="288" w:lineRule="auto"/>
        <w:jc w:val="center"/>
        <w:outlineLvl w:val="0"/>
        <w:rPr>
          <w:rFonts w:eastAsia="楷体_GB2312"/>
          <w:color w:val="auto"/>
          <w:sz w:val="36"/>
          <w:szCs w:val="36"/>
          <w:highlight w:val="none"/>
        </w:rPr>
      </w:pPr>
      <w:r>
        <w:rPr>
          <w:rFonts w:eastAsia="楷体_GB2312"/>
          <w:color w:val="auto"/>
          <w:sz w:val="36"/>
          <w:szCs w:val="36"/>
          <w:highlight w:val="none"/>
        </w:rPr>
        <w:t>中华人民共和国生态环境部制</w:t>
      </w:r>
    </w:p>
    <w:p w14:paraId="178A4122">
      <w:pPr>
        <w:adjustRightInd w:val="0"/>
        <w:snapToGrid w:val="0"/>
        <w:spacing w:line="288" w:lineRule="auto"/>
        <w:ind w:firstLine="1040"/>
        <w:rPr>
          <w:rFonts w:eastAsia="仿宋_GB2312"/>
          <w:color w:val="auto"/>
          <w:sz w:val="36"/>
          <w:szCs w:val="36"/>
          <w:highlight w:val="none"/>
        </w:rPr>
      </w:pPr>
    </w:p>
    <w:p w14:paraId="1A5AA32A">
      <w:pPr>
        <w:rPr>
          <w:color w:val="auto"/>
          <w:highlight w:val="none"/>
        </w:rPr>
      </w:pPr>
      <w:r>
        <w:rPr>
          <w:color w:val="auto"/>
          <w:highlight w:val="none"/>
        </w:rPr>
        <w:br w:type="page"/>
      </w:r>
    </w:p>
    <w:p w14:paraId="3CED9417">
      <w:pPr>
        <w:rPr>
          <w:color w:val="auto"/>
          <w:highlight w:val="none"/>
        </w:rPr>
      </w:pPr>
    </w:p>
    <w:p w14:paraId="782AF17E">
      <w:pPr>
        <w:rPr>
          <w:rFonts w:hint="eastAsia" w:ascii="Times New Roman" w:hAnsi="Times New Roman" w:eastAsia="楷体_GB2312" w:cs="Times New Roman"/>
          <w:bCs/>
          <w:color w:val="auto"/>
          <w:sz w:val="44"/>
          <w:szCs w:val="44"/>
          <w:highlight w:val="none"/>
        </w:rPr>
      </w:pPr>
      <w:r>
        <w:rPr>
          <w:rFonts w:hint="eastAsia" w:ascii="Times New Roman" w:hAnsi="Times New Roman" w:eastAsia="楷体_GB2312" w:cs="Times New Roman"/>
          <w:bCs/>
          <w:color w:val="auto"/>
          <w:sz w:val="44"/>
          <w:szCs w:val="44"/>
          <w:highlight w:val="none"/>
        </w:rPr>
        <w:t>目录</w:t>
      </w:r>
    </w:p>
    <w:p w14:paraId="605B151C">
      <w:pPr>
        <w:pStyle w:val="79"/>
        <w:tabs>
          <w:tab w:val="right" w:leader="dot" w:pos="8844"/>
        </w:tabs>
        <w:spacing w:line="480" w:lineRule="auto"/>
        <w:rPr>
          <w:rFonts w:hint="eastAsia" w:ascii="仿宋" w:hAnsi="仿宋" w:eastAsia="仿宋" w:cs="仿宋"/>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资质材料及其他声明</w:t>
      </w:r>
    </w:p>
    <w:p w14:paraId="452C20BB">
      <w:pPr>
        <w:pStyle w:val="79"/>
        <w:tabs>
          <w:tab w:val="right" w:leader="dot" w:pos="8844"/>
        </w:tabs>
        <w:spacing w:line="480" w:lineRule="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1、建设单位免责声明</w:t>
      </w:r>
    </w:p>
    <w:p w14:paraId="0320B498">
      <w:pPr>
        <w:pStyle w:val="79"/>
        <w:tabs>
          <w:tab w:val="right" w:leader="dot" w:pos="8844"/>
        </w:tabs>
        <w:spacing w:line="480" w:lineRule="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2、编制单位和编制人员情况表</w:t>
      </w:r>
    </w:p>
    <w:p w14:paraId="77BC4F3A">
      <w:pPr>
        <w:pStyle w:val="79"/>
        <w:tabs>
          <w:tab w:val="right" w:leader="dot" w:pos="8844"/>
        </w:tabs>
        <w:spacing w:line="480" w:lineRule="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3、编制主持人职业资格证书和社保证明</w:t>
      </w:r>
    </w:p>
    <w:p w14:paraId="0480232D">
      <w:pPr>
        <w:pStyle w:val="79"/>
        <w:tabs>
          <w:tab w:val="right" w:leader="dot" w:pos="8844"/>
        </w:tabs>
        <w:spacing w:line="480" w:lineRule="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4、编制情况承诺书</w:t>
      </w:r>
    </w:p>
    <w:p w14:paraId="1A17877A">
      <w:pPr>
        <w:pStyle w:val="79"/>
        <w:tabs>
          <w:tab w:val="right" w:leader="dot" w:pos="8844"/>
        </w:tabs>
        <w:spacing w:line="480" w:lineRule="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5、编制单位营业执照</w:t>
      </w:r>
    </w:p>
    <w:p w14:paraId="496CFBA2">
      <w:pPr>
        <w:pStyle w:val="79"/>
        <w:tabs>
          <w:tab w:val="right" w:leader="dot" w:pos="8844"/>
        </w:tabs>
        <w:spacing w:line="480" w:lineRule="auto"/>
        <w:rPr>
          <w:rFonts w:hint="eastAsia" w:ascii="仿宋" w:hAnsi="仿宋" w:eastAsia="仿宋" w:cs="仿宋"/>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环评报告正文</w:t>
      </w:r>
    </w:p>
    <w:p w14:paraId="76D32582">
      <w:pPr>
        <w:pStyle w:val="79"/>
        <w:tabs>
          <w:tab w:val="right" w:leader="dot" w:pos="8844"/>
        </w:tabs>
        <w:spacing w:line="480" w:lineRule="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fldChar w:fldCharType="begin"/>
      </w:r>
      <w:r>
        <w:rPr>
          <w:rFonts w:hint="eastAsia" w:ascii="仿宋" w:hAnsi="仿宋" w:eastAsia="仿宋" w:cs="仿宋"/>
          <w:color w:val="auto"/>
          <w:sz w:val="24"/>
          <w:szCs w:val="24"/>
          <w:highlight w:val="none"/>
          <w:lang w:val="en-US" w:eastAsia="zh-CN"/>
        </w:rPr>
        <w:instrText xml:space="preserve">TOC \o "1-1" \h \u </w:instrText>
      </w:r>
      <w:r>
        <w:rPr>
          <w:rFonts w:hint="eastAsia" w:ascii="仿宋" w:hAnsi="仿宋" w:eastAsia="仿宋" w:cs="仿宋"/>
          <w:color w:val="auto"/>
          <w:sz w:val="24"/>
          <w:szCs w:val="24"/>
          <w:highlight w:val="none"/>
          <w:lang w:val="en-US" w:eastAsia="zh-CN"/>
        </w:rPr>
        <w:fldChar w:fldCharType="separate"/>
      </w:r>
      <w:r>
        <w:rPr>
          <w:rFonts w:hint="eastAsia" w:ascii="仿宋" w:hAnsi="仿宋" w:eastAsia="仿宋" w:cs="仿宋"/>
          <w:color w:val="auto"/>
          <w:sz w:val="24"/>
          <w:szCs w:val="24"/>
          <w:highlight w:val="none"/>
          <w:lang w:val="en-US" w:eastAsia="zh-CN"/>
        </w:rPr>
        <w:fldChar w:fldCharType="begin"/>
      </w:r>
      <w:r>
        <w:rPr>
          <w:rFonts w:hint="eastAsia" w:ascii="仿宋" w:hAnsi="仿宋" w:eastAsia="仿宋" w:cs="仿宋"/>
          <w:color w:val="auto"/>
          <w:sz w:val="24"/>
          <w:szCs w:val="24"/>
          <w:highlight w:val="none"/>
          <w:lang w:val="en-US" w:eastAsia="zh-CN"/>
        </w:rPr>
        <w:instrText xml:space="preserve"> HYPERLINK \l _Toc9528 </w:instrText>
      </w:r>
      <w:r>
        <w:rPr>
          <w:rFonts w:hint="eastAsia" w:ascii="仿宋" w:hAnsi="仿宋" w:eastAsia="仿宋" w:cs="仿宋"/>
          <w:color w:val="auto"/>
          <w:sz w:val="24"/>
          <w:szCs w:val="24"/>
          <w:highlight w:val="none"/>
          <w:lang w:val="en-US" w:eastAsia="zh-CN"/>
        </w:rPr>
        <w:fldChar w:fldCharType="separate"/>
      </w:r>
      <w:r>
        <w:rPr>
          <w:rFonts w:hint="eastAsia" w:ascii="仿宋" w:hAnsi="仿宋" w:eastAsia="仿宋" w:cs="仿宋"/>
          <w:color w:val="auto"/>
          <w:sz w:val="24"/>
          <w:szCs w:val="24"/>
          <w:highlight w:val="none"/>
          <w:lang w:val="en-US" w:eastAsia="zh-CN"/>
        </w:rPr>
        <w:t>一、建设项目基本情况</w:t>
      </w:r>
      <w:r>
        <w:rPr>
          <w:rFonts w:hint="eastAsia" w:ascii="仿宋" w:hAnsi="仿宋" w:eastAsia="仿宋" w:cs="仿宋"/>
          <w:color w:val="auto"/>
          <w:sz w:val="24"/>
          <w:szCs w:val="24"/>
          <w:highlight w:val="none"/>
          <w:lang w:val="en-US" w:eastAsia="zh-CN"/>
        </w:rPr>
        <w:tab/>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lang w:val="en-US" w:eastAsia="zh-CN"/>
        </w:rPr>
        <w:fldChar w:fldCharType="end"/>
      </w:r>
    </w:p>
    <w:p w14:paraId="5DE26675">
      <w:pPr>
        <w:pStyle w:val="79"/>
        <w:tabs>
          <w:tab w:val="right" w:leader="dot" w:pos="8844"/>
        </w:tabs>
        <w:spacing w:line="480" w:lineRule="auto"/>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fldChar w:fldCharType="begin"/>
      </w:r>
      <w:r>
        <w:rPr>
          <w:rFonts w:hint="eastAsia" w:ascii="仿宋" w:hAnsi="仿宋" w:eastAsia="仿宋" w:cs="仿宋"/>
          <w:color w:val="auto"/>
          <w:sz w:val="24"/>
          <w:szCs w:val="24"/>
          <w:highlight w:val="none"/>
          <w:lang w:val="en-US" w:eastAsia="zh-CN"/>
        </w:rPr>
        <w:instrText xml:space="preserve"> HYPERLINK \l _Toc12870 </w:instrText>
      </w:r>
      <w:r>
        <w:rPr>
          <w:rFonts w:hint="eastAsia" w:ascii="仿宋" w:hAnsi="仿宋" w:eastAsia="仿宋" w:cs="仿宋"/>
          <w:color w:val="auto"/>
          <w:sz w:val="24"/>
          <w:szCs w:val="24"/>
          <w:highlight w:val="none"/>
          <w:lang w:val="en-US" w:eastAsia="zh-CN"/>
        </w:rPr>
        <w:fldChar w:fldCharType="separate"/>
      </w:r>
      <w:r>
        <w:rPr>
          <w:rFonts w:hint="eastAsia" w:ascii="仿宋" w:hAnsi="仿宋" w:eastAsia="仿宋" w:cs="仿宋"/>
          <w:color w:val="auto"/>
          <w:sz w:val="24"/>
          <w:szCs w:val="24"/>
          <w:highlight w:val="none"/>
          <w:lang w:val="en-US" w:eastAsia="zh-CN"/>
        </w:rPr>
        <w:t>二、建设项目工程分析</w:t>
      </w:r>
      <w:r>
        <w:rPr>
          <w:rFonts w:hint="eastAsia" w:ascii="仿宋" w:hAnsi="仿宋" w:eastAsia="仿宋" w:cs="仿宋"/>
          <w:color w:val="auto"/>
          <w:sz w:val="24"/>
          <w:szCs w:val="24"/>
          <w:highlight w:val="none"/>
          <w:lang w:val="en-US" w:eastAsia="zh-CN"/>
        </w:rPr>
        <w:tab/>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lang w:val="en-US" w:eastAsia="zh-CN"/>
        </w:rPr>
        <w:fldChar w:fldCharType="end"/>
      </w:r>
      <w:r>
        <w:rPr>
          <w:rFonts w:hint="eastAsia" w:ascii="仿宋" w:hAnsi="仿宋" w:eastAsia="仿宋" w:cs="仿宋"/>
          <w:color w:val="auto"/>
          <w:sz w:val="24"/>
          <w:szCs w:val="24"/>
          <w:highlight w:val="none"/>
          <w:lang w:val="en-US" w:eastAsia="zh-CN"/>
        </w:rPr>
        <w:t>2</w:t>
      </w:r>
    </w:p>
    <w:p w14:paraId="1791B8C8">
      <w:pPr>
        <w:pStyle w:val="79"/>
        <w:tabs>
          <w:tab w:val="right" w:leader="dot" w:pos="8844"/>
        </w:tabs>
        <w:spacing w:line="480" w:lineRule="auto"/>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fldChar w:fldCharType="begin"/>
      </w:r>
      <w:r>
        <w:rPr>
          <w:rFonts w:hint="eastAsia" w:ascii="仿宋" w:hAnsi="仿宋" w:eastAsia="仿宋" w:cs="仿宋"/>
          <w:color w:val="auto"/>
          <w:sz w:val="24"/>
          <w:szCs w:val="24"/>
          <w:highlight w:val="none"/>
          <w:lang w:val="en-US" w:eastAsia="zh-CN"/>
        </w:rPr>
        <w:instrText xml:space="preserve"> HYPERLINK \l _Toc2477 </w:instrText>
      </w:r>
      <w:r>
        <w:rPr>
          <w:rFonts w:hint="eastAsia" w:ascii="仿宋" w:hAnsi="仿宋" w:eastAsia="仿宋" w:cs="仿宋"/>
          <w:color w:val="auto"/>
          <w:sz w:val="24"/>
          <w:szCs w:val="24"/>
          <w:highlight w:val="none"/>
          <w:lang w:val="en-US" w:eastAsia="zh-CN"/>
        </w:rPr>
        <w:fldChar w:fldCharType="separate"/>
      </w:r>
      <w:r>
        <w:rPr>
          <w:rFonts w:hint="eastAsia" w:ascii="仿宋" w:hAnsi="仿宋" w:eastAsia="仿宋" w:cs="仿宋"/>
          <w:color w:val="auto"/>
          <w:sz w:val="24"/>
          <w:szCs w:val="24"/>
          <w:highlight w:val="none"/>
          <w:lang w:val="en-US" w:eastAsia="zh-CN"/>
        </w:rPr>
        <w:t>三、区域环境质量现状、环境保护目标及评价标准</w:t>
      </w:r>
      <w:r>
        <w:rPr>
          <w:rFonts w:hint="eastAsia" w:ascii="仿宋" w:hAnsi="仿宋" w:eastAsia="仿宋" w:cs="仿宋"/>
          <w:color w:val="auto"/>
          <w:sz w:val="24"/>
          <w:szCs w:val="24"/>
          <w:highlight w:val="none"/>
          <w:lang w:val="en-US" w:eastAsia="zh-CN"/>
        </w:rPr>
        <w:tab/>
      </w:r>
      <w:r>
        <w:rPr>
          <w:rFonts w:hint="eastAsia" w:ascii="仿宋" w:hAnsi="仿宋" w:eastAsia="仿宋" w:cs="仿宋"/>
          <w:color w:val="auto"/>
          <w:sz w:val="24"/>
          <w:szCs w:val="24"/>
          <w:highlight w:val="none"/>
          <w:lang w:val="en-US" w:eastAsia="zh-CN"/>
        </w:rPr>
        <w:fldChar w:fldCharType="end"/>
      </w:r>
      <w:r>
        <w:rPr>
          <w:rFonts w:hint="eastAsia" w:ascii="仿宋" w:hAnsi="仿宋" w:eastAsia="仿宋" w:cs="仿宋"/>
          <w:color w:val="auto"/>
          <w:sz w:val="24"/>
          <w:szCs w:val="24"/>
          <w:highlight w:val="none"/>
          <w:lang w:val="en-US" w:eastAsia="zh-CN"/>
        </w:rPr>
        <w:t>27</w:t>
      </w:r>
    </w:p>
    <w:p w14:paraId="504FFFD2">
      <w:pPr>
        <w:pStyle w:val="79"/>
        <w:tabs>
          <w:tab w:val="right" w:leader="dot" w:pos="8844"/>
        </w:tabs>
        <w:spacing w:line="480" w:lineRule="auto"/>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fldChar w:fldCharType="begin"/>
      </w:r>
      <w:r>
        <w:rPr>
          <w:rFonts w:hint="eastAsia" w:ascii="仿宋" w:hAnsi="仿宋" w:eastAsia="仿宋" w:cs="仿宋"/>
          <w:color w:val="auto"/>
          <w:sz w:val="24"/>
          <w:szCs w:val="24"/>
          <w:highlight w:val="none"/>
          <w:lang w:val="en-US" w:eastAsia="zh-CN"/>
        </w:rPr>
        <w:instrText xml:space="preserve"> HYPERLINK \l _Toc6916 </w:instrText>
      </w:r>
      <w:r>
        <w:rPr>
          <w:rFonts w:hint="eastAsia" w:ascii="仿宋" w:hAnsi="仿宋" w:eastAsia="仿宋" w:cs="仿宋"/>
          <w:color w:val="auto"/>
          <w:sz w:val="24"/>
          <w:szCs w:val="24"/>
          <w:highlight w:val="none"/>
          <w:lang w:val="en-US" w:eastAsia="zh-CN"/>
        </w:rPr>
        <w:fldChar w:fldCharType="separate"/>
      </w:r>
      <w:r>
        <w:rPr>
          <w:rFonts w:hint="eastAsia" w:ascii="仿宋" w:hAnsi="仿宋" w:eastAsia="仿宋" w:cs="仿宋"/>
          <w:color w:val="auto"/>
          <w:sz w:val="24"/>
          <w:szCs w:val="24"/>
          <w:highlight w:val="none"/>
          <w:lang w:val="en-US" w:eastAsia="zh-CN"/>
        </w:rPr>
        <w:t>四、主要环境影响和保护措施</w:t>
      </w:r>
      <w:r>
        <w:rPr>
          <w:rFonts w:hint="eastAsia" w:ascii="仿宋" w:hAnsi="仿宋" w:eastAsia="仿宋" w:cs="仿宋"/>
          <w:color w:val="auto"/>
          <w:sz w:val="24"/>
          <w:szCs w:val="24"/>
          <w:highlight w:val="none"/>
          <w:lang w:val="en-US" w:eastAsia="zh-CN"/>
        </w:rPr>
        <w:tab/>
      </w:r>
      <w:r>
        <w:rPr>
          <w:rFonts w:hint="eastAsia" w:ascii="仿宋" w:hAnsi="仿宋" w:eastAsia="仿宋" w:cs="仿宋"/>
          <w:color w:val="auto"/>
          <w:sz w:val="24"/>
          <w:szCs w:val="24"/>
          <w:highlight w:val="none"/>
          <w:lang w:val="en-US" w:eastAsia="zh-CN"/>
        </w:rPr>
        <w:fldChar w:fldCharType="end"/>
      </w:r>
      <w:r>
        <w:rPr>
          <w:rFonts w:hint="eastAsia" w:ascii="仿宋" w:hAnsi="仿宋" w:eastAsia="仿宋" w:cs="仿宋"/>
          <w:color w:val="auto"/>
          <w:sz w:val="24"/>
          <w:szCs w:val="24"/>
          <w:highlight w:val="none"/>
          <w:lang w:val="en-US" w:eastAsia="zh-CN"/>
        </w:rPr>
        <w:t>32</w:t>
      </w:r>
    </w:p>
    <w:p w14:paraId="4AD4E531">
      <w:pPr>
        <w:pStyle w:val="79"/>
        <w:tabs>
          <w:tab w:val="right" w:leader="dot" w:pos="8844"/>
        </w:tabs>
        <w:spacing w:line="480" w:lineRule="auto"/>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fldChar w:fldCharType="begin"/>
      </w:r>
      <w:r>
        <w:rPr>
          <w:rFonts w:hint="eastAsia" w:ascii="仿宋" w:hAnsi="仿宋" w:eastAsia="仿宋" w:cs="仿宋"/>
          <w:color w:val="auto"/>
          <w:sz w:val="24"/>
          <w:szCs w:val="24"/>
          <w:highlight w:val="none"/>
          <w:lang w:val="en-US" w:eastAsia="zh-CN"/>
        </w:rPr>
        <w:instrText xml:space="preserve"> HYPERLINK \l _Toc3310 </w:instrText>
      </w:r>
      <w:r>
        <w:rPr>
          <w:rFonts w:hint="eastAsia" w:ascii="仿宋" w:hAnsi="仿宋" w:eastAsia="仿宋" w:cs="仿宋"/>
          <w:color w:val="auto"/>
          <w:sz w:val="24"/>
          <w:szCs w:val="24"/>
          <w:highlight w:val="none"/>
          <w:lang w:val="en-US" w:eastAsia="zh-CN"/>
        </w:rPr>
        <w:fldChar w:fldCharType="separate"/>
      </w:r>
      <w:r>
        <w:rPr>
          <w:rFonts w:hint="eastAsia" w:ascii="仿宋" w:hAnsi="仿宋" w:eastAsia="仿宋" w:cs="仿宋"/>
          <w:color w:val="auto"/>
          <w:sz w:val="24"/>
          <w:szCs w:val="24"/>
          <w:highlight w:val="none"/>
          <w:lang w:val="en-US" w:eastAsia="zh-CN"/>
        </w:rPr>
        <w:t>五、环境保护措施监督检查清单</w:t>
      </w:r>
      <w:r>
        <w:rPr>
          <w:rFonts w:hint="eastAsia" w:ascii="仿宋" w:hAnsi="仿宋" w:eastAsia="仿宋" w:cs="仿宋"/>
          <w:color w:val="auto"/>
          <w:sz w:val="24"/>
          <w:szCs w:val="24"/>
          <w:highlight w:val="none"/>
          <w:lang w:val="en-US" w:eastAsia="zh-CN"/>
        </w:rPr>
        <w:tab/>
      </w:r>
      <w:r>
        <w:rPr>
          <w:rFonts w:hint="eastAsia" w:ascii="仿宋" w:hAnsi="仿宋" w:eastAsia="仿宋" w:cs="仿宋"/>
          <w:color w:val="auto"/>
          <w:sz w:val="24"/>
          <w:szCs w:val="24"/>
          <w:highlight w:val="none"/>
          <w:lang w:val="en-US" w:eastAsia="zh-CN"/>
        </w:rPr>
        <w:fldChar w:fldCharType="end"/>
      </w:r>
      <w:r>
        <w:rPr>
          <w:rFonts w:hint="eastAsia" w:ascii="仿宋" w:hAnsi="仿宋" w:eastAsia="仿宋" w:cs="仿宋"/>
          <w:color w:val="auto"/>
          <w:sz w:val="24"/>
          <w:szCs w:val="24"/>
          <w:highlight w:val="none"/>
          <w:lang w:val="en-US" w:eastAsia="zh-CN"/>
        </w:rPr>
        <w:t>55</w:t>
      </w:r>
    </w:p>
    <w:p w14:paraId="0AC44552">
      <w:pPr>
        <w:pStyle w:val="79"/>
        <w:tabs>
          <w:tab w:val="right" w:leader="dot" w:pos="8844"/>
        </w:tabs>
        <w:spacing w:line="480" w:lineRule="auto"/>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fldChar w:fldCharType="begin"/>
      </w:r>
      <w:r>
        <w:rPr>
          <w:rFonts w:hint="eastAsia" w:ascii="仿宋" w:hAnsi="仿宋" w:eastAsia="仿宋" w:cs="仿宋"/>
          <w:color w:val="auto"/>
          <w:sz w:val="24"/>
          <w:szCs w:val="24"/>
          <w:highlight w:val="none"/>
          <w:lang w:val="en-US" w:eastAsia="zh-CN"/>
        </w:rPr>
        <w:instrText xml:space="preserve"> HYPERLINK \l _Toc19881 </w:instrText>
      </w:r>
      <w:r>
        <w:rPr>
          <w:rFonts w:hint="eastAsia" w:ascii="仿宋" w:hAnsi="仿宋" w:eastAsia="仿宋" w:cs="仿宋"/>
          <w:color w:val="auto"/>
          <w:sz w:val="24"/>
          <w:szCs w:val="24"/>
          <w:highlight w:val="none"/>
          <w:lang w:val="en-US" w:eastAsia="zh-CN"/>
        </w:rPr>
        <w:fldChar w:fldCharType="separate"/>
      </w:r>
      <w:r>
        <w:rPr>
          <w:rFonts w:hint="eastAsia" w:ascii="仿宋" w:hAnsi="仿宋" w:eastAsia="仿宋" w:cs="仿宋"/>
          <w:color w:val="auto"/>
          <w:sz w:val="24"/>
          <w:szCs w:val="24"/>
          <w:highlight w:val="none"/>
          <w:lang w:val="en-US" w:eastAsia="zh-CN"/>
        </w:rPr>
        <w:t>六、结论</w:t>
      </w:r>
      <w:r>
        <w:rPr>
          <w:rFonts w:hint="eastAsia" w:ascii="仿宋" w:hAnsi="仿宋" w:eastAsia="仿宋" w:cs="仿宋"/>
          <w:color w:val="auto"/>
          <w:sz w:val="24"/>
          <w:szCs w:val="24"/>
          <w:highlight w:val="none"/>
          <w:lang w:val="en-US" w:eastAsia="zh-CN"/>
        </w:rPr>
        <w:tab/>
      </w:r>
      <w:r>
        <w:rPr>
          <w:rFonts w:hint="eastAsia" w:ascii="仿宋" w:hAnsi="仿宋" w:eastAsia="仿宋" w:cs="仿宋"/>
          <w:color w:val="auto"/>
          <w:sz w:val="24"/>
          <w:szCs w:val="24"/>
          <w:highlight w:val="none"/>
          <w:lang w:val="en-US" w:eastAsia="zh-CN"/>
        </w:rPr>
        <w:fldChar w:fldCharType="end"/>
      </w:r>
      <w:r>
        <w:rPr>
          <w:rFonts w:hint="eastAsia" w:ascii="仿宋" w:hAnsi="仿宋" w:eastAsia="仿宋" w:cs="仿宋"/>
          <w:color w:val="auto"/>
          <w:sz w:val="24"/>
          <w:szCs w:val="24"/>
          <w:highlight w:val="none"/>
          <w:lang w:val="en-US" w:eastAsia="zh-CN"/>
        </w:rPr>
        <w:t>56</w:t>
      </w:r>
    </w:p>
    <w:p w14:paraId="617DFF35">
      <w:pPr>
        <w:pStyle w:val="79"/>
        <w:tabs>
          <w:tab w:val="right" w:leader="dot" w:pos="8844"/>
        </w:tabs>
        <w:spacing w:line="480" w:lineRule="auto"/>
        <w:rPr>
          <w:rFonts w:hint="eastAsia" w:ascii="仿宋" w:hAnsi="仿宋" w:eastAsia="仿宋" w:cs="仿宋"/>
          <w:b/>
          <w:bCs/>
          <w:color w:val="auto"/>
          <w:sz w:val="28"/>
          <w:szCs w:val="28"/>
          <w:highlight w:val="none"/>
          <w:lang w:val="en-US" w:eastAsia="zh-CN"/>
        </w:rPr>
      </w:pPr>
      <w:r>
        <w:rPr>
          <w:rFonts w:hint="eastAsia" w:ascii="仿宋" w:hAnsi="仿宋" w:eastAsia="仿宋" w:cs="仿宋"/>
          <w:color w:val="auto"/>
          <w:sz w:val="24"/>
          <w:szCs w:val="24"/>
          <w:highlight w:val="none"/>
          <w:lang w:val="en-US" w:eastAsia="zh-CN"/>
        </w:rPr>
        <w:fldChar w:fldCharType="end"/>
      </w:r>
      <w:r>
        <w:rPr>
          <w:rFonts w:hint="eastAsia" w:ascii="仿宋" w:hAnsi="仿宋" w:eastAsia="仿宋" w:cs="仿宋"/>
          <w:b/>
          <w:bCs/>
          <w:color w:val="auto"/>
          <w:sz w:val="28"/>
          <w:szCs w:val="28"/>
          <w:highlight w:val="none"/>
          <w:lang w:val="en-US" w:eastAsia="zh-CN"/>
        </w:rPr>
        <w:t>附图、附件</w:t>
      </w:r>
    </w:p>
    <w:p w14:paraId="5F962C1C">
      <w:pPr>
        <w:pStyle w:val="79"/>
        <w:tabs>
          <w:tab w:val="right" w:leader="dot" w:pos="8844"/>
        </w:tabs>
        <w:spacing w:line="480" w:lineRule="auto"/>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专家意见</w:t>
      </w:r>
    </w:p>
    <w:p w14:paraId="783354CF">
      <w:pPr>
        <w:pStyle w:val="33"/>
        <w:rPr>
          <w:color w:val="auto"/>
          <w:highlight w:val="none"/>
        </w:rPr>
        <w:sectPr>
          <w:headerReference r:id="rId5" w:type="default"/>
          <w:footerReference r:id="rId6" w:type="default"/>
          <w:footerReference r:id="rId7" w:type="even"/>
          <w:pgSz w:w="11906" w:h="16838"/>
          <w:pgMar w:top="1701" w:right="1531" w:bottom="1701" w:left="1531" w:header="851" w:footer="1077" w:gutter="0"/>
          <w:pgNumType w:start="3"/>
          <w:cols w:space="720" w:num="1"/>
          <w:docGrid w:linePitch="312" w:charSpace="0"/>
        </w:sectPr>
      </w:pPr>
    </w:p>
    <w:p w14:paraId="0BD24042">
      <w:pPr>
        <w:pStyle w:val="6"/>
        <w:rPr>
          <w:color w:val="auto"/>
          <w:highlight w:val="none"/>
        </w:rPr>
      </w:pPr>
      <w:r>
        <w:rPr>
          <w:color w:val="auto"/>
          <w:highlight w:val="none"/>
        </w:rPr>
        <w:t>一、建设项目基本情况</w:t>
      </w:r>
    </w:p>
    <w:tbl>
      <w:tblPr>
        <w:tblStyle w:val="34"/>
        <w:tblpPr w:leftFromText="180" w:rightFromText="180" w:vertAnchor="text" w:tblpXSpec="center" w:tblpY="1"/>
        <w:tblOverlap w:val="never"/>
        <w:tblW w:w="9067"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69"/>
        <w:gridCol w:w="1853"/>
        <w:gridCol w:w="1886"/>
        <w:gridCol w:w="2164"/>
        <w:gridCol w:w="2695"/>
      </w:tblGrid>
      <w:tr w14:paraId="132847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69" w:hRule="atLeast"/>
        </w:trPr>
        <w:tc>
          <w:tcPr>
            <w:tcW w:w="2322" w:type="dxa"/>
            <w:gridSpan w:val="2"/>
            <w:tcMar>
              <w:top w:w="16" w:type="dxa"/>
              <w:left w:w="16" w:type="dxa"/>
              <w:right w:w="16" w:type="dxa"/>
            </w:tcMar>
            <w:vAlign w:val="center"/>
          </w:tcPr>
          <w:p w14:paraId="0FC3BC14">
            <w:pPr>
              <w:pStyle w:val="7"/>
              <w:spacing w:line="240" w:lineRule="auto"/>
              <w:rPr>
                <w:color w:val="auto"/>
                <w:highlight w:val="none"/>
              </w:rPr>
            </w:pPr>
            <w:r>
              <w:rPr>
                <w:color w:val="auto"/>
                <w:highlight w:val="none"/>
              </w:rPr>
              <w:t>建设项目名称</w:t>
            </w:r>
          </w:p>
        </w:tc>
        <w:tc>
          <w:tcPr>
            <w:tcW w:w="6745" w:type="dxa"/>
            <w:gridSpan w:val="3"/>
            <w:vAlign w:val="center"/>
          </w:tcPr>
          <w:p w14:paraId="55F61ED8">
            <w:pPr>
              <w:adjustRightInd w:val="0"/>
              <w:snapToGrid w:val="0"/>
              <w:spacing w:line="240" w:lineRule="auto"/>
              <w:jc w:val="center"/>
              <w:rPr>
                <w:rFonts w:hint="default" w:eastAsia="宋体"/>
                <w:color w:val="auto"/>
                <w:highlight w:val="none"/>
                <w:lang w:val="en-US" w:eastAsia="zh-CN"/>
              </w:rPr>
            </w:pPr>
            <w:r>
              <w:rPr>
                <w:rFonts w:hint="eastAsia"/>
                <w:color w:val="auto"/>
                <w:highlight w:val="none"/>
                <w:lang w:val="en-US" w:eastAsia="zh-CN"/>
              </w:rPr>
              <w:t>汽车零部件加工扩建项目</w:t>
            </w:r>
          </w:p>
        </w:tc>
      </w:tr>
      <w:tr w14:paraId="11A735E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63" w:hRule="atLeast"/>
        </w:trPr>
        <w:tc>
          <w:tcPr>
            <w:tcW w:w="2322" w:type="dxa"/>
            <w:gridSpan w:val="2"/>
            <w:tcMar>
              <w:top w:w="16" w:type="dxa"/>
              <w:left w:w="16" w:type="dxa"/>
              <w:right w:w="16" w:type="dxa"/>
            </w:tcMar>
            <w:vAlign w:val="center"/>
          </w:tcPr>
          <w:p w14:paraId="1225772E">
            <w:pPr>
              <w:pStyle w:val="7"/>
              <w:spacing w:line="240" w:lineRule="auto"/>
              <w:rPr>
                <w:color w:val="auto"/>
                <w:highlight w:val="none"/>
              </w:rPr>
            </w:pPr>
            <w:r>
              <w:rPr>
                <w:color w:val="auto"/>
                <w:highlight w:val="none"/>
              </w:rPr>
              <w:t>项目代码</w:t>
            </w:r>
          </w:p>
        </w:tc>
        <w:tc>
          <w:tcPr>
            <w:tcW w:w="6745" w:type="dxa"/>
            <w:gridSpan w:val="3"/>
            <w:vAlign w:val="center"/>
          </w:tcPr>
          <w:p w14:paraId="6C8A6435">
            <w:pPr>
              <w:adjustRightInd w:val="0"/>
              <w:snapToGrid w:val="0"/>
              <w:spacing w:line="240" w:lineRule="auto"/>
              <w:jc w:val="center"/>
              <w:rPr>
                <w:rFonts w:hint="default" w:eastAsia="宋体"/>
                <w:color w:val="auto"/>
                <w:highlight w:val="none"/>
                <w:lang w:val="en-US" w:eastAsia="zh-CN"/>
              </w:rPr>
            </w:pPr>
            <w:r>
              <w:rPr>
                <w:rFonts w:hint="eastAsia"/>
                <w:color w:val="auto"/>
                <w:highlight w:val="none"/>
                <w:lang w:val="en-US" w:eastAsia="zh-CN"/>
              </w:rPr>
              <w:t>24009-130306-89-05--796933</w:t>
            </w:r>
          </w:p>
        </w:tc>
      </w:tr>
      <w:tr w14:paraId="358DF1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11" w:hRule="atLeast"/>
        </w:trPr>
        <w:tc>
          <w:tcPr>
            <w:tcW w:w="2322" w:type="dxa"/>
            <w:gridSpan w:val="2"/>
            <w:tcMar>
              <w:top w:w="16" w:type="dxa"/>
              <w:left w:w="16" w:type="dxa"/>
              <w:right w:w="16" w:type="dxa"/>
            </w:tcMar>
            <w:vAlign w:val="center"/>
          </w:tcPr>
          <w:p w14:paraId="47B1BE51">
            <w:pPr>
              <w:pStyle w:val="7"/>
              <w:spacing w:line="240" w:lineRule="auto"/>
              <w:rPr>
                <w:color w:val="auto"/>
                <w:highlight w:val="none"/>
              </w:rPr>
            </w:pPr>
            <w:r>
              <w:rPr>
                <w:color w:val="auto"/>
                <w:highlight w:val="none"/>
              </w:rPr>
              <w:t>建设单位联系人</w:t>
            </w:r>
          </w:p>
        </w:tc>
        <w:tc>
          <w:tcPr>
            <w:tcW w:w="1886" w:type="dxa"/>
            <w:vAlign w:val="center"/>
          </w:tcPr>
          <w:p w14:paraId="660AA32A">
            <w:pPr>
              <w:adjustRightInd w:val="0"/>
              <w:snapToGrid w:val="0"/>
              <w:spacing w:line="240" w:lineRule="auto"/>
              <w:jc w:val="center"/>
              <w:rPr>
                <w:rFonts w:hint="eastAsia" w:eastAsia="宋体"/>
                <w:color w:val="auto"/>
                <w:szCs w:val="21"/>
                <w:highlight w:val="none"/>
                <w:lang w:val="en-US" w:eastAsia="zh-CN"/>
              </w:rPr>
            </w:pPr>
            <w:r>
              <w:rPr>
                <w:rFonts w:hint="eastAsia" w:eastAsia="宋体"/>
                <w:color w:val="auto"/>
                <w:szCs w:val="21"/>
                <w:highlight w:val="none"/>
                <w:lang w:val="en-US" w:eastAsia="zh-CN"/>
              </w:rPr>
              <w:t>殷佐海</w:t>
            </w:r>
          </w:p>
        </w:tc>
        <w:tc>
          <w:tcPr>
            <w:tcW w:w="2164" w:type="dxa"/>
            <w:vAlign w:val="center"/>
          </w:tcPr>
          <w:p w14:paraId="7D8DC944">
            <w:pPr>
              <w:adjustRightInd w:val="0"/>
              <w:snapToGrid w:val="0"/>
              <w:spacing w:line="240" w:lineRule="auto"/>
              <w:jc w:val="center"/>
              <w:rPr>
                <w:color w:val="auto"/>
                <w:szCs w:val="21"/>
                <w:highlight w:val="none"/>
              </w:rPr>
            </w:pPr>
            <w:r>
              <w:rPr>
                <w:b/>
                <w:bCs/>
                <w:color w:val="auto"/>
                <w:szCs w:val="21"/>
                <w:highlight w:val="none"/>
              </w:rPr>
              <w:t>联系方式</w:t>
            </w:r>
          </w:p>
        </w:tc>
        <w:tc>
          <w:tcPr>
            <w:tcW w:w="2695" w:type="dxa"/>
            <w:vAlign w:val="center"/>
          </w:tcPr>
          <w:p w14:paraId="3EDD2FCD">
            <w:pPr>
              <w:adjustRightInd w:val="0"/>
              <w:snapToGrid w:val="0"/>
              <w:spacing w:line="240" w:lineRule="auto"/>
              <w:jc w:val="center"/>
              <w:rPr>
                <w:rFonts w:hint="default" w:eastAsia="宋体"/>
                <w:color w:val="auto"/>
                <w:szCs w:val="21"/>
                <w:highlight w:val="none"/>
                <w:lang w:val="en-US" w:eastAsia="zh-CN"/>
              </w:rPr>
            </w:pPr>
            <w:r>
              <w:rPr>
                <w:rFonts w:hint="eastAsia"/>
                <w:color w:val="auto"/>
                <w:szCs w:val="21"/>
                <w:highlight w:val="none"/>
                <w:lang w:val="en-US" w:eastAsia="zh-CN"/>
              </w:rPr>
              <w:t>13333289888</w:t>
            </w:r>
          </w:p>
        </w:tc>
      </w:tr>
      <w:tr w14:paraId="541F7A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2322" w:type="dxa"/>
            <w:gridSpan w:val="2"/>
            <w:tcMar>
              <w:top w:w="16" w:type="dxa"/>
              <w:left w:w="16" w:type="dxa"/>
              <w:right w:w="16" w:type="dxa"/>
            </w:tcMar>
            <w:vAlign w:val="center"/>
          </w:tcPr>
          <w:p w14:paraId="3706DBA5">
            <w:pPr>
              <w:pStyle w:val="7"/>
              <w:spacing w:line="240" w:lineRule="auto"/>
              <w:rPr>
                <w:color w:val="auto"/>
                <w:highlight w:val="none"/>
              </w:rPr>
            </w:pPr>
            <w:r>
              <w:rPr>
                <w:color w:val="auto"/>
                <w:highlight w:val="none"/>
              </w:rPr>
              <w:t>建设地点</w:t>
            </w:r>
          </w:p>
        </w:tc>
        <w:tc>
          <w:tcPr>
            <w:tcW w:w="6745" w:type="dxa"/>
            <w:gridSpan w:val="3"/>
            <w:vAlign w:val="center"/>
          </w:tcPr>
          <w:p w14:paraId="2AE9C562">
            <w:pPr>
              <w:adjustRightInd w:val="0"/>
              <w:snapToGrid w:val="0"/>
              <w:spacing w:line="240" w:lineRule="auto"/>
              <w:jc w:val="center"/>
              <w:rPr>
                <w:rFonts w:hint="default" w:eastAsia="宋体"/>
                <w:color w:val="auto"/>
                <w:highlight w:val="none"/>
                <w:lang w:val="en-US" w:eastAsia="zh-CN"/>
              </w:rPr>
            </w:pPr>
            <w:r>
              <w:rPr>
                <w:rFonts w:hint="default" w:eastAsia="宋体"/>
                <w:color w:val="auto"/>
                <w:highlight w:val="none"/>
                <w:lang w:val="en-US" w:eastAsia="zh-CN"/>
              </w:rPr>
              <w:t>河北省秦皇岛市抚宁区日昌升农产品有限公司院内</w:t>
            </w:r>
          </w:p>
        </w:tc>
      </w:tr>
      <w:tr w14:paraId="55A4D1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2322" w:type="dxa"/>
            <w:gridSpan w:val="2"/>
            <w:tcMar>
              <w:top w:w="16" w:type="dxa"/>
              <w:left w:w="16" w:type="dxa"/>
              <w:right w:w="16" w:type="dxa"/>
            </w:tcMar>
            <w:vAlign w:val="center"/>
          </w:tcPr>
          <w:p w14:paraId="32CA9D09">
            <w:pPr>
              <w:pStyle w:val="7"/>
              <w:spacing w:line="240" w:lineRule="auto"/>
              <w:rPr>
                <w:color w:val="auto"/>
                <w:highlight w:val="none"/>
              </w:rPr>
            </w:pPr>
            <w:r>
              <w:rPr>
                <w:color w:val="auto"/>
                <w:highlight w:val="none"/>
              </w:rPr>
              <w:t>地理坐标</w:t>
            </w:r>
          </w:p>
        </w:tc>
        <w:tc>
          <w:tcPr>
            <w:tcW w:w="6745" w:type="dxa"/>
            <w:gridSpan w:val="3"/>
            <w:vAlign w:val="center"/>
          </w:tcPr>
          <w:p w14:paraId="1A2F88B4">
            <w:pPr>
              <w:adjustRightInd w:val="0"/>
              <w:snapToGrid w:val="0"/>
              <w:spacing w:line="240" w:lineRule="auto"/>
              <w:jc w:val="center"/>
              <w:rPr>
                <w:rFonts w:hint="eastAsia" w:eastAsia="宋体"/>
                <w:color w:val="auto"/>
                <w:highlight w:val="none"/>
                <w:lang w:eastAsia="zh-CN"/>
              </w:rPr>
            </w:pPr>
            <w:r>
              <w:rPr>
                <w:rFonts w:hint="default" w:ascii="Times New Roman" w:hAnsi="Times New Roman" w:cs="Times New Roman"/>
                <w:color w:val="auto"/>
                <w:highlight w:val="none"/>
              </w:rPr>
              <w:t>北纬</w:t>
            </w:r>
            <w:r>
              <w:rPr>
                <w:rFonts w:hint="default" w:ascii="Times New Roman" w:hAnsi="Times New Roman" w:cs="Times New Roman"/>
                <w:color w:val="auto"/>
                <w:highlight w:val="none"/>
                <w:lang w:eastAsia="zh-CN"/>
              </w:rPr>
              <w:t>119°18′9.263″</w:t>
            </w:r>
            <w:r>
              <w:rPr>
                <w:rFonts w:hint="default" w:ascii="Times New Roman" w:hAnsi="Times New Roman" w:cs="Times New Roman"/>
                <w:color w:val="auto"/>
                <w:highlight w:val="none"/>
              </w:rPr>
              <w:t>，东经</w:t>
            </w:r>
            <w:r>
              <w:rPr>
                <w:rFonts w:hint="default" w:ascii="Times New Roman" w:hAnsi="Times New Roman" w:cs="Times New Roman"/>
                <w:color w:val="auto"/>
                <w:highlight w:val="none"/>
                <w:lang w:eastAsia="zh-CN"/>
              </w:rPr>
              <w:t>39°52′42.825″</w:t>
            </w:r>
          </w:p>
        </w:tc>
      </w:tr>
      <w:tr w14:paraId="718B01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2322" w:type="dxa"/>
            <w:gridSpan w:val="2"/>
            <w:tcMar>
              <w:top w:w="16" w:type="dxa"/>
              <w:left w:w="16" w:type="dxa"/>
              <w:right w:w="16" w:type="dxa"/>
            </w:tcMar>
            <w:vAlign w:val="center"/>
          </w:tcPr>
          <w:p w14:paraId="4A47FE67">
            <w:pPr>
              <w:pStyle w:val="7"/>
              <w:spacing w:line="240" w:lineRule="auto"/>
              <w:rPr>
                <w:color w:val="auto"/>
                <w:highlight w:val="none"/>
              </w:rPr>
            </w:pPr>
            <w:r>
              <w:rPr>
                <w:color w:val="auto"/>
                <w:highlight w:val="none"/>
              </w:rPr>
              <w:t>国民经济</w:t>
            </w:r>
          </w:p>
          <w:p w14:paraId="00B0866B">
            <w:pPr>
              <w:pStyle w:val="7"/>
              <w:spacing w:line="240" w:lineRule="auto"/>
              <w:rPr>
                <w:color w:val="auto"/>
                <w:highlight w:val="none"/>
              </w:rPr>
            </w:pPr>
            <w:r>
              <w:rPr>
                <w:color w:val="auto"/>
                <w:highlight w:val="none"/>
              </w:rPr>
              <w:t>行业类别</w:t>
            </w:r>
          </w:p>
        </w:tc>
        <w:tc>
          <w:tcPr>
            <w:tcW w:w="1886" w:type="dxa"/>
            <w:vAlign w:val="center"/>
          </w:tcPr>
          <w:p w14:paraId="39019001">
            <w:pPr>
              <w:pStyle w:val="2"/>
              <w:spacing w:line="240" w:lineRule="auto"/>
              <w:ind w:left="0" w:leftChars="0" w:firstLine="0" w:firstLineChars="0"/>
              <w:rPr>
                <w:rFonts w:hint="default"/>
                <w:color w:val="auto"/>
                <w:highlight w:val="none"/>
                <w:lang w:val="en-US" w:eastAsia="zh-CN"/>
              </w:rPr>
            </w:pPr>
            <w:r>
              <w:rPr>
                <w:rFonts w:hint="eastAsia"/>
                <w:color w:val="auto"/>
                <w:highlight w:val="none"/>
                <w:lang w:val="en-US" w:eastAsia="zh-CN"/>
              </w:rPr>
              <w:t>C3311金属结构制造</w:t>
            </w:r>
          </w:p>
        </w:tc>
        <w:tc>
          <w:tcPr>
            <w:tcW w:w="2164" w:type="dxa"/>
            <w:vAlign w:val="center"/>
          </w:tcPr>
          <w:p w14:paraId="2B649F47">
            <w:pPr>
              <w:adjustRightInd w:val="0"/>
              <w:snapToGrid w:val="0"/>
              <w:spacing w:line="240" w:lineRule="auto"/>
              <w:jc w:val="center"/>
              <w:rPr>
                <w:b/>
                <w:bCs/>
                <w:color w:val="auto"/>
                <w:szCs w:val="21"/>
                <w:highlight w:val="none"/>
              </w:rPr>
            </w:pPr>
            <w:bookmarkStart w:id="1" w:name="_Hlk49843745"/>
            <w:r>
              <w:rPr>
                <w:b/>
                <w:bCs/>
                <w:color w:val="auto"/>
                <w:szCs w:val="21"/>
                <w:highlight w:val="none"/>
              </w:rPr>
              <w:t>建设项目</w:t>
            </w:r>
          </w:p>
          <w:p w14:paraId="558A614F">
            <w:pPr>
              <w:adjustRightInd w:val="0"/>
              <w:snapToGrid w:val="0"/>
              <w:spacing w:line="240" w:lineRule="auto"/>
              <w:jc w:val="center"/>
              <w:rPr>
                <w:b/>
                <w:bCs/>
                <w:color w:val="auto"/>
                <w:szCs w:val="21"/>
                <w:highlight w:val="none"/>
              </w:rPr>
            </w:pPr>
            <w:r>
              <w:rPr>
                <w:b/>
                <w:bCs/>
                <w:color w:val="auto"/>
                <w:szCs w:val="21"/>
                <w:highlight w:val="none"/>
              </w:rPr>
              <w:t>行业类别</w:t>
            </w:r>
            <w:bookmarkEnd w:id="1"/>
          </w:p>
        </w:tc>
        <w:tc>
          <w:tcPr>
            <w:tcW w:w="2695" w:type="dxa"/>
            <w:vAlign w:val="center"/>
          </w:tcPr>
          <w:p w14:paraId="6E46E24F">
            <w:pPr>
              <w:adjustRightInd w:val="0"/>
              <w:snapToGrid w:val="0"/>
              <w:spacing w:line="240" w:lineRule="auto"/>
              <w:jc w:val="center"/>
              <w:rPr>
                <w:rFonts w:hint="default" w:eastAsia="宋体"/>
                <w:color w:val="auto"/>
                <w:highlight w:val="none"/>
                <w:lang w:val="en-US" w:eastAsia="zh-CN"/>
              </w:rPr>
            </w:pPr>
            <w:r>
              <w:rPr>
                <w:rFonts w:hint="eastAsia"/>
                <w:color w:val="auto"/>
                <w:highlight w:val="none"/>
                <w:lang w:val="en-US" w:eastAsia="zh-CN"/>
              </w:rPr>
              <w:t>三十</w:t>
            </w:r>
            <w:r>
              <w:rPr>
                <w:rFonts w:hint="eastAsia"/>
                <w:color w:val="auto"/>
                <w:highlight w:val="none"/>
              </w:rPr>
              <w:t>、</w:t>
            </w:r>
            <w:r>
              <w:rPr>
                <w:rFonts w:hint="eastAsia"/>
                <w:color w:val="auto"/>
                <w:highlight w:val="none"/>
                <w:lang w:val="en-US" w:eastAsia="zh-CN"/>
              </w:rPr>
              <w:t>金属制品业 33  66.结构性金属制品制造331   其他（仅分割、焊接、组装的除外；年用非溶剂型低VOCs含量涂料10吨以下的除外）</w:t>
            </w:r>
          </w:p>
        </w:tc>
      </w:tr>
      <w:tr w14:paraId="35CFBD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2322" w:type="dxa"/>
            <w:gridSpan w:val="2"/>
            <w:tcMar>
              <w:top w:w="16" w:type="dxa"/>
              <w:left w:w="16" w:type="dxa"/>
              <w:right w:w="16" w:type="dxa"/>
            </w:tcMar>
            <w:vAlign w:val="center"/>
          </w:tcPr>
          <w:p w14:paraId="2E3BA56C">
            <w:pPr>
              <w:pStyle w:val="7"/>
              <w:spacing w:line="240" w:lineRule="auto"/>
              <w:rPr>
                <w:rFonts w:hint="default" w:eastAsia="宋体"/>
                <w:color w:val="auto"/>
                <w:highlight w:val="none"/>
                <w:lang w:val="en-US" w:eastAsia="zh-CN"/>
              </w:rPr>
            </w:pPr>
            <w:r>
              <w:rPr>
                <w:color w:val="auto"/>
                <w:highlight w:val="none"/>
              </w:rPr>
              <w:t>建设性质</w:t>
            </w:r>
            <w:r>
              <w:rPr>
                <w:rFonts w:hint="eastAsia"/>
                <w:color w:val="auto"/>
                <w:highlight w:val="none"/>
                <w:lang w:val="en-US" w:eastAsia="zh-CN"/>
              </w:rPr>
              <w:t xml:space="preserve">   </w:t>
            </w:r>
          </w:p>
        </w:tc>
        <w:tc>
          <w:tcPr>
            <w:tcW w:w="1886" w:type="dxa"/>
            <w:vAlign w:val="center"/>
          </w:tcPr>
          <w:p w14:paraId="2199BBDC">
            <w:pPr>
              <w:adjustRightInd w:val="0"/>
              <w:snapToGrid w:val="0"/>
              <w:spacing w:line="240" w:lineRule="auto"/>
              <w:rPr>
                <w:color w:val="auto"/>
                <w:highlight w:val="none"/>
              </w:rPr>
            </w:pPr>
            <w:r>
              <w:rPr>
                <w:color w:val="auto"/>
                <w:highlight w:val="none"/>
              </w:rPr>
              <w:sym w:font="Wingdings" w:char="00A8"/>
            </w:r>
            <w:r>
              <w:rPr>
                <w:color w:val="auto"/>
                <w:highlight w:val="none"/>
              </w:rPr>
              <w:t>新建（迁建）</w:t>
            </w:r>
          </w:p>
          <w:p w14:paraId="26C17323">
            <w:pPr>
              <w:adjustRightInd w:val="0"/>
              <w:snapToGrid w:val="0"/>
              <w:spacing w:line="240" w:lineRule="auto"/>
              <w:rPr>
                <w:color w:val="auto"/>
                <w:highlight w:val="none"/>
              </w:rPr>
            </w:pPr>
            <w:r>
              <w:rPr>
                <w:rFonts w:hint="eastAsia"/>
                <w:color w:val="auto"/>
                <w:highlight w:val="none"/>
                <w:lang w:eastAsia="zh-CN"/>
              </w:rPr>
              <w:t>□</w:t>
            </w:r>
            <w:r>
              <w:rPr>
                <w:color w:val="auto"/>
                <w:highlight w:val="none"/>
              </w:rPr>
              <w:t>改建</w:t>
            </w:r>
          </w:p>
          <w:p w14:paraId="1E91A926">
            <w:pPr>
              <w:adjustRightInd w:val="0"/>
              <w:snapToGrid w:val="0"/>
              <w:spacing w:line="240" w:lineRule="auto"/>
              <w:rPr>
                <w:color w:val="auto"/>
                <w:highlight w:val="none"/>
              </w:rPr>
            </w:pPr>
            <w:r>
              <w:rPr>
                <w:rFonts w:hint="eastAsia"/>
                <w:color w:val="auto"/>
                <w:highlight w:val="none"/>
                <w:lang w:eastAsia="zh-CN"/>
              </w:rPr>
              <w:t>☑</w:t>
            </w:r>
            <w:r>
              <w:rPr>
                <w:color w:val="auto"/>
                <w:highlight w:val="none"/>
              </w:rPr>
              <w:t>扩建</w:t>
            </w:r>
          </w:p>
          <w:p w14:paraId="55ABF86B">
            <w:pPr>
              <w:adjustRightInd w:val="0"/>
              <w:snapToGrid w:val="0"/>
              <w:spacing w:line="240" w:lineRule="auto"/>
              <w:rPr>
                <w:color w:val="auto"/>
                <w:highlight w:val="none"/>
              </w:rPr>
            </w:pPr>
            <w:r>
              <w:rPr>
                <w:rFonts w:hint="eastAsia"/>
                <w:color w:val="auto"/>
                <w:highlight w:val="none"/>
              </w:rPr>
              <w:t>□</w:t>
            </w:r>
            <w:r>
              <w:rPr>
                <w:color w:val="auto"/>
                <w:highlight w:val="none"/>
              </w:rPr>
              <w:t>技术改造</w:t>
            </w:r>
          </w:p>
        </w:tc>
        <w:tc>
          <w:tcPr>
            <w:tcW w:w="2164" w:type="dxa"/>
            <w:vAlign w:val="center"/>
          </w:tcPr>
          <w:p w14:paraId="4E95064C">
            <w:pPr>
              <w:adjustRightInd w:val="0"/>
              <w:snapToGrid w:val="0"/>
              <w:spacing w:line="240" w:lineRule="auto"/>
              <w:jc w:val="center"/>
              <w:rPr>
                <w:b/>
                <w:bCs/>
                <w:color w:val="auto"/>
                <w:szCs w:val="21"/>
                <w:highlight w:val="none"/>
              </w:rPr>
            </w:pPr>
            <w:r>
              <w:rPr>
                <w:b/>
                <w:bCs/>
                <w:color w:val="auto"/>
                <w:szCs w:val="21"/>
                <w:highlight w:val="none"/>
              </w:rPr>
              <w:t>建设项目</w:t>
            </w:r>
          </w:p>
          <w:p w14:paraId="531036DA">
            <w:pPr>
              <w:adjustRightInd w:val="0"/>
              <w:snapToGrid w:val="0"/>
              <w:spacing w:line="240" w:lineRule="auto"/>
              <w:jc w:val="center"/>
              <w:rPr>
                <w:b/>
                <w:bCs/>
                <w:color w:val="auto"/>
                <w:szCs w:val="21"/>
                <w:highlight w:val="none"/>
              </w:rPr>
            </w:pPr>
            <w:r>
              <w:rPr>
                <w:b/>
                <w:bCs/>
                <w:color w:val="auto"/>
                <w:szCs w:val="21"/>
                <w:highlight w:val="none"/>
              </w:rPr>
              <w:t>申报情形</w:t>
            </w:r>
          </w:p>
        </w:tc>
        <w:tc>
          <w:tcPr>
            <w:tcW w:w="2695" w:type="dxa"/>
            <w:vAlign w:val="center"/>
          </w:tcPr>
          <w:p w14:paraId="152635E8">
            <w:pPr>
              <w:spacing w:line="240" w:lineRule="auto"/>
              <w:rPr>
                <w:color w:val="auto"/>
                <w:szCs w:val="21"/>
                <w:highlight w:val="none"/>
              </w:rPr>
            </w:pPr>
            <w:r>
              <w:rPr>
                <w:color w:val="auto"/>
                <w:szCs w:val="21"/>
                <w:highlight w:val="none"/>
              </w:rPr>
              <w:t xml:space="preserve">☑首次申报项目             </w:t>
            </w:r>
          </w:p>
          <w:p w14:paraId="26CCEC09">
            <w:pPr>
              <w:spacing w:line="240" w:lineRule="auto"/>
              <w:rPr>
                <w:color w:val="auto"/>
                <w:szCs w:val="21"/>
                <w:highlight w:val="none"/>
              </w:rPr>
            </w:pPr>
            <w:r>
              <w:rPr>
                <w:color w:val="auto"/>
                <w:szCs w:val="21"/>
                <w:highlight w:val="none"/>
              </w:rPr>
              <w:t>□不予批准后再次申报项目</w:t>
            </w:r>
          </w:p>
          <w:p w14:paraId="61D23AB3">
            <w:pPr>
              <w:spacing w:line="240" w:lineRule="auto"/>
              <w:rPr>
                <w:color w:val="auto"/>
                <w:szCs w:val="21"/>
                <w:highlight w:val="none"/>
              </w:rPr>
            </w:pPr>
            <w:r>
              <w:rPr>
                <w:color w:val="auto"/>
                <w:szCs w:val="21"/>
                <w:highlight w:val="none"/>
              </w:rPr>
              <w:t xml:space="preserve">□超五年重新审核项目     </w:t>
            </w:r>
          </w:p>
          <w:p w14:paraId="23A272CF">
            <w:pPr>
              <w:spacing w:line="240" w:lineRule="auto"/>
              <w:rPr>
                <w:color w:val="auto"/>
                <w:szCs w:val="21"/>
                <w:highlight w:val="none"/>
              </w:rPr>
            </w:pPr>
            <w:r>
              <w:rPr>
                <w:color w:val="auto"/>
                <w:szCs w:val="21"/>
                <w:highlight w:val="none"/>
              </w:rPr>
              <w:t>□重大变动重新报批项目</w:t>
            </w:r>
          </w:p>
        </w:tc>
      </w:tr>
      <w:tr w14:paraId="32B935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2322" w:type="dxa"/>
            <w:gridSpan w:val="2"/>
            <w:tcMar>
              <w:top w:w="16" w:type="dxa"/>
              <w:left w:w="16" w:type="dxa"/>
              <w:right w:w="16" w:type="dxa"/>
            </w:tcMar>
            <w:vAlign w:val="center"/>
          </w:tcPr>
          <w:p w14:paraId="0F58DA67">
            <w:pPr>
              <w:pStyle w:val="7"/>
              <w:spacing w:line="240" w:lineRule="auto"/>
              <w:rPr>
                <w:color w:val="auto"/>
                <w:highlight w:val="none"/>
              </w:rPr>
            </w:pPr>
            <w:r>
              <w:rPr>
                <w:color w:val="auto"/>
                <w:highlight w:val="none"/>
              </w:rPr>
              <w:t>项目审批（核准/</w:t>
            </w:r>
          </w:p>
          <w:p w14:paraId="6EC544E2">
            <w:pPr>
              <w:pStyle w:val="7"/>
              <w:spacing w:line="240" w:lineRule="auto"/>
              <w:rPr>
                <w:color w:val="auto"/>
                <w:highlight w:val="none"/>
              </w:rPr>
            </w:pPr>
            <w:r>
              <w:rPr>
                <w:color w:val="auto"/>
                <w:highlight w:val="none"/>
              </w:rPr>
              <w:t>备案）部门（选填）</w:t>
            </w:r>
          </w:p>
        </w:tc>
        <w:tc>
          <w:tcPr>
            <w:tcW w:w="1886" w:type="dxa"/>
            <w:vAlign w:val="center"/>
          </w:tcPr>
          <w:p w14:paraId="3F8820CB">
            <w:pPr>
              <w:spacing w:line="240" w:lineRule="auto"/>
              <w:jc w:val="center"/>
              <w:rPr>
                <w:color w:val="auto"/>
                <w:szCs w:val="21"/>
                <w:highlight w:val="none"/>
              </w:rPr>
            </w:pPr>
            <w:r>
              <w:rPr>
                <w:rFonts w:hint="eastAsia"/>
                <w:color w:val="auto"/>
                <w:szCs w:val="21"/>
                <w:highlight w:val="none"/>
              </w:rPr>
              <w:t>秦皇岛市抚宁区行政审批局</w:t>
            </w:r>
          </w:p>
        </w:tc>
        <w:tc>
          <w:tcPr>
            <w:tcW w:w="2164" w:type="dxa"/>
            <w:vAlign w:val="center"/>
          </w:tcPr>
          <w:p w14:paraId="49467D24">
            <w:pPr>
              <w:adjustRightInd w:val="0"/>
              <w:snapToGrid w:val="0"/>
              <w:spacing w:line="240" w:lineRule="auto"/>
              <w:jc w:val="center"/>
              <w:rPr>
                <w:b/>
                <w:bCs/>
                <w:color w:val="auto"/>
                <w:szCs w:val="21"/>
                <w:highlight w:val="none"/>
              </w:rPr>
            </w:pPr>
            <w:r>
              <w:rPr>
                <w:b/>
                <w:bCs/>
                <w:color w:val="auto"/>
                <w:szCs w:val="21"/>
                <w:highlight w:val="none"/>
              </w:rPr>
              <w:t>项目审批（核准/</w:t>
            </w:r>
          </w:p>
          <w:p w14:paraId="683D441D">
            <w:pPr>
              <w:adjustRightInd w:val="0"/>
              <w:snapToGrid w:val="0"/>
              <w:spacing w:line="240" w:lineRule="auto"/>
              <w:jc w:val="center"/>
              <w:rPr>
                <w:color w:val="auto"/>
                <w:szCs w:val="21"/>
                <w:highlight w:val="none"/>
              </w:rPr>
            </w:pPr>
            <w:r>
              <w:rPr>
                <w:b/>
                <w:bCs/>
                <w:color w:val="auto"/>
                <w:szCs w:val="21"/>
                <w:highlight w:val="none"/>
              </w:rPr>
              <w:t>备案）文号（选填）</w:t>
            </w:r>
          </w:p>
        </w:tc>
        <w:tc>
          <w:tcPr>
            <w:tcW w:w="2695" w:type="dxa"/>
            <w:vAlign w:val="center"/>
          </w:tcPr>
          <w:p w14:paraId="7C1F774D">
            <w:pPr>
              <w:widowControl/>
              <w:spacing w:line="240" w:lineRule="auto"/>
              <w:rPr>
                <w:rFonts w:hint="eastAsia" w:eastAsia="宋体"/>
                <w:color w:val="auto"/>
                <w:szCs w:val="21"/>
                <w:highlight w:val="none"/>
                <w:lang w:eastAsia="zh-CN"/>
              </w:rPr>
            </w:pPr>
            <w:r>
              <w:rPr>
                <w:rFonts w:hint="eastAsia" w:eastAsia="宋体"/>
                <w:color w:val="auto"/>
                <w:szCs w:val="21"/>
                <w:highlight w:val="none"/>
                <w:lang w:eastAsia="zh-CN"/>
              </w:rPr>
              <w:t>抚行审备〔2024〕135号</w:t>
            </w:r>
          </w:p>
        </w:tc>
      </w:tr>
      <w:tr w14:paraId="64389C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3" w:hRule="atLeast"/>
        </w:trPr>
        <w:tc>
          <w:tcPr>
            <w:tcW w:w="2322" w:type="dxa"/>
            <w:gridSpan w:val="2"/>
            <w:tcMar>
              <w:top w:w="16" w:type="dxa"/>
              <w:left w:w="16" w:type="dxa"/>
              <w:right w:w="16" w:type="dxa"/>
            </w:tcMar>
            <w:vAlign w:val="center"/>
          </w:tcPr>
          <w:p w14:paraId="2F9DA8A0">
            <w:pPr>
              <w:pStyle w:val="7"/>
              <w:spacing w:line="240" w:lineRule="auto"/>
              <w:rPr>
                <w:color w:val="auto"/>
                <w:highlight w:val="none"/>
              </w:rPr>
            </w:pPr>
            <w:r>
              <w:rPr>
                <w:color w:val="auto"/>
                <w:highlight w:val="none"/>
              </w:rPr>
              <w:t>总投资（万元）</w:t>
            </w:r>
          </w:p>
        </w:tc>
        <w:tc>
          <w:tcPr>
            <w:tcW w:w="1886" w:type="dxa"/>
            <w:vAlign w:val="center"/>
          </w:tcPr>
          <w:p w14:paraId="2C16EECA">
            <w:pPr>
              <w:adjustRightInd w:val="0"/>
              <w:snapToGrid w:val="0"/>
              <w:spacing w:line="240" w:lineRule="auto"/>
              <w:jc w:val="center"/>
              <w:rPr>
                <w:rFonts w:hint="default"/>
                <w:color w:val="auto"/>
                <w:szCs w:val="21"/>
                <w:highlight w:val="none"/>
                <w:lang w:val="en-US"/>
              </w:rPr>
            </w:pPr>
            <w:r>
              <w:rPr>
                <w:rFonts w:hint="eastAsia"/>
                <w:color w:val="auto"/>
                <w:szCs w:val="21"/>
                <w:highlight w:val="none"/>
                <w:lang w:val="en-US" w:eastAsia="zh-CN"/>
              </w:rPr>
              <w:t>200</w:t>
            </w:r>
          </w:p>
        </w:tc>
        <w:tc>
          <w:tcPr>
            <w:tcW w:w="2164" w:type="dxa"/>
            <w:tcMar>
              <w:top w:w="16" w:type="dxa"/>
              <w:left w:w="16" w:type="dxa"/>
              <w:right w:w="16" w:type="dxa"/>
            </w:tcMar>
            <w:vAlign w:val="center"/>
          </w:tcPr>
          <w:p w14:paraId="038BF3A4">
            <w:pPr>
              <w:adjustRightInd w:val="0"/>
              <w:snapToGrid w:val="0"/>
              <w:spacing w:line="240" w:lineRule="auto"/>
              <w:jc w:val="center"/>
              <w:rPr>
                <w:b/>
                <w:bCs/>
                <w:color w:val="auto"/>
                <w:szCs w:val="21"/>
                <w:highlight w:val="none"/>
              </w:rPr>
            </w:pPr>
            <w:r>
              <w:rPr>
                <w:b/>
                <w:bCs/>
                <w:color w:val="auto"/>
                <w:szCs w:val="21"/>
                <w:highlight w:val="none"/>
              </w:rPr>
              <w:t>环保投资（万元）</w:t>
            </w:r>
          </w:p>
        </w:tc>
        <w:tc>
          <w:tcPr>
            <w:tcW w:w="2695" w:type="dxa"/>
            <w:vAlign w:val="center"/>
          </w:tcPr>
          <w:p w14:paraId="23ECE300">
            <w:pPr>
              <w:adjustRightInd w:val="0"/>
              <w:snapToGrid w:val="0"/>
              <w:spacing w:line="240" w:lineRule="auto"/>
              <w:jc w:val="center"/>
              <w:rPr>
                <w:rFonts w:hint="default" w:eastAsia="宋体"/>
                <w:color w:val="auto"/>
                <w:szCs w:val="21"/>
                <w:highlight w:val="none"/>
                <w:lang w:val="en-US" w:eastAsia="zh-CN"/>
              </w:rPr>
            </w:pPr>
            <w:r>
              <w:rPr>
                <w:rFonts w:hint="eastAsia"/>
                <w:color w:val="auto"/>
                <w:szCs w:val="21"/>
                <w:highlight w:val="none"/>
                <w:lang w:val="en-US" w:eastAsia="zh-CN"/>
              </w:rPr>
              <w:t>10</w:t>
            </w:r>
          </w:p>
        </w:tc>
      </w:tr>
      <w:tr w14:paraId="1334C6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82" w:hRule="atLeast"/>
        </w:trPr>
        <w:tc>
          <w:tcPr>
            <w:tcW w:w="2322" w:type="dxa"/>
            <w:gridSpan w:val="2"/>
            <w:tcMar>
              <w:top w:w="16" w:type="dxa"/>
              <w:left w:w="16" w:type="dxa"/>
              <w:right w:w="16" w:type="dxa"/>
            </w:tcMar>
            <w:vAlign w:val="center"/>
          </w:tcPr>
          <w:p w14:paraId="11CCA87D">
            <w:pPr>
              <w:pStyle w:val="7"/>
              <w:spacing w:line="240" w:lineRule="auto"/>
              <w:rPr>
                <w:color w:val="auto"/>
                <w:highlight w:val="none"/>
              </w:rPr>
            </w:pPr>
            <w:r>
              <w:rPr>
                <w:color w:val="auto"/>
                <w:highlight w:val="none"/>
              </w:rPr>
              <w:t>环保投资占比（%）</w:t>
            </w:r>
          </w:p>
        </w:tc>
        <w:tc>
          <w:tcPr>
            <w:tcW w:w="1886" w:type="dxa"/>
            <w:vAlign w:val="center"/>
          </w:tcPr>
          <w:p w14:paraId="300CA010">
            <w:pPr>
              <w:adjustRightInd w:val="0"/>
              <w:snapToGrid w:val="0"/>
              <w:spacing w:line="240" w:lineRule="auto"/>
              <w:jc w:val="center"/>
              <w:rPr>
                <w:rFonts w:hint="default" w:eastAsia="宋体"/>
                <w:color w:val="auto"/>
                <w:szCs w:val="21"/>
                <w:highlight w:val="none"/>
                <w:lang w:val="en-US" w:eastAsia="zh-CN"/>
              </w:rPr>
            </w:pPr>
            <w:r>
              <w:rPr>
                <w:rFonts w:hint="eastAsia"/>
                <w:color w:val="auto"/>
                <w:szCs w:val="21"/>
                <w:highlight w:val="none"/>
                <w:lang w:val="en-US" w:eastAsia="zh-CN"/>
              </w:rPr>
              <w:t>5</w:t>
            </w:r>
          </w:p>
        </w:tc>
        <w:tc>
          <w:tcPr>
            <w:tcW w:w="2164" w:type="dxa"/>
            <w:tcMar>
              <w:top w:w="16" w:type="dxa"/>
              <w:left w:w="16" w:type="dxa"/>
              <w:right w:w="16" w:type="dxa"/>
            </w:tcMar>
            <w:vAlign w:val="center"/>
          </w:tcPr>
          <w:p w14:paraId="15BE110D">
            <w:pPr>
              <w:adjustRightInd w:val="0"/>
              <w:snapToGrid w:val="0"/>
              <w:spacing w:line="240" w:lineRule="auto"/>
              <w:jc w:val="center"/>
              <w:rPr>
                <w:b/>
                <w:bCs/>
                <w:color w:val="auto"/>
                <w:szCs w:val="21"/>
                <w:highlight w:val="none"/>
              </w:rPr>
            </w:pPr>
            <w:r>
              <w:rPr>
                <w:b/>
                <w:bCs/>
                <w:color w:val="auto"/>
                <w:szCs w:val="21"/>
                <w:highlight w:val="none"/>
              </w:rPr>
              <w:t>施工工期</w:t>
            </w:r>
          </w:p>
        </w:tc>
        <w:tc>
          <w:tcPr>
            <w:tcW w:w="2695" w:type="dxa"/>
            <w:vAlign w:val="center"/>
          </w:tcPr>
          <w:p w14:paraId="224A3412">
            <w:pPr>
              <w:adjustRightInd w:val="0"/>
              <w:snapToGrid w:val="0"/>
              <w:spacing w:line="240" w:lineRule="auto"/>
              <w:jc w:val="center"/>
              <w:rPr>
                <w:color w:val="auto"/>
                <w:szCs w:val="21"/>
                <w:highlight w:val="none"/>
              </w:rPr>
            </w:pPr>
            <w:r>
              <w:rPr>
                <w:rFonts w:hint="eastAsia"/>
                <w:color w:val="auto"/>
                <w:szCs w:val="21"/>
                <w:highlight w:val="none"/>
                <w:lang w:val="en-US" w:eastAsia="zh-CN"/>
              </w:rPr>
              <w:t>3</w:t>
            </w:r>
            <w:r>
              <w:rPr>
                <w:rFonts w:hint="eastAsia"/>
                <w:color w:val="auto"/>
                <w:szCs w:val="21"/>
                <w:highlight w:val="none"/>
              </w:rPr>
              <w:t>个月</w:t>
            </w:r>
          </w:p>
        </w:tc>
      </w:tr>
      <w:tr w14:paraId="374D3F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2322" w:type="dxa"/>
            <w:gridSpan w:val="2"/>
            <w:tcMar>
              <w:top w:w="16" w:type="dxa"/>
              <w:left w:w="16" w:type="dxa"/>
              <w:right w:w="16" w:type="dxa"/>
            </w:tcMar>
            <w:vAlign w:val="center"/>
          </w:tcPr>
          <w:p w14:paraId="40D6DEEF">
            <w:pPr>
              <w:pStyle w:val="7"/>
              <w:spacing w:line="240" w:lineRule="auto"/>
              <w:rPr>
                <w:color w:val="auto"/>
                <w:highlight w:val="none"/>
              </w:rPr>
            </w:pPr>
            <w:r>
              <w:rPr>
                <w:color w:val="auto"/>
                <w:highlight w:val="none"/>
              </w:rPr>
              <w:t>是否开工建设</w:t>
            </w:r>
          </w:p>
        </w:tc>
        <w:tc>
          <w:tcPr>
            <w:tcW w:w="1886" w:type="dxa"/>
            <w:vAlign w:val="center"/>
          </w:tcPr>
          <w:p w14:paraId="3F9CAACB">
            <w:pPr>
              <w:adjustRightInd w:val="0"/>
              <w:snapToGrid w:val="0"/>
              <w:spacing w:line="240" w:lineRule="auto"/>
              <w:rPr>
                <w:color w:val="auto"/>
                <w:szCs w:val="21"/>
                <w:highlight w:val="none"/>
              </w:rPr>
            </w:pPr>
            <w:r>
              <w:rPr>
                <w:color w:val="auto"/>
                <w:szCs w:val="21"/>
                <w:highlight w:val="none"/>
              </w:rPr>
              <w:t>☑否</w:t>
            </w:r>
          </w:p>
          <w:p w14:paraId="2780E669">
            <w:pPr>
              <w:adjustRightInd w:val="0"/>
              <w:snapToGrid w:val="0"/>
              <w:spacing w:line="240" w:lineRule="auto"/>
              <w:rPr>
                <w:color w:val="auto"/>
                <w:szCs w:val="21"/>
                <w:highlight w:val="none"/>
              </w:rPr>
            </w:pPr>
            <w:r>
              <w:rPr>
                <w:color w:val="auto"/>
                <w:szCs w:val="21"/>
                <w:highlight w:val="none"/>
              </w:rPr>
              <w:t>□是：</w:t>
            </w:r>
            <w:r>
              <w:rPr>
                <w:color w:val="auto"/>
                <w:szCs w:val="21"/>
                <w:highlight w:val="none"/>
                <w:u w:val="single"/>
              </w:rPr>
              <w:t xml:space="preserve">             </w:t>
            </w:r>
          </w:p>
        </w:tc>
        <w:tc>
          <w:tcPr>
            <w:tcW w:w="2164" w:type="dxa"/>
            <w:tcMar>
              <w:top w:w="16" w:type="dxa"/>
              <w:left w:w="16" w:type="dxa"/>
              <w:right w:w="16" w:type="dxa"/>
            </w:tcMar>
            <w:vAlign w:val="center"/>
          </w:tcPr>
          <w:p w14:paraId="7BB209ED">
            <w:pPr>
              <w:adjustRightInd w:val="0"/>
              <w:snapToGrid w:val="0"/>
              <w:spacing w:line="240" w:lineRule="auto"/>
              <w:jc w:val="center"/>
              <w:rPr>
                <w:b/>
                <w:bCs/>
                <w:color w:val="auto"/>
                <w:spacing w:val="-6"/>
                <w:szCs w:val="21"/>
                <w:highlight w:val="none"/>
              </w:rPr>
            </w:pPr>
            <w:r>
              <w:rPr>
                <w:b/>
                <w:bCs/>
                <w:color w:val="auto"/>
                <w:spacing w:val="-6"/>
                <w:szCs w:val="21"/>
                <w:highlight w:val="none"/>
              </w:rPr>
              <w:t>用地（用海）</w:t>
            </w:r>
          </w:p>
          <w:p w14:paraId="66024647">
            <w:pPr>
              <w:adjustRightInd w:val="0"/>
              <w:snapToGrid w:val="0"/>
              <w:spacing w:line="240" w:lineRule="auto"/>
              <w:jc w:val="center"/>
              <w:rPr>
                <w:b/>
                <w:bCs/>
                <w:color w:val="auto"/>
                <w:szCs w:val="21"/>
                <w:highlight w:val="none"/>
              </w:rPr>
            </w:pPr>
            <w:r>
              <w:rPr>
                <w:b/>
                <w:bCs/>
                <w:color w:val="auto"/>
                <w:spacing w:val="-6"/>
                <w:szCs w:val="21"/>
                <w:highlight w:val="none"/>
              </w:rPr>
              <w:t>面积（m</w:t>
            </w:r>
            <w:r>
              <w:rPr>
                <w:b/>
                <w:bCs/>
                <w:color w:val="auto"/>
                <w:spacing w:val="-6"/>
                <w:szCs w:val="21"/>
                <w:highlight w:val="none"/>
                <w:vertAlign w:val="superscript"/>
              </w:rPr>
              <w:t>2</w:t>
            </w:r>
            <w:r>
              <w:rPr>
                <w:b/>
                <w:bCs/>
                <w:color w:val="auto"/>
                <w:spacing w:val="-6"/>
                <w:szCs w:val="21"/>
                <w:highlight w:val="none"/>
              </w:rPr>
              <w:t>）</w:t>
            </w:r>
          </w:p>
        </w:tc>
        <w:tc>
          <w:tcPr>
            <w:tcW w:w="2695" w:type="dxa"/>
            <w:vAlign w:val="center"/>
          </w:tcPr>
          <w:p w14:paraId="64CD1D82">
            <w:pPr>
              <w:adjustRightInd w:val="0"/>
              <w:snapToGrid w:val="0"/>
              <w:spacing w:line="240" w:lineRule="auto"/>
              <w:jc w:val="center"/>
              <w:rPr>
                <w:rFonts w:hint="default"/>
                <w:color w:val="auto"/>
                <w:szCs w:val="21"/>
                <w:highlight w:val="none"/>
                <w:lang w:val="en-US"/>
              </w:rPr>
            </w:pPr>
            <w:r>
              <w:rPr>
                <w:rFonts w:hint="eastAsia"/>
                <w:color w:val="auto"/>
                <w:szCs w:val="21"/>
                <w:highlight w:val="none"/>
                <w:lang w:val="en-US" w:eastAsia="zh-CN"/>
              </w:rPr>
              <w:t>0</w:t>
            </w:r>
          </w:p>
        </w:tc>
      </w:tr>
      <w:tr w14:paraId="7E37D0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3" w:hRule="atLeast"/>
        </w:trPr>
        <w:tc>
          <w:tcPr>
            <w:tcW w:w="2322" w:type="dxa"/>
            <w:gridSpan w:val="2"/>
            <w:vAlign w:val="center"/>
          </w:tcPr>
          <w:p w14:paraId="68BA0126">
            <w:pPr>
              <w:pStyle w:val="7"/>
              <w:spacing w:line="240" w:lineRule="auto"/>
              <w:rPr>
                <w:rFonts w:hint="eastAsia" w:ascii="宋体" w:hAnsi="宋体" w:cs="宋体"/>
                <w:bCs w:val="0"/>
                <w:color w:val="auto"/>
                <w:szCs w:val="24"/>
                <w:highlight w:val="none"/>
              </w:rPr>
            </w:pPr>
            <w:r>
              <w:rPr>
                <w:rFonts w:hint="eastAsia" w:ascii="宋体" w:hAnsi="宋体" w:cs="宋体"/>
                <w:bCs w:val="0"/>
                <w:color w:val="auto"/>
                <w:szCs w:val="24"/>
                <w:highlight w:val="none"/>
              </w:rPr>
              <w:t>专项评价设置情况</w:t>
            </w:r>
          </w:p>
        </w:tc>
        <w:tc>
          <w:tcPr>
            <w:tcW w:w="6745" w:type="dxa"/>
            <w:gridSpan w:val="3"/>
            <w:vAlign w:val="center"/>
          </w:tcPr>
          <w:p w14:paraId="4D7A629C">
            <w:pPr>
              <w:adjustRightInd w:val="0"/>
              <w:snapToGrid w:val="0"/>
              <w:spacing w:line="240" w:lineRule="auto"/>
              <w:jc w:val="center"/>
              <w:rPr>
                <w:rFonts w:hint="default" w:ascii="宋体" w:hAnsi="宋体" w:eastAsia="宋体" w:cs="宋体"/>
                <w:bCs/>
                <w:color w:val="auto"/>
                <w:kern w:val="0"/>
                <w:szCs w:val="24"/>
                <w:highlight w:val="none"/>
                <w:lang w:val="en-US" w:eastAsia="zh-CN"/>
              </w:rPr>
            </w:pPr>
            <w:r>
              <w:rPr>
                <w:rFonts w:hint="eastAsia" w:ascii="宋体" w:hAnsi="宋体" w:cs="宋体"/>
                <w:bCs/>
                <w:color w:val="auto"/>
                <w:kern w:val="0"/>
                <w:szCs w:val="24"/>
                <w:highlight w:val="none"/>
                <w:lang w:val="en-US" w:eastAsia="zh-CN"/>
              </w:rPr>
              <w:t>无</w:t>
            </w:r>
          </w:p>
        </w:tc>
      </w:tr>
      <w:tr w14:paraId="3E880F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75" w:hRule="atLeast"/>
        </w:trPr>
        <w:tc>
          <w:tcPr>
            <w:tcW w:w="2322" w:type="dxa"/>
            <w:gridSpan w:val="2"/>
            <w:vAlign w:val="center"/>
          </w:tcPr>
          <w:p w14:paraId="7D4D12D0">
            <w:pPr>
              <w:pStyle w:val="7"/>
              <w:spacing w:line="240" w:lineRule="auto"/>
              <w:rPr>
                <w:rFonts w:hint="default" w:ascii="Times New Roman" w:hAnsi="Times New Roman" w:cs="Times New Roman"/>
                <w:bCs w:val="0"/>
                <w:color w:val="auto"/>
                <w:szCs w:val="24"/>
                <w:highlight w:val="none"/>
              </w:rPr>
            </w:pPr>
            <w:r>
              <w:rPr>
                <w:rFonts w:hint="default" w:ascii="Times New Roman" w:hAnsi="Times New Roman" w:cs="Times New Roman"/>
                <w:bCs w:val="0"/>
                <w:color w:val="auto"/>
                <w:szCs w:val="24"/>
                <w:highlight w:val="none"/>
              </w:rPr>
              <w:t>规划情况</w:t>
            </w:r>
          </w:p>
        </w:tc>
        <w:tc>
          <w:tcPr>
            <w:tcW w:w="6745" w:type="dxa"/>
            <w:gridSpan w:val="3"/>
            <w:vAlign w:val="center"/>
          </w:tcPr>
          <w:p w14:paraId="1DBFA2B8">
            <w:pPr>
              <w:autoSpaceDE w:val="0"/>
              <w:autoSpaceDN w:val="0"/>
              <w:adjustRightInd w:val="0"/>
              <w:snapToGrid w:val="0"/>
              <w:spacing w:line="240" w:lineRule="auto"/>
              <w:jc w:val="center"/>
              <w:rPr>
                <w:rFonts w:hint="default" w:ascii="Times New Roman" w:hAnsi="Times New Roman" w:cs="Times New Roman"/>
                <w:bCs/>
                <w:color w:val="auto"/>
                <w:highlight w:val="none"/>
              </w:rPr>
            </w:pPr>
            <w:r>
              <w:rPr>
                <w:rFonts w:hint="eastAsia" w:ascii="宋体" w:hAnsi="宋体" w:cs="宋体"/>
                <w:bCs/>
                <w:color w:val="auto"/>
                <w:kern w:val="0"/>
                <w:szCs w:val="24"/>
                <w:highlight w:val="none"/>
              </w:rPr>
              <w:t>无</w:t>
            </w:r>
          </w:p>
        </w:tc>
      </w:tr>
      <w:tr w14:paraId="5A2379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72" w:hRule="atLeast"/>
        </w:trPr>
        <w:tc>
          <w:tcPr>
            <w:tcW w:w="2322" w:type="dxa"/>
            <w:gridSpan w:val="2"/>
            <w:vAlign w:val="center"/>
          </w:tcPr>
          <w:p w14:paraId="1F10AB98">
            <w:pPr>
              <w:pStyle w:val="7"/>
              <w:rPr>
                <w:rFonts w:hint="default" w:ascii="Times New Roman" w:hAnsi="Times New Roman" w:cs="Times New Roman"/>
                <w:bCs w:val="0"/>
                <w:color w:val="auto"/>
                <w:szCs w:val="24"/>
                <w:highlight w:val="none"/>
              </w:rPr>
            </w:pPr>
            <w:r>
              <w:rPr>
                <w:rFonts w:hint="default" w:ascii="Times New Roman" w:hAnsi="Times New Roman" w:cs="Times New Roman"/>
                <w:bCs w:val="0"/>
                <w:color w:val="auto"/>
                <w:szCs w:val="24"/>
                <w:highlight w:val="none"/>
              </w:rPr>
              <w:t>规划环境影响</w:t>
            </w:r>
          </w:p>
          <w:p w14:paraId="5569D6F1">
            <w:pPr>
              <w:pStyle w:val="7"/>
              <w:rPr>
                <w:rFonts w:hint="default" w:ascii="Times New Roman" w:hAnsi="Times New Roman" w:cs="Times New Roman"/>
                <w:bCs w:val="0"/>
                <w:color w:val="auto"/>
                <w:szCs w:val="24"/>
                <w:highlight w:val="none"/>
              </w:rPr>
            </w:pPr>
            <w:r>
              <w:rPr>
                <w:rFonts w:hint="default" w:ascii="Times New Roman" w:hAnsi="Times New Roman" w:cs="Times New Roman"/>
                <w:bCs w:val="0"/>
                <w:color w:val="auto"/>
                <w:szCs w:val="24"/>
                <w:highlight w:val="none"/>
              </w:rPr>
              <w:t>评价情况</w:t>
            </w:r>
          </w:p>
        </w:tc>
        <w:tc>
          <w:tcPr>
            <w:tcW w:w="6745" w:type="dxa"/>
            <w:gridSpan w:val="3"/>
            <w:vAlign w:val="center"/>
          </w:tcPr>
          <w:p w14:paraId="5F0E65BE">
            <w:pPr>
              <w:adjustRightInd w:val="0"/>
              <w:snapToGrid w:val="0"/>
              <w:spacing w:line="240" w:lineRule="auto"/>
              <w:jc w:val="center"/>
              <w:rPr>
                <w:rFonts w:hint="default" w:ascii="Times New Roman" w:hAnsi="Times New Roman" w:cs="Times New Roman"/>
                <w:bCs/>
                <w:color w:val="auto"/>
                <w:kern w:val="0"/>
                <w:szCs w:val="24"/>
                <w:highlight w:val="none"/>
              </w:rPr>
            </w:pPr>
            <w:r>
              <w:rPr>
                <w:rFonts w:hint="eastAsia" w:ascii="宋体" w:hAnsi="宋体" w:cs="宋体"/>
                <w:bCs/>
                <w:color w:val="auto"/>
                <w:kern w:val="0"/>
                <w:szCs w:val="24"/>
                <w:highlight w:val="none"/>
              </w:rPr>
              <w:t>无</w:t>
            </w:r>
          </w:p>
        </w:tc>
      </w:tr>
      <w:tr w14:paraId="7011D4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99" w:hRule="atLeast"/>
        </w:trPr>
        <w:tc>
          <w:tcPr>
            <w:tcW w:w="2322" w:type="dxa"/>
            <w:gridSpan w:val="2"/>
            <w:vAlign w:val="center"/>
          </w:tcPr>
          <w:p w14:paraId="7389E51B">
            <w:pPr>
              <w:pStyle w:val="7"/>
              <w:jc w:val="left"/>
              <w:rPr>
                <w:rFonts w:hint="eastAsia" w:ascii="宋体" w:hAnsi="宋体" w:cs="宋体"/>
                <w:bCs w:val="0"/>
                <w:color w:val="auto"/>
                <w:szCs w:val="24"/>
                <w:highlight w:val="none"/>
              </w:rPr>
            </w:pPr>
            <w:r>
              <w:rPr>
                <w:rFonts w:hint="eastAsia" w:ascii="宋体" w:hAnsi="宋体" w:cs="宋体"/>
                <w:bCs w:val="0"/>
                <w:color w:val="auto"/>
                <w:szCs w:val="24"/>
                <w:highlight w:val="none"/>
              </w:rPr>
              <w:t>规划及规划环境影响评价符合性分析</w:t>
            </w:r>
          </w:p>
        </w:tc>
        <w:tc>
          <w:tcPr>
            <w:tcW w:w="6745" w:type="dxa"/>
            <w:gridSpan w:val="3"/>
            <w:vAlign w:val="center"/>
          </w:tcPr>
          <w:p w14:paraId="7AE6F891">
            <w:pPr>
              <w:autoSpaceDE w:val="0"/>
              <w:autoSpaceDN w:val="0"/>
              <w:adjustRightInd w:val="0"/>
              <w:snapToGrid w:val="0"/>
              <w:jc w:val="center"/>
              <w:rPr>
                <w:rFonts w:hint="default" w:ascii="宋体" w:hAnsi="宋体" w:eastAsia="宋体" w:cs="宋体"/>
                <w:b w:val="0"/>
                <w:bCs/>
                <w:color w:val="auto"/>
                <w:kern w:val="2"/>
                <w:szCs w:val="24"/>
                <w:highlight w:val="none"/>
                <w:lang w:val="en-US" w:eastAsia="zh-CN"/>
              </w:rPr>
            </w:pPr>
            <w:r>
              <w:rPr>
                <w:rFonts w:hint="eastAsia" w:ascii="宋体" w:hAnsi="宋体" w:cs="宋体"/>
                <w:bCs/>
                <w:color w:val="auto"/>
                <w:kern w:val="0"/>
                <w:szCs w:val="24"/>
                <w:highlight w:val="none"/>
              </w:rPr>
              <w:t>无</w:t>
            </w:r>
          </w:p>
        </w:tc>
      </w:tr>
      <w:tr w14:paraId="3C6718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411" w:hRule="atLeast"/>
        </w:trPr>
        <w:tc>
          <w:tcPr>
            <w:tcW w:w="469" w:type="dxa"/>
            <w:vAlign w:val="center"/>
          </w:tcPr>
          <w:p w14:paraId="5225EC5C">
            <w:pPr>
              <w:rPr>
                <w:rFonts w:ascii="Times New Roman" w:hAnsi="Times New Roman" w:eastAsia="宋体" w:cs="Times New Roman"/>
                <w:b/>
                <w:color w:val="auto"/>
                <w:kern w:val="2"/>
                <w:sz w:val="24"/>
                <w:szCs w:val="21"/>
                <w:highlight w:val="none"/>
                <w:lang w:val="en-US" w:eastAsia="zh-CN" w:bidi="ar-SA"/>
              </w:rPr>
            </w:pPr>
          </w:p>
          <w:p w14:paraId="2B0E342E">
            <w:pPr>
              <w:pStyle w:val="33"/>
              <w:rPr>
                <w:rFonts w:ascii="Times New Roman" w:hAnsi="Times New Roman" w:eastAsia="宋体" w:cs="Times New Roman"/>
                <w:b/>
                <w:color w:val="auto"/>
                <w:kern w:val="2"/>
                <w:sz w:val="24"/>
                <w:szCs w:val="21"/>
                <w:highlight w:val="none"/>
                <w:lang w:val="en-US" w:eastAsia="zh-CN" w:bidi="ar-SA"/>
              </w:rPr>
            </w:pPr>
          </w:p>
          <w:p w14:paraId="3FD8B7A7">
            <w:pPr>
              <w:rPr>
                <w:rFonts w:ascii="Times New Roman" w:hAnsi="Times New Roman" w:eastAsia="宋体" w:cs="Times New Roman"/>
                <w:b/>
                <w:color w:val="auto"/>
                <w:kern w:val="2"/>
                <w:sz w:val="24"/>
                <w:szCs w:val="21"/>
                <w:highlight w:val="none"/>
                <w:lang w:val="en-US" w:eastAsia="zh-CN" w:bidi="ar-SA"/>
              </w:rPr>
            </w:pPr>
          </w:p>
          <w:p w14:paraId="0AE85795">
            <w:pPr>
              <w:pStyle w:val="33"/>
              <w:rPr>
                <w:rFonts w:ascii="Times New Roman" w:hAnsi="Times New Roman" w:eastAsia="宋体" w:cs="Times New Roman"/>
                <w:b/>
                <w:color w:val="auto"/>
                <w:kern w:val="2"/>
                <w:sz w:val="24"/>
                <w:szCs w:val="21"/>
                <w:highlight w:val="none"/>
                <w:lang w:val="en-US" w:eastAsia="zh-CN" w:bidi="ar-SA"/>
              </w:rPr>
            </w:pPr>
          </w:p>
          <w:p w14:paraId="3F2EF578">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r>
              <w:rPr>
                <w:rFonts w:ascii="Times New Roman" w:hAnsi="Times New Roman" w:eastAsia="宋体" w:cs="Times New Roman"/>
                <w:b/>
                <w:color w:val="auto"/>
                <w:kern w:val="2"/>
                <w:sz w:val="24"/>
                <w:szCs w:val="21"/>
                <w:highlight w:val="none"/>
                <w:lang w:val="en-US" w:eastAsia="zh-CN" w:bidi="ar-SA"/>
              </w:rPr>
              <w:t>其他符合性分析</w:t>
            </w:r>
          </w:p>
          <w:p w14:paraId="4AC2C8BC">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62283A24">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538FA938">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552D8073">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1EF8AA00">
            <w:pPr>
              <w:pStyle w:val="15"/>
              <w:rPr>
                <w:rFonts w:ascii="Times New Roman" w:hAnsi="Times New Roman" w:eastAsia="宋体" w:cs="Times New Roman"/>
                <w:b/>
                <w:color w:val="auto"/>
                <w:kern w:val="2"/>
                <w:sz w:val="24"/>
                <w:szCs w:val="21"/>
                <w:highlight w:val="none"/>
                <w:lang w:val="en-US" w:eastAsia="zh-CN" w:bidi="ar-SA"/>
              </w:rPr>
            </w:pPr>
          </w:p>
          <w:p w14:paraId="759DFCA3">
            <w:pPr>
              <w:pStyle w:val="15"/>
              <w:rPr>
                <w:rFonts w:ascii="Times New Roman" w:hAnsi="Times New Roman" w:eastAsia="宋体" w:cs="Times New Roman"/>
                <w:b/>
                <w:color w:val="auto"/>
                <w:kern w:val="2"/>
                <w:sz w:val="24"/>
                <w:szCs w:val="21"/>
                <w:highlight w:val="none"/>
                <w:lang w:val="en-US" w:eastAsia="zh-CN" w:bidi="ar-SA"/>
              </w:rPr>
            </w:pPr>
          </w:p>
          <w:p w14:paraId="3B295A0E">
            <w:pPr>
              <w:pStyle w:val="15"/>
              <w:rPr>
                <w:rFonts w:ascii="Times New Roman" w:hAnsi="Times New Roman" w:eastAsia="宋体" w:cs="Times New Roman"/>
                <w:b/>
                <w:color w:val="auto"/>
                <w:kern w:val="2"/>
                <w:sz w:val="24"/>
                <w:szCs w:val="21"/>
                <w:highlight w:val="none"/>
                <w:lang w:val="en-US" w:eastAsia="zh-CN" w:bidi="ar-SA"/>
              </w:rPr>
            </w:pPr>
          </w:p>
          <w:p w14:paraId="6B172E55">
            <w:pPr>
              <w:pStyle w:val="15"/>
              <w:rPr>
                <w:rFonts w:ascii="Times New Roman" w:hAnsi="Times New Roman" w:eastAsia="宋体" w:cs="Times New Roman"/>
                <w:b/>
                <w:color w:val="auto"/>
                <w:kern w:val="2"/>
                <w:sz w:val="24"/>
                <w:szCs w:val="21"/>
                <w:highlight w:val="none"/>
                <w:lang w:val="en-US" w:eastAsia="zh-CN" w:bidi="ar-SA"/>
              </w:rPr>
            </w:pPr>
          </w:p>
          <w:p w14:paraId="38E5B981">
            <w:pPr>
              <w:pStyle w:val="15"/>
              <w:rPr>
                <w:rFonts w:ascii="Times New Roman" w:hAnsi="Times New Roman" w:eastAsia="宋体" w:cs="Times New Roman"/>
                <w:b/>
                <w:color w:val="auto"/>
                <w:kern w:val="2"/>
                <w:sz w:val="24"/>
                <w:szCs w:val="21"/>
                <w:highlight w:val="none"/>
                <w:lang w:val="en-US" w:eastAsia="zh-CN" w:bidi="ar-SA"/>
              </w:rPr>
            </w:pPr>
          </w:p>
          <w:p w14:paraId="0DD495B2">
            <w:pPr>
              <w:pStyle w:val="15"/>
              <w:rPr>
                <w:rFonts w:ascii="Times New Roman" w:hAnsi="Times New Roman" w:eastAsia="宋体" w:cs="Times New Roman"/>
                <w:b/>
                <w:color w:val="auto"/>
                <w:kern w:val="2"/>
                <w:sz w:val="24"/>
                <w:szCs w:val="21"/>
                <w:highlight w:val="none"/>
                <w:lang w:val="en-US" w:eastAsia="zh-CN" w:bidi="ar-SA"/>
              </w:rPr>
            </w:pPr>
          </w:p>
          <w:p w14:paraId="77A62E07">
            <w:pPr>
              <w:pStyle w:val="15"/>
              <w:rPr>
                <w:rFonts w:ascii="Times New Roman" w:hAnsi="Times New Roman" w:eastAsia="宋体" w:cs="Times New Roman"/>
                <w:b/>
                <w:color w:val="auto"/>
                <w:kern w:val="2"/>
                <w:sz w:val="24"/>
                <w:szCs w:val="21"/>
                <w:highlight w:val="none"/>
                <w:lang w:val="en-US" w:eastAsia="zh-CN" w:bidi="ar-SA"/>
              </w:rPr>
            </w:pPr>
          </w:p>
          <w:p w14:paraId="0D295C12">
            <w:pPr>
              <w:pStyle w:val="15"/>
              <w:rPr>
                <w:rFonts w:ascii="Times New Roman" w:hAnsi="Times New Roman" w:eastAsia="宋体" w:cs="Times New Roman"/>
                <w:b/>
                <w:color w:val="auto"/>
                <w:kern w:val="2"/>
                <w:sz w:val="24"/>
                <w:szCs w:val="21"/>
                <w:highlight w:val="none"/>
                <w:lang w:val="en-US" w:eastAsia="zh-CN" w:bidi="ar-SA"/>
              </w:rPr>
            </w:pPr>
          </w:p>
          <w:p w14:paraId="154FCF83">
            <w:pPr>
              <w:pStyle w:val="15"/>
              <w:rPr>
                <w:rFonts w:ascii="Times New Roman" w:hAnsi="Times New Roman" w:eastAsia="宋体" w:cs="Times New Roman"/>
                <w:b/>
                <w:color w:val="auto"/>
                <w:kern w:val="2"/>
                <w:sz w:val="24"/>
                <w:szCs w:val="21"/>
                <w:highlight w:val="none"/>
                <w:lang w:val="en-US" w:eastAsia="zh-CN" w:bidi="ar-SA"/>
              </w:rPr>
            </w:pPr>
          </w:p>
          <w:p w14:paraId="0B134506">
            <w:pPr>
              <w:pStyle w:val="15"/>
              <w:rPr>
                <w:rFonts w:ascii="Times New Roman" w:hAnsi="Times New Roman" w:eastAsia="宋体" w:cs="Times New Roman"/>
                <w:b/>
                <w:color w:val="auto"/>
                <w:kern w:val="2"/>
                <w:sz w:val="24"/>
                <w:szCs w:val="21"/>
                <w:highlight w:val="none"/>
                <w:lang w:val="en-US" w:eastAsia="zh-CN" w:bidi="ar-SA"/>
              </w:rPr>
            </w:pPr>
          </w:p>
          <w:p w14:paraId="6E877E7A">
            <w:pPr>
              <w:pStyle w:val="15"/>
              <w:rPr>
                <w:rFonts w:ascii="Times New Roman" w:hAnsi="Times New Roman" w:eastAsia="宋体" w:cs="Times New Roman"/>
                <w:b/>
                <w:color w:val="auto"/>
                <w:kern w:val="2"/>
                <w:sz w:val="24"/>
                <w:szCs w:val="21"/>
                <w:highlight w:val="none"/>
                <w:lang w:val="en-US" w:eastAsia="zh-CN" w:bidi="ar-SA"/>
              </w:rPr>
            </w:pPr>
          </w:p>
          <w:p w14:paraId="56530FF1">
            <w:pPr>
              <w:pStyle w:val="15"/>
              <w:rPr>
                <w:rFonts w:ascii="Times New Roman" w:hAnsi="Times New Roman" w:eastAsia="宋体" w:cs="Times New Roman"/>
                <w:b/>
                <w:color w:val="auto"/>
                <w:kern w:val="2"/>
                <w:sz w:val="24"/>
                <w:szCs w:val="21"/>
                <w:highlight w:val="none"/>
                <w:lang w:val="en-US" w:eastAsia="zh-CN" w:bidi="ar-SA"/>
              </w:rPr>
            </w:pPr>
          </w:p>
          <w:p w14:paraId="0BA42EFA">
            <w:pPr>
              <w:pStyle w:val="15"/>
              <w:rPr>
                <w:rFonts w:ascii="Times New Roman" w:hAnsi="Times New Roman" w:eastAsia="宋体" w:cs="Times New Roman"/>
                <w:b/>
                <w:color w:val="auto"/>
                <w:kern w:val="2"/>
                <w:sz w:val="24"/>
                <w:szCs w:val="21"/>
                <w:highlight w:val="none"/>
                <w:lang w:val="en-US" w:eastAsia="zh-CN" w:bidi="ar-SA"/>
              </w:rPr>
            </w:pPr>
          </w:p>
          <w:p w14:paraId="67AC7FBC">
            <w:pPr>
              <w:pStyle w:val="15"/>
              <w:rPr>
                <w:rFonts w:ascii="Times New Roman" w:hAnsi="Times New Roman" w:eastAsia="宋体" w:cs="Times New Roman"/>
                <w:b/>
                <w:color w:val="auto"/>
                <w:kern w:val="2"/>
                <w:sz w:val="24"/>
                <w:szCs w:val="21"/>
                <w:highlight w:val="none"/>
                <w:lang w:val="en-US" w:eastAsia="zh-CN" w:bidi="ar-SA"/>
              </w:rPr>
            </w:pPr>
          </w:p>
          <w:p w14:paraId="72BEA221">
            <w:pPr>
              <w:pStyle w:val="15"/>
              <w:rPr>
                <w:rFonts w:ascii="Times New Roman" w:hAnsi="Times New Roman" w:eastAsia="宋体" w:cs="Times New Roman"/>
                <w:b/>
                <w:color w:val="auto"/>
                <w:kern w:val="2"/>
                <w:sz w:val="24"/>
                <w:szCs w:val="21"/>
                <w:highlight w:val="none"/>
                <w:lang w:val="en-US" w:eastAsia="zh-CN" w:bidi="ar-SA"/>
              </w:rPr>
            </w:pPr>
          </w:p>
          <w:p w14:paraId="0629F49C">
            <w:pPr>
              <w:pStyle w:val="15"/>
              <w:rPr>
                <w:rFonts w:ascii="Times New Roman" w:hAnsi="Times New Roman" w:eastAsia="宋体" w:cs="Times New Roman"/>
                <w:b/>
                <w:color w:val="auto"/>
                <w:kern w:val="2"/>
                <w:sz w:val="24"/>
                <w:szCs w:val="21"/>
                <w:highlight w:val="none"/>
                <w:lang w:val="en-US" w:eastAsia="zh-CN" w:bidi="ar-SA"/>
              </w:rPr>
            </w:pPr>
          </w:p>
          <w:p w14:paraId="64C4593F">
            <w:pPr>
              <w:pStyle w:val="15"/>
              <w:rPr>
                <w:rFonts w:ascii="Times New Roman" w:hAnsi="Times New Roman" w:eastAsia="宋体" w:cs="Times New Roman"/>
                <w:b/>
                <w:color w:val="auto"/>
                <w:kern w:val="2"/>
                <w:sz w:val="24"/>
                <w:szCs w:val="21"/>
                <w:highlight w:val="none"/>
                <w:lang w:val="en-US" w:eastAsia="zh-CN" w:bidi="ar-SA"/>
              </w:rPr>
            </w:pPr>
          </w:p>
          <w:p w14:paraId="7CDF487E">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5BEBC528">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3391EA43">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782B061D">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68A7DDDE">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3269777D">
            <w:pPr>
              <w:pStyle w:val="33"/>
              <w:rPr>
                <w:rFonts w:ascii="Times New Roman" w:hAnsi="Times New Roman" w:eastAsia="宋体" w:cs="Times New Roman"/>
                <w:b/>
                <w:color w:val="auto"/>
                <w:kern w:val="2"/>
                <w:sz w:val="24"/>
                <w:szCs w:val="21"/>
                <w:highlight w:val="none"/>
                <w:lang w:val="en-US" w:eastAsia="zh-CN" w:bidi="ar-SA"/>
              </w:rPr>
            </w:pPr>
          </w:p>
          <w:p w14:paraId="6367A16B">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72F942AA">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6D06EF34">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746F410F">
            <w:pPr>
              <w:pStyle w:val="6"/>
              <w:rPr>
                <w:rFonts w:ascii="Times New Roman" w:hAnsi="Times New Roman" w:eastAsia="宋体" w:cs="Times New Roman"/>
                <w:b/>
                <w:color w:val="auto"/>
                <w:kern w:val="2"/>
                <w:sz w:val="24"/>
                <w:szCs w:val="21"/>
                <w:highlight w:val="none"/>
                <w:lang w:val="en-US" w:eastAsia="zh-CN" w:bidi="ar-SA"/>
              </w:rPr>
            </w:pPr>
          </w:p>
          <w:p w14:paraId="3CED20AA">
            <w:pPr>
              <w:rPr>
                <w:rFonts w:ascii="Times New Roman" w:hAnsi="Times New Roman" w:eastAsia="宋体" w:cs="Times New Roman"/>
                <w:b/>
                <w:color w:val="auto"/>
                <w:kern w:val="2"/>
                <w:sz w:val="24"/>
                <w:szCs w:val="21"/>
                <w:highlight w:val="none"/>
                <w:lang w:val="en-US" w:eastAsia="zh-CN" w:bidi="ar-SA"/>
              </w:rPr>
            </w:pPr>
          </w:p>
          <w:p w14:paraId="7586FE90">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632EEDED">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r>
              <w:rPr>
                <w:rFonts w:ascii="Times New Roman" w:hAnsi="Times New Roman" w:eastAsia="宋体" w:cs="Times New Roman"/>
                <w:b/>
                <w:color w:val="auto"/>
                <w:kern w:val="2"/>
                <w:sz w:val="24"/>
                <w:szCs w:val="21"/>
                <w:highlight w:val="none"/>
                <w:lang w:val="en-US" w:eastAsia="zh-CN" w:bidi="ar-SA"/>
              </w:rPr>
              <w:t>其他符合性分析</w:t>
            </w:r>
          </w:p>
          <w:p w14:paraId="724BFDB5">
            <w:pPr>
              <w:pStyle w:val="6"/>
              <w:rPr>
                <w:rFonts w:ascii="Times New Roman" w:hAnsi="Times New Roman" w:eastAsia="宋体" w:cs="Times New Roman"/>
                <w:b/>
                <w:color w:val="auto"/>
                <w:kern w:val="2"/>
                <w:sz w:val="24"/>
                <w:szCs w:val="21"/>
                <w:highlight w:val="none"/>
                <w:lang w:val="en-US" w:eastAsia="zh-CN" w:bidi="ar-SA"/>
              </w:rPr>
            </w:pPr>
          </w:p>
          <w:p w14:paraId="0966965D">
            <w:pPr>
              <w:rPr>
                <w:rFonts w:ascii="Times New Roman" w:hAnsi="Times New Roman" w:eastAsia="宋体" w:cs="Times New Roman"/>
                <w:b/>
                <w:color w:val="auto"/>
                <w:kern w:val="2"/>
                <w:sz w:val="24"/>
                <w:szCs w:val="21"/>
                <w:highlight w:val="none"/>
                <w:lang w:val="en-US" w:eastAsia="zh-CN" w:bidi="ar-SA"/>
              </w:rPr>
            </w:pPr>
          </w:p>
          <w:p w14:paraId="1E38867B">
            <w:pPr>
              <w:pStyle w:val="6"/>
              <w:rPr>
                <w:rFonts w:ascii="Times New Roman" w:hAnsi="Times New Roman" w:eastAsia="宋体" w:cs="Times New Roman"/>
                <w:b/>
                <w:color w:val="auto"/>
                <w:kern w:val="2"/>
                <w:sz w:val="24"/>
                <w:szCs w:val="21"/>
                <w:highlight w:val="none"/>
                <w:lang w:val="en-US" w:eastAsia="zh-CN" w:bidi="ar-SA"/>
              </w:rPr>
            </w:pPr>
          </w:p>
          <w:p w14:paraId="37DAD8F7">
            <w:pPr>
              <w:rPr>
                <w:rFonts w:ascii="Times New Roman" w:hAnsi="Times New Roman" w:eastAsia="宋体" w:cs="Times New Roman"/>
                <w:b/>
                <w:color w:val="auto"/>
                <w:kern w:val="2"/>
                <w:sz w:val="24"/>
                <w:szCs w:val="21"/>
                <w:highlight w:val="none"/>
                <w:lang w:val="en-US" w:eastAsia="zh-CN" w:bidi="ar-SA"/>
              </w:rPr>
            </w:pPr>
          </w:p>
          <w:p w14:paraId="4E9215B0">
            <w:pPr>
              <w:pStyle w:val="6"/>
              <w:rPr>
                <w:rFonts w:ascii="Times New Roman" w:hAnsi="Times New Roman" w:eastAsia="宋体" w:cs="Times New Roman"/>
                <w:b/>
                <w:color w:val="auto"/>
                <w:kern w:val="2"/>
                <w:sz w:val="24"/>
                <w:szCs w:val="21"/>
                <w:highlight w:val="none"/>
                <w:lang w:val="en-US" w:eastAsia="zh-CN" w:bidi="ar-SA"/>
              </w:rPr>
            </w:pPr>
          </w:p>
          <w:p w14:paraId="36D8FF9B">
            <w:pPr>
              <w:rPr>
                <w:rFonts w:ascii="Times New Roman" w:hAnsi="Times New Roman" w:eastAsia="宋体" w:cs="Times New Roman"/>
                <w:b/>
                <w:color w:val="auto"/>
                <w:kern w:val="2"/>
                <w:sz w:val="24"/>
                <w:szCs w:val="21"/>
                <w:highlight w:val="none"/>
                <w:lang w:val="en-US" w:eastAsia="zh-CN" w:bidi="ar-SA"/>
              </w:rPr>
            </w:pPr>
          </w:p>
          <w:p w14:paraId="0EC33C3F">
            <w:pPr>
              <w:pStyle w:val="6"/>
              <w:rPr>
                <w:rFonts w:ascii="Times New Roman" w:hAnsi="Times New Roman" w:eastAsia="宋体" w:cs="Times New Roman"/>
                <w:b/>
                <w:color w:val="auto"/>
                <w:kern w:val="2"/>
                <w:sz w:val="24"/>
                <w:szCs w:val="21"/>
                <w:highlight w:val="none"/>
                <w:lang w:val="en-US" w:eastAsia="zh-CN" w:bidi="ar-SA"/>
              </w:rPr>
            </w:pPr>
          </w:p>
          <w:p w14:paraId="7D1ADC57">
            <w:pPr>
              <w:rPr>
                <w:rFonts w:ascii="Times New Roman" w:hAnsi="Times New Roman" w:eastAsia="宋体" w:cs="Times New Roman"/>
                <w:b/>
                <w:color w:val="auto"/>
                <w:kern w:val="2"/>
                <w:sz w:val="24"/>
                <w:szCs w:val="21"/>
                <w:highlight w:val="none"/>
                <w:lang w:val="en-US" w:eastAsia="zh-CN" w:bidi="ar-SA"/>
              </w:rPr>
            </w:pPr>
          </w:p>
          <w:p w14:paraId="4A9F4908">
            <w:pPr>
              <w:pStyle w:val="6"/>
              <w:rPr>
                <w:rFonts w:ascii="Times New Roman" w:hAnsi="Times New Roman" w:eastAsia="宋体" w:cs="Times New Roman"/>
                <w:b/>
                <w:color w:val="auto"/>
                <w:kern w:val="2"/>
                <w:sz w:val="24"/>
                <w:szCs w:val="21"/>
                <w:highlight w:val="none"/>
                <w:lang w:val="en-US" w:eastAsia="zh-CN" w:bidi="ar-SA"/>
              </w:rPr>
            </w:pPr>
          </w:p>
          <w:p w14:paraId="35D7E30D">
            <w:pPr>
              <w:rPr>
                <w:rFonts w:ascii="Times New Roman" w:hAnsi="Times New Roman" w:eastAsia="宋体" w:cs="Times New Roman"/>
                <w:b/>
                <w:color w:val="auto"/>
                <w:kern w:val="2"/>
                <w:sz w:val="24"/>
                <w:szCs w:val="21"/>
                <w:highlight w:val="none"/>
                <w:lang w:val="en-US" w:eastAsia="zh-CN" w:bidi="ar-SA"/>
              </w:rPr>
            </w:pPr>
          </w:p>
          <w:p w14:paraId="3B8AE4EE">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646B8D00">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3E1885BE">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2BC2722B">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445542A9">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4950372C">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6E87F9E9">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177FBDF8">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50FB1651">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6FFD4AFE">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3AA2E843">
            <w:pPr>
              <w:pStyle w:val="6"/>
              <w:rPr>
                <w:rFonts w:ascii="Times New Roman" w:hAnsi="Times New Roman" w:eastAsia="宋体" w:cs="Times New Roman"/>
                <w:b/>
                <w:color w:val="auto"/>
                <w:kern w:val="2"/>
                <w:sz w:val="24"/>
                <w:szCs w:val="21"/>
                <w:highlight w:val="none"/>
                <w:lang w:val="en-US" w:eastAsia="zh-CN" w:bidi="ar-SA"/>
              </w:rPr>
            </w:pPr>
          </w:p>
          <w:p w14:paraId="1314AE8C">
            <w:pPr>
              <w:rPr>
                <w:rFonts w:ascii="Times New Roman" w:hAnsi="Times New Roman" w:eastAsia="宋体" w:cs="Times New Roman"/>
                <w:b/>
                <w:color w:val="auto"/>
                <w:kern w:val="2"/>
                <w:sz w:val="24"/>
                <w:szCs w:val="21"/>
                <w:highlight w:val="none"/>
                <w:lang w:val="en-US" w:eastAsia="zh-CN" w:bidi="ar-SA"/>
              </w:rPr>
            </w:pPr>
          </w:p>
          <w:p w14:paraId="32287084">
            <w:pPr>
              <w:pStyle w:val="33"/>
              <w:rPr>
                <w:rFonts w:ascii="Times New Roman" w:hAnsi="Times New Roman" w:eastAsia="宋体" w:cs="Times New Roman"/>
                <w:b/>
                <w:color w:val="auto"/>
                <w:kern w:val="2"/>
                <w:sz w:val="24"/>
                <w:szCs w:val="21"/>
                <w:highlight w:val="none"/>
                <w:lang w:val="en-US" w:eastAsia="zh-CN" w:bidi="ar-SA"/>
              </w:rPr>
            </w:pPr>
          </w:p>
          <w:p w14:paraId="370805D7">
            <w:pPr>
              <w:rPr>
                <w:rFonts w:ascii="Times New Roman" w:hAnsi="Times New Roman" w:eastAsia="宋体" w:cs="Times New Roman"/>
                <w:b/>
                <w:color w:val="auto"/>
                <w:kern w:val="2"/>
                <w:sz w:val="24"/>
                <w:szCs w:val="21"/>
                <w:highlight w:val="none"/>
                <w:lang w:val="en-US" w:eastAsia="zh-CN" w:bidi="ar-SA"/>
              </w:rPr>
            </w:pPr>
          </w:p>
          <w:p w14:paraId="3A91BE77">
            <w:pPr>
              <w:pStyle w:val="6"/>
              <w:rPr>
                <w:rFonts w:ascii="Times New Roman" w:hAnsi="Times New Roman" w:eastAsia="宋体" w:cs="Times New Roman"/>
                <w:b/>
                <w:color w:val="auto"/>
                <w:kern w:val="2"/>
                <w:sz w:val="24"/>
                <w:szCs w:val="21"/>
                <w:highlight w:val="none"/>
                <w:lang w:val="en-US" w:eastAsia="zh-CN" w:bidi="ar-SA"/>
              </w:rPr>
            </w:pPr>
          </w:p>
          <w:p w14:paraId="59DBDDB5">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r>
              <w:rPr>
                <w:rFonts w:ascii="Times New Roman" w:hAnsi="Times New Roman" w:eastAsia="宋体" w:cs="Times New Roman"/>
                <w:b/>
                <w:color w:val="auto"/>
                <w:kern w:val="2"/>
                <w:sz w:val="24"/>
                <w:szCs w:val="21"/>
                <w:highlight w:val="none"/>
                <w:lang w:val="en-US" w:eastAsia="zh-CN" w:bidi="ar-SA"/>
              </w:rPr>
              <w:t>其他符合性分析</w:t>
            </w:r>
          </w:p>
          <w:p w14:paraId="5769BA70">
            <w:pPr>
              <w:pStyle w:val="6"/>
              <w:rPr>
                <w:rFonts w:ascii="Times New Roman" w:hAnsi="Times New Roman" w:eastAsia="宋体" w:cs="Times New Roman"/>
                <w:b/>
                <w:color w:val="auto"/>
                <w:kern w:val="2"/>
                <w:sz w:val="24"/>
                <w:szCs w:val="21"/>
                <w:highlight w:val="none"/>
                <w:lang w:val="en-US" w:eastAsia="zh-CN" w:bidi="ar-SA"/>
              </w:rPr>
            </w:pPr>
          </w:p>
          <w:p w14:paraId="63FEAD48">
            <w:pPr>
              <w:rPr>
                <w:rFonts w:ascii="Times New Roman" w:hAnsi="Times New Roman" w:eastAsia="宋体" w:cs="Times New Roman"/>
                <w:b/>
                <w:color w:val="auto"/>
                <w:kern w:val="2"/>
                <w:sz w:val="24"/>
                <w:szCs w:val="21"/>
                <w:highlight w:val="none"/>
                <w:lang w:val="en-US" w:eastAsia="zh-CN" w:bidi="ar-SA"/>
              </w:rPr>
            </w:pPr>
          </w:p>
          <w:p w14:paraId="01464D13">
            <w:pPr>
              <w:pStyle w:val="6"/>
              <w:rPr>
                <w:rFonts w:ascii="Times New Roman" w:hAnsi="Times New Roman" w:eastAsia="宋体" w:cs="Times New Roman"/>
                <w:b/>
                <w:color w:val="auto"/>
                <w:kern w:val="2"/>
                <w:sz w:val="24"/>
                <w:szCs w:val="21"/>
                <w:highlight w:val="none"/>
                <w:lang w:val="en-US" w:eastAsia="zh-CN" w:bidi="ar-SA"/>
              </w:rPr>
            </w:pPr>
          </w:p>
          <w:p w14:paraId="40598036">
            <w:pPr>
              <w:rPr>
                <w:rFonts w:ascii="Times New Roman" w:hAnsi="Times New Roman" w:eastAsia="宋体" w:cs="Times New Roman"/>
                <w:b/>
                <w:color w:val="auto"/>
                <w:kern w:val="2"/>
                <w:sz w:val="24"/>
                <w:szCs w:val="21"/>
                <w:highlight w:val="none"/>
                <w:lang w:val="en-US" w:eastAsia="zh-CN" w:bidi="ar-SA"/>
              </w:rPr>
            </w:pPr>
          </w:p>
          <w:p w14:paraId="1357E1AD">
            <w:pPr>
              <w:pStyle w:val="6"/>
              <w:rPr>
                <w:rFonts w:ascii="Times New Roman" w:hAnsi="Times New Roman" w:eastAsia="宋体" w:cs="Times New Roman"/>
                <w:b/>
                <w:color w:val="auto"/>
                <w:kern w:val="2"/>
                <w:sz w:val="24"/>
                <w:szCs w:val="21"/>
                <w:highlight w:val="none"/>
                <w:lang w:val="en-US" w:eastAsia="zh-CN" w:bidi="ar-SA"/>
              </w:rPr>
            </w:pPr>
          </w:p>
          <w:p w14:paraId="08B9901C">
            <w:pPr>
              <w:rPr>
                <w:rFonts w:ascii="Times New Roman" w:hAnsi="Times New Roman" w:eastAsia="宋体" w:cs="Times New Roman"/>
                <w:b/>
                <w:color w:val="auto"/>
                <w:kern w:val="2"/>
                <w:sz w:val="24"/>
                <w:szCs w:val="21"/>
                <w:highlight w:val="none"/>
                <w:lang w:val="en-US" w:eastAsia="zh-CN" w:bidi="ar-SA"/>
              </w:rPr>
            </w:pPr>
          </w:p>
          <w:p w14:paraId="4A5B6079">
            <w:pPr>
              <w:pStyle w:val="6"/>
              <w:rPr>
                <w:rFonts w:ascii="Times New Roman" w:hAnsi="Times New Roman" w:eastAsia="宋体" w:cs="Times New Roman"/>
                <w:b/>
                <w:color w:val="auto"/>
                <w:kern w:val="2"/>
                <w:sz w:val="24"/>
                <w:szCs w:val="21"/>
                <w:highlight w:val="none"/>
                <w:lang w:val="en-US" w:eastAsia="zh-CN" w:bidi="ar-SA"/>
              </w:rPr>
            </w:pPr>
          </w:p>
          <w:p w14:paraId="57F0D567">
            <w:pPr>
              <w:rPr>
                <w:rFonts w:ascii="Times New Roman" w:hAnsi="Times New Roman" w:eastAsia="宋体" w:cs="Times New Roman"/>
                <w:b/>
                <w:color w:val="auto"/>
                <w:kern w:val="2"/>
                <w:sz w:val="24"/>
                <w:szCs w:val="21"/>
                <w:highlight w:val="none"/>
                <w:lang w:val="en-US" w:eastAsia="zh-CN" w:bidi="ar-SA"/>
              </w:rPr>
            </w:pPr>
          </w:p>
          <w:p w14:paraId="5AA3A6AC">
            <w:pPr>
              <w:pStyle w:val="6"/>
              <w:rPr>
                <w:rFonts w:ascii="Times New Roman" w:hAnsi="Times New Roman" w:eastAsia="宋体" w:cs="Times New Roman"/>
                <w:b/>
                <w:color w:val="auto"/>
                <w:kern w:val="2"/>
                <w:sz w:val="24"/>
                <w:szCs w:val="21"/>
                <w:highlight w:val="none"/>
                <w:lang w:val="en-US" w:eastAsia="zh-CN" w:bidi="ar-SA"/>
              </w:rPr>
            </w:pPr>
          </w:p>
          <w:p w14:paraId="06BA88B3">
            <w:pPr>
              <w:rPr>
                <w:rFonts w:ascii="Times New Roman" w:hAnsi="Times New Roman" w:eastAsia="宋体" w:cs="Times New Roman"/>
                <w:b/>
                <w:color w:val="auto"/>
                <w:kern w:val="2"/>
                <w:sz w:val="24"/>
                <w:szCs w:val="21"/>
                <w:highlight w:val="none"/>
                <w:lang w:val="en-US" w:eastAsia="zh-CN" w:bidi="ar-SA"/>
              </w:rPr>
            </w:pPr>
          </w:p>
          <w:p w14:paraId="20B53712">
            <w:pPr>
              <w:pStyle w:val="6"/>
              <w:rPr>
                <w:rFonts w:ascii="Times New Roman" w:hAnsi="Times New Roman" w:eastAsia="宋体" w:cs="Times New Roman"/>
                <w:b/>
                <w:color w:val="auto"/>
                <w:kern w:val="2"/>
                <w:sz w:val="24"/>
                <w:szCs w:val="21"/>
                <w:highlight w:val="none"/>
                <w:lang w:val="en-US" w:eastAsia="zh-CN" w:bidi="ar-SA"/>
              </w:rPr>
            </w:pPr>
          </w:p>
          <w:p w14:paraId="528FB8A4">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10726CBE">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25B0706F">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193E4F7B">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1DE2FDE6">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1FA0ABEC">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7DA1B865">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40D43A15">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08555922">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76FC0D21">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5AF0F311">
            <w:pPr>
              <w:pStyle w:val="6"/>
              <w:rPr>
                <w:rFonts w:ascii="Times New Roman" w:hAnsi="Times New Roman" w:eastAsia="宋体" w:cs="Times New Roman"/>
                <w:b/>
                <w:color w:val="auto"/>
                <w:kern w:val="2"/>
                <w:sz w:val="24"/>
                <w:szCs w:val="21"/>
                <w:highlight w:val="none"/>
                <w:lang w:val="en-US" w:eastAsia="zh-CN" w:bidi="ar-SA"/>
              </w:rPr>
            </w:pPr>
          </w:p>
          <w:p w14:paraId="053CDAA1">
            <w:pPr>
              <w:pStyle w:val="33"/>
              <w:rPr>
                <w:rFonts w:ascii="Times New Roman" w:hAnsi="Times New Roman" w:eastAsia="宋体" w:cs="Times New Roman"/>
                <w:b/>
                <w:color w:val="auto"/>
                <w:kern w:val="2"/>
                <w:sz w:val="24"/>
                <w:szCs w:val="21"/>
                <w:highlight w:val="none"/>
                <w:lang w:val="en-US" w:eastAsia="zh-CN" w:bidi="ar-SA"/>
              </w:rPr>
            </w:pPr>
          </w:p>
          <w:p w14:paraId="489C0CAF">
            <w:pPr>
              <w:rPr>
                <w:rFonts w:ascii="Times New Roman" w:hAnsi="Times New Roman" w:eastAsia="宋体" w:cs="Times New Roman"/>
                <w:b/>
                <w:color w:val="auto"/>
                <w:kern w:val="2"/>
                <w:sz w:val="24"/>
                <w:szCs w:val="21"/>
                <w:highlight w:val="none"/>
                <w:lang w:val="en-US" w:eastAsia="zh-CN" w:bidi="ar-SA"/>
              </w:rPr>
            </w:pPr>
          </w:p>
          <w:p w14:paraId="3D11E4DC">
            <w:pPr>
              <w:pStyle w:val="33"/>
              <w:rPr>
                <w:color w:val="auto"/>
                <w:highlight w:val="none"/>
                <w:lang w:val="en-US" w:eastAsia="zh-CN"/>
              </w:rPr>
            </w:pPr>
          </w:p>
          <w:p w14:paraId="3228710C">
            <w:pPr>
              <w:rPr>
                <w:rFonts w:ascii="Times New Roman" w:hAnsi="Times New Roman" w:eastAsia="宋体" w:cs="Times New Roman"/>
                <w:b/>
                <w:color w:val="auto"/>
                <w:kern w:val="2"/>
                <w:sz w:val="24"/>
                <w:szCs w:val="21"/>
                <w:highlight w:val="none"/>
                <w:lang w:val="en-US" w:eastAsia="zh-CN" w:bidi="ar-SA"/>
              </w:rPr>
            </w:pPr>
          </w:p>
          <w:p w14:paraId="6357143A">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0DF1A15A">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r>
              <w:rPr>
                <w:rFonts w:ascii="Times New Roman" w:hAnsi="Times New Roman" w:eastAsia="宋体" w:cs="Times New Roman"/>
                <w:b/>
                <w:color w:val="auto"/>
                <w:kern w:val="2"/>
                <w:sz w:val="24"/>
                <w:szCs w:val="21"/>
                <w:highlight w:val="none"/>
                <w:lang w:val="en-US" w:eastAsia="zh-CN" w:bidi="ar-SA"/>
              </w:rPr>
              <w:t>其他符合性分析</w:t>
            </w:r>
          </w:p>
          <w:p w14:paraId="1436FD1F">
            <w:pPr>
              <w:pStyle w:val="6"/>
              <w:rPr>
                <w:rFonts w:ascii="Times New Roman" w:hAnsi="Times New Roman" w:eastAsia="宋体" w:cs="Times New Roman"/>
                <w:b/>
                <w:color w:val="auto"/>
                <w:kern w:val="2"/>
                <w:sz w:val="24"/>
                <w:szCs w:val="21"/>
                <w:highlight w:val="none"/>
                <w:lang w:val="en-US" w:eastAsia="zh-CN" w:bidi="ar-SA"/>
              </w:rPr>
            </w:pPr>
          </w:p>
          <w:p w14:paraId="32467B1C">
            <w:pPr>
              <w:rPr>
                <w:rFonts w:ascii="Times New Roman" w:hAnsi="Times New Roman" w:eastAsia="宋体" w:cs="Times New Roman"/>
                <w:b/>
                <w:color w:val="auto"/>
                <w:kern w:val="2"/>
                <w:sz w:val="24"/>
                <w:szCs w:val="21"/>
                <w:highlight w:val="none"/>
                <w:lang w:val="en-US" w:eastAsia="zh-CN" w:bidi="ar-SA"/>
              </w:rPr>
            </w:pPr>
          </w:p>
          <w:p w14:paraId="76C35504">
            <w:pPr>
              <w:pStyle w:val="6"/>
              <w:rPr>
                <w:rFonts w:ascii="Times New Roman" w:hAnsi="Times New Roman" w:eastAsia="宋体" w:cs="Times New Roman"/>
                <w:b/>
                <w:color w:val="auto"/>
                <w:kern w:val="2"/>
                <w:sz w:val="24"/>
                <w:szCs w:val="21"/>
                <w:highlight w:val="none"/>
                <w:lang w:val="en-US" w:eastAsia="zh-CN" w:bidi="ar-SA"/>
              </w:rPr>
            </w:pPr>
          </w:p>
          <w:p w14:paraId="7E4BF677">
            <w:pPr>
              <w:rPr>
                <w:rFonts w:ascii="Times New Roman" w:hAnsi="Times New Roman" w:eastAsia="宋体" w:cs="Times New Roman"/>
                <w:b/>
                <w:color w:val="auto"/>
                <w:kern w:val="2"/>
                <w:sz w:val="24"/>
                <w:szCs w:val="21"/>
                <w:highlight w:val="none"/>
                <w:lang w:val="en-US" w:eastAsia="zh-CN" w:bidi="ar-SA"/>
              </w:rPr>
            </w:pPr>
          </w:p>
          <w:p w14:paraId="06F6425C">
            <w:pPr>
              <w:pStyle w:val="6"/>
              <w:rPr>
                <w:rFonts w:ascii="Times New Roman" w:hAnsi="Times New Roman" w:eastAsia="宋体" w:cs="Times New Roman"/>
                <w:b/>
                <w:color w:val="auto"/>
                <w:kern w:val="2"/>
                <w:sz w:val="24"/>
                <w:szCs w:val="21"/>
                <w:highlight w:val="none"/>
                <w:lang w:val="en-US" w:eastAsia="zh-CN" w:bidi="ar-SA"/>
              </w:rPr>
            </w:pPr>
          </w:p>
          <w:p w14:paraId="1AF29806">
            <w:pPr>
              <w:rPr>
                <w:rFonts w:ascii="Times New Roman" w:hAnsi="Times New Roman" w:eastAsia="宋体" w:cs="Times New Roman"/>
                <w:b/>
                <w:color w:val="auto"/>
                <w:kern w:val="2"/>
                <w:sz w:val="24"/>
                <w:szCs w:val="21"/>
                <w:highlight w:val="none"/>
                <w:lang w:val="en-US" w:eastAsia="zh-CN" w:bidi="ar-SA"/>
              </w:rPr>
            </w:pPr>
          </w:p>
          <w:p w14:paraId="7D34ACA3">
            <w:pPr>
              <w:pStyle w:val="6"/>
              <w:rPr>
                <w:rFonts w:ascii="Times New Roman" w:hAnsi="Times New Roman" w:eastAsia="宋体" w:cs="Times New Roman"/>
                <w:b/>
                <w:color w:val="auto"/>
                <w:kern w:val="2"/>
                <w:sz w:val="24"/>
                <w:szCs w:val="21"/>
                <w:highlight w:val="none"/>
                <w:lang w:val="en-US" w:eastAsia="zh-CN" w:bidi="ar-SA"/>
              </w:rPr>
            </w:pPr>
          </w:p>
          <w:p w14:paraId="5CF81835">
            <w:pPr>
              <w:rPr>
                <w:rFonts w:ascii="Times New Roman" w:hAnsi="Times New Roman" w:eastAsia="宋体" w:cs="Times New Roman"/>
                <w:b/>
                <w:color w:val="auto"/>
                <w:kern w:val="2"/>
                <w:sz w:val="24"/>
                <w:szCs w:val="21"/>
                <w:highlight w:val="none"/>
                <w:lang w:val="en-US" w:eastAsia="zh-CN" w:bidi="ar-SA"/>
              </w:rPr>
            </w:pPr>
          </w:p>
          <w:p w14:paraId="2605BD96">
            <w:pPr>
              <w:pStyle w:val="6"/>
              <w:rPr>
                <w:rFonts w:ascii="Times New Roman" w:hAnsi="Times New Roman" w:eastAsia="宋体" w:cs="Times New Roman"/>
                <w:b/>
                <w:color w:val="auto"/>
                <w:kern w:val="2"/>
                <w:sz w:val="24"/>
                <w:szCs w:val="21"/>
                <w:highlight w:val="none"/>
                <w:lang w:val="en-US" w:eastAsia="zh-CN" w:bidi="ar-SA"/>
              </w:rPr>
            </w:pPr>
          </w:p>
          <w:p w14:paraId="5A3FA479">
            <w:pPr>
              <w:rPr>
                <w:rFonts w:ascii="Times New Roman" w:hAnsi="Times New Roman" w:eastAsia="宋体" w:cs="Times New Roman"/>
                <w:b/>
                <w:color w:val="auto"/>
                <w:kern w:val="2"/>
                <w:sz w:val="24"/>
                <w:szCs w:val="21"/>
                <w:highlight w:val="none"/>
                <w:lang w:val="en-US" w:eastAsia="zh-CN" w:bidi="ar-SA"/>
              </w:rPr>
            </w:pPr>
          </w:p>
          <w:p w14:paraId="68C1685C">
            <w:pPr>
              <w:autoSpaceDE w:val="0"/>
              <w:autoSpaceDN w:val="0"/>
              <w:adjustRightInd w:val="0"/>
              <w:snapToGrid w:val="0"/>
              <w:jc w:val="both"/>
              <w:rPr>
                <w:rFonts w:ascii="Times New Roman" w:hAnsi="Times New Roman" w:eastAsia="宋体" w:cs="Times New Roman"/>
                <w:b/>
                <w:color w:val="auto"/>
                <w:kern w:val="2"/>
                <w:sz w:val="24"/>
                <w:szCs w:val="21"/>
                <w:highlight w:val="none"/>
                <w:lang w:val="en-US" w:eastAsia="zh-CN" w:bidi="ar-SA"/>
              </w:rPr>
            </w:pPr>
          </w:p>
          <w:p w14:paraId="7507C9A2">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3349BF50">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60812AE6">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0D1827B1">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2F18B60F">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2C0F6AED">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2574F35C">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1761663A">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1CE46698">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251C74FB">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56AE4DDF">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07B02A00">
            <w:pPr>
              <w:pStyle w:val="6"/>
              <w:rPr>
                <w:rFonts w:ascii="Times New Roman" w:hAnsi="Times New Roman" w:eastAsia="宋体" w:cs="Times New Roman"/>
                <w:b/>
                <w:color w:val="auto"/>
                <w:kern w:val="2"/>
                <w:sz w:val="24"/>
                <w:szCs w:val="21"/>
                <w:highlight w:val="none"/>
                <w:lang w:val="en-US" w:eastAsia="zh-CN" w:bidi="ar-SA"/>
              </w:rPr>
            </w:pPr>
          </w:p>
          <w:p w14:paraId="4312A98A">
            <w:pPr>
              <w:rPr>
                <w:rFonts w:ascii="Times New Roman" w:hAnsi="Times New Roman" w:eastAsia="宋体" w:cs="Times New Roman"/>
                <w:b/>
                <w:color w:val="auto"/>
                <w:kern w:val="2"/>
                <w:sz w:val="24"/>
                <w:szCs w:val="21"/>
                <w:highlight w:val="none"/>
                <w:lang w:val="en-US" w:eastAsia="zh-CN" w:bidi="ar-SA"/>
              </w:rPr>
            </w:pPr>
          </w:p>
          <w:p w14:paraId="53C0B99E">
            <w:pPr>
              <w:pStyle w:val="6"/>
              <w:rPr>
                <w:rFonts w:ascii="Times New Roman" w:hAnsi="Times New Roman" w:eastAsia="宋体" w:cs="Times New Roman"/>
                <w:b/>
                <w:color w:val="auto"/>
                <w:kern w:val="2"/>
                <w:sz w:val="24"/>
                <w:szCs w:val="21"/>
                <w:highlight w:val="none"/>
                <w:lang w:val="en-US" w:eastAsia="zh-CN" w:bidi="ar-SA"/>
              </w:rPr>
            </w:pPr>
          </w:p>
          <w:p w14:paraId="6D9F4665">
            <w:pPr>
              <w:jc w:val="center"/>
              <w:rPr>
                <w:rFonts w:ascii="Times New Roman" w:hAnsi="Times New Roman" w:eastAsia="宋体" w:cs="Times New Roman"/>
                <w:b/>
                <w:color w:val="auto"/>
                <w:kern w:val="2"/>
                <w:sz w:val="24"/>
                <w:szCs w:val="21"/>
                <w:highlight w:val="none"/>
                <w:lang w:val="en-US" w:eastAsia="zh-CN" w:bidi="ar-SA"/>
              </w:rPr>
            </w:pPr>
            <w:r>
              <w:rPr>
                <w:rFonts w:ascii="Times New Roman" w:hAnsi="Times New Roman" w:eastAsia="宋体" w:cs="Times New Roman"/>
                <w:b/>
                <w:color w:val="auto"/>
                <w:kern w:val="2"/>
                <w:sz w:val="24"/>
                <w:szCs w:val="21"/>
                <w:highlight w:val="none"/>
                <w:lang w:val="en-US" w:eastAsia="zh-CN" w:bidi="ar-SA"/>
              </w:rPr>
              <w:t>其他符合性分析</w:t>
            </w:r>
          </w:p>
          <w:p w14:paraId="4CA9ABD0">
            <w:pPr>
              <w:pStyle w:val="6"/>
              <w:rPr>
                <w:rFonts w:ascii="Times New Roman" w:hAnsi="Times New Roman" w:eastAsia="宋体" w:cs="Times New Roman"/>
                <w:b/>
                <w:color w:val="auto"/>
                <w:kern w:val="2"/>
                <w:sz w:val="24"/>
                <w:szCs w:val="21"/>
                <w:highlight w:val="none"/>
                <w:lang w:val="en-US" w:eastAsia="zh-CN" w:bidi="ar-SA"/>
              </w:rPr>
            </w:pPr>
          </w:p>
          <w:p w14:paraId="6B29DEAD">
            <w:pPr>
              <w:rPr>
                <w:rFonts w:ascii="Times New Roman" w:hAnsi="Times New Roman" w:eastAsia="宋体" w:cs="Times New Roman"/>
                <w:b/>
                <w:color w:val="auto"/>
                <w:kern w:val="2"/>
                <w:sz w:val="24"/>
                <w:szCs w:val="21"/>
                <w:highlight w:val="none"/>
                <w:lang w:val="en-US" w:eastAsia="zh-CN" w:bidi="ar-SA"/>
              </w:rPr>
            </w:pPr>
          </w:p>
          <w:p w14:paraId="4B699AAA">
            <w:pPr>
              <w:pStyle w:val="6"/>
              <w:rPr>
                <w:rFonts w:ascii="Times New Roman" w:hAnsi="Times New Roman" w:eastAsia="宋体" w:cs="Times New Roman"/>
                <w:b/>
                <w:color w:val="auto"/>
                <w:kern w:val="2"/>
                <w:sz w:val="24"/>
                <w:szCs w:val="21"/>
                <w:highlight w:val="none"/>
                <w:lang w:val="en-US" w:eastAsia="zh-CN" w:bidi="ar-SA"/>
              </w:rPr>
            </w:pPr>
          </w:p>
          <w:p w14:paraId="63774CD8">
            <w:pPr>
              <w:rPr>
                <w:rFonts w:ascii="Times New Roman" w:hAnsi="Times New Roman" w:eastAsia="宋体" w:cs="Times New Roman"/>
                <w:b/>
                <w:color w:val="auto"/>
                <w:kern w:val="2"/>
                <w:sz w:val="24"/>
                <w:szCs w:val="21"/>
                <w:highlight w:val="none"/>
                <w:lang w:val="en-US" w:eastAsia="zh-CN" w:bidi="ar-SA"/>
              </w:rPr>
            </w:pPr>
          </w:p>
          <w:p w14:paraId="0E47DF16">
            <w:pPr>
              <w:pStyle w:val="6"/>
              <w:rPr>
                <w:rFonts w:ascii="Times New Roman" w:hAnsi="Times New Roman" w:eastAsia="宋体" w:cs="Times New Roman"/>
                <w:b/>
                <w:color w:val="auto"/>
                <w:kern w:val="2"/>
                <w:sz w:val="24"/>
                <w:szCs w:val="21"/>
                <w:highlight w:val="none"/>
                <w:lang w:val="en-US" w:eastAsia="zh-CN" w:bidi="ar-SA"/>
              </w:rPr>
            </w:pPr>
          </w:p>
          <w:p w14:paraId="04F00473">
            <w:pPr>
              <w:rPr>
                <w:rFonts w:ascii="Times New Roman" w:hAnsi="Times New Roman" w:eastAsia="宋体" w:cs="Times New Roman"/>
                <w:b/>
                <w:color w:val="auto"/>
                <w:kern w:val="2"/>
                <w:sz w:val="24"/>
                <w:szCs w:val="21"/>
                <w:highlight w:val="none"/>
                <w:lang w:val="en-US" w:eastAsia="zh-CN" w:bidi="ar-SA"/>
              </w:rPr>
            </w:pPr>
          </w:p>
          <w:p w14:paraId="79D5E69E">
            <w:pPr>
              <w:pStyle w:val="6"/>
              <w:rPr>
                <w:rFonts w:ascii="Times New Roman" w:hAnsi="Times New Roman" w:eastAsia="宋体" w:cs="Times New Roman"/>
                <w:b/>
                <w:color w:val="auto"/>
                <w:kern w:val="2"/>
                <w:sz w:val="24"/>
                <w:szCs w:val="21"/>
                <w:highlight w:val="none"/>
                <w:lang w:val="en-US" w:eastAsia="zh-CN" w:bidi="ar-SA"/>
              </w:rPr>
            </w:pPr>
          </w:p>
          <w:p w14:paraId="03C22D5D">
            <w:pPr>
              <w:rPr>
                <w:rFonts w:ascii="Times New Roman" w:hAnsi="Times New Roman" w:eastAsia="宋体" w:cs="Times New Roman"/>
                <w:b/>
                <w:color w:val="auto"/>
                <w:kern w:val="2"/>
                <w:sz w:val="24"/>
                <w:szCs w:val="21"/>
                <w:highlight w:val="none"/>
                <w:lang w:val="en-US" w:eastAsia="zh-CN" w:bidi="ar-SA"/>
              </w:rPr>
            </w:pPr>
          </w:p>
          <w:p w14:paraId="4622F95D">
            <w:pPr>
              <w:pStyle w:val="6"/>
              <w:rPr>
                <w:rFonts w:ascii="Times New Roman" w:hAnsi="Times New Roman" w:eastAsia="宋体" w:cs="Times New Roman"/>
                <w:b/>
                <w:color w:val="auto"/>
                <w:kern w:val="2"/>
                <w:sz w:val="24"/>
                <w:szCs w:val="21"/>
                <w:highlight w:val="none"/>
                <w:lang w:val="en-US" w:eastAsia="zh-CN" w:bidi="ar-SA"/>
              </w:rPr>
            </w:pPr>
          </w:p>
          <w:p w14:paraId="677EC19C">
            <w:pPr>
              <w:rPr>
                <w:rFonts w:ascii="Times New Roman" w:hAnsi="Times New Roman" w:eastAsia="宋体" w:cs="Times New Roman"/>
                <w:b/>
                <w:color w:val="auto"/>
                <w:kern w:val="2"/>
                <w:sz w:val="24"/>
                <w:szCs w:val="21"/>
                <w:highlight w:val="none"/>
                <w:lang w:val="en-US" w:eastAsia="zh-CN" w:bidi="ar-SA"/>
              </w:rPr>
            </w:pPr>
          </w:p>
          <w:p w14:paraId="2935C955">
            <w:pPr>
              <w:pStyle w:val="33"/>
              <w:ind w:left="480" w:firstLine="480"/>
              <w:rPr>
                <w:rFonts w:ascii="Times New Roman" w:hAnsi="Times New Roman" w:eastAsia="宋体" w:cs="Times New Roman"/>
                <w:b/>
                <w:color w:val="auto"/>
                <w:kern w:val="2"/>
                <w:sz w:val="24"/>
                <w:szCs w:val="21"/>
                <w:highlight w:val="none"/>
                <w:lang w:val="en-US" w:eastAsia="zh-CN" w:bidi="ar-SA"/>
              </w:rPr>
            </w:pPr>
          </w:p>
          <w:p w14:paraId="2F60FE59">
            <w:pPr>
              <w:rPr>
                <w:rFonts w:ascii="Times New Roman" w:hAnsi="Times New Roman" w:eastAsia="宋体" w:cs="Times New Roman"/>
                <w:b/>
                <w:color w:val="auto"/>
                <w:kern w:val="2"/>
                <w:sz w:val="24"/>
                <w:szCs w:val="21"/>
                <w:highlight w:val="none"/>
                <w:lang w:val="en-US" w:eastAsia="zh-CN" w:bidi="ar-SA"/>
              </w:rPr>
            </w:pPr>
          </w:p>
          <w:p w14:paraId="6E70AC6F">
            <w:pPr>
              <w:pStyle w:val="33"/>
              <w:rPr>
                <w:rFonts w:ascii="Times New Roman" w:hAnsi="Times New Roman" w:eastAsia="宋体" w:cs="Times New Roman"/>
                <w:b/>
                <w:color w:val="auto"/>
                <w:kern w:val="2"/>
                <w:sz w:val="24"/>
                <w:szCs w:val="21"/>
                <w:highlight w:val="none"/>
                <w:lang w:val="en-US" w:eastAsia="zh-CN" w:bidi="ar-SA"/>
              </w:rPr>
            </w:pPr>
          </w:p>
          <w:p w14:paraId="7164DBF2">
            <w:pPr>
              <w:rPr>
                <w:rFonts w:ascii="Times New Roman" w:hAnsi="Times New Roman" w:eastAsia="宋体" w:cs="Times New Roman"/>
                <w:b/>
                <w:color w:val="auto"/>
                <w:kern w:val="2"/>
                <w:sz w:val="24"/>
                <w:szCs w:val="21"/>
                <w:highlight w:val="none"/>
                <w:lang w:val="en-US" w:eastAsia="zh-CN" w:bidi="ar-SA"/>
              </w:rPr>
            </w:pPr>
          </w:p>
          <w:p w14:paraId="04181DCD">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1DC6210C">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28B2A687">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62923A6C">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3A4473DC">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2609B91B">
            <w:pPr>
              <w:pStyle w:val="33"/>
              <w:rPr>
                <w:rFonts w:ascii="Times New Roman" w:hAnsi="Times New Roman" w:eastAsia="宋体" w:cs="Times New Roman"/>
                <w:b/>
                <w:color w:val="auto"/>
                <w:kern w:val="2"/>
                <w:sz w:val="24"/>
                <w:szCs w:val="21"/>
                <w:highlight w:val="none"/>
                <w:lang w:val="en-US" w:eastAsia="zh-CN" w:bidi="ar-SA"/>
              </w:rPr>
            </w:pPr>
          </w:p>
          <w:p w14:paraId="1EDB6B7C">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593F5E10">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7D866888">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518E3D12">
            <w:pPr>
              <w:pStyle w:val="6"/>
              <w:rPr>
                <w:rFonts w:ascii="Times New Roman" w:hAnsi="Times New Roman" w:eastAsia="宋体" w:cs="Times New Roman"/>
                <w:b/>
                <w:color w:val="auto"/>
                <w:kern w:val="2"/>
                <w:sz w:val="24"/>
                <w:szCs w:val="21"/>
                <w:highlight w:val="none"/>
                <w:lang w:val="en-US" w:eastAsia="zh-CN" w:bidi="ar-SA"/>
              </w:rPr>
            </w:pPr>
          </w:p>
          <w:p w14:paraId="11F418F9">
            <w:pPr>
              <w:rPr>
                <w:rFonts w:ascii="Times New Roman" w:hAnsi="Times New Roman" w:eastAsia="宋体" w:cs="Times New Roman"/>
                <w:b/>
                <w:color w:val="auto"/>
                <w:kern w:val="2"/>
                <w:sz w:val="24"/>
                <w:szCs w:val="21"/>
                <w:highlight w:val="none"/>
                <w:lang w:val="en-US" w:eastAsia="zh-CN" w:bidi="ar-SA"/>
              </w:rPr>
            </w:pPr>
          </w:p>
          <w:p w14:paraId="1E39B1D8">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21532A59">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r>
              <w:rPr>
                <w:rFonts w:ascii="Times New Roman" w:hAnsi="Times New Roman" w:eastAsia="宋体" w:cs="Times New Roman"/>
                <w:b/>
                <w:color w:val="auto"/>
                <w:kern w:val="2"/>
                <w:sz w:val="24"/>
                <w:szCs w:val="21"/>
                <w:highlight w:val="none"/>
                <w:lang w:val="en-US" w:eastAsia="zh-CN" w:bidi="ar-SA"/>
              </w:rPr>
              <w:t>其他符合性分析</w:t>
            </w:r>
          </w:p>
          <w:p w14:paraId="752FE014">
            <w:pPr>
              <w:pStyle w:val="6"/>
              <w:rPr>
                <w:rFonts w:ascii="Times New Roman" w:hAnsi="Times New Roman" w:eastAsia="宋体" w:cs="Times New Roman"/>
                <w:b/>
                <w:color w:val="auto"/>
                <w:kern w:val="2"/>
                <w:sz w:val="24"/>
                <w:szCs w:val="21"/>
                <w:highlight w:val="none"/>
                <w:lang w:val="en-US" w:eastAsia="zh-CN" w:bidi="ar-SA"/>
              </w:rPr>
            </w:pPr>
          </w:p>
          <w:p w14:paraId="28743E7E">
            <w:pPr>
              <w:rPr>
                <w:rFonts w:ascii="Times New Roman" w:hAnsi="Times New Roman" w:eastAsia="宋体" w:cs="Times New Roman"/>
                <w:b/>
                <w:color w:val="auto"/>
                <w:kern w:val="2"/>
                <w:sz w:val="24"/>
                <w:szCs w:val="21"/>
                <w:highlight w:val="none"/>
                <w:lang w:val="en-US" w:eastAsia="zh-CN" w:bidi="ar-SA"/>
              </w:rPr>
            </w:pPr>
          </w:p>
          <w:p w14:paraId="3245CEAE">
            <w:pPr>
              <w:pStyle w:val="6"/>
              <w:rPr>
                <w:rFonts w:ascii="Times New Roman" w:hAnsi="Times New Roman" w:eastAsia="宋体" w:cs="Times New Roman"/>
                <w:b/>
                <w:color w:val="auto"/>
                <w:kern w:val="2"/>
                <w:sz w:val="24"/>
                <w:szCs w:val="21"/>
                <w:highlight w:val="none"/>
                <w:lang w:val="en-US" w:eastAsia="zh-CN" w:bidi="ar-SA"/>
              </w:rPr>
            </w:pPr>
          </w:p>
          <w:p w14:paraId="13DFF3FB">
            <w:pPr>
              <w:rPr>
                <w:rFonts w:ascii="Times New Roman" w:hAnsi="Times New Roman" w:eastAsia="宋体" w:cs="Times New Roman"/>
                <w:b/>
                <w:color w:val="auto"/>
                <w:kern w:val="2"/>
                <w:sz w:val="24"/>
                <w:szCs w:val="21"/>
                <w:highlight w:val="none"/>
                <w:lang w:val="en-US" w:eastAsia="zh-CN" w:bidi="ar-SA"/>
              </w:rPr>
            </w:pPr>
          </w:p>
          <w:p w14:paraId="6DADF7AD">
            <w:pPr>
              <w:pStyle w:val="6"/>
              <w:rPr>
                <w:rFonts w:ascii="Times New Roman" w:hAnsi="Times New Roman" w:eastAsia="宋体" w:cs="Times New Roman"/>
                <w:b/>
                <w:color w:val="auto"/>
                <w:kern w:val="2"/>
                <w:sz w:val="24"/>
                <w:szCs w:val="21"/>
                <w:highlight w:val="none"/>
                <w:lang w:val="en-US" w:eastAsia="zh-CN" w:bidi="ar-SA"/>
              </w:rPr>
            </w:pPr>
          </w:p>
          <w:p w14:paraId="40BC71B9">
            <w:pPr>
              <w:rPr>
                <w:rFonts w:ascii="Times New Roman" w:hAnsi="Times New Roman" w:eastAsia="宋体" w:cs="Times New Roman"/>
                <w:b/>
                <w:color w:val="auto"/>
                <w:kern w:val="2"/>
                <w:sz w:val="24"/>
                <w:szCs w:val="21"/>
                <w:highlight w:val="none"/>
                <w:lang w:val="en-US" w:eastAsia="zh-CN" w:bidi="ar-SA"/>
              </w:rPr>
            </w:pPr>
          </w:p>
          <w:p w14:paraId="42817B3C">
            <w:pPr>
              <w:pStyle w:val="6"/>
              <w:rPr>
                <w:rFonts w:ascii="Times New Roman" w:hAnsi="Times New Roman" w:eastAsia="宋体" w:cs="Times New Roman"/>
                <w:b/>
                <w:color w:val="auto"/>
                <w:kern w:val="2"/>
                <w:sz w:val="24"/>
                <w:szCs w:val="21"/>
                <w:highlight w:val="none"/>
                <w:lang w:val="en-US" w:eastAsia="zh-CN" w:bidi="ar-SA"/>
              </w:rPr>
            </w:pPr>
          </w:p>
          <w:p w14:paraId="4893E299">
            <w:pPr>
              <w:rPr>
                <w:rFonts w:ascii="Times New Roman" w:hAnsi="Times New Roman" w:eastAsia="宋体" w:cs="Times New Roman"/>
                <w:b/>
                <w:color w:val="auto"/>
                <w:kern w:val="2"/>
                <w:sz w:val="24"/>
                <w:szCs w:val="21"/>
                <w:highlight w:val="none"/>
                <w:lang w:val="en-US" w:eastAsia="zh-CN" w:bidi="ar-SA"/>
              </w:rPr>
            </w:pPr>
          </w:p>
          <w:p w14:paraId="16D0A997">
            <w:pPr>
              <w:pStyle w:val="6"/>
              <w:rPr>
                <w:rFonts w:ascii="Times New Roman" w:hAnsi="Times New Roman" w:eastAsia="宋体" w:cs="Times New Roman"/>
                <w:b/>
                <w:color w:val="auto"/>
                <w:kern w:val="2"/>
                <w:sz w:val="24"/>
                <w:szCs w:val="21"/>
                <w:highlight w:val="none"/>
                <w:lang w:val="en-US" w:eastAsia="zh-CN" w:bidi="ar-SA"/>
              </w:rPr>
            </w:pPr>
          </w:p>
          <w:p w14:paraId="4B4F2F7A">
            <w:pPr>
              <w:rPr>
                <w:rFonts w:ascii="Times New Roman" w:hAnsi="Times New Roman" w:eastAsia="宋体" w:cs="Times New Roman"/>
                <w:b/>
                <w:color w:val="auto"/>
                <w:kern w:val="2"/>
                <w:sz w:val="24"/>
                <w:szCs w:val="21"/>
                <w:highlight w:val="none"/>
                <w:lang w:val="en-US" w:eastAsia="zh-CN" w:bidi="ar-SA"/>
              </w:rPr>
            </w:pPr>
          </w:p>
          <w:p w14:paraId="02723FF0">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47927B1F">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7E50C8C5">
            <w:pPr>
              <w:rPr>
                <w:rFonts w:ascii="Times New Roman" w:hAnsi="Times New Roman" w:eastAsia="宋体" w:cs="Times New Roman"/>
                <w:b/>
                <w:color w:val="auto"/>
                <w:kern w:val="2"/>
                <w:sz w:val="24"/>
                <w:szCs w:val="21"/>
                <w:highlight w:val="none"/>
                <w:lang w:val="en-US" w:eastAsia="zh-CN" w:bidi="ar-SA"/>
              </w:rPr>
            </w:pPr>
          </w:p>
          <w:p w14:paraId="30F4A325">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497E66F8">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30B99E42">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026AC067">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4D28B17C">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4C82B8C4">
            <w:pPr>
              <w:pStyle w:val="33"/>
              <w:rPr>
                <w:rFonts w:ascii="Times New Roman" w:hAnsi="Times New Roman" w:eastAsia="宋体" w:cs="Times New Roman"/>
                <w:b/>
                <w:color w:val="auto"/>
                <w:kern w:val="2"/>
                <w:sz w:val="24"/>
                <w:szCs w:val="21"/>
                <w:highlight w:val="none"/>
                <w:lang w:val="en-US" w:eastAsia="zh-CN" w:bidi="ar-SA"/>
              </w:rPr>
            </w:pPr>
          </w:p>
          <w:p w14:paraId="2428B1EF">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1D94232A">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43C75FCB">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2A2EF9DC">
            <w:pPr>
              <w:pStyle w:val="6"/>
              <w:rPr>
                <w:rFonts w:ascii="Times New Roman" w:hAnsi="Times New Roman" w:eastAsia="宋体" w:cs="Times New Roman"/>
                <w:b/>
                <w:color w:val="auto"/>
                <w:kern w:val="2"/>
                <w:sz w:val="24"/>
                <w:szCs w:val="21"/>
                <w:highlight w:val="none"/>
                <w:lang w:val="en-US" w:eastAsia="zh-CN" w:bidi="ar-SA"/>
              </w:rPr>
            </w:pPr>
          </w:p>
          <w:p w14:paraId="0D4D6275">
            <w:pPr>
              <w:rPr>
                <w:rFonts w:ascii="Times New Roman" w:hAnsi="Times New Roman" w:eastAsia="宋体" w:cs="Times New Roman"/>
                <w:b/>
                <w:color w:val="auto"/>
                <w:kern w:val="2"/>
                <w:sz w:val="24"/>
                <w:szCs w:val="21"/>
                <w:highlight w:val="none"/>
                <w:lang w:val="en-US" w:eastAsia="zh-CN" w:bidi="ar-SA"/>
              </w:rPr>
            </w:pPr>
          </w:p>
          <w:p w14:paraId="73834429">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46249320">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r>
              <w:rPr>
                <w:rFonts w:ascii="Times New Roman" w:hAnsi="Times New Roman" w:eastAsia="宋体" w:cs="Times New Roman"/>
                <w:b/>
                <w:color w:val="auto"/>
                <w:kern w:val="2"/>
                <w:sz w:val="24"/>
                <w:szCs w:val="21"/>
                <w:highlight w:val="none"/>
                <w:lang w:val="en-US" w:eastAsia="zh-CN" w:bidi="ar-SA"/>
              </w:rPr>
              <w:t>其他符合性分析</w:t>
            </w:r>
          </w:p>
          <w:p w14:paraId="78F58A84">
            <w:pPr>
              <w:pStyle w:val="6"/>
              <w:rPr>
                <w:rFonts w:ascii="Times New Roman" w:hAnsi="Times New Roman" w:eastAsia="宋体" w:cs="Times New Roman"/>
                <w:b/>
                <w:color w:val="auto"/>
                <w:kern w:val="2"/>
                <w:sz w:val="24"/>
                <w:szCs w:val="21"/>
                <w:highlight w:val="none"/>
                <w:lang w:val="en-US" w:eastAsia="zh-CN" w:bidi="ar-SA"/>
              </w:rPr>
            </w:pPr>
          </w:p>
          <w:p w14:paraId="7C696C2A">
            <w:pPr>
              <w:rPr>
                <w:rFonts w:ascii="Times New Roman" w:hAnsi="Times New Roman" w:eastAsia="宋体" w:cs="Times New Roman"/>
                <w:b/>
                <w:color w:val="auto"/>
                <w:kern w:val="2"/>
                <w:sz w:val="24"/>
                <w:szCs w:val="21"/>
                <w:highlight w:val="none"/>
                <w:lang w:val="en-US" w:eastAsia="zh-CN" w:bidi="ar-SA"/>
              </w:rPr>
            </w:pPr>
          </w:p>
          <w:p w14:paraId="5B875490">
            <w:pPr>
              <w:pStyle w:val="6"/>
              <w:rPr>
                <w:rFonts w:ascii="Times New Roman" w:hAnsi="Times New Roman" w:eastAsia="宋体" w:cs="Times New Roman"/>
                <w:b/>
                <w:color w:val="auto"/>
                <w:kern w:val="2"/>
                <w:sz w:val="24"/>
                <w:szCs w:val="21"/>
                <w:highlight w:val="none"/>
                <w:lang w:val="en-US" w:eastAsia="zh-CN" w:bidi="ar-SA"/>
              </w:rPr>
            </w:pPr>
          </w:p>
          <w:p w14:paraId="6B222D02">
            <w:pPr>
              <w:rPr>
                <w:rFonts w:ascii="Times New Roman" w:hAnsi="Times New Roman" w:eastAsia="宋体" w:cs="Times New Roman"/>
                <w:b/>
                <w:color w:val="auto"/>
                <w:kern w:val="2"/>
                <w:sz w:val="24"/>
                <w:szCs w:val="21"/>
                <w:highlight w:val="none"/>
                <w:lang w:val="en-US" w:eastAsia="zh-CN" w:bidi="ar-SA"/>
              </w:rPr>
            </w:pPr>
          </w:p>
          <w:p w14:paraId="1950A52A">
            <w:pPr>
              <w:pStyle w:val="33"/>
              <w:rPr>
                <w:color w:val="auto"/>
                <w:highlight w:val="none"/>
                <w:lang w:val="en-US" w:eastAsia="zh-CN"/>
              </w:rPr>
            </w:pPr>
          </w:p>
          <w:p w14:paraId="69548A89">
            <w:pPr>
              <w:rPr>
                <w:rFonts w:ascii="Times New Roman" w:hAnsi="Times New Roman" w:eastAsia="宋体" w:cs="Times New Roman"/>
                <w:b/>
                <w:color w:val="auto"/>
                <w:kern w:val="2"/>
                <w:sz w:val="24"/>
                <w:szCs w:val="21"/>
                <w:highlight w:val="none"/>
                <w:lang w:val="en-US" w:eastAsia="zh-CN" w:bidi="ar-SA"/>
              </w:rPr>
            </w:pPr>
          </w:p>
          <w:p w14:paraId="6ED63EF6">
            <w:pPr>
              <w:pStyle w:val="6"/>
              <w:rPr>
                <w:rFonts w:ascii="Times New Roman" w:hAnsi="Times New Roman" w:eastAsia="宋体" w:cs="Times New Roman"/>
                <w:b/>
                <w:color w:val="auto"/>
                <w:kern w:val="2"/>
                <w:sz w:val="24"/>
                <w:szCs w:val="21"/>
                <w:highlight w:val="none"/>
                <w:lang w:val="en-US" w:eastAsia="zh-CN" w:bidi="ar-SA"/>
              </w:rPr>
            </w:pPr>
          </w:p>
          <w:p w14:paraId="07BCBB74">
            <w:pPr>
              <w:rPr>
                <w:rFonts w:ascii="Times New Roman" w:hAnsi="Times New Roman" w:eastAsia="宋体" w:cs="Times New Roman"/>
                <w:b/>
                <w:color w:val="auto"/>
                <w:kern w:val="2"/>
                <w:sz w:val="24"/>
                <w:szCs w:val="21"/>
                <w:highlight w:val="none"/>
                <w:lang w:val="en-US" w:eastAsia="zh-CN" w:bidi="ar-SA"/>
              </w:rPr>
            </w:pPr>
          </w:p>
          <w:p w14:paraId="2102E4DE">
            <w:pPr>
              <w:pStyle w:val="6"/>
              <w:rPr>
                <w:rFonts w:ascii="Times New Roman" w:hAnsi="Times New Roman" w:eastAsia="宋体" w:cs="Times New Roman"/>
                <w:b/>
                <w:color w:val="auto"/>
                <w:kern w:val="2"/>
                <w:sz w:val="24"/>
                <w:szCs w:val="21"/>
                <w:highlight w:val="none"/>
                <w:lang w:val="en-US" w:eastAsia="zh-CN" w:bidi="ar-SA"/>
              </w:rPr>
            </w:pPr>
          </w:p>
          <w:p w14:paraId="31986721">
            <w:pPr>
              <w:rPr>
                <w:rFonts w:ascii="Times New Roman" w:hAnsi="Times New Roman" w:eastAsia="宋体" w:cs="Times New Roman"/>
                <w:b/>
                <w:color w:val="auto"/>
                <w:kern w:val="2"/>
                <w:sz w:val="24"/>
                <w:szCs w:val="21"/>
                <w:highlight w:val="none"/>
                <w:lang w:val="en-US" w:eastAsia="zh-CN" w:bidi="ar-SA"/>
              </w:rPr>
            </w:pPr>
          </w:p>
          <w:p w14:paraId="0C8E57E1">
            <w:pPr>
              <w:pStyle w:val="6"/>
              <w:rPr>
                <w:rFonts w:ascii="Times New Roman" w:hAnsi="Times New Roman" w:eastAsia="宋体" w:cs="Times New Roman"/>
                <w:b/>
                <w:color w:val="auto"/>
                <w:kern w:val="2"/>
                <w:sz w:val="24"/>
                <w:szCs w:val="21"/>
                <w:highlight w:val="none"/>
                <w:lang w:val="en-US" w:eastAsia="zh-CN" w:bidi="ar-SA"/>
              </w:rPr>
            </w:pPr>
          </w:p>
          <w:p w14:paraId="16F63F9D">
            <w:pPr>
              <w:rPr>
                <w:rFonts w:ascii="Times New Roman" w:hAnsi="Times New Roman" w:eastAsia="宋体" w:cs="Times New Roman"/>
                <w:b/>
                <w:color w:val="auto"/>
                <w:kern w:val="2"/>
                <w:sz w:val="24"/>
                <w:szCs w:val="21"/>
                <w:highlight w:val="none"/>
                <w:lang w:val="en-US" w:eastAsia="zh-CN" w:bidi="ar-SA"/>
              </w:rPr>
            </w:pPr>
          </w:p>
          <w:p w14:paraId="1C36E432">
            <w:pPr>
              <w:autoSpaceDE w:val="0"/>
              <w:autoSpaceDN w:val="0"/>
              <w:adjustRightInd w:val="0"/>
              <w:snapToGrid w:val="0"/>
              <w:jc w:val="center"/>
              <w:rPr>
                <w:rFonts w:ascii="Times New Roman" w:hAnsi="Times New Roman" w:eastAsia="宋体" w:cs="Times New Roman"/>
                <w:b/>
                <w:color w:val="auto"/>
                <w:kern w:val="2"/>
                <w:sz w:val="24"/>
                <w:szCs w:val="21"/>
                <w:highlight w:val="none"/>
                <w:lang w:val="en-US" w:eastAsia="zh-CN" w:bidi="ar-SA"/>
              </w:rPr>
            </w:pPr>
          </w:p>
          <w:p w14:paraId="7CC300A4">
            <w:pPr>
              <w:pStyle w:val="33"/>
              <w:ind w:left="0" w:leftChars="0" w:firstLine="0" w:firstLineChars="0"/>
              <w:rPr>
                <w:color w:val="auto"/>
                <w:highlight w:val="none"/>
              </w:rPr>
            </w:pPr>
          </w:p>
        </w:tc>
        <w:tc>
          <w:tcPr>
            <w:tcW w:w="8598" w:type="dxa"/>
            <w:gridSpan w:val="4"/>
            <w:vAlign w:val="center"/>
          </w:tcPr>
          <w:p w14:paraId="35B7080D">
            <w:pPr>
              <w:autoSpaceDE w:val="0"/>
              <w:autoSpaceDN w:val="0"/>
              <w:adjustRightInd w:val="0"/>
              <w:ind w:firstLine="482" w:firstLineChars="200"/>
              <w:jc w:val="both"/>
              <w:textAlignment w:val="center"/>
              <w:rPr>
                <w:rFonts w:hint="default"/>
                <w:b/>
                <w:color w:val="auto"/>
                <w:kern w:val="0"/>
                <w:sz w:val="24"/>
                <w:highlight w:val="none"/>
                <w:lang w:val="en-US" w:eastAsia="zh-CN"/>
              </w:rPr>
            </w:pPr>
            <w:r>
              <w:rPr>
                <w:rFonts w:hint="eastAsia"/>
                <w:b/>
                <w:color w:val="auto"/>
                <w:kern w:val="0"/>
                <w:sz w:val="24"/>
                <w:highlight w:val="none"/>
                <w:lang w:val="en-US" w:eastAsia="zh-CN"/>
              </w:rPr>
              <w:t>1、产业政策符合性分析</w:t>
            </w:r>
          </w:p>
          <w:p w14:paraId="7F4E70FE">
            <w:pPr>
              <w:snapToGrid w:val="0"/>
              <w:ind w:firstLine="480" w:firstLineChars="0"/>
              <w:rPr>
                <w:color w:val="auto"/>
                <w:highlight w:val="none"/>
              </w:rPr>
            </w:pPr>
            <w:r>
              <w:rPr>
                <w:color w:val="auto"/>
                <w:highlight w:val="none"/>
              </w:rPr>
              <w:t>（1）项目为</w:t>
            </w:r>
            <w:r>
              <w:rPr>
                <w:rFonts w:hint="eastAsia"/>
                <w:color w:val="auto"/>
                <w:highlight w:val="none"/>
                <w:lang w:val="en-US" w:eastAsia="zh-CN"/>
              </w:rPr>
              <w:t>金属制品业，不属于</w:t>
            </w:r>
            <w:r>
              <w:rPr>
                <w:color w:val="auto"/>
                <w:highlight w:val="none"/>
              </w:rPr>
              <w:t>《产业结构调整指导目录(</w:t>
            </w:r>
            <w:r>
              <w:rPr>
                <w:rFonts w:hint="eastAsia"/>
                <w:color w:val="auto"/>
                <w:highlight w:val="none"/>
                <w:lang w:val="en-US" w:eastAsia="zh-CN"/>
              </w:rPr>
              <w:t>2024</w:t>
            </w:r>
            <w:r>
              <w:rPr>
                <w:color w:val="auto"/>
                <w:highlight w:val="none"/>
              </w:rPr>
              <w:t>年本)》</w:t>
            </w:r>
            <w:r>
              <w:rPr>
                <w:rFonts w:hint="eastAsia"/>
                <w:color w:val="auto"/>
                <w:highlight w:val="none"/>
                <w:lang w:val="en-US" w:eastAsia="zh-CN"/>
              </w:rPr>
              <w:t>限制及禁止类，允许建设。根据</w:t>
            </w:r>
            <w:r>
              <w:rPr>
                <w:color w:val="auto"/>
                <w:highlight w:val="none"/>
              </w:rPr>
              <w:t>《排污许可申请与核发技术规范 总则》（HJ942-2018），本项目所使用原料、设备、污染物治理工艺均不属于淘汰</w:t>
            </w:r>
            <w:r>
              <w:rPr>
                <w:rFonts w:hint="eastAsia"/>
                <w:color w:val="auto"/>
                <w:highlight w:val="none"/>
                <w:lang w:val="en-US" w:eastAsia="zh-CN"/>
              </w:rPr>
              <w:t>内容</w:t>
            </w:r>
            <w:r>
              <w:rPr>
                <w:color w:val="auto"/>
                <w:highlight w:val="none"/>
              </w:rPr>
              <w:t>，符合国家产业政策。</w:t>
            </w:r>
            <w:r>
              <w:rPr>
                <w:rFonts w:hint="eastAsia"/>
                <w:b w:val="0"/>
                <w:bCs/>
                <w:color w:val="auto"/>
                <w:kern w:val="0"/>
                <w:sz w:val="24"/>
                <w:highlight w:val="none"/>
                <w:lang w:val="en-US" w:eastAsia="zh-CN"/>
              </w:rPr>
              <w:t>本项目已在</w:t>
            </w:r>
            <w:r>
              <w:rPr>
                <w:rFonts w:hint="eastAsia"/>
                <w:color w:val="auto"/>
                <w:szCs w:val="21"/>
                <w:highlight w:val="none"/>
              </w:rPr>
              <w:t>秦皇岛市抚宁区行政审批局</w:t>
            </w:r>
            <w:r>
              <w:rPr>
                <w:rFonts w:hint="eastAsia"/>
                <w:color w:val="auto"/>
                <w:szCs w:val="21"/>
                <w:highlight w:val="none"/>
                <w:lang w:val="en-US" w:eastAsia="zh-CN"/>
              </w:rPr>
              <w:t>备案，备案文号为：抚行审备〔2024〕135号。</w:t>
            </w:r>
          </w:p>
          <w:p w14:paraId="688E225C">
            <w:pPr>
              <w:snapToGrid w:val="0"/>
              <w:ind w:firstLine="480" w:firstLineChars="0"/>
              <w:rPr>
                <w:color w:val="auto"/>
                <w:highlight w:val="none"/>
              </w:rPr>
            </w:pPr>
            <w:r>
              <w:rPr>
                <w:color w:val="auto"/>
                <w:highlight w:val="none"/>
              </w:rPr>
              <w:t>（</w:t>
            </w:r>
            <w:r>
              <w:rPr>
                <w:rFonts w:hint="eastAsia"/>
                <w:color w:val="auto"/>
                <w:highlight w:val="none"/>
                <w:lang w:val="en-US" w:eastAsia="zh-CN"/>
              </w:rPr>
              <w:t>2</w:t>
            </w:r>
            <w:r>
              <w:rPr>
                <w:color w:val="auto"/>
                <w:highlight w:val="none"/>
              </w:rPr>
              <w:t>）项目用地类型为</w:t>
            </w:r>
            <w:r>
              <w:rPr>
                <w:rFonts w:hint="eastAsia"/>
                <w:color w:val="auto"/>
                <w:highlight w:val="none"/>
                <w:lang w:val="en-US" w:eastAsia="zh-CN"/>
              </w:rPr>
              <w:t>工业用地/工业、办公</w:t>
            </w:r>
            <w:r>
              <w:rPr>
                <w:color w:val="auto"/>
                <w:highlight w:val="none"/>
              </w:rPr>
              <w:t>，符合秦皇岛市土地利用总体规划要求同时符合秦皇岛市城乡规划要求。</w:t>
            </w:r>
          </w:p>
          <w:p w14:paraId="6DEEB6E0">
            <w:pPr>
              <w:autoSpaceDE/>
              <w:autoSpaceDN/>
              <w:adjustRightInd/>
              <w:snapToGrid w:val="0"/>
              <w:ind w:firstLine="480" w:firstLineChars="0"/>
              <w:rPr>
                <w:color w:val="auto"/>
                <w:highlight w:val="none"/>
              </w:rPr>
            </w:pPr>
            <w:r>
              <w:rPr>
                <w:color w:val="auto"/>
                <w:highlight w:val="none"/>
              </w:rPr>
              <w:t>（</w:t>
            </w:r>
            <w:r>
              <w:rPr>
                <w:rFonts w:hint="eastAsia"/>
                <w:color w:val="auto"/>
                <w:highlight w:val="none"/>
                <w:lang w:val="en-US" w:eastAsia="zh-CN"/>
              </w:rPr>
              <w:t>3</w:t>
            </w:r>
            <w:r>
              <w:rPr>
                <w:color w:val="auto"/>
                <w:highlight w:val="none"/>
              </w:rPr>
              <w:t>）</w:t>
            </w:r>
            <w:r>
              <w:rPr>
                <w:rFonts w:hint="eastAsia"/>
                <w:color w:val="auto"/>
                <w:highlight w:val="none"/>
                <w:lang w:val="en-US" w:eastAsia="zh-CN"/>
              </w:rPr>
              <w:t>不属于《环境保护综合名录》（2021年版）中“高污染、高环境风险”项目、不属于河北省发展和改革委员会《关于加强新建“两高”项目管理的通知》（冀发改环资[2022]691号）中“两高”行业</w:t>
            </w:r>
            <w:r>
              <w:rPr>
                <w:color w:val="auto"/>
                <w:highlight w:val="none"/>
              </w:rPr>
              <w:t>。</w:t>
            </w:r>
          </w:p>
          <w:p w14:paraId="7E97A504">
            <w:pPr>
              <w:snapToGrid w:val="0"/>
              <w:ind w:firstLine="480"/>
              <w:rPr>
                <w:rFonts w:hint="default" w:eastAsia="宋体"/>
                <w:color w:val="auto"/>
                <w:highlight w:val="none"/>
                <w:lang w:val="en-US" w:eastAsia="zh-CN"/>
              </w:rPr>
            </w:pPr>
            <w:r>
              <w:rPr>
                <w:rFonts w:hint="eastAsia"/>
                <w:color w:val="auto"/>
                <w:highlight w:val="none"/>
                <w:lang w:val="en-US" w:eastAsia="zh-CN"/>
              </w:rPr>
              <w:t>综上所述本项目建设符合国家及地方产业政策。</w:t>
            </w:r>
          </w:p>
          <w:p w14:paraId="5DE26D6E">
            <w:pPr>
              <w:snapToGrid w:val="0"/>
              <w:ind w:firstLine="480" w:firstLineChars="200"/>
              <w:rPr>
                <w:color w:val="auto"/>
                <w:highlight w:val="none"/>
              </w:rPr>
            </w:pPr>
            <w:r>
              <w:rPr>
                <w:rFonts w:hint="eastAsia"/>
                <w:color w:val="auto"/>
                <w:highlight w:val="none"/>
                <w:lang w:val="en-US" w:eastAsia="zh-CN"/>
              </w:rPr>
              <w:t>2、</w:t>
            </w:r>
            <w:r>
              <w:rPr>
                <w:color w:val="auto"/>
                <w:highlight w:val="none"/>
              </w:rPr>
              <w:t>选址符合性</w:t>
            </w:r>
          </w:p>
          <w:p w14:paraId="43D02A13">
            <w:pPr>
              <w:snapToGrid w:val="0"/>
              <w:ind w:firstLine="480" w:firstLineChars="0"/>
              <w:rPr>
                <w:rFonts w:hint="eastAsia"/>
                <w:color w:val="auto"/>
                <w:highlight w:val="none"/>
                <w:lang w:val="en-US" w:eastAsia="zh-CN"/>
              </w:rPr>
            </w:pPr>
            <w:r>
              <w:rPr>
                <w:color w:val="auto"/>
                <w:highlight w:val="none"/>
              </w:rPr>
              <w:t>本项目位于</w:t>
            </w:r>
            <w:r>
              <w:rPr>
                <w:rFonts w:hint="default"/>
                <w:color w:val="auto"/>
                <w:highlight w:val="none"/>
                <w:lang w:val="en-US" w:eastAsia="zh-CN"/>
              </w:rPr>
              <w:t>秦皇岛市抚宁区日昌升农产品有限公司院内</w:t>
            </w:r>
            <w:r>
              <w:rPr>
                <w:rFonts w:hint="eastAsia"/>
                <w:color w:val="auto"/>
                <w:highlight w:val="none"/>
                <w:lang w:val="en-US" w:eastAsia="zh-CN"/>
              </w:rPr>
              <w:t>，利用现有厂房进行建设，用地类型为工业用地/工业、办公，不动产权证书编号：冀（2019）抚宁区不动产权第0003923号，租赁协议及不动产权证书详见附件3。</w:t>
            </w:r>
            <w:r>
              <w:rPr>
                <w:color w:val="auto"/>
                <w:highlight w:val="none"/>
              </w:rPr>
              <w:t>项目不属于《关于河北省区域禁（限）批建项目的实施意见（试行）》（冀政[2009]89号）中区域禁止和限制建设项目，不在该文件规定的环境敏感区内，符合河北省政策要求。</w:t>
            </w:r>
            <w:r>
              <w:rPr>
                <w:rFonts w:hint="eastAsia"/>
                <w:color w:val="auto"/>
                <w:highlight w:val="none"/>
                <w:lang w:val="en-US" w:eastAsia="zh-CN"/>
              </w:rPr>
              <w:t>道路紧邻骊城大街公路，交通便利。项目50m范围内无声环境保护目标，500m范围内大气环境保护目标为厂址东北侧423m处刘庄村，本项目废气经治理后可达标排放，对保护目标影响较小。</w:t>
            </w:r>
          </w:p>
          <w:p w14:paraId="61582635">
            <w:pPr>
              <w:keepNext w:val="0"/>
              <w:keepLines w:val="0"/>
              <w:pageBreakBefore w:val="0"/>
              <w:widowControl w:val="0"/>
              <w:kinsoku/>
              <w:wordWrap/>
              <w:overflowPunct/>
              <w:topLinePunct w:val="0"/>
              <w:autoSpaceDE w:val="0"/>
              <w:autoSpaceDN w:val="0"/>
              <w:bidi w:val="0"/>
              <w:adjustRightInd w:val="0"/>
              <w:snapToGrid w:val="0"/>
              <w:ind w:firstLine="480" w:firstLineChars="200"/>
              <w:jc w:val="both"/>
              <w:textAlignment w:val="center"/>
              <w:rPr>
                <w:rFonts w:hint="eastAsia"/>
                <w:b w:val="0"/>
                <w:bCs/>
                <w:color w:val="auto"/>
                <w:kern w:val="0"/>
                <w:sz w:val="24"/>
                <w:highlight w:val="none"/>
                <w:lang w:val="en-US" w:eastAsia="zh-CN"/>
              </w:rPr>
            </w:pPr>
            <w:r>
              <w:rPr>
                <w:color w:val="auto"/>
                <w:highlight w:val="none"/>
              </w:rPr>
              <w:t>厂址周围无饮用水源保护区、自然保护区和风景名胜区等敏感区域。项目不在国土资源部、国家发展和改革委员会发布的《限制用地项目目录（2012年本）》和《禁止用地项目目录（2012年本）》的范围内，项目场地不在河北省冀政[2009]89号《关于河北省区域禁（限）批建设项目的实施意见（试行）》范围内，运营期</w:t>
            </w:r>
            <w:r>
              <w:rPr>
                <w:rFonts w:hint="eastAsia"/>
                <w:color w:val="auto"/>
                <w:highlight w:val="none"/>
                <w:lang w:val="en-US" w:eastAsia="zh-CN"/>
              </w:rPr>
              <w:t>废气、噪声经治理后</w:t>
            </w:r>
            <w:r>
              <w:rPr>
                <w:color w:val="auto"/>
                <w:highlight w:val="none"/>
              </w:rPr>
              <w:t>可达标排放，</w:t>
            </w:r>
            <w:r>
              <w:rPr>
                <w:rFonts w:hint="eastAsia"/>
                <w:color w:val="auto"/>
                <w:highlight w:val="none"/>
                <w:lang w:val="en-US" w:eastAsia="zh-CN"/>
              </w:rPr>
              <w:t>固体废物合理处置，</w:t>
            </w:r>
            <w:r>
              <w:rPr>
                <w:color w:val="auto"/>
                <w:highlight w:val="none"/>
              </w:rPr>
              <w:t>不会对区域环境产生明显影响；</w:t>
            </w:r>
            <w:r>
              <w:rPr>
                <w:rFonts w:hint="eastAsia"/>
                <w:color w:val="auto"/>
                <w:highlight w:val="none"/>
                <w:lang w:val="en-US" w:eastAsia="zh-CN"/>
              </w:rPr>
              <w:t>综上所述本</w:t>
            </w:r>
            <w:r>
              <w:rPr>
                <w:color w:val="auto"/>
                <w:highlight w:val="none"/>
              </w:rPr>
              <w:t>项目选址合理。</w:t>
            </w:r>
          </w:p>
          <w:p w14:paraId="5927C397">
            <w:pPr>
              <w:autoSpaceDE w:val="0"/>
              <w:autoSpaceDN w:val="0"/>
              <w:adjustRightInd w:val="0"/>
              <w:jc w:val="center"/>
              <w:textAlignment w:val="center"/>
              <w:rPr>
                <w:rFonts w:hint="eastAsia"/>
                <w:b/>
                <w:color w:val="auto"/>
                <w:kern w:val="0"/>
                <w:sz w:val="24"/>
                <w:highlight w:val="none"/>
                <w:lang w:val="en-US" w:eastAsia="zh-CN"/>
              </w:rPr>
            </w:pPr>
            <w:r>
              <w:rPr>
                <w:color w:val="auto"/>
                <w:sz w:val="24"/>
                <w:highlight w:val="none"/>
              </w:rPr>
              <mc:AlternateContent>
                <mc:Choice Requires="wps">
                  <w:drawing>
                    <wp:anchor distT="0" distB="0" distL="114300" distR="114300" simplePos="0" relativeHeight="251667456" behindDoc="0" locked="0" layoutInCell="1" allowOverlap="1">
                      <wp:simplePos x="0" y="0"/>
                      <wp:positionH relativeFrom="column">
                        <wp:posOffset>3173730</wp:posOffset>
                      </wp:positionH>
                      <wp:positionV relativeFrom="paragraph">
                        <wp:posOffset>4574540</wp:posOffset>
                      </wp:positionV>
                      <wp:extent cx="1153795" cy="561340"/>
                      <wp:effectExtent l="12700" t="947420" r="147955" b="15240"/>
                      <wp:wrapNone/>
                      <wp:docPr id="6" name="矩形标注 6"/>
                      <wp:cNvGraphicFramePr/>
                      <a:graphic xmlns:a="http://schemas.openxmlformats.org/drawingml/2006/main">
                        <a:graphicData uri="http://schemas.microsoft.com/office/word/2010/wordprocessingShape">
                          <wps:wsp>
                            <wps:cNvSpPr/>
                            <wps:spPr>
                              <a:xfrm>
                                <a:off x="4441825" y="6852920"/>
                                <a:ext cx="1153795" cy="561340"/>
                              </a:xfrm>
                              <a:prstGeom prst="wedgeRectCallout">
                                <a:avLst>
                                  <a:gd name="adj1" fmla="val 60787"/>
                                  <a:gd name="adj2" fmla="val -216515"/>
                                </a:avLst>
                              </a:prstGeom>
                            </wps:spPr>
                            <wps:style>
                              <a:lnRef idx="2">
                                <a:schemeClr val="accent1">
                                  <a:lumMod val="75000"/>
                                </a:schemeClr>
                              </a:lnRef>
                              <a:fillRef idx="1">
                                <a:schemeClr val="accent1"/>
                              </a:fillRef>
                              <a:effectRef idx="0">
                                <a:srgbClr val="FFFFFF"/>
                              </a:effectRef>
                              <a:fontRef idx="minor">
                                <a:schemeClr val="lt1"/>
                              </a:fontRef>
                            </wps:style>
                            <wps:txbx>
                              <w:txbxContent>
                                <w:p w14:paraId="4299A57C">
                                  <w:pPr>
                                    <w:snapToGrid w:val="0"/>
                                    <w:rPr>
                                      <w:rFonts w:hint="default"/>
                                      <w:color w:val="auto"/>
                                      <w:highlight w:val="none"/>
                                      <w:lang w:val="en-US" w:eastAsia="zh-CN"/>
                                    </w:rPr>
                                  </w:pPr>
                                  <w:r>
                                    <w:rPr>
                                      <w:rFonts w:hint="eastAsia"/>
                                      <w:color w:val="auto"/>
                                      <w:highlight w:val="none"/>
                                      <w:lang w:val="en-US" w:eastAsia="zh-CN"/>
                                    </w:rPr>
                                    <w:t>本项目所在地</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249.9pt;margin-top:360.2pt;height:44.2pt;width:90.85pt;z-index:251667456;v-text-anchor:middle;mso-width-relative:page;mso-height-relative:page;" fillcolor="#4F81BD [3204]" filled="t" stroked="t" coordsize="21600,21600" o:gfxdata="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wH3RYNoAAAAL&#10;AQAADwAAAAAAAAABACAAAAAiAAAAZHJzL2Rvd25yZXYueG1sUEsBAhQAFAAAAAgAh07iQEF0rQfF&#10;AgAAewUAAA4AAAAAAAAAAQAgAAAAKQEAAGRycy9lMm9Eb2MueG1sUEsFBgAAAAAGAAYAWQEAAGAG&#10;AAAAAA==&#10;" adj="23930,-35967">
                      <v:fill on="t" focussize="0,0"/>
                      <v:stroke weight="2pt" color="#376092 [2404]" joinstyle="round"/>
                      <v:imagedata o:title=""/>
                      <o:lock v:ext="edit" aspectratio="f"/>
                      <v:textbox>
                        <w:txbxContent>
                          <w:p w14:paraId="4299A57C">
                            <w:pPr>
                              <w:snapToGrid w:val="0"/>
                              <w:rPr>
                                <w:rFonts w:hint="default"/>
                                <w:color w:val="auto"/>
                                <w:highlight w:val="none"/>
                                <w:lang w:val="en-US" w:eastAsia="zh-CN"/>
                              </w:rPr>
                            </w:pPr>
                            <w:r>
                              <w:rPr>
                                <w:rFonts w:hint="eastAsia"/>
                                <w:color w:val="auto"/>
                                <w:highlight w:val="none"/>
                                <w:lang w:val="en-US" w:eastAsia="zh-CN"/>
                              </w:rPr>
                              <w:t>本项目所在地</w:t>
                            </w:r>
                          </w:p>
                        </w:txbxContent>
                      </v:textbox>
                    </v:shape>
                  </w:pict>
                </mc:Fallback>
              </mc:AlternateContent>
            </w:r>
            <w:r>
              <w:rPr>
                <w:color w:val="auto"/>
                <w:sz w:val="24"/>
                <w:highlight w:val="none"/>
              </w:rPr>
              <mc:AlternateContent>
                <mc:Choice Requires="wps">
                  <w:drawing>
                    <wp:anchor distT="0" distB="0" distL="114300" distR="114300" simplePos="0" relativeHeight="251666432" behindDoc="0" locked="0" layoutInCell="1" allowOverlap="1">
                      <wp:simplePos x="0" y="0"/>
                      <wp:positionH relativeFrom="column">
                        <wp:posOffset>4432935</wp:posOffset>
                      </wp:positionH>
                      <wp:positionV relativeFrom="paragraph">
                        <wp:posOffset>3526790</wp:posOffset>
                      </wp:positionV>
                      <wp:extent cx="85090" cy="75565"/>
                      <wp:effectExtent l="12700" t="12700" r="16510" b="26035"/>
                      <wp:wrapNone/>
                      <wp:docPr id="5" name="椭圆 5"/>
                      <wp:cNvGraphicFramePr/>
                      <a:graphic xmlns:a="http://schemas.openxmlformats.org/drawingml/2006/main">
                        <a:graphicData uri="http://schemas.microsoft.com/office/word/2010/wordprocessingShape">
                          <wps:wsp>
                            <wps:cNvSpPr/>
                            <wps:spPr>
                              <a:xfrm>
                                <a:off x="5701030" y="5805170"/>
                                <a:ext cx="85090" cy="75565"/>
                              </a:xfrm>
                              <a:prstGeom prst="ellipse">
                                <a:avLst/>
                              </a:prstGeom>
                              <a:solidFill>
                                <a:srgbClr val="FF0000"/>
                              </a:solidFill>
                              <a:ln>
                                <a:solidFill>
                                  <a:srgbClr val="FF0000"/>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349.05pt;margin-top:277.7pt;height:5.95pt;width:6.7pt;z-index:251666432;v-text-anchor:middle;mso-width-relative:page;mso-height-relative:page;" fillcolor="#FF0000" filled="t" stroked="t" coordsize="21600,21600" o:gfxdata="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">
                      <v:fill on="t" focussize="0,0"/>
                      <v:stroke weight="2pt" color="#FF0000 [2404]" joinstyle="round"/>
                      <v:imagedata o:title=""/>
                      <o:lock v:ext="edit" aspectratio="f"/>
                    </v:shape>
                  </w:pict>
                </mc:Fallback>
              </mc:AlternateContent>
            </w:r>
            <w:r>
              <w:rPr>
                <w:rFonts w:hint="eastAsia"/>
                <w:b/>
                <w:color w:val="auto"/>
                <w:kern w:val="0"/>
                <w:sz w:val="24"/>
                <w:highlight w:val="none"/>
                <w:lang w:val="en-US" w:eastAsia="zh-CN"/>
              </w:rPr>
              <w:drawing>
                <wp:inline distT="0" distB="0" distL="114300" distR="114300">
                  <wp:extent cx="5231130" cy="5821045"/>
                  <wp:effectExtent l="0" t="0" r="7620" b="8255"/>
                  <wp:docPr id="3" name="图片 3" descr="ea1319b60e64faff9739a1b239263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ea1319b60e64faff9739a1b239263c1"/>
                          <pic:cNvPicPr>
                            <a:picLocks noChangeAspect="1"/>
                          </pic:cNvPicPr>
                        </pic:nvPicPr>
                        <pic:blipFill>
                          <a:blip r:embed="rId12"/>
                          <a:stretch>
                            <a:fillRect/>
                          </a:stretch>
                        </pic:blipFill>
                        <pic:spPr>
                          <a:xfrm>
                            <a:off x="0" y="0"/>
                            <a:ext cx="5231130" cy="5821045"/>
                          </a:xfrm>
                          <a:prstGeom prst="rect">
                            <a:avLst/>
                          </a:prstGeom>
                        </pic:spPr>
                      </pic:pic>
                    </a:graphicData>
                  </a:graphic>
                </wp:inline>
              </w:drawing>
            </w:r>
          </w:p>
          <w:p w14:paraId="4411E1C3">
            <w:pPr>
              <w:autoSpaceDE w:val="0"/>
              <w:autoSpaceDN w:val="0"/>
              <w:adjustRightInd w:val="0"/>
              <w:jc w:val="center"/>
              <w:textAlignment w:val="center"/>
              <w:rPr>
                <w:rFonts w:hint="default"/>
                <w:b/>
                <w:color w:val="auto"/>
                <w:kern w:val="0"/>
                <w:sz w:val="24"/>
                <w:highlight w:val="none"/>
                <w:lang w:val="en-US" w:eastAsia="zh-CN"/>
              </w:rPr>
            </w:pPr>
            <w:r>
              <w:rPr>
                <w:rFonts w:hint="eastAsia"/>
                <w:b/>
                <w:color w:val="auto"/>
                <w:kern w:val="0"/>
                <w:sz w:val="24"/>
                <w:highlight w:val="none"/>
                <w:lang w:val="en-US" w:eastAsia="zh-CN"/>
              </w:rPr>
              <w:t>图1  本项目与城市建成区位置关系图</w:t>
            </w:r>
          </w:p>
          <w:p w14:paraId="6AD4A09D">
            <w:pPr>
              <w:autoSpaceDE w:val="0"/>
              <w:autoSpaceDN w:val="0"/>
              <w:adjustRightInd w:val="0"/>
              <w:jc w:val="both"/>
              <w:textAlignment w:val="center"/>
              <w:rPr>
                <w:rFonts w:hint="eastAsia"/>
                <w:b/>
                <w:color w:val="auto"/>
                <w:kern w:val="0"/>
                <w:sz w:val="24"/>
                <w:highlight w:val="none"/>
                <w:lang w:val="en-US" w:eastAsia="zh-CN"/>
              </w:rPr>
            </w:pPr>
          </w:p>
          <w:p w14:paraId="02897EFB">
            <w:pPr>
              <w:autoSpaceDE w:val="0"/>
              <w:autoSpaceDN w:val="0"/>
              <w:adjustRightInd w:val="0"/>
              <w:jc w:val="both"/>
              <w:textAlignment w:val="center"/>
              <w:rPr>
                <w:rFonts w:hint="eastAsia"/>
                <w:b/>
                <w:color w:val="auto"/>
                <w:kern w:val="0"/>
                <w:sz w:val="24"/>
                <w:highlight w:val="none"/>
                <w:lang w:val="en-US" w:eastAsia="zh-CN"/>
              </w:rPr>
            </w:pPr>
          </w:p>
          <w:p w14:paraId="47F2D276">
            <w:pPr>
              <w:pStyle w:val="2"/>
              <w:rPr>
                <w:rFonts w:hint="eastAsia"/>
                <w:b/>
                <w:color w:val="auto"/>
                <w:kern w:val="0"/>
                <w:sz w:val="24"/>
                <w:highlight w:val="none"/>
                <w:lang w:val="en-US" w:eastAsia="zh-CN"/>
              </w:rPr>
            </w:pPr>
          </w:p>
          <w:p w14:paraId="65DE0D55">
            <w:pPr>
              <w:pStyle w:val="3"/>
              <w:rPr>
                <w:rFonts w:hint="eastAsia"/>
                <w:lang w:val="en-US" w:eastAsia="zh-CN"/>
              </w:rPr>
            </w:pPr>
          </w:p>
          <w:p w14:paraId="69580A16">
            <w:pPr>
              <w:autoSpaceDE w:val="0"/>
              <w:autoSpaceDN w:val="0"/>
              <w:adjustRightInd w:val="0"/>
              <w:jc w:val="both"/>
              <w:textAlignment w:val="center"/>
              <w:rPr>
                <w:rFonts w:hint="eastAsia"/>
                <w:b/>
                <w:color w:val="auto"/>
                <w:kern w:val="0"/>
                <w:sz w:val="24"/>
                <w:highlight w:val="none"/>
                <w:lang w:val="en-US" w:eastAsia="zh-CN"/>
              </w:rPr>
            </w:pPr>
          </w:p>
          <w:p w14:paraId="67340628">
            <w:pPr>
              <w:autoSpaceDE w:val="0"/>
              <w:autoSpaceDN w:val="0"/>
              <w:adjustRightInd w:val="0"/>
              <w:jc w:val="both"/>
              <w:textAlignment w:val="center"/>
              <w:rPr>
                <w:rFonts w:hint="eastAsia"/>
                <w:b/>
                <w:color w:val="auto"/>
                <w:kern w:val="0"/>
                <w:sz w:val="24"/>
                <w:highlight w:val="none"/>
                <w:lang w:val="en-US" w:eastAsia="zh-CN"/>
              </w:rPr>
            </w:pPr>
          </w:p>
          <w:p w14:paraId="6DAAF8E5">
            <w:pPr>
              <w:autoSpaceDE w:val="0"/>
              <w:autoSpaceDN w:val="0"/>
              <w:adjustRightInd w:val="0"/>
              <w:jc w:val="both"/>
              <w:textAlignment w:val="center"/>
              <w:rPr>
                <w:rFonts w:hint="eastAsia"/>
                <w:b/>
                <w:color w:val="auto"/>
                <w:kern w:val="0"/>
                <w:sz w:val="24"/>
                <w:highlight w:val="none"/>
                <w:lang w:val="en-US" w:eastAsia="zh-CN"/>
              </w:rPr>
            </w:pPr>
          </w:p>
          <w:p w14:paraId="727378D1">
            <w:pPr>
              <w:autoSpaceDE w:val="0"/>
              <w:autoSpaceDN w:val="0"/>
              <w:adjustRightInd w:val="0"/>
              <w:jc w:val="both"/>
              <w:textAlignment w:val="center"/>
              <w:rPr>
                <w:rFonts w:hint="eastAsia"/>
                <w:b/>
                <w:color w:val="auto"/>
                <w:kern w:val="0"/>
                <w:sz w:val="24"/>
                <w:highlight w:val="none"/>
                <w:lang w:val="en-US" w:eastAsia="zh-CN"/>
              </w:rPr>
            </w:pPr>
          </w:p>
          <w:p w14:paraId="12EF9496">
            <w:pPr>
              <w:autoSpaceDE w:val="0"/>
              <w:autoSpaceDN w:val="0"/>
              <w:adjustRightInd w:val="0"/>
              <w:jc w:val="both"/>
              <w:textAlignment w:val="center"/>
              <w:rPr>
                <w:rFonts w:hint="default" w:eastAsia="宋体"/>
                <w:b/>
                <w:color w:val="auto"/>
                <w:kern w:val="0"/>
                <w:sz w:val="24"/>
                <w:highlight w:val="none"/>
                <w:lang w:val="en-US" w:eastAsia="zh-CN"/>
              </w:rPr>
            </w:pPr>
            <w:r>
              <w:rPr>
                <w:rFonts w:hint="eastAsia"/>
                <w:b/>
                <w:color w:val="auto"/>
                <w:kern w:val="0"/>
                <w:sz w:val="24"/>
                <w:highlight w:val="none"/>
                <w:lang w:val="en-US" w:eastAsia="zh-CN"/>
              </w:rPr>
              <w:t>3、本项目与相关环境政策符合性分析</w:t>
            </w:r>
          </w:p>
          <w:p w14:paraId="3EB4A824">
            <w:pPr>
              <w:autoSpaceDE w:val="0"/>
              <w:autoSpaceDN w:val="0"/>
              <w:adjustRightInd w:val="0"/>
              <w:spacing w:line="240" w:lineRule="auto"/>
              <w:jc w:val="center"/>
              <w:textAlignment w:val="center"/>
              <w:rPr>
                <w:b/>
                <w:color w:val="auto"/>
                <w:kern w:val="0"/>
                <w:sz w:val="24"/>
                <w:highlight w:val="none"/>
              </w:rPr>
            </w:pPr>
            <w:r>
              <w:rPr>
                <w:rFonts w:hint="eastAsia"/>
                <w:b/>
                <w:color w:val="auto"/>
                <w:kern w:val="0"/>
                <w:sz w:val="24"/>
                <w:highlight w:val="none"/>
              </w:rPr>
              <w:t>表1-</w:t>
            </w:r>
            <w:r>
              <w:rPr>
                <w:rFonts w:hint="eastAsia"/>
                <w:b/>
                <w:color w:val="auto"/>
                <w:kern w:val="0"/>
                <w:sz w:val="24"/>
                <w:highlight w:val="none"/>
                <w:lang w:val="en-US" w:eastAsia="zh-CN"/>
              </w:rPr>
              <w:t>1</w:t>
            </w:r>
            <w:r>
              <w:rPr>
                <w:rFonts w:hint="eastAsia"/>
                <w:b/>
                <w:color w:val="auto"/>
                <w:kern w:val="0"/>
                <w:sz w:val="24"/>
                <w:highlight w:val="none"/>
              </w:rPr>
              <w:t xml:space="preserve">  本项目与相关环境管理政策符合性分析一览表</w:t>
            </w:r>
          </w:p>
          <w:tbl>
            <w:tblPr>
              <w:tblStyle w:val="3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9"/>
              <w:gridCol w:w="1047"/>
              <w:gridCol w:w="4334"/>
              <w:gridCol w:w="1854"/>
              <w:gridCol w:w="665"/>
            </w:tblGrid>
            <w:tr w14:paraId="2A2F7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280" w:type="pct"/>
                  <w:shd w:val="clear" w:color="auto" w:fill="auto"/>
                  <w:noWrap w:val="0"/>
                  <w:vAlign w:val="center"/>
                </w:tcPr>
                <w:p w14:paraId="4E861650">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center"/>
                    <w:rPr>
                      <w:color w:val="auto"/>
                      <w:kern w:val="0"/>
                      <w:sz w:val="21"/>
                      <w:szCs w:val="21"/>
                      <w:highlight w:val="none"/>
                    </w:rPr>
                  </w:pPr>
                  <w:r>
                    <w:rPr>
                      <w:color w:val="auto"/>
                      <w:kern w:val="0"/>
                      <w:sz w:val="21"/>
                      <w:szCs w:val="21"/>
                      <w:highlight w:val="none"/>
                    </w:rPr>
                    <w:t>序号</w:t>
                  </w:r>
                </w:p>
              </w:tc>
              <w:tc>
                <w:tcPr>
                  <w:tcW w:w="625" w:type="pct"/>
                  <w:shd w:val="clear" w:color="auto" w:fill="auto"/>
                  <w:noWrap w:val="0"/>
                  <w:vAlign w:val="center"/>
                </w:tcPr>
                <w:p w14:paraId="057772E5">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center"/>
                    <w:rPr>
                      <w:color w:val="auto"/>
                      <w:kern w:val="0"/>
                      <w:sz w:val="21"/>
                      <w:szCs w:val="21"/>
                      <w:highlight w:val="none"/>
                    </w:rPr>
                  </w:pPr>
                  <w:r>
                    <w:rPr>
                      <w:color w:val="auto"/>
                      <w:kern w:val="0"/>
                      <w:sz w:val="21"/>
                      <w:szCs w:val="21"/>
                      <w:highlight w:val="none"/>
                    </w:rPr>
                    <w:t>政策名称</w:t>
                  </w:r>
                </w:p>
              </w:tc>
              <w:tc>
                <w:tcPr>
                  <w:tcW w:w="2589" w:type="pct"/>
                  <w:shd w:val="clear" w:color="auto" w:fill="auto"/>
                  <w:noWrap w:val="0"/>
                  <w:vAlign w:val="center"/>
                </w:tcPr>
                <w:p w14:paraId="1830E90F">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center"/>
                    <w:rPr>
                      <w:color w:val="auto"/>
                      <w:kern w:val="0"/>
                      <w:sz w:val="21"/>
                      <w:szCs w:val="21"/>
                      <w:highlight w:val="none"/>
                    </w:rPr>
                  </w:pPr>
                  <w:r>
                    <w:rPr>
                      <w:color w:val="auto"/>
                      <w:kern w:val="0"/>
                      <w:sz w:val="21"/>
                      <w:szCs w:val="21"/>
                      <w:highlight w:val="none"/>
                    </w:rPr>
                    <w:t>文件内容</w:t>
                  </w:r>
                </w:p>
              </w:tc>
              <w:tc>
                <w:tcPr>
                  <w:tcW w:w="1107" w:type="pct"/>
                  <w:shd w:val="clear" w:color="auto" w:fill="auto"/>
                  <w:noWrap w:val="0"/>
                  <w:vAlign w:val="center"/>
                </w:tcPr>
                <w:p w14:paraId="2A19EB7A">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center"/>
                    <w:rPr>
                      <w:color w:val="auto"/>
                      <w:kern w:val="0"/>
                      <w:sz w:val="21"/>
                      <w:szCs w:val="21"/>
                      <w:highlight w:val="none"/>
                    </w:rPr>
                  </w:pPr>
                  <w:r>
                    <w:rPr>
                      <w:color w:val="auto"/>
                      <w:kern w:val="0"/>
                      <w:sz w:val="21"/>
                      <w:szCs w:val="21"/>
                      <w:highlight w:val="none"/>
                    </w:rPr>
                    <w:t>本项目</w:t>
                  </w:r>
                </w:p>
              </w:tc>
              <w:tc>
                <w:tcPr>
                  <w:tcW w:w="397" w:type="pct"/>
                  <w:shd w:val="clear" w:color="auto" w:fill="auto"/>
                  <w:noWrap w:val="0"/>
                  <w:vAlign w:val="center"/>
                </w:tcPr>
                <w:p w14:paraId="38D2FA16">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center"/>
                    <w:rPr>
                      <w:color w:val="auto"/>
                      <w:kern w:val="0"/>
                      <w:sz w:val="21"/>
                      <w:szCs w:val="21"/>
                      <w:highlight w:val="none"/>
                    </w:rPr>
                  </w:pPr>
                  <w:r>
                    <w:rPr>
                      <w:color w:val="auto"/>
                      <w:kern w:val="0"/>
                      <w:sz w:val="21"/>
                      <w:szCs w:val="21"/>
                      <w:highlight w:val="none"/>
                    </w:rPr>
                    <w:t>符合性</w:t>
                  </w:r>
                </w:p>
              </w:tc>
            </w:tr>
            <w:tr w14:paraId="6851D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80" w:type="pct"/>
                  <w:shd w:val="clear" w:color="auto" w:fill="auto"/>
                  <w:noWrap w:val="0"/>
                  <w:vAlign w:val="center"/>
                </w:tcPr>
                <w:p w14:paraId="74F5D6EA">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center"/>
                    <w:rPr>
                      <w:color w:val="auto"/>
                      <w:kern w:val="0"/>
                      <w:sz w:val="21"/>
                      <w:szCs w:val="21"/>
                      <w:highlight w:val="none"/>
                    </w:rPr>
                  </w:pPr>
                  <w:r>
                    <w:rPr>
                      <w:rFonts w:hint="eastAsia"/>
                      <w:color w:val="auto"/>
                      <w:kern w:val="0"/>
                      <w:sz w:val="21"/>
                      <w:szCs w:val="21"/>
                      <w:highlight w:val="none"/>
                    </w:rPr>
                    <w:t>1</w:t>
                  </w:r>
                </w:p>
              </w:tc>
              <w:tc>
                <w:tcPr>
                  <w:tcW w:w="625" w:type="pct"/>
                  <w:shd w:val="clear" w:color="auto" w:fill="auto"/>
                  <w:noWrap w:val="0"/>
                  <w:vAlign w:val="center"/>
                </w:tcPr>
                <w:p w14:paraId="114CD36D">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center"/>
                    <w:rPr>
                      <w:color w:val="auto"/>
                      <w:kern w:val="0"/>
                      <w:sz w:val="21"/>
                      <w:szCs w:val="21"/>
                      <w:highlight w:val="none"/>
                    </w:rPr>
                  </w:pPr>
                  <w:r>
                    <w:rPr>
                      <w:rFonts w:hint="eastAsia"/>
                      <w:color w:val="auto"/>
                      <w:kern w:val="0"/>
                      <w:sz w:val="21"/>
                      <w:szCs w:val="21"/>
                      <w:highlight w:val="none"/>
                    </w:rPr>
                    <w:t>《秦皇岛市深入打好污染防治攻坚战实施方案》(秦传[2022]6号)</w:t>
                  </w:r>
                </w:p>
              </w:tc>
              <w:tc>
                <w:tcPr>
                  <w:tcW w:w="2589" w:type="pct"/>
                  <w:shd w:val="clear" w:color="auto" w:fill="auto"/>
                  <w:noWrap w:val="0"/>
                  <w:vAlign w:val="center"/>
                </w:tcPr>
                <w:p w14:paraId="1DE34853">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center"/>
                    <w:rPr>
                      <w:color w:val="auto"/>
                      <w:kern w:val="0"/>
                      <w:sz w:val="21"/>
                      <w:szCs w:val="21"/>
                      <w:highlight w:val="none"/>
                    </w:rPr>
                  </w:pPr>
                  <w:r>
                    <w:rPr>
                      <w:rFonts w:hint="eastAsia"/>
                      <w:color w:val="auto"/>
                      <w:kern w:val="0"/>
                      <w:sz w:val="21"/>
                      <w:szCs w:val="21"/>
                      <w:highlight w:val="none"/>
                      <w:lang w:val="en-US" w:eastAsia="zh-CN"/>
                    </w:rPr>
                    <w:t>1</w:t>
                  </w:r>
                  <w:r>
                    <w:rPr>
                      <w:rFonts w:hint="eastAsia"/>
                      <w:color w:val="auto"/>
                      <w:kern w:val="0"/>
                      <w:sz w:val="21"/>
                      <w:szCs w:val="21"/>
                      <w:highlight w:val="none"/>
                    </w:rPr>
                    <w:t>、健全排放源统计调查、核算核查、监测监管制度，将温室气体管控纳入环评管理，在环评文件中增加碳排放文件内容；</w:t>
                  </w:r>
                </w:p>
                <w:p w14:paraId="454E9F72">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center"/>
                    <w:rPr>
                      <w:rFonts w:hint="eastAsia"/>
                      <w:color w:val="auto"/>
                      <w:kern w:val="0"/>
                      <w:sz w:val="21"/>
                      <w:szCs w:val="21"/>
                      <w:highlight w:val="none"/>
                    </w:rPr>
                  </w:pPr>
                  <w:r>
                    <w:rPr>
                      <w:rFonts w:hint="eastAsia"/>
                      <w:color w:val="auto"/>
                      <w:kern w:val="0"/>
                      <w:sz w:val="21"/>
                      <w:szCs w:val="21"/>
                      <w:highlight w:val="none"/>
                      <w:lang w:val="en-US" w:eastAsia="zh-CN"/>
                    </w:rPr>
                    <w:t>2</w:t>
                  </w:r>
                  <w:r>
                    <w:rPr>
                      <w:rFonts w:hint="eastAsia"/>
                      <w:color w:val="auto"/>
                      <w:kern w:val="0"/>
                      <w:sz w:val="21"/>
                      <w:szCs w:val="21"/>
                      <w:highlight w:val="none"/>
                    </w:rPr>
                    <w:t>、严禁新建自备燃煤机组，推动自备燃煤机组实施清洁能源替代，大力发展风能、太阳能等可再生能源发电，拓展氢能应用领域；</w:t>
                  </w:r>
                </w:p>
                <w:p w14:paraId="3CB1F837">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center"/>
                    <w:rPr>
                      <w:rFonts w:hint="eastAsia"/>
                      <w:color w:val="auto"/>
                      <w:kern w:val="0"/>
                      <w:sz w:val="21"/>
                      <w:szCs w:val="21"/>
                      <w:highlight w:val="none"/>
                    </w:rPr>
                  </w:pPr>
                  <w:r>
                    <w:rPr>
                      <w:rFonts w:hint="eastAsia"/>
                      <w:color w:val="auto"/>
                      <w:kern w:val="0"/>
                      <w:sz w:val="21"/>
                      <w:szCs w:val="21"/>
                      <w:highlight w:val="none"/>
                      <w:lang w:val="en-US" w:eastAsia="zh-CN"/>
                    </w:rPr>
                    <w:t>3</w:t>
                  </w:r>
                  <w:r>
                    <w:rPr>
                      <w:rFonts w:hint="eastAsia"/>
                      <w:color w:val="auto"/>
                      <w:kern w:val="0"/>
                      <w:sz w:val="21"/>
                      <w:szCs w:val="21"/>
                      <w:highlight w:val="none"/>
                    </w:rPr>
                    <w:t>、严把项目准入关口，严格执行节能审查、煤炭替代审查和环境影响评价审查等制度，新上高耗能、高排放项目能效和污染物排放应达到行业先进水平。健全监督机制，建立存量、在建和拟建“两高”管理台账，实施分类处置，动态监控。严肃查处“两高”行业企业未批先建、未验先投、无证排污、不按证排污、无节能审查(煤炭替代方案)、无环评审查等违法违规行为。</w:t>
                  </w:r>
                </w:p>
              </w:tc>
              <w:tc>
                <w:tcPr>
                  <w:tcW w:w="1107" w:type="pct"/>
                  <w:shd w:val="clear" w:color="auto" w:fill="auto"/>
                  <w:noWrap w:val="0"/>
                  <w:vAlign w:val="center"/>
                </w:tcPr>
                <w:p w14:paraId="794472D5">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center"/>
                    <w:rPr>
                      <w:rFonts w:hint="eastAsia"/>
                      <w:color w:val="auto"/>
                      <w:kern w:val="0"/>
                      <w:sz w:val="21"/>
                      <w:szCs w:val="21"/>
                      <w:highlight w:val="none"/>
                      <w:lang w:val="en-US" w:eastAsia="zh-CN"/>
                    </w:rPr>
                  </w:pPr>
                  <w:r>
                    <w:rPr>
                      <w:rFonts w:hint="eastAsia"/>
                      <w:color w:val="auto"/>
                      <w:kern w:val="0"/>
                      <w:sz w:val="21"/>
                      <w:szCs w:val="21"/>
                      <w:highlight w:val="none"/>
                      <w:lang w:val="en-US" w:eastAsia="zh-CN"/>
                    </w:rPr>
                    <w:t>1、环评报告中对碳排放进行了分析。</w:t>
                  </w:r>
                </w:p>
                <w:p w14:paraId="729676E4">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center"/>
                    <w:rPr>
                      <w:rFonts w:hint="eastAsia"/>
                      <w:color w:val="auto"/>
                      <w:kern w:val="0"/>
                      <w:sz w:val="21"/>
                      <w:szCs w:val="21"/>
                      <w:highlight w:val="none"/>
                      <w:lang w:val="en-US" w:eastAsia="zh-CN"/>
                    </w:rPr>
                  </w:pPr>
                  <w:r>
                    <w:rPr>
                      <w:rFonts w:hint="eastAsia"/>
                      <w:color w:val="auto"/>
                      <w:kern w:val="0"/>
                      <w:sz w:val="21"/>
                      <w:szCs w:val="21"/>
                      <w:highlight w:val="none"/>
                      <w:lang w:val="en-US" w:eastAsia="zh-CN"/>
                    </w:rPr>
                    <w:t>2、 本项目不涉及锅炉。</w:t>
                  </w:r>
                </w:p>
                <w:p w14:paraId="5FC837FC">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center"/>
                    <w:rPr>
                      <w:rFonts w:hint="eastAsia"/>
                      <w:color w:val="auto"/>
                      <w:kern w:val="0"/>
                      <w:sz w:val="21"/>
                      <w:szCs w:val="21"/>
                      <w:highlight w:val="none"/>
                    </w:rPr>
                  </w:pPr>
                  <w:r>
                    <w:rPr>
                      <w:rFonts w:hint="eastAsia"/>
                      <w:color w:val="auto"/>
                      <w:kern w:val="0"/>
                      <w:sz w:val="21"/>
                      <w:szCs w:val="21"/>
                      <w:highlight w:val="none"/>
                      <w:lang w:val="en-US" w:eastAsia="zh-CN"/>
                    </w:rPr>
                    <w:t>3、本项目不属于“两高”项目</w:t>
                  </w:r>
                </w:p>
                <w:p w14:paraId="39F9FF22">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center"/>
                    <w:rPr>
                      <w:rFonts w:hint="eastAsia"/>
                      <w:color w:val="auto"/>
                      <w:kern w:val="0"/>
                      <w:sz w:val="21"/>
                      <w:szCs w:val="21"/>
                      <w:highlight w:val="none"/>
                    </w:rPr>
                  </w:pPr>
                </w:p>
              </w:tc>
              <w:tc>
                <w:tcPr>
                  <w:tcW w:w="397" w:type="pct"/>
                  <w:shd w:val="clear" w:color="auto" w:fill="auto"/>
                  <w:noWrap w:val="0"/>
                  <w:vAlign w:val="center"/>
                </w:tcPr>
                <w:p w14:paraId="0F248B40">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center"/>
                    <w:rPr>
                      <w:color w:val="auto"/>
                      <w:kern w:val="0"/>
                      <w:sz w:val="21"/>
                      <w:szCs w:val="21"/>
                      <w:highlight w:val="none"/>
                    </w:rPr>
                  </w:pPr>
                  <w:r>
                    <w:rPr>
                      <w:rFonts w:hint="eastAsia"/>
                      <w:color w:val="auto"/>
                      <w:kern w:val="0"/>
                      <w:sz w:val="21"/>
                      <w:szCs w:val="21"/>
                      <w:highlight w:val="none"/>
                    </w:rPr>
                    <w:t>符合</w:t>
                  </w:r>
                </w:p>
              </w:tc>
            </w:tr>
            <w:tr w14:paraId="09478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80" w:type="pct"/>
                  <w:shd w:val="clear" w:color="auto" w:fill="auto"/>
                  <w:noWrap w:val="0"/>
                  <w:vAlign w:val="center"/>
                </w:tcPr>
                <w:p w14:paraId="44D38D10">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center"/>
                    <w:rPr>
                      <w:rFonts w:hint="eastAsia" w:eastAsia="宋体"/>
                      <w:color w:val="auto"/>
                      <w:kern w:val="0"/>
                      <w:sz w:val="21"/>
                      <w:szCs w:val="21"/>
                      <w:highlight w:val="none"/>
                      <w:lang w:eastAsia="zh-CN"/>
                    </w:rPr>
                  </w:pPr>
                  <w:r>
                    <w:rPr>
                      <w:rFonts w:hint="eastAsia"/>
                      <w:color w:val="auto"/>
                      <w:kern w:val="0"/>
                      <w:sz w:val="21"/>
                      <w:szCs w:val="21"/>
                      <w:highlight w:val="none"/>
                      <w:lang w:val="en-US" w:eastAsia="zh-CN"/>
                    </w:rPr>
                    <w:t>2</w:t>
                  </w:r>
                </w:p>
              </w:tc>
              <w:tc>
                <w:tcPr>
                  <w:tcW w:w="625" w:type="pct"/>
                  <w:shd w:val="clear" w:color="auto" w:fill="auto"/>
                  <w:noWrap w:val="0"/>
                  <w:vAlign w:val="center"/>
                </w:tcPr>
                <w:p w14:paraId="62A240B7">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center"/>
                    <w:rPr>
                      <w:color w:val="auto"/>
                      <w:kern w:val="0"/>
                      <w:sz w:val="21"/>
                      <w:szCs w:val="21"/>
                      <w:highlight w:val="none"/>
                    </w:rPr>
                  </w:pPr>
                  <w:r>
                    <w:rPr>
                      <w:rFonts w:hint="eastAsia"/>
                      <w:color w:val="auto"/>
                      <w:kern w:val="0"/>
                      <w:sz w:val="21"/>
                      <w:szCs w:val="21"/>
                      <w:highlight w:val="none"/>
                    </w:rPr>
                    <w:t>《秦皇岛市生态环境保护“十四五”规划》的通知(秦政字〔2022〕10号)</w:t>
                  </w:r>
                </w:p>
              </w:tc>
              <w:tc>
                <w:tcPr>
                  <w:tcW w:w="2589" w:type="pct"/>
                  <w:shd w:val="clear" w:color="auto" w:fill="auto"/>
                  <w:noWrap w:val="0"/>
                  <w:vAlign w:val="center"/>
                </w:tcPr>
                <w:p w14:paraId="704BA669">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center"/>
                    <w:rPr>
                      <w:rFonts w:hint="eastAsia"/>
                      <w:color w:val="auto"/>
                      <w:kern w:val="0"/>
                      <w:sz w:val="21"/>
                      <w:szCs w:val="21"/>
                      <w:highlight w:val="none"/>
                    </w:rPr>
                  </w:pPr>
                  <w:r>
                    <w:rPr>
                      <w:rFonts w:hint="eastAsia"/>
                      <w:color w:val="auto"/>
                      <w:kern w:val="0"/>
                      <w:sz w:val="21"/>
                      <w:szCs w:val="21"/>
                      <w:highlight w:val="none"/>
                    </w:rPr>
                    <w:t>1、建立以“三线一单”为核心的全覆盖的生态环境分区管控体系；</w:t>
                  </w:r>
                </w:p>
                <w:p w14:paraId="3E19D808">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center"/>
                    <w:rPr>
                      <w:rFonts w:hint="eastAsia"/>
                      <w:color w:val="auto"/>
                      <w:kern w:val="0"/>
                      <w:sz w:val="21"/>
                      <w:szCs w:val="21"/>
                      <w:highlight w:val="none"/>
                    </w:rPr>
                  </w:pPr>
                  <w:r>
                    <w:rPr>
                      <w:rFonts w:hint="eastAsia"/>
                      <w:color w:val="auto"/>
                      <w:kern w:val="0"/>
                      <w:sz w:val="21"/>
                      <w:szCs w:val="21"/>
                      <w:highlight w:val="none"/>
                    </w:rPr>
                    <w:t>2、严格执行产业准入负面清单；</w:t>
                  </w:r>
                </w:p>
                <w:p w14:paraId="66D12417">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center"/>
                    <w:rPr>
                      <w:rFonts w:hint="eastAsia"/>
                      <w:color w:val="auto"/>
                      <w:kern w:val="0"/>
                      <w:sz w:val="21"/>
                      <w:szCs w:val="21"/>
                      <w:highlight w:val="none"/>
                    </w:rPr>
                  </w:pPr>
                  <w:r>
                    <w:rPr>
                      <w:rFonts w:hint="eastAsia"/>
                      <w:color w:val="auto"/>
                      <w:kern w:val="0"/>
                      <w:sz w:val="21"/>
                      <w:szCs w:val="21"/>
                      <w:highlight w:val="none"/>
                    </w:rPr>
                    <w:t>3、严禁新增低端落后产能，加快淘汰落后产能；</w:t>
                  </w:r>
                </w:p>
                <w:p w14:paraId="2518FF0C">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center"/>
                    <w:rPr>
                      <w:rFonts w:hint="eastAsia"/>
                      <w:color w:val="auto"/>
                      <w:kern w:val="0"/>
                      <w:sz w:val="21"/>
                      <w:szCs w:val="21"/>
                      <w:highlight w:val="none"/>
                    </w:rPr>
                  </w:pPr>
                  <w:r>
                    <w:rPr>
                      <w:rFonts w:hint="eastAsia"/>
                      <w:color w:val="auto"/>
                      <w:kern w:val="0"/>
                      <w:sz w:val="21"/>
                      <w:szCs w:val="21"/>
                      <w:highlight w:val="none"/>
                      <w:lang w:val="en-US" w:eastAsia="zh-CN"/>
                    </w:rPr>
                    <w:t>4</w:t>
                  </w:r>
                  <w:r>
                    <w:rPr>
                      <w:rFonts w:hint="eastAsia"/>
                      <w:color w:val="auto"/>
                      <w:kern w:val="0"/>
                      <w:sz w:val="21"/>
                      <w:szCs w:val="21"/>
                      <w:highlight w:val="none"/>
                    </w:rPr>
                    <w:t>、开展二氧化碳排放达峰行动、控制温室气体排放；</w:t>
                  </w:r>
                </w:p>
                <w:p w14:paraId="679AA182">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center"/>
                    <w:rPr>
                      <w:rFonts w:hint="eastAsia"/>
                      <w:color w:val="auto"/>
                      <w:kern w:val="0"/>
                      <w:sz w:val="21"/>
                      <w:szCs w:val="21"/>
                      <w:highlight w:val="none"/>
                    </w:rPr>
                  </w:pPr>
                  <w:r>
                    <w:rPr>
                      <w:rFonts w:hint="eastAsia"/>
                      <w:color w:val="auto"/>
                      <w:kern w:val="0"/>
                      <w:sz w:val="21"/>
                      <w:szCs w:val="21"/>
                      <w:highlight w:val="none"/>
                      <w:lang w:val="en-US" w:eastAsia="zh-CN"/>
                    </w:rPr>
                    <w:t>5</w:t>
                  </w:r>
                  <w:r>
                    <w:rPr>
                      <w:rFonts w:hint="eastAsia"/>
                      <w:color w:val="auto"/>
                      <w:kern w:val="0"/>
                      <w:sz w:val="21"/>
                      <w:szCs w:val="21"/>
                      <w:highlight w:val="none"/>
                    </w:rPr>
                    <w:t>、巩固和完善蓝天保卫战攻坚成效，坚持系统施治、歼灭战与持久战相结合，推进细颗粒物(PM2.5)与臭氧污染协同控制，持续削减氮氧化物和VOCs排放量，推动环境空气质量持续改善，努力实现“蓝天白云、繁星闪烁”；</w:t>
                  </w:r>
                </w:p>
                <w:p w14:paraId="40784897">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center"/>
                    <w:rPr>
                      <w:rFonts w:hint="eastAsia"/>
                      <w:color w:val="auto"/>
                      <w:kern w:val="0"/>
                      <w:sz w:val="21"/>
                      <w:szCs w:val="21"/>
                      <w:highlight w:val="none"/>
                    </w:rPr>
                  </w:pPr>
                  <w:r>
                    <w:rPr>
                      <w:rFonts w:hint="eastAsia"/>
                      <w:color w:val="auto"/>
                      <w:kern w:val="0"/>
                      <w:sz w:val="21"/>
                      <w:szCs w:val="21"/>
                      <w:highlight w:val="none"/>
                      <w:lang w:val="en-US" w:eastAsia="zh-CN"/>
                    </w:rPr>
                    <w:t>6</w:t>
                  </w:r>
                  <w:r>
                    <w:rPr>
                      <w:rFonts w:hint="eastAsia"/>
                      <w:color w:val="auto"/>
                      <w:kern w:val="0"/>
                      <w:sz w:val="21"/>
                      <w:szCs w:val="21"/>
                      <w:highlight w:val="none"/>
                    </w:rPr>
                    <w:t>、推进扬尘综合整治；</w:t>
                  </w:r>
                </w:p>
                <w:p w14:paraId="4F43BBDB">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center"/>
                    <w:rPr>
                      <w:rFonts w:hint="eastAsia"/>
                      <w:color w:val="auto"/>
                      <w:kern w:val="0"/>
                      <w:sz w:val="21"/>
                      <w:szCs w:val="21"/>
                      <w:highlight w:val="none"/>
                    </w:rPr>
                  </w:pPr>
                  <w:r>
                    <w:rPr>
                      <w:rFonts w:hint="eastAsia"/>
                      <w:color w:val="auto"/>
                      <w:kern w:val="0"/>
                      <w:sz w:val="21"/>
                      <w:szCs w:val="21"/>
                      <w:highlight w:val="none"/>
                      <w:lang w:val="en-US" w:eastAsia="zh-CN"/>
                    </w:rPr>
                    <w:t>7</w:t>
                  </w:r>
                  <w:r>
                    <w:rPr>
                      <w:rFonts w:hint="eastAsia"/>
                      <w:color w:val="auto"/>
                      <w:kern w:val="0"/>
                      <w:sz w:val="21"/>
                      <w:szCs w:val="21"/>
                      <w:highlight w:val="none"/>
                    </w:rPr>
                    <w:t>、聚焦固体废物、危险化学品生态环境风险防控，加快构建危险废物、医疗废物收集处置管理体系，全面推动废旧物资和可再生资源循环利用，加快垃圾分类和资源化利用，减少固体废物对环境的污染；</w:t>
                  </w:r>
                </w:p>
                <w:p w14:paraId="51F45D35">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center"/>
                    <w:rPr>
                      <w:color w:val="auto"/>
                      <w:kern w:val="0"/>
                      <w:sz w:val="21"/>
                      <w:szCs w:val="21"/>
                      <w:highlight w:val="none"/>
                    </w:rPr>
                  </w:pPr>
                  <w:r>
                    <w:rPr>
                      <w:rFonts w:hint="eastAsia"/>
                      <w:color w:val="auto"/>
                      <w:kern w:val="0"/>
                      <w:sz w:val="21"/>
                      <w:szCs w:val="21"/>
                      <w:highlight w:val="none"/>
                      <w:lang w:val="en-US" w:eastAsia="zh-CN"/>
                    </w:rPr>
                    <w:t>8</w:t>
                  </w:r>
                  <w:r>
                    <w:rPr>
                      <w:rFonts w:hint="eastAsia"/>
                      <w:color w:val="auto"/>
                      <w:kern w:val="0"/>
                      <w:sz w:val="21"/>
                      <w:szCs w:val="21"/>
                      <w:highlight w:val="none"/>
                    </w:rPr>
                    <w:t>、公开环境治理信息。排污企业应通过企业网站等途径依法公开主要污染物名称、排放方式、执行标准以及污染防治设施建设和运行情况，并对信息真实性负责。鼓励排污企业在确保安全生产前提下，通过设立企业开放日、建设教育体验场所等形式，向社会公众开放。</w:t>
                  </w:r>
                </w:p>
              </w:tc>
              <w:tc>
                <w:tcPr>
                  <w:tcW w:w="1107" w:type="pct"/>
                  <w:shd w:val="clear" w:color="auto" w:fill="auto"/>
                  <w:noWrap w:val="0"/>
                  <w:vAlign w:val="center"/>
                </w:tcPr>
                <w:p w14:paraId="68D049A5">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center"/>
                    <w:rPr>
                      <w:color w:val="auto"/>
                      <w:kern w:val="0"/>
                      <w:sz w:val="21"/>
                      <w:szCs w:val="21"/>
                      <w:highlight w:val="none"/>
                    </w:rPr>
                  </w:pPr>
                  <w:r>
                    <w:rPr>
                      <w:rFonts w:hint="eastAsia"/>
                      <w:color w:val="auto"/>
                      <w:kern w:val="0"/>
                      <w:sz w:val="21"/>
                      <w:szCs w:val="21"/>
                      <w:highlight w:val="none"/>
                    </w:rPr>
                    <w:t>1、</w:t>
                  </w:r>
                  <w:r>
                    <w:rPr>
                      <w:color w:val="auto"/>
                      <w:kern w:val="0"/>
                      <w:sz w:val="21"/>
                      <w:szCs w:val="21"/>
                      <w:highlight w:val="none"/>
                    </w:rPr>
                    <w:t>项目符合“</w:t>
                  </w:r>
                  <w:r>
                    <w:rPr>
                      <w:rFonts w:hint="eastAsia"/>
                      <w:color w:val="auto"/>
                      <w:kern w:val="0"/>
                      <w:sz w:val="21"/>
                      <w:szCs w:val="21"/>
                      <w:highlight w:val="none"/>
                    </w:rPr>
                    <w:t>三线一单</w:t>
                  </w:r>
                  <w:r>
                    <w:rPr>
                      <w:color w:val="auto"/>
                      <w:kern w:val="0"/>
                      <w:sz w:val="21"/>
                      <w:szCs w:val="21"/>
                      <w:highlight w:val="none"/>
                    </w:rPr>
                    <w:t>”</w:t>
                  </w:r>
                  <w:r>
                    <w:rPr>
                      <w:rFonts w:hint="eastAsia"/>
                      <w:color w:val="auto"/>
                      <w:kern w:val="0"/>
                      <w:sz w:val="21"/>
                      <w:szCs w:val="21"/>
                      <w:highlight w:val="none"/>
                    </w:rPr>
                    <w:t>生态环境分区管控要求</w:t>
                  </w:r>
                  <w:r>
                    <w:rPr>
                      <w:color w:val="auto"/>
                      <w:kern w:val="0"/>
                      <w:sz w:val="21"/>
                      <w:szCs w:val="21"/>
                      <w:highlight w:val="none"/>
                    </w:rPr>
                    <w:t>。</w:t>
                  </w:r>
                </w:p>
                <w:p w14:paraId="4880657C">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center"/>
                    <w:rPr>
                      <w:color w:val="auto"/>
                      <w:kern w:val="0"/>
                      <w:sz w:val="21"/>
                      <w:szCs w:val="21"/>
                      <w:highlight w:val="none"/>
                    </w:rPr>
                  </w:pPr>
                  <w:r>
                    <w:rPr>
                      <w:color w:val="auto"/>
                      <w:kern w:val="0"/>
                      <w:sz w:val="21"/>
                      <w:szCs w:val="21"/>
                      <w:highlight w:val="none"/>
                    </w:rPr>
                    <w:t>2</w:t>
                  </w:r>
                  <w:r>
                    <w:rPr>
                      <w:rFonts w:hint="eastAsia"/>
                      <w:color w:val="auto"/>
                      <w:kern w:val="0"/>
                      <w:sz w:val="21"/>
                      <w:szCs w:val="21"/>
                      <w:highlight w:val="none"/>
                    </w:rPr>
                    <w:t>、</w:t>
                  </w:r>
                  <w:r>
                    <w:rPr>
                      <w:color w:val="auto"/>
                      <w:kern w:val="0"/>
                      <w:sz w:val="21"/>
                      <w:szCs w:val="21"/>
                      <w:highlight w:val="none"/>
                    </w:rPr>
                    <w:t>本项目不属于准入负面清单内</w:t>
                  </w:r>
                  <w:r>
                    <w:rPr>
                      <w:rFonts w:hint="eastAsia"/>
                      <w:color w:val="auto"/>
                      <w:kern w:val="0"/>
                      <w:sz w:val="21"/>
                      <w:szCs w:val="21"/>
                      <w:highlight w:val="none"/>
                    </w:rPr>
                    <w:t>容。</w:t>
                  </w:r>
                </w:p>
                <w:p w14:paraId="3D113307">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center"/>
                    <w:rPr>
                      <w:rFonts w:hint="eastAsia"/>
                      <w:color w:val="auto"/>
                      <w:kern w:val="0"/>
                      <w:sz w:val="21"/>
                      <w:szCs w:val="21"/>
                      <w:highlight w:val="none"/>
                    </w:rPr>
                  </w:pPr>
                  <w:r>
                    <w:rPr>
                      <w:color w:val="auto"/>
                      <w:kern w:val="0"/>
                      <w:sz w:val="21"/>
                      <w:szCs w:val="21"/>
                      <w:highlight w:val="none"/>
                    </w:rPr>
                    <w:t>3</w:t>
                  </w:r>
                  <w:r>
                    <w:rPr>
                      <w:rFonts w:hint="eastAsia"/>
                      <w:color w:val="auto"/>
                      <w:kern w:val="0"/>
                      <w:sz w:val="21"/>
                      <w:szCs w:val="21"/>
                      <w:highlight w:val="none"/>
                    </w:rPr>
                    <w:t>、本项目</w:t>
                  </w:r>
                  <w:r>
                    <w:rPr>
                      <w:color w:val="auto"/>
                      <w:kern w:val="0"/>
                      <w:sz w:val="21"/>
                      <w:szCs w:val="21"/>
                      <w:highlight w:val="none"/>
                    </w:rPr>
                    <w:t>不属于低端落后类项目。</w:t>
                  </w:r>
                </w:p>
                <w:p w14:paraId="2B58B636">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center"/>
                    <w:rPr>
                      <w:color w:val="auto"/>
                      <w:kern w:val="0"/>
                      <w:sz w:val="21"/>
                      <w:szCs w:val="21"/>
                      <w:highlight w:val="none"/>
                    </w:rPr>
                  </w:pPr>
                  <w:r>
                    <w:rPr>
                      <w:rFonts w:hint="eastAsia"/>
                      <w:color w:val="auto"/>
                      <w:kern w:val="0"/>
                      <w:sz w:val="21"/>
                      <w:szCs w:val="21"/>
                      <w:highlight w:val="none"/>
                      <w:lang w:val="en-US" w:eastAsia="zh-CN"/>
                    </w:rPr>
                    <w:t>4</w:t>
                  </w:r>
                  <w:r>
                    <w:rPr>
                      <w:rFonts w:hint="eastAsia"/>
                      <w:color w:val="auto"/>
                      <w:kern w:val="0"/>
                      <w:sz w:val="21"/>
                      <w:szCs w:val="21"/>
                      <w:highlight w:val="none"/>
                    </w:rPr>
                    <w:t>、环评已进行碳排放影响分析。</w:t>
                  </w:r>
                </w:p>
                <w:p w14:paraId="5A570B30">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center"/>
                    <w:rPr>
                      <w:rFonts w:hint="eastAsia"/>
                      <w:color w:val="auto"/>
                      <w:kern w:val="0"/>
                      <w:sz w:val="21"/>
                      <w:szCs w:val="21"/>
                      <w:highlight w:val="none"/>
                    </w:rPr>
                  </w:pPr>
                  <w:r>
                    <w:rPr>
                      <w:rFonts w:hint="eastAsia"/>
                      <w:color w:val="auto"/>
                      <w:kern w:val="0"/>
                      <w:sz w:val="21"/>
                      <w:szCs w:val="21"/>
                      <w:highlight w:val="none"/>
                      <w:lang w:val="en-US" w:eastAsia="zh-CN"/>
                    </w:rPr>
                    <w:t>5</w:t>
                  </w:r>
                  <w:r>
                    <w:rPr>
                      <w:rFonts w:hint="eastAsia"/>
                      <w:color w:val="auto"/>
                      <w:kern w:val="0"/>
                      <w:sz w:val="21"/>
                      <w:szCs w:val="21"/>
                      <w:highlight w:val="none"/>
                    </w:rPr>
                    <w:t>、</w:t>
                  </w:r>
                  <w:r>
                    <w:rPr>
                      <w:rFonts w:hint="eastAsia"/>
                      <w:color w:val="auto"/>
                      <w:kern w:val="0"/>
                      <w:sz w:val="21"/>
                      <w:szCs w:val="21"/>
                      <w:highlight w:val="none"/>
                      <w:lang w:val="en-US" w:eastAsia="zh-CN"/>
                    </w:rPr>
                    <w:t>本项目废气经治理后可达标排放，对周边环境影响较小</w:t>
                  </w:r>
                  <w:r>
                    <w:rPr>
                      <w:rFonts w:hint="eastAsia"/>
                      <w:color w:val="auto"/>
                      <w:kern w:val="0"/>
                      <w:sz w:val="21"/>
                      <w:szCs w:val="21"/>
                      <w:highlight w:val="none"/>
                    </w:rPr>
                    <w:t>。</w:t>
                  </w:r>
                </w:p>
                <w:p w14:paraId="0279BD0E">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center"/>
                    <w:rPr>
                      <w:color w:val="auto"/>
                      <w:kern w:val="0"/>
                      <w:sz w:val="21"/>
                      <w:szCs w:val="21"/>
                      <w:highlight w:val="none"/>
                    </w:rPr>
                  </w:pPr>
                  <w:r>
                    <w:rPr>
                      <w:rFonts w:hint="eastAsia"/>
                      <w:color w:val="auto"/>
                      <w:kern w:val="0"/>
                      <w:sz w:val="21"/>
                      <w:szCs w:val="21"/>
                      <w:highlight w:val="none"/>
                      <w:lang w:val="en-US" w:eastAsia="zh-CN"/>
                    </w:rPr>
                    <w:t>6</w:t>
                  </w:r>
                  <w:r>
                    <w:rPr>
                      <w:rFonts w:hint="eastAsia"/>
                      <w:color w:val="auto"/>
                      <w:kern w:val="0"/>
                      <w:sz w:val="21"/>
                      <w:szCs w:val="21"/>
                      <w:highlight w:val="none"/>
                    </w:rPr>
                    <w:t>、</w:t>
                  </w:r>
                  <w:r>
                    <w:rPr>
                      <w:rFonts w:hint="eastAsia"/>
                      <w:color w:val="auto"/>
                      <w:kern w:val="0"/>
                      <w:sz w:val="21"/>
                      <w:szCs w:val="21"/>
                      <w:highlight w:val="none"/>
                      <w:lang w:val="en-US" w:eastAsia="zh-CN"/>
                    </w:rPr>
                    <w:t>本项目施工期仅为设备安装与调试，无土建工程</w:t>
                  </w:r>
                  <w:r>
                    <w:rPr>
                      <w:rFonts w:hint="eastAsia"/>
                      <w:color w:val="auto"/>
                      <w:kern w:val="0"/>
                      <w:sz w:val="21"/>
                      <w:szCs w:val="21"/>
                      <w:highlight w:val="none"/>
                    </w:rPr>
                    <w:t>。</w:t>
                  </w:r>
                </w:p>
                <w:p w14:paraId="59F35997">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center"/>
                    <w:rPr>
                      <w:rFonts w:hint="eastAsia"/>
                      <w:color w:val="auto"/>
                      <w:kern w:val="0"/>
                      <w:sz w:val="21"/>
                      <w:szCs w:val="21"/>
                      <w:highlight w:val="none"/>
                    </w:rPr>
                  </w:pPr>
                  <w:r>
                    <w:rPr>
                      <w:rFonts w:hint="eastAsia"/>
                      <w:color w:val="auto"/>
                      <w:kern w:val="0"/>
                      <w:sz w:val="21"/>
                      <w:szCs w:val="21"/>
                      <w:highlight w:val="none"/>
                      <w:lang w:val="en-US" w:eastAsia="zh-CN"/>
                    </w:rPr>
                    <w:t>7</w:t>
                  </w:r>
                  <w:r>
                    <w:rPr>
                      <w:rFonts w:hint="eastAsia"/>
                      <w:color w:val="auto"/>
                      <w:kern w:val="0"/>
                      <w:sz w:val="21"/>
                      <w:szCs w:val="21"/>
                      <w:highlight w:val="none"/>
                    </w:rPr>
                    <w:t>、</w:t>
                  </w:r>
                  <w:r>
                    <w:rPr>
                      <w:rFonts w:hint="eastAsia"/>
                      <w:color w:val="auto"/>
                      <w:kern w:val="0"/>
                      <w:sz w:val="21"/>
                      <w:szCs w:val="21"/>
                      <w:highlight w:val="none"/>
                      <w:lang w:val="en-US" w:eastAsia="zh-CN"/>
                    </w:rPr>
                    <w:t>本项目原料不锈钢、铁锭等，外购于周边县区</w:t>
                  </w:r>
                  <w:r>
                    <w:rPr>
                      <w:color w:val="auto"/>
                      <w:kern w:val="0"/>
                      <w:sz w:val="21"/>
                      <w:szCs w:val="21"/>
                      <w:highlight w:val="none"/>
                    </w:rPr>
                    <w:t>。</w:t>
                  </w:r>
                </w:p>
                <w:p w14:paraId="332ECEE2">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center"/>
                    <w:rPr>
                      <w:rFonts w:hint="eastAsia"/>
                      <w:color w:val="auto"/>
                      <w:kern w:val="0"/>
                      <w:sz w:val="21"/>
                      <w:szCs w:val="21"/>
                      <w:highlight w:val="none"/>
                    </w:rPr>
                  </w:pPr>
                  <w:r>
                    <w:rPr>
                      <w:rFonts w:hint="eastAsia"/>
                      <w:color w:val="auto"/>
                      <w:kern w:val="0"/>
                      <w:sz w:val="21"/>
                      <w:szCs w:val="21"/>
                      <w:highlight w:val="none"/>
                      <w:lang w:val="en-US" w:eastAsia="zh-CN"/>
                    </w:rPr>
                    <w:t>8</w:t>
                  </w:r>
                  <w:r>
                    <w:rPr>
                      <w:rFonts w:hint="eastAsia"/>
                      <w:color w:val="auto"/>
                      <w:kern w:val="0"/>
                      <w:sz w:val="21"/>
                      <w:szCs w:val="21"/>
                      <w:highlight w:val="none"/>
                    </w:rPr>
                    <w:t>、项目</w:t>
                  </w:r>
                  <w:r>
                    <w:rPr>
                      <w:color w:val="auto"/>
                      <w:kern w:val="0"/>
                      <w:sz w:val="21"/>
                      <w:szCs w:val="21"/>
                      <w:highlight w:val="none"/>
                    </w:rPr>
                    <w:t>排污前</w:t>
                  </w:r>
                  <w:r>
                    <w:rPr>
                      <w:rFonts w:hint="eastAsia"/>
                      <w:color w:val="auto"/>
                      <w:kern w:val="0"/>
                      <w:sz w:val="21"/>
                      <w:szCs w:val="21"/>
                      <w:highlight w:val="none"/>
                      <w:lang w:eastAsia="zh-CN"/>
                    </w:rPr>
                    <w:t>，</w:t>
                  </w:r>
                  <w:r>
                    <w:rPr>
                      <w:color w:val="auto"/>
                      <w:kern w:val="0"/>
                      <w:sz w:val="21"/>
                      <w:szCs w:val="21"/>
                      <w:highlight w:val="none"/>
                    </w:rPr>
                    <w:t>会进行排污许可证</w:t>
                  </w:r>
                  <w:r>
                    <w:rPr>
                      <w:rFonts w:hint="eastAsia"/>
                      <w:color w:val="auto"/>
                      <w:kern w:val="0"/>
                      <w:sz w:val="21"/>
                      <w:szCs w:val="21"/>
                      <w:highlight w:val="none"/>
                      <w:lang w:val="en-US" w:eastAsia="zh-CN"/>
                    </w:rPr>
                    <w:t>申领</w:t>
                  </w:r>
                  <w:r>
                    <w:rPr>
                      <w:rFonts w:hint="eastAsia"/>
                      <w:color w:val="auto"/>
                      <w:kern w:val="0"/>
                      <w:sz w:val="21"/>
                      <w:szCs w:val="21"/>
                      <w:highlight w:val="none"/>
                    </w:rPr>
                    <w:t>并</w:t>
                  </w:r>
                  <w:r>
                    <w:rPr>
                      <w:color w:val="auto"/>
                      <w:kern w:val="0"/>
                      <w:sz w:val="21"/>
                      <w:szCs w:val="21"/>
                      <w:highlight w:val="none"/>
                    </w:rPr>
                    <w:t>向公众公开</w:t>
                  </w:r>
                  <w:r>
                    <w:rPr>
                      <w:rFonts w:hint="eastAsia"/>
                      <w:color w:val="auto"/>
                      <w:kern w:val="0"/>
                      <w:sz w:val="21"/>
                      <w:szCs w:val="21"/>
                      <w:highlight w:val="none"/>
                    </w:rPr>
                    <w:t>。</w:t>
                  </w:r>
                </w:p>
              </w:tc>
              <w:tc>
                <w:tcPr>
                  <w:tcW w:w="397" w:type="pct"/>
                  <w:shd w:val="clear" w:color="auto" w:fill="auto"/>
                  <w:noWrap w:val="0"/>
                  <w:vAlign w:val="center"/>
                </w:tcPr>
                <w:p w14:paraId="5C7E4C80">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center"/>
                    <w:rPr>
                      <w:color w:val="auto"/>
                      <w:kern w:val="0"/>
                      <w:sz w:val="21"/>
                      <w:szCs w:val="21"/>
                      <w:highlight w:val="none"/>
                    </w:rPr>
                  </w:pPr>
                  <w:r>
                    <w:rPr>
                      <w:rFonts w:hint="eastAsia"/>
                      <w:color w:val="auto"/>
                      <w:kern w:val="0"/>
                      <w:sz w:val="21"/>
                      <w:szCs w:val="21"/>
                      <w:highlight w:val="none"/>
                    </w:rPr>
                    <w:t>符合</w:t>
                  </w:r>
                </w:p>
              </w:tc>
            </w:tr>
          </w:tbl>
          <w:p w14:paraId="2DCABB1A">
            <w:pPr>
              <w:snapToGrid w:val="0"/>
              <w:ind w:firstLine="480"/>
              <w:rPr>
                <w:rFonts w:hint="default"/>
                <w:color w:val="auto"/>
                <w:highlight w:val="none"/>
                <w:lang w:val="en-US" w:eastAsia="zh-CN"/>
              </w:rPr>
            </w:pPr>
            <w:r>
              <w:rPr>
                <w:rFonts w:hint="eastAsia"/>
                <w:color w:val="auto"/>
                <w:highlight w:val="none"/>
                <w:lang w:val="en-US" w:eastAsia="zh-CN"/>
              </w:rPr>
              <w:t>根据以上分析，本项目建设符合相关产业政策。</w:t>
            </w:r>
          </w:p>
          <w:p w14:paraId="27DAF990">
            <w:pPr>
              <w:snapToGrid w:val="0"/>
              <w:ind w:firstLine="480"/>
              <w:rPr>
                <w:rFonts w:hint="eastAsia"/>
                <w:b/>
                <w:bCs/>
                <w:color w:val="auto"/>
                <w:highlight w:val="none"/>
                <w:lang w:val="en-US" w:eastAsia="zh-CN"/>
              </w:rPr>
            </w:pPr>
          </w:p>
          <w:p w14:paraId="3E844931">
            <w:pPr>
              <w:snapToGrid w:val="0"/>
              <w:ind w:firstLine="480"/>
              <w:rPr>
                <w:b/>
                <w:bCs/>
                <w:color w:val="auto"/>
                <w:highlight w:val="none"/>
              </w:rPr>
            </w:pPr>
            <w:r>
              <w:rPr>
                <w:rFonts w:hint="eastAsia"/>
                <w:b/>
                <w:bCs/>
                <w:color w:val="auto"/>
                <w:highlight w:val="none"/>
                <w:lang w:val="en-US" w:eastAsia="zh-CN"/>
              </w:rPr>
              <w:t>4、</w:t>
            </w:r>
            <w:r>
              <w:rPr>
                <w:b/>
                <w:bCs/>
                <w:color w:val="auto"/>
                <w:highlight w:val="none"/>
              </w:rPr>
              <w:t>“三线一单”符合性</w:t>
            </w:r>
          </w:p>
          <w:p w14:paraId="77B6CC22">
            <w:pPr>
              <w:autoSpaceDE/>
              <w:autoSpaceDN/>
              <w:adjustRightInd/>
              <w:snapToGrid w:val="0"/>
              <w:ind w:firstLine="480" w:firstLineChars="0"/>
              <w:rPr>
                <w:color w:val="auto"/>
                <w:highlight w:val="none"/>
              </w:rPr>
            </w:pPr>
            <w:r>
              <w:rPr>
                <w:color w:val="auto"/>
                <w:highlight w:val="none"/>
              </w:rPr>
              <w:t>根据2016年10月27日印发《关于以改善环境质量为核心加强环境影响评价管理的通知》（环环评[2016]150号），环境影响评价落实“生态保护红线、环境质量底线、</w:t>
            </w:r>
            <w:r>
              <w:rPr>
                <w:rFonts w:hint="eastAsia"/>
                <w:color w:val="auto"/>
                <w:highlight w:val="none"/>
                <w:lang w:eastAsia="zh-CN"/>
              </w:rPr>
              <w:t>资源利用上限</w:t>
            </w:r>
            <w:r>
              <w:rPr>
                <w:color w:val="auto"/>
                <w:highlight w:val="none"/>
              </w:rPr>
              <w:t>和环境准入负面清单”约束。</w:t>
            </w:r>
          </w:p>
          <w:p w14:paraId="462C7FA4">
            <w:pPr>
              <w:autoSpaceDE/>
              <w:autoSpaceDN/>
              <w:adjustRightInd/>
              <w:snapToGrid w:val="0"/>
              <w:ind w:firstLine="480" w:firstLineChars="0"/>
              <w:jc w:val="left"/>
              <w:rPr>
                <w:color w:val="auto"/>
                <w:highlight w:val="none"/>
              </w:rPr>
            </w:pPr>
            <w:r>
              <w:rPr>
                <w:color w:val="auto"/>
                <w:highlight w:val="none"/>
              </w:rPr>
              <w:t>（1）根据经河北省人民政府发布的《河北省生态保护红线》（冀政字[2018]23号），秦皇岛生态保护范围为秦皇岛市中北部山区，主要保护内容为：森林生态系统、珍稀野生动植物栖息地与集中分布区、内陆河流、淡水湿地生态系统、海岸海域生态系统与沿海防护林。本项目</w:t>
            </w:r>
            <w:r>
              <w:rPr>
                <w:rFonts w:hint="eastAsia"/>
                <w:color w:val="auto"/>
                <w:highlight w:val="none"/>
                <w:lang w:val="en-US" w:eastAsia="zh-CN"/>
              </w:rPr>
              <w:t>利用秦皇岛市抚宁区日昌升农产品有限公司院内现有厂房进行建设</w:t>
            </w:r>
            <w:r>
              <w:rPr>
                <w:rFonts w:hint="eastAsia"/>
                <w:color w:val="auto"/>
                <w:highlight w:val="none"/>
                <w:lang w:eastAsia="zh-CN"/>
              </w:rPr>
              <w:t>，</w:t>
            </w:r>
            <w:r>
              <w:rPr>
                <w:rFonts w:hint="eastAsia"/>
                <w:color w:val="auto"/>
                <w:highlight w:val="none"/>
                <w:lang w:val="en-US" w:eastAsia="zh-CN"/>
              </w:rPr>
              <w:t>不在</w:t>
            </w:r>
            <w:r>
              <w:rPr>
                <w:color w:val="auto"/>
                <w:highlight w:val="none"/>
              </w:rPr>
              <w:t>生态红线范围内</w:t>
            </w:r>
            <w:r>
              <w:rPr>
                <w:rFonts w:hint="eastAsia"/>
                <w:color w:val="auto"/>
                <w:highlight w:val="none"/>
                <w:lang w:eastAsia="zh-CN"/>
              </w:rPr>
              <w:t>，</w:t>
            </w:r>
            <w:r>
              <w:rPr>
                <w:rFonts w:hint="eastAsia"/>
                <w:color w:val="auto"/>
                <w:highlight w:val="none"/>
                <w:lang w:val="en-US" w:eastAsia="zh-CN"/>
              </w:rPr>
              <w:t>距离最近生态红线3.3km</w:t>
            </w:r>
            <w:r>
              <w:rPr>
                <w:color w:val="auto"/>
                <w:highlight w:val="none"/>
              </w:rPr>
              <w:t>；本项目与生态保护红线位置关系见下图：</w:t>
            </w:r>
          </w:p>
          <w:p w14:paraId="50485B2E">
            <w:pPr>
              <w:autoSpaceDE/>
              <w:autoSpaceDN/>
              <w:adjustRightInd/>
              <w:snapToGrid w:val="0"/>
              <w:ind w:firstLine="480"/>
              <w:jc w:val="left"/>
              <w:rPr>
                <w:rFonts w:hint="eastAsia" w:eastAsia="宋体"/>
                <w:color w:val="auto"/>
                <w:highlight w:val="none"/>
                <w:lang w:eastAsia="zh-CN"/>
              </w:rPr>
            </w:pPr>
            <w:r>
              <w:rPr>
                <w:color w:val="auto"/>
                <w:sz w:val="24"/>
                <w:highlight w:val="none"/>
              </w:rPr>
              <mc:AlternateContent>
                <mc:Choice Requires="wps">
                  <w:drawing>
                    <wp:anchor distT="0" distB="0" distL="114300" distR="114300" simplePos="0" relativeHeight="251665408" behindDoc="0" locked="0" layoutInCell="1" allowOverlap="1">
                      <wp:simplePos x="0" y="0"/>
                      <wp:positionH relativeFrom="column">
                        <wp:posOffset>1900555</wp:posOffset>
                      </wp:positionH>
                      <wp:positionV relativeFrom="paragraph">
                        <wp:posOffset>2164080</wp:posOffset>
                      </wp:positionV>
                      <wp:extent cx="889000" cy="328295"/>
                      <wp:effectExtent l="0" t="0" r="6350" b="14605"/>
                      <wp:wrapNone/>
                      <wp:docPr id="30" name="文本框 30"/>
                      <wp:cNvGraphicFramePr/>
                      <a:graphic xmlns:a="http://schemas.openxmlformats.org/drawingml/2006/main">
                        <a:graphicData uri="http://schemas.microsoft.com/office/word/2010/wordprocessingShape">
                          <wps:wsp>
                            <wps:cNvSpPr txBox="1"/>
                            <wps:spPr>
                              <a:xfrm>
                                <a:off x="3446780" y="3616325"/>
                                <a:ext cx="889000" cy="328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FE1652">
                                  <w:pPr>
                                    <w:rPr>
                                      <w:rFonts w:hint="eastAsia" w:eastAsia="宋体"/>
                                      <w:highlight w:val="red"/>
                                      <w:lang w:val="en-US" w:eastAsia="zh-CN"/>
                                    </w:rPr>
                                  </w:pPr>
                                  <w:r>
                                    <w:rPr>
                                      <w:rFonts w:hint="eastAsia"/>
                                      <w:highlight w:val="red"/>
                                      <w:lang w:val="en-US" w:eastAsia="zh-CN"/>
                                    </w:rPr>
                                    <w:t>本项目</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49.65pt;margin-top:170.4pt;height:25.85pt;width:70pt;z-index:251665408;mso-width-relative:page;mso-height-relative:page;" filled="f" stroked="f" coordsize="21600,21600" o:gfxdata="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hCSho9oAAAALAQAADwAAAAAAAAAB&#10;ACAAAAAiAAAAZHJzL2Rvd25yZXYueG1sUEsBAhQAFAAAAAgAh07iQGvNxVRHAgAAcwQAAA4AAAAA&#10;AAAAAQAgAAAAKQEAAGRycy9lMm9Eb2MueG1sUEsFBgAAAAAGAAYAWQEAAOIFAAAAAA==&#10;">
                      <v:fill on="f" focussize="0,0"/>
                      <v:stroke on="f" weight="0.5pt"/>
                      <v:imagedata o:title=""/>
                      <o:lock v:ext="edit" aspectratio="f"/>
                      <v:textbox>
                        <w:txbxContent>
                          <w:p w14:paraId="27FE1652">
                            <w:pPr>
                              <w:rPr>
                                <w:rFonts w:hint="eastAsia" w:eastAsia="宋体"/>
                                <w:highlight w:val="red"/>
                                <w:lang w:val="en-US" w:eastAsia="zh-CN"/>
                              </w:rPr>
                            </w:pPr>
                            <w:r>
                              <w:rPr>
                                <w:rFonts w:hint="eastAsia"/>
                                <w:highlight w:val="red"/>
                                <w:lang w:val="en-US" w:eastAsia="zh-CN"/>
                              </w:rPr>
                              <w:t>本项目</w:t>
                            </w:r>
                          </w:p>
                        </w:txbxContent>
                      </v:textbox>
                    </v:shape>
                  </w:pict>
                </mc:Fallback>
              </mc:AlternateContent>
            </w:r>
            <w:r>
              <w:rPr>
                <w:color w:val="auto"/>
                <w:sz w:val="24"/>
                <w:highlight w:val="none"/>
              </w:rPr>
              <mc:AlternateContent>
                <mc:Choice Requires="wps">
                  <w:drawing>
                    <wp:anchor distT="0" distB="0" distL="114300" distR="114300" simplePos="0" relativeHeight="251664384" behindDoc="0" locked="0" layoutInCell="1" allowOverlap="1">
                      <wp:simplePos x="0" y="0"/>
                      <wp:positionH relativeFrom="column">
                        <wp:posOffset>2477135</wp:posOffset>
                      </wp:positionH>
                      <wp:positionV relativeFrom="paragraph">
                        <wp:posOffset>2341880</wp:posOffset>
                      </wp:positionV>
                      <wp:extent cx="84455" cy="75565"/>
                      <wp:effectExtent l="12700" t="12700" r="17145" b="26035"/>
                      <wp:wrapNone/>
                      <wp:docPr id="29" name="椭圆 29"/>
                      <wp:cNvGraphicFramePr/>
                      <a:graphic xmlns:a="http://schemas.openxmlformats.org/drawingml/2006/main">
                        <a:graphicData uri="http://schemas.microsoft.com/office/word/2010/wordprocessingShape">
                          <wps:wsp>
                            <wps:cNvSpPr/>
                            <wps:spPr>
                              <a:xfrm>
                                <a:off x="0" y="0"/>
                                <a:ext cx="84455" cy="75565"/>
                              </a:xfrm>
                              <a:prstGeom prst="ellipse">
                                <a:avLst/>
                              </a:prstGeom>
                              <a:solidFill>
                                <a:srgbClr val="FF0000"/>
                              </a:solidFill>
                              <a:ln>
                                <a:solidFill>
                                  <a:srgbClr val="FF0000"/>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195.05pt;margin-top:184.4pt;height:5.95pt;width:6.65pt;z-index:251664384;v-text-anchor:middle;mso-width-relative:page;mso-height-relative:page;" fillcolor="#FF0000" filled="t" stroked="t" coordsize="21600,21600" o:gfxdata="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LQiuPbXAAAACwEAAA8AAAAAAAAAAQAgAAAAIgAAAGRycy9kb3ducmV2LnhtbFBLAQIUABQAAAAI&#10;AIdO4kB7SuFRYAIAAN8EAAAOAAAAAAAAAAEAIAAAACYBAABkcnMvZTJvRG9jLnhtbFBLBQYAAAAA&#10;BgAGAFkBAAD4BQAAAAA=&#10;">
                      <v:fill on="t" focussize="0,0"/>
                      <v:stroke weight="2pt" color="#FF0000 [2404]" joinstyle="round"/>
                      <v:imagedata o:title=""/>
                      <o:lock v:ext="edit" aspectratio="f"/>
                    </v:shape>
                  </w:pict>
                </mc:Fallback>
              </mc:AlternateContent>
            </w:r>
            <w:r>
              <w:rPr>
                <w:color w:val="auto"/>
                <w:sz w:val="24"/>
                <w:highlight w:val="none"/>
              </w:rPr>
              <mc:AlternateContent>
                <mc:Choice Requires="wps">
                  <w:drawing>
                    <wp:anchor distT="0" distB="0" distL="114300" distR="114300" simplePos="0" relativeHeight="251662336" behindDoc="0" locked="0" layoutInCell="1" allowOverlap="1">
                      <wp:simplePos x="0" y="0"/>
                      <wp:positionH relativeFrom="column">
                        <wp:posOffset>3799840</wp:posOffset>
                      </wp:positionH>
                      <wp:positionV relativeFrom="paragraph">
                        <wp:posOffset>3696970</wp:posOffset>
                      </wp:positionV>
                      <wp:extent cx="84455" cy="75565"/>
                      <wp:effectExtent l="12700" t="12700" r="17145" b="26035"/>
                      <wp:wrapNone/>
                      <wp:docPr id="26" name="椭圆 26"/>
                      <wp:cNvGraphicFramePr/>
                      <a:graphic xmlns:a="http://schemas.openxmlformats.org/drawingml/2006/main">
                        <a:graphicData uri="http://schemas.microsoft.com/office/word/2010/wordprocessingShape">
                          <wps:wsp>
                            <wps:cNvSpPr/>
                            <wps:spPr>
                              <a:xfrm>
                                <a:off x="5743575" y="5477510"/>
                                <a:ext cx="84455" cy="75565"/>
                              </a:xfrm>
                              <a:prstGeom prst="ellipse">
                                <a:avLst/>
                              </a:prstGeom>
                              <a:solidFill>
                                <a:srgbClr val="FF0000"/>
                              </a:solidFill>
                              <a:ln>
                                <a:solidFill>
                                  <a:srgbClr val="FF0000"/>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299.2pt;margin-top:291.1pt;height:5.95pt;width:6.65pt;z-index:251662336;v-text-anchor:middle;mso-width-relative:page;mso-height-relative:page;" fillcolor="#FF0000" filled="t" stroked="t" coordsize="21600,21600" o:gfxdata="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">
                      <v:fill on="t" focussize="0,0"/>
                      <v:stroke weight="2pt" color="#FF0000 [2404]" joinstyle="round"/>
                      <v:imagedata o:title=""/>
                      <o:lock v:ext="edit" aspectratio="f"/>
                    </v:shape>
                  </w:pict>
                </mc:Fallback>
              </mc:AlternateContent>
            </w:r>
            <w:r>
              <w:rPr>
                <w:color w:val="auto"/>
                <w:sz w:val="24"/>
                <w:highlight w:val="none"/>
              </w:rPr>
              <mc:AlternateContent>
                <mc:Choice Requires="wps">
                  <w:drawing>
                    <wp:anchor distT="0" distB="0" distL="114300" distR="114300" simplePos="0" relativeHeight="251663360" behindDoc="0" locked="0" layoutInCell="1" allowOverlap="1">
                      <wp:simplePos x="0" y="0"/>
                      <wp:positionH relativeFrom="column">
                        <wp:posOffset>1297305</wp:posOffset>
                      </wp:positionH>
                      <wp:positionV relativeFrom="paragraph">
                        <wp:posOffset>1095375</wp:posOffset>
                      </wp:positionV>
                      <wp:extent cx="2126615" cy="1979295"/>
                      <wp:effectExtent l="12700" t="12700" r="413385" b="694055"/>
                      <wp:wrapNone/>
                      <wp:docPr id="27" name="矩形标注 27"/>
                      <wp:cNvGraphicFramePr/>
                      <a:graphic xmlns:a="http://schemas.openxmlformats.org/drawingml/2006/main">
                        <a:graphicData uri="http://schemas.microsoft.com/office/word/2010/wordprocessingShape">
                          <wps:wsp>
                            <wps:cNvSpPr/>
                            <wps:spPr>
                              <a:xfrm>
                                <a:off x="3478530" y="3584575"/>
                                <a:ext cx="2126615" cy="1979295"/>
                              </a:xfrm>
                              <a:prstGeom prst="wedgeRectCallout">
                                <a:avLst>
                                  <a:gd name="adj1" fmla="val 68065"/>
                                  <a:gd name="adj2" fmla="val 83878"/>
                                </a:avLst>
                              </a:prstGeom>
                              <a:noFill/>
                            </wps:spPr>
                            <wps:style>
                              <a:lnRef idx="2">
                                <a:schemeClr val="accent1">
                                  <a:lumMod val="75000"/>
                                </a:schemeClr>
                              </a:lnRef>
                              <a:fillRef idx="1">
                                <a:schemeClr val="accent1"/>
                              </a:fillRef>
                              <a:effectRef idx="0">
                                <a:srgbClr val="FFFFFF"/>
                              </a:effectRef>
                              <a:fontRef idx="minor">
                                <a:schemeClr val="lt1"/>
                              </a:fontRef>
                            </wps:style>
                            <wps:txbx>
                              <w:txbxContent>
                                <w:p w14:paraId="77D48378">
                                  <w:pPr>
                                    <w:jc w:val="both"/>
                                    <w:rPr>
                                      <w:rFonts w:hint="eastAsia" w:eastAsia="宋体"/>
                                      <w:lang w:eastAsia="zh-CN"/>
                                    </w:rPr>
                                  </w:pPr>
                                  <w:r>
                                    <w:rPr>
                                      <w:rFonts w:hint="eastAsia" w:eastAsia="宋体"/>
                                      <w:lang w:eastAsia="zh-CN"/>
                                    </w:rPr>
                                    <w:drawing>
                                      <wp:inline distT="0" distB="0" distL="114300" distR="114300">
                                        <wp:extent cx="1981200" cy="1801495"/>
                                        <wp:effectExtent l="0" t="0" r="0" b="8255"/>
                                        <wp:docPr id="2" name="图片 2" descr="1711617138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711617138605"/>
                                                <pic:cNvPicPr>
                                                  <a:picLocks noChangeAspect="1"/>
                                                </pic:cNvPicPr>
                                              </pic:nvPicPr>
                                              <pic:blipFill>
                                                <a:blip r:embed="rId13"/>
                                                <a:stretch>
                                                  <a:fillRect/>
                                                </a:stretch>
                                              </pic:blipFill>
                                              <pic:spPr>
                                                <a:xfrm>
                                                  <a:off x="0" y="0"/>
                                                  <a:ext cx="1981200" cy="180149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102.15pt;margin-top:86.25pt;height:155.85pt;width:167.45pt;z-index:251663360;v-text-anchor:middle;mso-width-relative:page;mso-height-relative:page;" filled="f" stroked="t" coordsize="21600,21600" o:gfxdata="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" adj="25502,28918">
                      <v:fill on="f" focussize="0,0"/>
                      <v:stroke weight="2pt" color="#376092 [2404]" joinstyle="round"/>
                      <v:imagedata o:title=""/>
                      <o:lock v:ext="edit" aspectratio="f"/>
                      <v:textbox>
                        <w:txbxContent>
                          <w:p w14:paraId="77D48378">
                            <w:pPr>
                              <w:jc w:val="both"/>
                              <w:rPr>
                                <w:rFonts w:hint="eastAsia" w:eastAsia="宋体"/>
                                <w:lang w:eastAsia="zh-CN"/>
                              </w:rPr>
                            </w:pPr>
                            <w:r>
                              <w:rPr>
                                <w:rFonts w:hint="eastAsia" w:eastAsia="宋体"/>
                                <w:lang w:eastAsia="zh-CN"/>
                              </w:rPr>
                              <w:drawing>
                                <wp:inline distT="0" distB="0" distL="114300" distR="114300">
                                  <wp:extent cx="1981200" cy="1801495"/>
                                  <wp:effectExtent l="0" t="0" r="0" b="8255"/>
                                  <wp:docPr id="2" name="图片 2" descr="1711617138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711617138605"/>
                                          <pic:cNvPicPr>
                                            <a:picLocks noChangeAspect="1"/>
                                          </pic:cNvPicPr>
                                        </pic:nvPicPr>
                                        <pic:blipFill>
                                          <a:blip r:embed="rId13"/>
                                          <a:stretch>
                                            <a:fillRect/>
                                          </a:stretch>
                                        </pic:blipFill>
                                        <pic:spPr>
                                          <a:xfrm>
                                            <a:off x="0" y="0"/>
                                            <a:ext cx="1981200" cy="1801495"/>
                                          </a:xfrm>
                                          <a:prstGeom prst="rect">
                                            <a:avLst/>
                                          </a:prstGeom>
                                        </pic:spPr>
                                      </pic:pic>
                                    </a:graphicData>
                                  </a:graphic>
                                </wp:inline>
                              </w:drawing>
                            </w:r>
                          </w:p>
                        </w:txbxContent>
                      </v:textbox>
                    </v:shape>
                  </w:pict>
                </mc:Fallback>
              </mc:AlternateContent>
            </w:r>
            <w:r>
              <w:rPr>
                <w:rFonts w:hint="eastAsia" w:eastAsia="宋体"/>
                <w:color w:val="auto"/>
                <w:highlight w:val="none"/>
                <w:lang w:eastAsia="zh-CN"/>
              </w:rPr>
              <w:drawing>
                <wp:inline distT="0" distB="0" distL="114300" distR="114300">
                  <wp:extent cx="5081905" cy="7393940"/>
                  <wp:effectExtent l="0" t="0" r="4445" b="16510"/>
                  <wp:docPr id="12" name="图片 12" descr="秦皇岛市生态红线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秦皇岛市生态红线图"/>
                          <pic:cNvPicPr>
                            <a:picLocks noChangeAspect="1"/>
                          </pic:cNvPicPr>
                        </pic:nvPicPr>
                        <pic:blipFill>
                          <a:blip r:embed="rId14"/>
                          <a:stretch>
                            <a:fillRect/>
                          </a:stretch>
                        </pic:blipFill>
                        <pic:spPr>
                          <a:xfrm>
                            <a:off x="0" y="0"/>
                            <a:ext cx="5081905" cy="7393940"/>
                          </a:xfrm>
                          <a:prstGeom prst="rect">
                            <a:avLst/>
                          </a:prstGeom>
                        </pic:spPr>
                      </pic:pic>
                    </a:graphicData>
                  </a:graphic>
                </wp:inline>
              </w:drawing>
            </w:r>
          </w:p>
          <w:p w14:paraId="4BDB06FE">
            <w:pPr>
              <w:snapToGrid w:val="0"/>
              <w:spacing w:line="240" w:lineRule="auto"/>
              <w:jc w:val="center"/>
              <w:rPr>
                <w:color w:val="auto"/>
                <w:highlight w:val="none"/>
              </w:rPr>
            </w:pPr>
            <w:r>
              <w:rPr>
                <w:b/>
                <w:bCs/>
                <w:color w:val="auto"/>
                <w:highlight w:val="none"/>
              </w:rPr>
              <w:t>图1</w:t>
            </w:r>
            <w:r>
              <w:rPr>
                <w:rFonts w:hint="eastAsia"/>
                <w:b/>
                <w:bCs/>
                <w:color w:val="auto"/>
                <w:highlight w:val="none"/>
                <w:lang w:val="en-US" w:eastAsia="zh-CN"/>
              </w:rPr>
              <w:t>-1</w:t>
            </w:r>
            <w:r>
              <w:rPr>
                <w:b/>
                <w:bCs/>
                <w:color w:val="auto"/>
                <w:highlight w:val="none"/>
              </w:rPr>
              <w:t xml:space="preserve">  本项目与生态保护红线位置关系</w:t>
            </w:r>
          </w:p>
          <w:p w14:paraId="2B8985B0">
            <w:pPr>
              <w:keepNext w:val="0"/>
              <w:keepLines w:val="0"/>
              <w:pageBreakBefore w:val="0"/>
              <w:numPr>
                <w:ilvl w:val="-1"/>
                <w:numId w:val="0"/>
              </w:numPr>
              <w:kinsoku/>
              <w:wordWrap/>
              <w:overflowPunct/>
              <w:topLinePunct w:val="0"/>
              <w:autoSpaceDE/>
              <w:autoSpaceDN/>
              <w:bidi w:val="0"/>
              <w:adjustRightInd/>
              <w:snapToGrid w:val="0"/>
              <w:spacing w:line="360" w:lineRule="auto"/>
              <w:ind w:left="0" w:leftChars="0" w:firstLine="482" w:firstLineChars="0"/>
              <w:jc w:val="both"/>
              <w:textAlignment w:val="auto"/>
              <w:rPr>
                <w:color w:val="auto"/>
                <w:highlight w:val="none"/>
              </w:rPr>
            </w:pPr>
            <w:r>
              <w:rPr>
                <w:color w:val="auto"/>
                <w:highlight w:val="none"/>
              </w:rPr>
              <w:t>区域</w:t>
            </w:r>
            <w:r>
              <w:rPr>
                <w:rFonts w:hint="eastAsia"/>
                <w:color w:val="auto"/>
                <w:highlight w:val="none"/>
                <w:lang w:val="en-US" w:eastAsia="zh-CN"/>
              </w:rPr>
              <w:t>环境空气、</w:t>
            </w:r>
            <w:r>
              <w:rPr>
                <w:color w:val="auto"/>
                <w:highlight w:val="none"/>
              </w:rPr>
              <w:t>地下水环境、声环境、土壤环境满足环境质量底线要求</w:t>
            </w:r>
            <w:r>
              <w:rPr>
                <w:rFonts w:hint="eastAsia"/>
                <w:color w:val="auto"/>
                <w:highlight w:val="none"/>
              </w:rPr>
              <w:t>。</w:t>
            </w:r>
          </w:p>
          <w:p w14:paraId="4AA7C0EC">
            <w:pPr>
              <w:keepNext w:val="0"/>
              <w:keepLines w:val="0"/>
              <w:pageBreakBefore w:val="0"/>
              <w:widowControl/>
              <w:shd w:val="clear" w:color="auto" w:fill="auto"/>
              <w:kinsoku/>
              <w:wordWrap/>
              <w:overflowPunct/>
              <w:topLinePunct w:val="0"/>
              <w:autoSpaceDE/>
              <w:autoSpaceDN/>
              <w:bidi w:val="0"/>
              <w:adjustRightInd/>
              <w:snapToGrid w:val="0"/>
              <w:spacing w:before="0" w:after="0" w:line="360" w:lineRule="auto"/>
              <w:ind w:left="0" w:right="0" w:firstLine="482" w:firstLineChars="0"/>
              <w:jc w:val="both"/>
              <w:textAlignment w:val="auto"/>
              <w:rPr>
                <w:rFonts w:hint="default" w:ascii="Times New Roman" w:hAnsi="Times New Roman" w:eastAsia="宋体" w:cs="Times New Roman"/>
                <w:color w:val="auto"/>
                <w:spacing w:val="0"/>
                <w:w w:val="100"/>
                <w:position w:val="0"/>
                <w:sz w:val="24"/>
                <w:szCs w:val="24"/>
                <w:highlight w:val="none"/>
              </w:rPr>
            </w:pPr>
            <w:r>
              <w:rPr>
                <w:rFonts w:hint="default" w:ascii="Times New Roman" w:hAnsi="Times New Roman" w:eastAsia="宋体" w:cs="Times New Roman"/>
                <w:color w:val="auto"/>
                <w:highlight w:val="none"/>
              </w:rPr>
              <w:t>文件要求：环境质量底线是国家和地方设置的大气、水和土壤环境质量目标，也是改善环境质量的基准线。项目环评应对照区域环境质量目标，深入分析预测项目建设对环境质量的影响，强化污染防治措施和污染物排放控制要求。</w:t>
            </w:r>
          </w:p>
          <w:p w14:paraId="10579D75">
            <w:pPr>
              <w:keepNext w:val="0"/>
              <w:keepLines w:val="0"/>
              <w:pageBreakBefore w:val="0"/>
              <w:widowControl/>
              <w:shd w:val="clear" w:color="auto" w:fill="auto"/>
              <w:kinsoku/>
              <w:wordWrap/>
              <w:overflowPunct/>
              <w:topLinePunct w:val="0"/>
              <w:autoSpaceDE/>
              <w:autoSpaceDN/>
              <w:bidi w:val="0"/>
              <w:adjustRightInd/>
              <w:snapToGrid w:val="0"/>
              <w:spacing w:before="0" w:after="0" w:line="360" w:lineRule="auto"/>
              <w:ind w:left="0" w:right="0" w:firstLine="482" w:firstLineChars="0"/>
              <w:jc w:val="both"/>
              <w:textAlignment w:val="auto"/>
              <w:rPr>
                <w:rFonts w:hint="default" w:ascii="Times New Roman" w:hAnsi="Times New Roman" w:eastAsia="宋体" w:cs="Times New Roman"/>
                <w:color w:val="auto"/>
                <w:spacing w:val="0"/>
                <w:w w:val="100"/>
                <w:position w:val="0"/>
                <w:sz w:val="24"/>
                <w:szCs w:val="24"/>
                <w:highlight w:val="none"/>
                <w:lang w:eastAsia="zh-CN"/>
              </w:rPr>
            </w:pPr>
            <w:r>
              <w:rPr>
                <w:rFonts w:hint="default" w:ascii="Times New Roman" w:hAnsi="Times New Roman" w:eastAsia="宋体" w:cs="Times New Roman"/>
                <w:color w:val="auto"/>
                <w:highlight w:val="none"/>
              </w:rPr>
              <w:t>项目区域大气环境为二类区</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lang w:val="en-US" w:eastAsia="zh-CN"/>
              </w:rPr>
              <w:t>根据</w:t>
            </w:r>
            <w:r>
              <w:rPr>
                <w:rFonts w:hint="default" w:ascii="Times New Roman" w:hAnsi="Times New Roman" w:eastAsia="宋体" w:cs="Times New Roman"/>
                <w:color w:val="auto"/>
                <w:kern w:val="0"/>
                <w:sz w:val="24"/>
                <w:szCs w:val="24"/>
                <w:highlight w:val="none"/>
                <w:lang w:val="en-US" w:eastAsia="zh-CN" w:bidi="ar"/>
              </w:rPr>
              <w:t>《202</w:t>
            </w:r>
            <w:r>
              <w:rPr>
                <w:rFonts w:hint="eastAsia" w:cs="Times New Roman"/>
                <w:color w:val="auto"/>
                <w:kern w:val="0"/>
                <w:sz w:val="24"/>
                <w:szCs w:val="24"/>
                <w:highlight w:val="none"/>
                <w:lang w:val="en-US" w:eastAsia="zh-CN" w:bidi="ar"/>
              </w:rPr>
              <w:t>3</w:t>
            </w:r>
            <w:r>
              <w:rPr>
                <w:rFonts w:hint="default" w:ascii="Times New Roman" w:hAnsi="Times New Roman" w:eastAsia="宋体" w:cs="Times New Roman"/>
                <w:color w:val="auto"/>
                <w:kern w:val="0"/>
                <w:sz w:val="24"/>
                <w:szCs w:val="24"/>
                <w:highlight w:val="none"/>
                <w:lang w:val="en-US" w:eastAsia="zh-CN" w:bidi="ar"/>
              </w:rPr>
              <w:t>年1-12月份各县区空气质量综合指数排名及各项污染物指标变化情况》，</w:t>
            </w:r>
            <w:r>
              <w:rPr>
                <w:rFonts w:hint="default" w:ascii="Times New Roman" w:hAnsi="Times New Roman" w:eastAsia="宋体" w:cs="Times New Roman"/>
                <w:color w:val="auto"/>
                <w:highlight w:val="none"/>
              </w:rPr>
              <w:t>202</w:t>
            </w:r>
            <w:r>
              <w:rPr>
                <w:rFonts w:hint="eastAsia" w:cs="Times New Roman"/>
                <w:color w:val="auto"/>
                <w:highlight w:val="none"/>
                <w:lang w:val="en-US" w:eastAsia="zh-CN"/>
              </w:rPr>
              <w:t>3</w:t>
            </w:r>
            <w:r>
              <w:rPr>
                <w:rFonts w:hint="default" w:ascii="Times New Roman" w:hAnsi="Times New Roman" w:eastAsia="宋体" w:cs="Times New Roman"/>
                <w:color w:val="auto"/>
                <w:highlight w:val="none"/>
              </w:rPr>
              <w:t>年</w:t>
            </w:r>
            <w:r>
              <w:rPr>
                <w:rFonts w:hint="eastAsia" w:ascii="Times New Roman" w:hAnsi="Times New Roman" w:cs="Times New Roman"/>
                <w:color w:val="auto"/>
                <w:highlight w:val="none"/>
                <w:lang w:val="en-US" w:eastAsia="zh-CN"/>
              </w:rPr>
              <w:t>秦皇岛</w:t>
            </w:r>
            <w:r>
              <w:rPr>
                <w:rFonts w:hint="eastAsia" w:cs="Times New Roman"/>
                <w:color w:val="auto"/>
                <w:highlight w:val="none"/>
                <w:lang w:val="en-US" w:eastAsia="zh-CN"/>
              </w:rPr>
              <w:t>抚宁区</w:t>
            </w:r>
            <w:r>
              <w:rPr>
                <w:rFonts w:hint="default" w:ascii="Times New Roman" w:hAnsi="Times New Roman" w:eastAsia="宋体" w:cs="Times New Roman"/>
                <w:color w:val="auto"/>
                <w:highlight w:val="none"/>
              </w:rPr>
              <w:t>大气</w:t>
            </w:r>
            <w:r>
              <w:rPr>
                <w:rFonts w:hint="eastAsia" w:cs="Times New Roman"/>
                <w:color w:val="auto"/>
                <w:highlight w:val="none"/>
                <w:lang w:val="en-US" w:eastAsia="zh-CN"/>
              </w:rPr>
              <w:t>环境</w:t>
            </w:r>
            <w:r>
              <w:rPr>
                <w:rFonts w:hint="default" w:ascii="Times New Roman" w:hAnsi="Times New Roman" w:eastAsia="宋体" w:cs="Times New Roman"/>
                <w:color w:val="auto"/>
                <w:highlight w:val="none"/>
              </w:rPr>
              <w:t>基本污染物均能够满足《环境空气质量标准》（GB3095-2012）及2018年修改单（二级）的限值要求，本项目所在区域的环境空气质量为达标区</w:t>
            </w:r>
            <w:r>
              <w:rPr>
                <w:rFonts w:hint="default" w:ascii="Times New Roman" w:hAnsi="Times New Roman" w:eastAsia="宋体" w:cs="Times New Roman"/>
                <w:color w:val="auto"/>
                <w:highlight w:val="none"/>
                <w:lang w:eastAsia="zh-CN"/>
              </w:rPr>
              <w:t>。</w:t>
            </w:r>
          </w:p>
          <w:p w14:paraId="32BB5A26">
            <w:pPr>
              <w:keepNext w:val="0"/>
              <w:keepLines w:val="0"/>
              <w:pageBreakBefore w:val="0"/>
              <w:kinsoku/>
              <w:wordWrap/>
              <w:overflowPunct/>
              <w:topLinePunct w:val="0"/>
              <w:autoSpaceDE/>
              <w:autoSpaceDN/>
              <w:bidi w:val="0"/>
              <w:adjustRightInd/>
              <w:snapToGrid w:val="0"/>
              <w:spacing w:line="360" w:lineRule="auto"/>
              <w:ind w:firstLine="482" w:firstLineChars="0"/>
              <w:jc w:val="both"/>
              <w:textAlignment w:val="auto"/>
              <w:rPr>
                <w:color w:val="auto"/>
                <w:kern w:val="0"/>
                <w:sz w:val="24"/>
                <w:highlight w:val="none"/>
              </w:rPr>
            </w:pPr>
            <w:r>
              <w:rPr>
                <w:color w:val="auto"/>
                <w:kern w:val="0"/>
                <w:sz w:val="24"/>
                <w:highlight w:val="none"/>
              </w:rPr>
              <w:t>根据工程分析，项目各产污环节采取了完善的污染防治措施，各类污染物均能够实现达标排放，在严格落实废气、固废</w:t>
            </w:r>
            <w:r>
              <w:rPr>
                <w:rFonts w:hint="eastAsia"/>
                <w:color w:val="auto"/>
                <w:kern w:val="0"/>
                <w:sz w:val="24"/>
                <w:highlight w:val="none"/>
                <w:lang w:eastAsia="zh-CN"/>
              </w:rPr>
              <w:t>、</w:t>
            </w:r>
            <w:r>
              <w:rPr>
                <w:rFonts w:hint="eastAsia"/>
                <w:color w:val="auto"/>
                <w:kern w:val="0"/>
                <w:sz w:val="24"/>
                <w:highlight w:val="none"/>
                <w:lang w:val="en-US" w:eastAsia="zh-CN"/>
              </w:rPr>
              <w:t>废水</w:t>
            </w:r>
            <w:r>
              <w:rPr>
                <w:color w:val="auto"/>
                <w:kern w:val="0"/>
                <w:sz w:val="24"/>
                <w:highlight w:val="none"/>
              </w:rPr>
              <w:t>等污染防治措施的前提下，项目的实施不会对周围环境产生明显影响。</w:t>
            </w:r>
          </w:p>
          <w:p w14:paraId="34BBA6A6">
            <w:pPr>
              <w:keepNext w:val="0"/>
              <w:keepLines w:val="0"/>
              <w:pageBreakBefore w:val="0"/>
              <w:widowControl/>
              <w:shd w:val="clear" w:color="auto" w:fill="auto"/>
              <w:kinsoku/>
              <w:wordWrap/>
              <w:overflowPunct/>
              <w:topLinePunct w:val="0"/>
              <w:autoSpaceDE/>
              <w:autoSpaceDN/>
              <w:bidi w:val="0"/>
              <w:adjustRightInd/>
              <w:snapToGrid w:val="0"/>
              <w:spacing w:before="0" w:after="0" w:line="360" w:lineRule="auto"/>
              <w:ind w:left="0" w:right="0" w:firstLine="482" w:firstLineChars="0"/>
              <w:jc w:val="both"/>
              <w:textAlignment w:val="auto"/>
              <w:rPr>
                <w:rFonts w:hint="default" w:ascii="Times New Roman" w:hAnsi="Times New Roman" w:eastAsia="宋体" w:cs="Times New Roman"/>
                <w:color w:val="auto"/>
                <w:spacing w:val="0"/>
                <w:w w:val="100"/>
                <w:position w:val="0"/>
                <w:sz w:val="24"/>
                <w:szCs w:val="24"/>
                <w:highlight w:val="none"/>
                <w:lang w:val="en-US" w:eastAsia="zh-CN"/>
              </w:rPr>
            </w:pPr>
            <w:r>
              <w:rPr>
                <w:rFonts w:hint="default" w:ascii="Times New Roman" w:hAnsi="Times New Roman" w:eastAsia="宋体" w:cs="Times New Roman"/>
                <w:color w:val="auto"/>
                <w:spacing w:val="0"/>
                <w:w w:val="100"/>
                <w:position w:val="0"/>
                <w:sz w:val="24"/>
                <w:szCs w:val="24"/>
                <w:highlight w:val="none"/>
                <w:lang w:val="en-US" w:eastAsia="zh-CN"/>
              </w:rPr>
              <w:t>总体而言，本项目建设会在一定程度上增加区域污染负荷，但不会</w:t>
            </w:r>
            <w:r>
              <w:rPr>
                <w:rFonts w:hint="eastAsia" w:ascii="Times New Roman" w:hAnsi="Times New Roman" w:cs="Times New Roman"/>
                <w:color w:val="auto"/>
                <w:spacing w:val="0"/>
                <w:w w:val="100"/>
                <w:position w:val="0"/>
                <w:sz w:val="24"/>
                <w:szCs w:val="24"/>
                <w:highlight w:val="none"/>
                <w:lang w:val="en-US" w:eastAsia="zh-CN"/>
              </w:rPr>
              <w:t>突破</w:t>
            </w:r>
            <w:r>
              <w:rPr>
                <w:rFonts w:hint="default" w:ascii="Times New Roman" w:hAnsi="Times New Roman" w:eastAsia="宋体" w:cs="Times New Roman"/>
                <w:color w:val="auto"/>
                <w:spacing w:val="0"/>
                <w:w w:val="100"/>
                <w:position w:val="0"/>
                <w:sz w:val="24"/>
                <w:szCs w:val="24"/>
                <w:highlight w:val="none"/>
                <w:lang w:val="en-US" w:eastAsia="zh-CN"/>
              </w:rPr>
              <w:t>区域环境质量底线。</w:t>
            </w:r>
          </w:p>
          <w:p w14:paraId="1B5854F5">
            <w:pPr>
              <w:keepNext w:val="0"/>
              <w:keepLines w:val="0"/>
              <w:pageBreakBefore w:val="0"/>
              <w:widowControl/>
              <w:kinsoku/>
              <w:wordWrap/>
              <w:overflowPunct/>
              <w:topLinePunct w:val="0"/>
              <w:autoSpaceDE/>
              <w:autoSpaceDN/>
              <w:bidi w:val="0"/>
              <w:adjustRightInd/>
              <w:snapToGrid w:val="0"/>
              <w:spacing w:line="360" w:lineRule="auto"/>
              <w:ind w:firstLine="482" w:firstLineChars="0"/>
              <w:jc w:val="both"/>
              <w:textAlignment w:val="auto"/>
              <w:rPr>
                <w:color w:val="auto"/>
                <w:highlight w:val="none"/>
              </w:rPr>
            </w:pPr>
            <w:r>
              <w:rPr>
                <w:color w:val="auto"/>
                <w:highlight w:val="none"/>
              </w:rPr>
              <w:t>（3）项目为</w:t>
            </w:r>
            <w:r>
              <w:rPr>
                <w:rFonts w:hint="eastAsia"/>
                <w:color w:val="auto"/>
                <w:highlight w:val="none"/>
                <w:lang w:val="en-US" w:eastAsia="zh-CN"/>
              </w:rPr>
              <w:t>扩建</w:t>
            </w:r>
            <w:r>
              <w:rPr>
                <w:color w:val="auto"/>
                <w:highlight w:val="none"/>
              </w:rPr>
              <w:t>项目，</w:t>
            </w:r>
            <w:r>
              <w:rPr>
                <w:rFonts w:hint="eastAsia"/>
                <w:color w:val="auto"/>
                <w:highlight w:val="none"/>
                <w:lang w:val="en-US" w:eastAsia="zh-CN"/>
              </w:rPr>
              <w:t>属于金属制品业</w:t>
            </w:r>
            <w:r>
              <w:rPr>
                <w:color w:val="auto"/>
                <w:highlight w:val="none"/>
              </w:rPr>
              <w:t>，本项目运营过程中有一定量的电力资源</w:t>
            </w:r>
            <w:r>
              <w:rPr>
                <w:rFonts w:hint="eastAsia"/>
                <w:color w:val="auto"/>
                <w:highlight w:val="none"/>
                <w:lang w:eastAsia="zh-CN"/>
              </w:rPr>
              <w:t>、</w:t>
            </w:r>
            <w:r>
              <w:rPr>
                <w:rFonts w:hint="eastAsia"/>
                <w:color w:val="auto"/>
                <w:highlight w:val="none"/>
                <w:lang w:val="en-US" w:eastAsia="zh-CN"/>
              </w:rPr>
              <w:t>水资源、原料消耗</w:t>
            </w:r>
            <w:r>
              <w:rPr>
                <w:color w:val="auto"/>
                <w:highlight w:val="none"/>
              </w:rPr>
              <w:t>，所需用电由当地电网提供，</w:t>
            </w:r>
            <w:r>
              <w:rPr>
                <w:rFonts w:hint="eastAsia"/>
                <w:color w:val="auto"/>
                <w:highlight w:val="none"/>
                <w:lang w:val="en-US" w:eastAsia="zh-CN"/>
              </w:rPr>
              <w:t>用水依托厂区现有供水管线，</w:t>
            </w:r>
            <w:r>
              <w:rPr>
                <w:color w:val="auto"/>
                <w:highlight w:val="none"/>
              </w:rPr>
              <w:t>项目资源消耗量相对较少</w:t>
            </w:r>
            <w:r>
              <w:rPr>
                <w:rFonts w:hint="eastAsia"/>
                <w:color w:val="auto"/>
                <w:highlight w:val="none"/>
                <w:lang w:eastAsia="zh-CN"/>
              </w:rPr>
              <w:t>，</w:t>
            </w:r>
            <w:r>
              <w:rPr>
                <w:rFonts w:hint="eastAsia"/>
                <w:color w:val="auto"/>
                <w:highlight w:val="none"/>
                <w:lang w:val="en-US" w:eastAsia="zh-CN"/>
              </w:rPr>
              <w:t>现有市政供电能力可满足项目使用，不会超过区域能源使用上限</w:t>
            </w:r>
            <w:r>
              <w:rPr>
                <w:color w:val="auto"/>
                <w:highlight w:val="none"/>
              </w:rPr>
              <w:t>；项目</w:t>
            </w:r>
            <w:r>
              <w:rPr>
                <w:rFonts w:hint="eastAsia"/>
                <w:color w:val="auto"/>
                <w:highlight w:val="none"/>
                <w:lang w:val="en-US" w:eastAsia="zh-CN"/>
              </w:rPr>
              <w:t>占地为工业用地</w:t>
            </w:r>
            <w:r>
              <w:rPr>
                <w:color w:val="auto"/>
                <w:highlight w:val="none"/>
              </w:rPr>
              <w:t>，且不使用高能耗工艺及生产设备，资源利用符合国家相关要求，满足</w:t>
            </w:r>
            <w:r>
              <w:rPr>
                <w:rFonts w:hint="eastAsia"/>
                <w:color w:val="auto"/>
                <w:highlight w:val="none"/>
                <w:lang w:eastAsia="zh-CN"/>
              </w:rPr>
              <w:t>资源利用上限</w:t>
            </w:r>
            <w:r>
              <w:rPr>
                <w:color w:val="auto"/>
                <w:highlight w:val="none"/>
              </w:rPr>
              <w:t>要求。</w:t>
            </w:r>
          </w:p>
          <w:p w14:paraId="1E0493CA">
            <w:pPr>
              <w:keepNext w:val="0"/>
              <w:keepLines w:val="0"/>
              <w:pageBreakBefore w:val="0"/>
              <w:kinsoku/>
              <w:wordWrap/>
              <w:overflowPunct/>
              <w:topLinePunct w:val="0"/>
              <w:autoSpaceDE/>
              <w:autoSpaceDN/>
              <w:bidi w:val="0"/>
              <w:adjustRightInd/>
              <w:snapToGrid w:val="0"/>
              <w:spacing w:line="360" w:lineRule="auto"/>
              <w:ind w:firstLine="482" w:firstLineChars="0"/>
              <w:jc w:val="both"/>
              <w:textAlignment w:val="auto"/>
              <w:rPr>
                <w:color w:val="auto"/>
                <w:highlight w:val="none"/>
              </w:rPr>
            </w:pPr>
            <w:r>
              <w:rPr>
                <w:color w:val="auto"/>
                <w:highlight w:val="none"/>
              </w:rPr>
              <w:t>（4）项目符合区域污染控制要求，不在区域环境准入负面清单范围内。</w:t>
            </w:r>
          </w:p>
          <w:p w14:paraId="14552CCE">
            <w:pPr>
              <w:snapToGrid w:val="0"/>
              <w:spacing w:line="240" w:lineRule="auto"/>
              <w:jc w:val="center"/>
              <w:rPr>
                <w:b/>
                <w:bCs/>
                <w:color w:val="auto"/>
                <w:highlight w:val="none"/>
              </w:rPr>
            </w:pPr>
            <w:r>
              <w:rPr>
                <w:b/>
                <w:bCs/>
                <w:color w:val="auto"/>
                <w:highlight w:val="none"/>
              </w:rPr>
              <w:t>表</w:t>
            </w:r>
            <w:r>
              <w:rPr>
                <w:rFonts w:hint="eastAsia"/>
                <w:b/>
                <w:bCs/>
                <w:color w:val="auto"/>
                <w:highlight w:val="none"/>
                <w:lang w:val="en-US" w:eastAsia="zh-CN"/>
              </w:rPr>
              <w:t>1-2</w:t>
            </w:r>
            <w:r>
              <w:rPr>
                <w:b/>
                <w:bCs/>
                <w:color w:val="auto"/>
                <w:highlight w:val="none"/>
              </w:rPr>
              <w:t xml:space="preserve">   “三线一单”符合性一览表</w:t>
            </w:r>
          </w:p>
          <w:tbl>
            <w:tblPr>
              <w:tblStyle w:val="35"/>
              <w:tblW w:w="82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5"/>
              <w:gridCol w:w="6545"/>
            </w:tblGrid>
            <w:tr w14:paraId="69A6E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jc w:val="center"/>
              </w:trPr>
              <w:tc>
                <w:tcPr>
                  <w:tcW w:w="1675" w:type="dxa"/>
                  <w:vAlign w:val="center"/>
                </w:tcPr>
                <w:p w14:paraId="1E45633D">
                  <w:pPr>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color w:val="auto"/>
                      <w:sz w:val="21"/>
                      <w:szCs w:val="21"/>
                      <w:highlight w:val="none"/>
                    </w:rPr>
                  </w:pPr>
                  <w:r>
                    <w:rPr>
                      <w:color w:val="auto"/>
                      <w:sz w:val="21"/>
                      <w:szCs w:val="21"/>
                      <w:highlight w:val="none"/>
                    </w:rPr>
                    <w:t>内容</w:t>
                  </w:r>
                </w:p>
              </w:tc>
              <w:tc>
                <w:tcPr>
                  <w:tcW w:w="6545" w:type="dxa"/>
                  <w:vAlign w:val="center"/>
                </w:tcPr>
                <w:p w14:paraId="1243E438">
                  <w:pPr>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color w:val="auto"/>
                      <w:sz w:val="21"/>
                      <w:szCs w:val="21"/>
                      <w:highlight w:val="none"/>
                    </w:rPr>
                  </w:pPr>
                  <w:r>
                    <w:rPr>
                      <w:color w:val="auto"/>
                      <w:sz w:val="21"/>
                      <w:szCs w:val="21"/>
                      <w:highlight w:val="none"/>
                    </w:rPr>
                    <w:t>符合性分析</w:t>
                  </w:r>
                </w:p>
              </w:tc>
            </w:tr>
            <w:tr w14:paraId="2A536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75" w:type="dxa"/>
                  <w:vAlign w:val="center"/>
                </w:tcPr>
                <w:p w14:paraId="530D69BD">
                  <w:pPr>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color w:val="auto"/>
                      <w:sz w:val="21"/>
                      <w:szCs w:val="21"/>
                      <w:highlight w:val="none"/>
                    </w:rPr>
                  </w:pPr>
                  <w:r>
                    <w:rPr>
                      <w:color w:val="auto"/>
                      <w:sz w:val="21"/>
                      <w:szCs w:val="21"/>
                      <w:highlight w:val="none"/>
                    </w:rPr>
                    <w:t>生态保护红线</w:t>
                  </w:r>
                </w:p>
              </w:tc>
              <w:tc>
                <w:tcPr>
                  <w:tcW w:w="6545" w:type="dxa"/>
                  <w:vAlign w:val="center"/>
                </w:tcPr>
                <w:p w14:paraId="2E4D62B8">
                  <w:pPr>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color w:val="auto"/>
                      <w:sz w:val="21"/>
                      <w:szCs w:val="21"/>
                      <w:highlight w:val="none"/>
                    </w:rPr>
                  </w:pPr>
                  <w:r>
                    <w:rPr>
                      <w:color w:val="auto"/>
                      <w:sz w:val="21"/>
                      <w:szCs w:val="21"/>
                      <w:highlight w:val="none"/>
                    </w:rPr>
                    <w:t>本项目</w:t>
                  </w:r>
                  <w:r>
                    <w:rPr>
                      <w:rFonts w:hint="eastAsia"/>
                      <w:color w:val="auto"/>
                      <w:sz w:val="21"/>
                      <w:szCs w:val="21"/>
                      <w:highlight w:val="none"/>
                      <w:lang w:val="en-US" w:eastAsia="zh-CN"/>
                    </w:rPr>
                    <w:t>利用现有厂房进行建设，项目用地</w:t>
                  </w:r>
                  <w:r>
                    <w:rPr>
                      <w:color w:val="auto"/>
                      <w:sz w:val="21"/>
                      <w:szCs w:val="21"/>
                      <w:highlight w:val="none"/>
                    </w:rPr>
                    <w:t>不在秦皇岛市生态保护红线范围内，符合生态保护红线要求。</w:t>
                  </w:r>
                </w:p>
              </w:tc>
            </w:tr>
            <w:tr w14:paraId="7230F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75" w:type="dxa"/>
                  <w:vAlign w:val="center"/>
                </w:tcPr>
                <w:p w14:paraId="3D0C82DB">
                  <w:pPr>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eastAsia="宋体"/>
                      <w:color w:val="auto"/>
                      <w:sz w:val="21"/>
                      <w:szCs w:val="21"/>
                      <w:highlight w:val="none"/>
                      <w:lang w:eastAsia="zh-CN"/>
                    </w:rPr>
                  </w:pPr>
                  <w:r>
                    <w:rPr>
                      <w:rFonts w:hint="default"/>
                      <w:color w:val="auto"/>
                      <w:sz w:val="21"/>
                      <w:szCs w:val="21"/>
                      <w:highlight w:val="none"/>
                      <w:lang w:eastAsia="zh-CN"/>
                    </w:rPr>
                    <w:t>资源利用上限</w:t>
                  </w:r>
                </w:p>
              </w:tc>
              <w:tc>
                <w:tcPr>
                  <w:tcW w:w="6545" w:type="dxa"/>
                  <w:vAlign w:val="center"/>
                </w:tcPr>
                <w:p w14:paraId="05652C43">
                  <w:pPr>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color w:val="auto"/>
                      <w:sz w:val="21"/>
                      <w:szCs w:val="21"/>
                      <w:highlight w:val="none"/>
                    </w:rPr>
                  </w:pPr>
                  <w:r>
                    <w:rPr>
                      <w:color w:val="auto"/>
                      <w:sz w:val="21"/>
                      <w:szCs w:val="21"/>
                      <w:highlight w:val="none"/>
                    </w:rPr>
                    <w:t>项目为</w:t>
                  </w:r>
                  <w:r>
                    <w:rPr>
                      <w:rFonts w:hint="eastAsia"/>
                      <w:color w:val="auto"/>
                      <w:sz w:val="21"/>
                      <w:szCs w:val="21"/>
                      <w:highlight w:val="none"/>
                      <w:lang w:val="en-US" w:eastAsia="zh-CN"/>
                    </w:rPr>
                    <w:t>扩建</w:t>
                  </w:r>
                  <w:r>
                    <w:rPr>
                      <w:color w:val="auto"/>
                      <w:sz w:val="21"/>
                      <w:szCs w:val="21"/>
                      <w:highlight w:val="none"/>
                    </w:rPr>
                    <w:t>项目，项目</w:t>
                  </w:r>
                  <w:r>
                    <w:rPr>
                      <w:rFonts w:hint="eastAsia"/>
                      <w:color w:val="auto"/>
                      <w:sz w:val="21"/>
                      <w:szCs w:val="21"/>
                      <w:highlight w:val="none"/>
                      <w:lang w:val="en-US" w:eastAsia="zh-CN"/>
                    </w:rPr>
                    <w:t>电力资源、水资源</w:t>
                  </w:r>
                  <w:r>
                    <w:rPr>
                      <w:color w:val="auto"/>
                      <w:sz w:val="21"/>
                      <w:szCs w:val="21"/>
                      <w:highlight w:val="none"/>
                    </w:rPr>
                    <w:t>资源消耗量相对较少，不使用高能耗工艺及生产设备，资源利用符合国家相关要求，满足</w:t>
                  </w:r>
                  <w:r>
                    <w:rPr>
                      <w:rFonts w:hint="default"/>
                      <w:color w:val="auto"/>
                      <w:sz w:val="21"/>
                      <w:szCs w:val="21"/>
                      <w:highlight w:val="none"/>
                      <w:lang w:eastAsia="zh-CN"/>
                    </w:rPr>
                    <w:t>资源利用上限</w:t>
                  </w:r>
                  <w:r>
                    <w:rPr>
                      <w:color w:val="auto"/>
                      <w:sz w:val="21"/>
                      <w:szCs w:val="21"/>
                      <w:highlight w:val="none"/>
                    </w:rPr>
                    <w:t>要求。</w:t>
                  </w:r>
                </w:p>
              </w:tc>
            </w:tr>
            <w:tr w14:paraId="7AEC1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75" w:type="dxa"/>
                  <w:vAlign w:val="center"/>
                </w:tcPr>
                <w:p w14:paraId="425059F1">
                  <w:pPr>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color w:val="auto"/>
                      <w:sz w:val="21"/>
                      <w:szCs w:val="21"/>
                      <w:highlight w:val="none"/>
                    </w:rPr>
                  </w:pPr>
                  <w:r>
                    <w:rPr>
                      <w:color w:val="auto"/>
                      <w:sz w:val="21"/>
                      <w:szCs w:val="21"/>
                      <w:highlight w:val="none"/>
                    </w:rPr>
                    <w:t>环境质量底线</w:t>
                  </w:r>
                </w:p>
              </w:tc>
              <w:tc>
                <w:tcPr>
                  <w:tcW w:w="6545" w:type="dxa"/>
                  <w:vAlign w:val="center"/>
                </w:tcPr>
                <w:p w14:paraId="66C66AC0">
                  <w:pPr>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color w:val="auto"/>
                      <w:sz w:val="21"/>
                      <w:szCs w:val="21"/>
                      <w:highlight w:val="none"/>
                    </w:rPr>
                  </w:pPr>
                  <w:r>
                    <w:rPr>
                      <w:color w:val="auto"/>
                      <w:sz w:val="21"/>
                      <w:szCs w:val="21"/>
                      <w:highlight w:val="none"/>
                    </w:rPr>
                    <w:t>本项目附近地表水环境、声环境、土壤环境能满足相应的标准要求，项目废气经治理后可实现达标排放，</w:t>
                  </w:r>
                  <w:r>
                    <w:rPr>
                      <w:rFonts w:hint="eastAsia"/>
                      <w:color w:val="auto"/>
                      <w:sz w:val="21"/>
                      <w:szCs w:val="21"/>
                      <w:highlight w:val="none"/>
                      <w:lang w:val="en-US" w:eastAsia="zh-CN"/>
                    </w:rPr>
                    <w:t>不新增生活污水外排，生产废水使用封闭罐车拉至抚宁区中冶水务有限公司进行处理，不会对外界环境造成影响，故本项目建设</w:t>
                  </w:r>
                  <w:r>
                    <w:rPr>
                      <w:color w:val="auto"/>
                      <w:sz w:val="21"/>
                      <w:szCs w:val="21"/>
                      <w:highlight w:val="none"/>
                    </w:rPr>
                    <w:t>符合环境质量底线要求。</w:t>
                  </w:r>
                </w:p>
              </w:tc>
            </w:tr>
            <w:tr w14:paraId="5712C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75" w:type="dxa"/>
                  <w:vAlign w:val="center"/>
                </w:tcPr>
                <w:p w14:paraId="62D48DE5">
                  <w:pPr>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color w:val="auto"/>
                      <w:sz w:val="21"/>
                      <w:szCs w:val="21"/>
                      <w:highlight w:val="none"/>
                    </w:rPr>
                  </w:pPr>
                  <w:r>
                    <w:rPr>
                      <w:color w:val="auto"/>
                      <w:sz w:val="21"/>
                      <w:szCs w:val="21"/>
                      <w:highlight w:val="none"/>
                    </w:rPr>
                    <w:t>负面清单</w:t>
                  </w:r>
                </w:p>
              </w:tc>
              <w:tc>
                <w:tcPr>
                  <w:tcW w:w="6545" w:type="dxa"/>
                  <w:vAlign w:val="center"/>
                </w:tcPr>
                <w:p w14:paraId="3D5DE1A4">
                  <w:pPr>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color w:val="auto"/>
                      <w:sz w:val="21"/>
                      <w:szCs w:val="21"/>
                      <w:highlight w:val="none"/>
                    </w:rPr>
                  </w:pPr>
                  <w:r>
                    <w:rPr>
                      <w:color w:val="auto"/>
                      <w:sz w:val="21"/>
                      <w:szCs w:val="21"/>
                      <w:highlight w:val="none"/>
                    </w:rPr>
                    <w:t>本项目位置不属于所在区域的环境准入负面清单，不属于高污染、高能耗的产业类型。因此，本项目应为环境准入允许类别。</w:t>
                  </w:r>
                </w:p>
              </w:tc>
            </w:tr>
          </w:tbl>
          <w:p w14:paraId="161A7AF8">
            <w:pPr>
              <w:keepNext w:val="0"/>
              <w:keepLines w:val="0"/>
              <w:pageBreakBefore w:val="0"/>
              <w:kinsoku/>
              <w:wordWrap/>
              <w:overflowPunct/>
              <w:topLinePunct w:val="0"/>
              <w:autoSpaceDE/>
              <w:autoSpaceDN/>
              <w:bidi w:val="0"/>
              <w:adjustRightInd w:val="0"/>
              <w:snapToGrid w:val="0"/>
              <w:spacing w:line="360" w:lineRule="auto"/>
              <w:ind w:firstLine="480" w:firstLineChars="200"/>
              <w:jc w:val="both"/>
              <w:textAlignment w:val="auto"/>
              <w:rPr>
                <w:color w:val="auto"/>
                <w:highlight w:val="none"/>
              </w:rPr>
            </w:pPr>
            <w:r>
              <w:rPr>
                <w:color w:val="auto"/>
                <w:highlight w:val="none"/>
              </w:rPr>
              <w:t>因此，项目的实施符合“三线一单”要求。</w:t>
            </w:r>
          </w:p>
          <w:p w14:paraId="7765330E">
            <w:pPr>
              <w:keepNext w:val="0"/>
              <w:keepLines w:val="0"/>
              <w:pageBreakBefore w:val="0"/>
              <w:kinsoku/>
              <w:wordWrap/>
              <w:overflowPunct/>
              <w:topLinePunct w:val="0"/>
              <w:autoSpaceDE/>
              <w:autoSpaceDN/>
              <w:bidi w:val="0"/>
              <w:adjustRightInd w:val="0"/>
              <w:snapToGrid w:val="0"/>
              <w:spacing w:line="360" w:lineRule="auto"/>
              <w:ind w:firstLine="480" w:firstLineChars="200"/>
              <w:jc w:val="both"/>
              <w:textAlignment w:val="auto"/>
              <w:rPr>
                <w:rFonts w:hint="eastAsia" w:ascii="Times New Roman" w:hAnsi="Times New Roman" w:cs="Times New Roman"/>
                <w:snapToGrid w:val="0"/>
                <w:color w:val="auto"/>
                <w:szCs w:val="24"/>
                <w:highlight w:val="none"/>
                <w:lang w:eastAsia="zh-CN"/>
              </w:rPr>
            </w:pPr>
          </w:p>
          <w:p w14:paraId="5210F689">
            <w:pPr>
              <w:pStyle w:val="6"/>
              <w:rPr>
                <w:rFonts w:hint="eastAsia"/>
                <w:lang w:eastAsia="zh-CN"/>
              </w:rPr>
            </w:pPr>
          </w:p>
          <w:p w14:paraId="5F24C8D7">
            <w:pPr>
              <w:keepNext w:val="0"/>
              <w:keepLines w:val="0"/>
              <w:pageBreakBefore w:val="0"/>
              <w:kinsoku/>
              <w:wordWrap/>
              <w:overflowPunct/>
              <w:topLinePunct w:val="0"/>
              <w:autoSpaceDE/>
              <w:autoSpaceDN/>
              <w:bidi w:val="0"/>
              <w:adjustRightInd w:val="0"/>
              <w:snapToGrid w:val="0"/>
              <w:spacing w:line="360" w:lineRule="auto"/>
              <w:ind w:firstLine="480" w:firstLineChars="200"/>
              <w:jc w:val="both"/>
              <w:textAlignment w:val="auto"/>
              <w:rPr>
                <w:rFonts w:hint="eastAsia" w:ascii="Times New Roman" w:hAnsi="Times New Roman" w:cs="Times New Roman"/>
                <w:snapToGrid w:val="0"/>
                <w:color w:val="auto"/>
                <w:szCs w:val="24"/>
                <w:highlight w:val="none"/>
                <w:lang w:eastAsia="zh-CN"/>
              </w:rPr>
            </w:pPr>
          </w:p>
          <w:p w14:paraId="4EA3D69D">
            <w:pPr>
              <w:keepNext w:val="0"/>
              <w:keepLines w:val="0"/>
              <w:pageBreakBefore w:val="0"/>
              <w:kinsoku/>
              <w:wordWrap/>
              <w:overflowPunct/>
              <w:topLinePunct w:val="0"/>
              <w:autoSpaceDE/>
              <w:autoSpaceDN/>
              <w:bidi w:val="0"/>
              <w:adjustRightInd w:val="0"/>
              <w:snapToGrid w:val="0"/>
              <w:spacing w:line="360" w:lineRule="auto"/>
              <w:ind w:firstLine="480" w:firstLineChars="200"/>
              <w:jc w:val="both"/>
              <w:textAlignment w:val="auto"/>
              <w:rPr>
                <w:rFonts w:hint="eastAsia" w:ascii="Times New Roman" w:hAnsi="Times New Roman" w:cs="Times New Roman"/>
                <w:snapToGrid w:val="0"/>
                <w:color w:val="auto"/>
                <w:szCs w:val="24"/>
                <w:highlight w:val="none"/>
                <w:lang w:eastAsia="zh-CN"/>
              </w:rPr>
            </w:pPr>
          </w:p>
          <w:p w14:paraId="09A1EBE4">
            <w:pPr>
              <w:keepNext w:val="0"/>
              <w:keepLines w:val="0"/>
              <w:pageBreakBefore w:val="0"/>
              <w:kinsoku/>
              <w:wordWrap/>
              <w:overflowPunct/>
              <w:topLinePunct w:val="0"/>
              <w:autoSpaceDE/>
              <w:autoSpaceDN/>
              <w:bidi w:val="0"/>
              <w:adjustRightInd w:val="0"/>
              <w:snapToGrid w:val="0"/>
              <w:spacing w:line="360" w:lineRule="auto"/>
              <w:ind w:firstLine="480" w:firstLineChars="200"/>
              <w:jc w:val="both"/>
              <w:textAlignment w:val="auto"/>
              <w:rPr>
                <w:color w:val="auto"/>
                <w:highlight w:val="none"/>
              </w:rPr>
            </w:pPr>
            <w:r>
              <w:rPr>
                <w:rFonts w:hint="eastAsia" w:ascii="Times New Roman" w:hAnsi="Times New Roman" w:cs="Times New Roman"/>
                <w:snapToGrid w:val="0"/>
                <w:color w:val="auto"/>
                <w:szCs w:val="24"/>
                <w:highlight w:val="none"/>
                <w:lang w:eastAsia="zh-CN"/>
              </w:rPr>
              <w:t>（</w:t>
            </w:r>
            <w:r>
              <w:rPr>
                <w:rFonts w:hint="eastAsia" w:ascii="Times New Roman" w:hAnsi="Times New Roman" w:cs="Times New Roman"/>
                <w:snapToGrid w:val="0"/>
                <w:color w:val="auto"/>
                <w:szCs w:val="24"/>
                <w:highlight w:val="none"/>
                <w:lang w:val="en-US" w:eastAsia="zh-CN"/>
              </w:rPr>
              <w:t>5</w:t>
            </w:r>
            <w:r>
              <w:rPr>
                <w:rFonts w:hint="eastAsia" w:ascii="Times New Roman" w:hAnsi="Times New Roman" w:cs="Times New Roman"/>
                <w:snapToGrid w:val="0"/>
                <w:color w:val="auto"/>
                <w:szCs w:val="24"/>
                <w:highlight w:val="none"/>
                <w:lang w:eastAsia="zh-CN"/>
              </w:rPr>
              <w:t>）</w:t>
            </w:r>
            <w:r>
              <w:rPr>
                <w:rFonts w:hint="default" w:ascii="Times New Roman" w:hAnsi="Times New Roman" w:eastAsia="宋体" w:cs="Times New Roman"/>
                <w:snapToGrid w:val="0"/>
                <w:color w:val="auto"/>
                <w:szCs w:val="24"/>
                <w:highlight w:val="none"/>
              </w:rPr>
              <w:t>项目与秦皇岛市“三线一单”生态环境分区管控实施意见符合性</w:t>
            </w:r>
            <w:r>
              <w:rPr>
                <w:color w:val="auto"/>
                <w:highlight w:val="none"/>
              </w:rPr>
              <w:t>。</w:t>
            </w:r>
          </w:p>
          <w:p w14:paraId="4A54DFCB">
            <w:pPr>
              <w:keepNext w:val="0"/>
              <w:keepLines w:val="0"/>
              <w:pageBreakBefore w:val="0"/>
              <w:widowControl/>
              <w:shd w:val="clear" w:color="auto" w:fill="auto"/>
              <w:kinsoku/>
              <w:wordWrap/>
              <w:overflowPunct/>
              <w:topLinePunct w:val="0"/>
              <w:autoSpaceDE/>
              <w:autoSpaceDN/>
              <w:bidi w:val="0"/>
              <w:adjustRightInd w:val="0"/>
              <w:snapToGrid w:val="0"/>
              <w:spacing w:before="0" w:after="0" w:line="360" w:lineRule="auto"/>
              <w:ind w:right="0" w:firstLine="480" w:firstLineChars="200"/>
              <w:jc w:val="both"/>
              <w:textAlignment w:val="auto"/>
              <w:rPr>
                <w:rFonts w:hint="default" w:ascii="Times New Roman" w:hAnsi="Times New Roman" w:eastAsia="宋体" w:cs="Times New Roman"/>
                <w:color w:val="auto"/>
                <w:spacing w:val="0"/>
                <w:w w:val="100"/>
                <w:position w:val="0"/>
                <w:sz w:val="24"/>
                <w:szCs w:val="24"/>
                <w:highlight w:val="none"/>
                <w:lang w:val="en-US" w:eastAsia="zh-CN"/>
              </w:rPr>
            </w:pPr>
            <w:r>
              <w:rPr>
                <w:rFonts w:hint="default" w:ascii="Times New Roman" w:hAnsi="Times New Roman" w:eastAsia="宋体" w:cs="Times New Roman"/>
                <w:color w:val="auto"/>
                <w:spacing w:val="0"/>
                <w:w w:val="100"/>
                <w:position w:val="0"/>
                <w:sz w:val="24"/>
                <w:szCs w:val="24"/>
                <w:highlight w:val="none"/>
                <w:lang w:val="en-US" w:eastAsia="zh-CN"/>
              </w:rPr>
              <w:t>根据文件要求，环境管控单元包括优先保护单元、重点管控单元和一般管控单元</w:t>
            </w:r>
            <w:r>
              <w:rPr>
                <w:rFonts w:hint="eastAsia" w:ascii="Times New Roman" w:hAnsi="Times New Roman" w:cs="Times New Roman"/>
                <w:color w:val="auto"/>
                <w:spacing w:val="0"/>
                <w:w w:val="100"/>
                <w:position w:val="0"/>
                <w:sz w:val="24"/>
                <w:szCs w:val="24"/>
                <w:highlight w:val="none"/>
                <w:lang w:val="en-US" w:eastAsia="zh-CN"/>
              </w:rPr>
              <w:t>，具体管控要求如下：</w:t>
            </w:r>
          </w:p>
          <w:p w14:paraId="41955863">
            <w:pPr>
              <w:keepNext w:val="0"/>
              <w:keepLines w:val="0"/>
              <w:pageBreakBefore w:val="0"/>
              <w:widowControl/>
              <w:shd w:val="clear" w:color="auto" w:fill="auto"/>
              <w:kinsoku/>
              <w:wordWrap/>
              <w:overflowPunct/>
              <w:topLinePunct w:val="0"/>
              <w:autoSpaceDE/>
              <w:autoSpaceDN/>
              <w:bidi w:val="0"/>
              <w:adjustRightInd w:val="0"/>
              <w:snapToGrid w:val="0"/>
              <w:spacing w:before="0" w:after="0" w:line="360" w:lineRule="auto"/>
              <w:ind w:right="0" w:firstLine="480" w:firstLineChars="200"/>
              <w:jc w:val="both"/>
              <w:textAlignment w:val="auto"/>
              <w:rPr>
                <w:rFonts w:hint="default" w:ascii="Times New Roman" w:hAnsi="Times New Roman" w:eastAsia="宋体" w:cs="Times New Roman"/>
                <w:color w:val="auto"/>
                <w:spacing w:val="0"/>
                <w:w w:val="100"/>
                <w:position w:val="0"/>
                <w:sz w:val="24"/>
                <w:szCs w:val="24"/>
                <w:highlight w:val="none"/>
                <w:lang w:val="en-US" w:eastAsia="zh-CN"/>
              </w:rPr>
            </w:pPr>
            <w:r>
              <w:rPr>
                <w:rFonts w:hint="default" w:ascii="Times New Roman" w:hAnsi="Times New Roman" w:eastAsia="宋体" w:cs="Times New Roman"/>
                <w:color w:val="auto"/>
                <w:spacing w:val="0"/>
                <w:w w:val="100"/>
                <w:position w:val="0"/>
                <w:sz w:val="24"/>
                <w:szCs w:val="24"/>
                <w:highlight w:val="none"/>
                <w:lang w:val="en-US" w:eastAsia="zh-CN"/>
              </w:rPr>
              <w:t>1）优先保护单元。严格落实生态保护</w:t>
            </w:r>
            <w:r>
              <w:rPr>
                <w:rFonts w:hint="eastAsia" w:cs="Times New Roman"/>
                <w:color w:val="auto"/>
                <w:spacing w:val="0"/>
                <w:w w:val="100"/>
                <w:position w:val="0"/>
                <w:sz w:val="24"/>
                <w:szCs w:val="24"/>
                <w:highlight w:val="none"/>
                <w:lang w:val="en-US" w:eastAsia="zh-CN"/>
              </w:rPr>
              <w:t>红线</w:t>
            </w:r>
            <w:r>
              <w:rPr>
                <w:rFonts w:hint="default" w:ascii="Times New Roman" w:hAnsi="Times New Roman" w:eastAsia="宋体" w:cs="Times New Roman"/>
                <w:color w:val="auto"/>
                <w:spacing w:val="0"/>
                <w:w w:val="100"/>
                <w:position w:val="0"/>
                <w:sz w:val="24"/>
                <w:szCs w:val="24"/>
                <w:highlight w:val="none"/>
                <w:lang w:val="en-US" w:eastAsia="zh-CN"/>
              </w:rPr>
              <w:t>管理要求，除有限人为活动外，依法依规禁止其他城镇开发和建设要求。一般生态空间突出生态保护，严禁不符合主体功能定位的各类开发活动，</w:t>
            </w:r>
            <w:r>
              <w:rPr>
                <w:rFonts w:hint="eastAsia" w:cs="Times New Roman"/>
                <w:color w:val="auto"/>
                <w:spacing w:val="0"/>
                <w:w w:val="100"/>
                <w:position w:val="0"/>
                <w:sz w:val="24"/>
                <w:szCs w:val="24"/>
                <w:highlight w:val="none"/>
                <w:lang w:val="en-US" w:eastAsia="zh-CN"/>
              </w:rPr>
              <w:t>严禁</w:t>
            </w:r>
            <w:r>
              <w:rPr>
                <w:rFonts w:hint="default" w:ascii="Times New Roman" w:hAnsi="Times New Roman" w:eastAsia="宋体" w:cs="Times New Roman"/>
                <w:color w:val="auto"/>
                <w:spacing w:val="0"/>
                <w:w w:val="100"/>
                <w:position w:val="0"/>
                <w:sz w:val="24"/>
                <w:szCs w:val="24"/>
                <w:highlight w:val="none"/>
                <w:lang w:val="en-US" w:eastAsia="zh-CN"/>
              </w:rPr>
              <w:t>任意改变用途。</w:t>
            </w:r>
          </w:p>
          <w:p w14:paraId="388C92EA">
            <w:pPr>
              <w:keepNext w:val="0"/>
              <w:keepLines w:val="0"/>
              <w:pageBreakBefore w:val="0"/>
              <w:widowControl/>
              <w:shd w:val="clear" w:color="auto" w:fill="auto"/>
              <w:kinsoku/>
              <w:wordWrap/>
              <w:overflowPunct/>
              <w:topLinePunct w:val="0"/>
              <w:autoSpaceDE/>
              <w:autoSpaceDN/>
              <w:bidi w:val="0"/>
              <w:adjustRightInd w:val="0"/>
              <w:snapToGrid w:val="0"/>
              <w:spacing w:before="0" w:after="0" w:line="360" w:lineRule="auto"/>
              <w:ind w:right="0" w:firstLine="480" w:firstLineChars="200"/>
              <w:jc w:val="both"/>
              <w:textAlignment w:val="auto"/>
              <w:rPr>
                <w:rFonts w:hint="default" w:ascii="Times New Roman" w:hAnsi="Times New Roman" w:eastAsia="宋体" w:cs="Times New Roman"/>
                <w:color w:val="auto"/>
                <w:spacing w:val="0"/>
                <w:w w:val="100"/>
                <w:position w:val="0"/>
                <w:sz w:val="24"/>
                <w:szCs w:val="24"/>
                <w:highlight w:val="none"/>
                <w:lang w:val="en-US" w:eastAsia="zh-CN"/>
              </w:rPr>
            </w:pPr>
            <w:r>
              <w:rPr>
                <w:rFonts w:hint="default" w:ascii="Times New Roman" w:hAnsi="Times New Roman" w:eastAsia="宋体" w:cs="Times New Roman"/>
                <w:color w:val="auto"/>
                <w:spacing w:val="0"/>
                <w:w w:val="100"/>
                <w:position w:val="0"/>
                <w:sz w:val="24"/>
                <w:szCs w:val="24"/>
                <w:highlight w:val="none"/>
                <w:lang w:val="en-US" w:eastAsia="zh-CN"/>
              </w:rPr>
              <w:t>2）重点管控单元。优先工业布局，有序实施高污染、高排放工业企业整改或有序退出；强化船舶和区域移动源管控；完善污水治理措施；加快城镇河流水系环境整治；加强工业污染场地环境风险防控和开发再利用监管。</w:t>
            </w:r>
          </w:p>
          <w:p w14:paraId="50BFDEE7">
            <w:pPr>
              <w:keepNext w:val="0"/>
              <w:keepLines w:val="0"/>
              <w:pageBreakBefore w:val="0"/>
              <w:widowControl/>
              <w:shd w:val="clear" w:color="auto" w:fill="auto"/>
              <w:kinsoku/>
              <w:wordWrap/>
              <w:overflowPunct/>
              <w:topLinePunct w:val="0"/>
              <w:autoSpaceDE/>
              <w:autoSpaceDN/>
              <w:bidi w:val="0"/>
              <w:adjustRightInd w:val="0"/>
              <w:snapToGrid w:val="0"/>
              <w:spacing w:before="0" w:after="0" w:line="360" w:lineRule="auto"/>
              <w:ind w:right="0" w:firstLine="480" w:firstLineChars="200"/>
              <w:jc w:val="both"/>
              <w:textAlignment w:val="auto"/>
              <w:rPr>
                <w:rFonts w:hint="default" w:ascii="Times New Roman" w:hAnsi="Times New Roman" w:eastAsia="宋体" w:cs="Times New Roman"/>
                <w:color w:val="auto"/>
                <w:spacing w:val="0"/>
                <w:w w:val="100"/>
                <w:position w:val="0"/>
                <w:sz w:val="24"/>
                <w:szCs w:val="24"/>
                <w:highlight w:val="none"/>
                <w:lang w:val="en-US" w:eastAsia="zh-CN"/>
              </w:rPr>
            </w:pPr>
            <w:r>
              <w:rPr>
                <w:rFonts w:hint="default" w:ascii="Times New Roman" w:hAnsi="Times New Roman" w:eastAsia="宋体" w:cs="Times New Roman"/>
                <w:color w:val="auto"/>
                <w:spacing w:val="0"/>
                <w:w w:val="100"/>
                <w:position w:val="0"/>
                <w:sz w:val="24"/>
                <w:szCs w:val="24"/>
                <w:highlight w:val="none"/>
                <w:lang w:val="en-US" w:eastAsia="zh-CN"/>
              </w:rPr>
              <w:t>3）一般管控单元。严格执行国家、河北省、秦皇岛市有关产业准入、总量控制和污染物排放标准等管控要求。</w:t>
            </w:r>
          </w:p>
          <w:p w14:paraId="21CA9F93">
            <w:pPr>
              <w:keepNext w:val="0"/>
              <w:keepLines w:val="0"/>
              <w:pageBreakBefore w:val="0"/>
              <w:widowControl/>
              <w:shd w:val="clear" w:color="auto" w:fill="auto"/>
              <w:kinsoku/>
              <w:wordWrap/>
              <w:overflowPunct/>
              <w:topLinePunct w:val="0"/>
              <w:autoSpaceDE/>
              <w:autoSpaceDN/>
              <w:bidi w:val="0"/>
              <w:adjustRightInd w:val="0"/>
              <w:snapToGrid w:val="0"/>
              <w:spacing w:before="0" w:after="0" w:line="360" w:lineRule="auto"/>
              <w:ind w:right="0" w:firstLine="480" w:firstLineChars="200"/>
              <w:jc w:val="both"/>
              <w:textAlignment w:val="auto"/>
              <w:rPr>
                <w:rFonts w:hint="default" w:ascii="Times New Roman" w:hAnsi="Times New Roman" w:eastAsia="宋体" w:cs="Times New Roman"/>
                <w:color w:val="auto"/>
                <w:spacing w:val="0"/>
                <w:w w:val="100"/>
                <w:position w:val="0"/>
                <w:sz w:val="24"/>
                <w:szCs w:val="24"/>
                <w:highlight w:val="none"/>
                <w:lang w:val="en-US" w:eastAsia="zh-CN"/>
              </w:rPr>
            </w:pPr>
            <w:r>
              <w:rPr>
                <w:rFonts w:hint="default" w:ascii="Times New Roman" w:hAnsi="Times New Roman" w:eastAsia="宋体" w:cs="Times New Roman"/>
                <w:color w:val="auto"/>
                <w:spacing w:val="0"/>
                <w:w w:val="100"/>
                <w:position w:val="0"/>
                <w:sz w:val="24"/>
                <w:szCs w:val="24"/>
                <w:highlight w:val="none"/>
                <w:lang w:val="en-US" w:eastAsia="zh-CN"/>
              </w:rPr>
              <w:t>对照秦皇岛市环境管控单元分布图，项目位于重点管控单元</w:t>
            </w:r>
            <w:r>
              <w:rPr>
                <w:rFonts w:hint="eastAsia" w:ascii="Times New Roman" w:hAnsi="Times New Roman" w:cs="Times New Roman"/>
                <w:color w:val="auto"/>
                <w:spacing w:val="0"/>
                <w:w w:val="100"/>
                <w:position w:val="0"/>
                <w:sz w:val="24"/>
                <w:szCs w:val="24"/>
                <w:highlight w:val="none"/>
                <w:lang w:val="en-US" w:eastAsia="zh-CN"/>
              </w:rPr>
              <w:t>，</w:t>
            </w:r>
            <w:r>
              <w:rPr>
                <w:rFonts w:hint="eastAsia" w:ascii="Times New Roman" w:hAnsi="Times New Roman" w:eastAsia="宋体" w:cs="Times New Roman"/>
                <w:color w:val="auto"/>
                <w:spacing w:val="0"/>
                <w:w w:val="100"/>
                <w:position w:val="0"/>
                <w:sz w:val="24"/>
                <w:szCs w:val="24"/>
                <w:highlight w:val="none"/>
                <w:lang w:val="en-US" w:eastAsia="zh-CN"/>
              </w:rPr>
              <w:t>项目属于</w:t>
            </w:r>
            <w:r>
              <w:rPr>
                <w:rFonts w:hint="eastAsia" w:cs="Times New Roman"/>
                <w:color w:val="auto"/>
                <w:spacing w:val="0"/>
                <w:w w:val="100"/>
                <w:position w:val="0"/>
                <w:sz w:val="24"/>
                <w:szCs w:val="24"/>
                <w:highlight w:val="none"/>
                <w:lang w:val="en-US" w:eastAsia="zh-CN"/>
              </w:rPr>
              <w:t>固体废物综合利用</w:t>
            </w:r>
            <w:r>
              <w:rPr>
                <w:rFonts w:hint="eastAsia" w:ascii="Times New Roman" w:hAnsi="Times New Roman" w:eastAsia="宋体" w:cs="Times New Roman"/>
                <w:color w:val="auto"/>
                <w:spacing w:val="0"/>
                <w:w w:val="100"/>
                <w:position w:val="0"/>
                <w:sz w:val="24"/>
                <w:szCs w:val="24"/>
                <w:highlight w:val="none"/>
                <w:lang w:val="en-US" w:eastAsia="zh-CN"/>
              </w:rPr>
              <w:t>，</w:t>
            </w:r>
            <w:r>
              <w:rPr>
                <w:rFonts w:hint="eastAsia" w:ascii="Times New Roman" w:hAnsi="Times New Roman" w:cs="Times New Roman"/>
                <w:color w:val="auto"/>
                <w:spacing w:val="0"/>
                <w:w w:val="100"/>
                <w:position w:val="0"/>
                <w:sz w:val="24"/>
                <w:szCs w:val="24"/>
                <w:highlight w:val="none"/>
                <w:lang w:val="en-US" w:eastAsia="zh-CN"/>
              </w:rPr>
              <w:t>不属于《</w:t>
            </w:r>
            <w:r>
              <w:rPr>
                <w:rFonts w:hint="default" w:ascii="Times New Roman" w:hAnsi="Times New Roman" w:eastAsia="宋体" w:cs="Times New Roman"/>
                <w:color w:val="auto"/>
                <w:spacing w:val="0"/>
                <w:w w:val="100"/>
                <w:position w:val="0"/>
                <w:sz w:val="24"/>
                <w:szCs w:val="24"/>
                <w:highlight w:val="none"/>
                <w:lang w:val="en-US" w:eastAsia="zh-CN"/>
              </w:rPr>
              <w:t>环境保护综合名录（</w:t>
            </w:r>
            <w:r>
              <w:rPr>
                <w:rFonts w:hint="eastAsia" w:ascii="Times New Roman" w:hAnsi="Times New Roman" w:eastAsia="宋体" w:cs="Times New Roman"/>
                <w:color w:val="auto"/>
                <w:spacing w:val="0"/>
                <w:w w:val="100"/>
                <w:position w:val="0"/>
                <w:sz w:val="24"/>
                <w:szCs w:val="24"/>
                <w:highlight w:val="none"/>
                <w:lang w:val="en-US" w:eastAsia="zh-CN"/>
              </w:rPr>
              <w:t>2021</w:t>
            </w:r>
            <w:r>
              <w:rPr>
                <w:rFonts w:hint="default" w:ascii="Times New Roman" w:hAnsi="Times New Roman" w:eastAsia="宋体" w:cs="Times New Roman"/>
                <w:color w:val="auto"/>
                <w:spacing w:val="0"/>
                <w:w w:val="100"/>
                <w:position w:val="0"/>
                <w:sz w:val="24"/>
                <w:szCs w:val="24"/>
                <w:highlight w:val="none"/>
                <w:lang w:val="en-US" w:eastAsia="zh-CN"/>
              </w:rPr>
              <w:t>年版）》及其最新名录</w:t>
            </w:r>
            <w:r>
              <w:rPr>
                <w:rFonts w:hint="eastAsia" w:ascii="Times New Roman" w:hAnsi="Times New Roman" w:cs="Times New Roman"/>
                <w:color w:val="auto"/>
                <w:spacing w:val="0"/>
                <w:w w:val="100"/>
                <w:position w:val="0"/>
                <w:sz w:val="24"/>
                <w:szCs w:val="24"/>
                <w:highlight w:val="none"/>
                <w:lang w:val="en-US" w:eastAsia="zh-CN"/>
              </w:rPr>
              <w:t>、《河北省发展和改革委员会关于加强新建“两高”项目管理的通知》</w:t>
            </w:r>
            <w:r>
              <w:rPr>
                <w:rFonts w:hint="default" w:ascii="Times New Roman" w:hAnsi="Times New Roman" w:eastAsia="宋体" w:cs="Times New Roman"/>
                <w:color w:val="auto"/>
                <w:spacing w:val="0"/>
                <w:w w:val="100"/>
                <w:position w:val="0"/>
                <w:sz w:val="24"/>
                <w:szCs w:val="24"/>
                <w:highlight w:val="none"/>
                <w:lang w:val="en-US" w:eastAsia="zh-CN"/>
              </w:rPr>
              <w:t>所列“高污染、高风险”管控项目</w:t>
            </w:r>
            <w:r>
              <w:rPr>
                <w:rFonts w:hint="eastAsia" w:ascii="Times New Roman" w:hAnsi="Times New Roman" w:cs="Times New Roman"/>
                <w:color w:val="auto"/>
                <w:spacing w:val="0"/>
                <w:w w:val="100"/>
                <w:position w:val="0"/>
                <w:sz w:val="24"/>
                <w:szCs w:val="24"/>
                <w:highlight w:val="none"/>
                <w:lang w:val="en-US" w:eastAsia="zh-CN"/>
              </w:rPr>
              <w:t>；</w:t>
            </w:r>
            <w:r>
              <w:rPr>
                <w:rFonts w:hint="eastAsia" w:cs="Times New Roman"/>
                <w:color w:val="auto"/>
                <w:spacing w:val="0"/>
                <w:w w:val="100"/>
                <w:position w:val="0"/>
                <w:sz w:val="24"/>
                <w:szCs w:val="24"/>
                <w:highlight w:val="none"/>
                <w:lang w:val="en-US" w:eastAsia="zh-CN"/>
              </w:rPr>
              <w:t>废气经净化后可达标排放；运营期生产废水使用封闭罐车</w:t>
            </w:r>
            <w:r>
              <w:rPr>
                <w:rFonts w:hint="eastAsia" w:ascii="Times New Roman" w:hAnsi="Times New Roman" w:eastAsia="宋体" w:cs="Times New Roman"/>
                <w:color w:val="auto"/>
                <w:sz w:val="24"/>
                <w:szCs w:val="24"/>
                <w:highlight w:val="none"/>
                <w:lang w:val="en-US" w:eastAsia="zh-CN"/>
              </w:rPr>
              <w:t>拉至</w:t>
            </w:r>
            <w:r>
              <w:rPr>
                <w:rFonts w:hint="eastAsia" w:cs="Times New Roman"/>
                <w:color w:val="auto"/>
                <w:sz w:val="24"/>
                <w:szCs w:val="24"/>
                <w:highlight w:val="none"/>
                <w:lang w:val="en-US" w:eastAsia="zh-CN"/>
              </w:rPr>
              <w:t>秦皇岛市抚宁区中冶水务有限公司</w:t>
            </w:r>
            <w:r>
              <w:rPr>
                <w:rFonts w:hint="default" w:ascii="Times New Roman" w:hAnsi="Times New Roman" w:eastAsia="宋体" w:cs="Times New Roman"/>
                <w:color w:val="auto"/>
                <w:spacing w:val="0"/>
                <w:w w:val="100"/>
                <w:position w:val="0"/>
                <w:sz w:val="24"/>
                <w:szCs w:val="24"/>
                <w:highlight w:val="none"/>
                <w:lang w:val="en-US" w:eastAsia="zh-CN"/>
              </w:rPr>
              <w:t>；固体废物均得到合理处置，</w:t>
            </w:r>
            <w:r>
              <w:rPr>
                <w:rFonts w:hint="eastAsia" w:ascii="Times New Roman" w:hAnsi="Times New Roman" w:cs="Times New Roman"/>
                <w:color w:val="auto"/>
                <w:spacing w:val="0"/>
                <w:w w:val="100"/>
                <w:position w:val="0"/>
                <w:sz w:val="24"/>
                <w:szCs w:val="24"/>
                <w:highlight w:val="none"/>
                <w:lang w:val="en-US" w:eastAsia="zh-CN"/>
              </w:rPr>
              <w:t>本项目建设符合重点管控单元的要求。</w:t>
            </w:r>
          </w:p>
          <w:p w14:paraId="1A8B0CF4">
            <w:pPr>
              <w:snapToGrid w:val="0"/>
              <w:spacing w:line="240" w:lineRule="auto"/>
              <w:jc w:val="center"/>
              <w:rPr>
                <w:rFonts w:hint="eastAsia"/>
                <w:b/>
                <w:bCs/>
                <w:color w:val="auto"/>
                <w:szCs w:val="24"/>
                <w:highlight w:val="none"/>
              </w:rPr>
            </w:pPr>
            <w:r>
              <w:rPr>
                <w:rFonts w:hint="eastAsia"/>
                <w:b/>
                <w:bCs/>
                <w:color w:val="auto"/>
                <w:szCs w:val="24"/>
                <w:highlight w:val="none"/>
              </w:rPr>
              <w:t>表</w:t>
            </w:r>
            <w:r>
              <w:rPr>
                <w:rFonts w:hint="eastAsia"/>
                <w:b/>
                <w:bCs/>
                <w:color w:val="auto"/>
                <w:szCs w:val="24"/>
                <w:highlight w:val="none"/>
                <w:lang w:val="en-US" w:eastAsia="zh-CN"/>
              </w:rPr>
              <w:t>1-3</w:t>
            </w:r>
            <w:r>
              <w:rPr>
                <w:rFonts w:hint="eastAsia"/>
                <w:b/>
                <w:bCs/>
                <w:color w:val="auto"/>
                <w:szCs w:val="24"/>
                <w:highlight w:val="none"/>
              </w:rPr>
              <w:t xml:space="preserve">  本项目与</w:t>
            </w:r>
            <w:r>
              <w:rPr>
                <w:rFonts w:hint="eastAsia"/>
                <w:b/>
                <w:bCs/>
                <w:color w:val="auto"/>
                <w:szCs w:val="24"/>
                <w:highlight w:val="none"/>
                <w:lang w:eastAsia="zh-CN"/>
              </w:rPr>
              <w:t>《</w:t>
            </w:r>
            <w:r>
              <w:rPr>
                <w:rFonts w:hint="eastAsia"/>
                <w:b/>
                <w:bCs/>
                <w:color w:val="auto"/>
                <w:szCs w:val="24"/>
                <w:highlight w:val="none"/>
              </w:rPr>
              <w:t>实施意见</w:t>
            </w:r>
            <w:r>
              <w:rPr>
                <w:rFonts w:hint="eastAsia"/>
                <w:b/>
                <w:bCs/>
                <w:color w:val="auto"/>
                <w:szCs w:val="24"/>
                <w:highlight w:val="none"/>
                <w:lang w:eastAsia="zh-CN"/>
              </w:rPr>
              <w:t>》</w:t>
            </w:r>
            <w:r>
              <w:rPr>
                <w:rFonts w:hint="eastAsia"/>
                <w:b/>
                <w:bCs/>
                <w:color w:val="auto"/>
                <w:szCs w:val="24"/>
                <w:highlight w:val="none"/>
                <w:lang w:val="en-US" w:eastAsia="zh-CN"/>
              </w:rPr>
              <w:t>及环境准入要求（更新）符合性分析</w:t>
            </w:r>
            <w:r>
              <w:rPr>
                <w:rFonts w:hint="eastAsia"/>
                <w:b/>
                <w:bCs/>
                <w:color w:val="auto"/>
                <w:szCs w:val="24"/>
                <w:highlight w:val="none"/>
              </w:rPr>
              <w:t>一览表</w:t>
            </w:r>
          </w:p>
          <w:tbl>
            <w:tblPr>
              <w:tblStyle w:val="34"/>
              <w:tblW w:w="8381" w:type="dxa"/>
              <w:jc w:val="center"/>
              <w:tblLayout w:type="fixed"/>
              <w:tblCellMar>
                <w:top w:w="0" w:type="dxa"/>
                <w:left w:w="108" w:type="dxa"/>
                <w:bottom w:w="0" w:type="dxa"/>
                <w:right w:w="108" w:type="dxa"/>
              </w:tblCellMar>
            </w:tblPr>
            <w:tblGrid>
              <w:gridCol w:w="1084"/>
              <w:gridCol w:w="1087"/>
              <w:gridCol w:w="3068"/>
              <w:gridCol w:w="2276"/>
              <w:gridCol w:w="866"/>
            </w:tblGrid>
            <w:tr w14:paraId="0C94B3B5">
              <w:trPr>
                <w:trHeight w:val="193" w:hRule="atLeast"/>
                <w:jc w:val="center"/>
              </w:trPr>
              <w:tc>
                <w:tcPr>
                  <w:tcW w:w="5000" w:type="pct"/>
                  <w:gridSpan w:val="5"/>
                  <w:tcBorders>
                    <w:top w:val="single" w:color="auto" w:sz="4" w:space="0"/>
                    <w:left w:val="single" w:color="auto" w:sz="4" w:space="0"/>
                    <w:bottom w:val="single" w:color="auto" w:sz="4" w:space="0"/>
                    <w:right w:val="single" w:color="auto" w:sz="4" w:space="0"/>
                  </w:tcBorders>
                  <w:noWrap/>
                  <w:vAlign w:val="center"/>
                </w:tcPr>
                <w:p w14:paraId="1CDA73CD">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生态环境空间总体管控要求</w:t>
                  </w:r>
                </w:p>
              </w:tc>
            </w:tr>
            <w:tr w14:paraId="4F632389">
              <w:tblPrEx>
                <w:tblCellMar>
                  <w:top w:w="0" w:type="dxa"/>
                  <w:left w:w="108" w:type="dxa"/>
                  <w:bottom w:w="0" w:type="dxa"/>
                  <w:right w:w="108" w:type="dxa"/>
                </w:tblCellMar>
              </w:tblPrEx>
              <w:trPr>
                <w:trHeight w:val="258" w:hRule="atLeast"/>
                <w:jc w:val="center"/>
              </w:trPr>
              <w:tc>
                <w:tcPr>
                  <w:tcW w:w="646" w:type="pct"/>
                  <w:tcBorders>
                    <w:top w:val="single" w:color="auto" w:sz="4" w:space="0"/>
                    <w:left w:val="single" w:color="auto" w:sz="4" w:space="0"/>
                    <w:bottom w:val="single" w:color="auto" w:sz="4" w:space="0"/>
                    <w:right w:val="single" w:color="auto" w:sz="4" w:space="0"/>
                  </w:tcBorders>
                  <w:noWrap/>
                  <w:vAlign w:val="center"/>
                </w:tcPr>
                <w:p w14:paraId="6565F5E8">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属性</w:t>
                  </w:r>
                </w:p>
              </w:tc>
              <w:tc>
                <w:tcPr>
                  <w:tcW w:w="648" w:type="pct"/>
                  <w:tcBorders>
                    <w:top w:val="nil"/>
                    <w:left w:val="nil"/>
                    <w:bottom w:val="single" w:color="auto" w:sz="4" w:space="0"/>
                    <w:right w:val="single" w:color="auto" w:sz="4" w:space="0"/>
                  </w:tcBorders>
                  <w:noWrap/>
                  <w:vAlign w:val="center"/>
                </w:tcPr>
                <w:p w14:paraId="2B3FBA1E">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管控类别</w:t>
                  </w:r>
                </w:p>
              </w:tc>
              <w:tc>
                <w:tcPr>
                  <w:tcW w:w="1830" w:type="pct"/>
                  <w:tcBorders>
                    <w:top w:val="single" w:color="auto" w:sz="4" w:space="0"/>
                    <w:left w:val="nil"/>
                    <w:bottom w:val="single" w:color="auto" w:sz="4" w:space="0"/>
                    <w:right w:val="single" w:color="auto" w:sz="4" w:space="0"/>
                  </w:tcBorders>
                  <w:noWrap w:val="0"/>
                  <w:vAlign w:val="center"/>
                </w:tcPr>
                <w:p w14:paraId="782687FB">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管控要求</w:t>
                  </w:r>
                </w:p>
              </w:tc>
              <w:tc>
                <w:tcPr>
                  <w:tcW w:w="1357" w:type="pct"/>
                  <w:tcBorders>
                    <w:top w:val="nil"/>
                    <w:left w:val="nil"/>
                    <w:bottom w:val="single" w:color="auto" w:sz="4" w:space="0"/>
                    <w:right w:val="single" w:color="auto" w:sz="4" w:space="0"/>
                  </w:tcBorders>
                  <w:noWrap/>
                  <w:vAlign w:val="center"/>
                </w:tcPr>
                <w:p w14:paraId="66FC1B28">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本项目</w:t>
                  </w:r>
                </w:p>
              </w:tc>
              <w:tc>
                <w:tcPr>
                  <w:tcW w:w="516" w:type="pct"/>
                  <w:tcBorders>
                    <w:top w:val="nil"/>
                    <w:left w:val="nil"/>
                    <w:bottom w:val="single" w:color="auto" w:sz="4" w:space="0"/>
                    <w:right w:val="single" w:color="auto" w:sz="4" w:space="0"/>
                  </w:tcBorders>
                  <w:noWrap/>
                  <w:vAlign w:val="center"/>
                </w:tcPr>
                <w:p w14:paraId="56289D9C">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符合性</w:t>
                  </w:r>
                </w:p>
              </w:tc>
            </w:tr>
            <w:tr w14:paraId="5CB7E6D2">
              <w:tblPrEx>
                <w:tblCellMar>
                  <w:top w:w="0" w:type="dxa"/>
                  <w:left w:w="108" w:type="dxa"/>
                  <w:bottom w:w="0" w:type="dxa"/>
                  <w:right w:w="108" w:type="dxa"/>
                </w:tblCellMar>
              </w:tblPrEx>
              <w:trPr>
                <w:trHeight w:val="258" w:hRule="atLeast"/>
                <w:jc w:val="center"/>
              </w:trPr>
              <w:tc>
                <w:tcPr>
                  <w:tcW w:w="646" w:type="pct"/>
                  <w:tcBorders>
                    <w:top w:val="single" w:color="auto" w:sz="4" w:space="0"/>
                    <w:left w:val="single" w:color="auto" w:sz="4" w:space="0"/>
                    <w:bottom w:val="single" w:color="auto" w:sz="4" w:space="0"/>
                    <w:right w:val="single" w:color="auto" w:sz="4" w:space="0"/>
                  </w:tcBorders>
                  <w:noWrap/>
                  <w:vAlign w:val="center"/>
                </w:tcPr>
                <w:p w14:paraId="6A2DBCF2">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cs="Times New Roman"/>
                      <w:color w:val="auto"/>
                      <w:sz w:val="21"/>
                      <w:szCs w:val="21"/>
                      <w:highlight w:val="none"/>
                    </w:rPr>
                    <w:t>总体准入要求</w:t>
                  </w:r>
                </w:p>
              </w:tc>
              <w:tc>
                <w:tcPr>
                  <w:tcW w:w="648" w:type="pct"/>
                  <w:tcBorders>
                    <w:top w:val="nil"/>
                    <w:left w:val="nil"/>
                    <w:bottom w:val="single" w:color="auto" w:sz="4" w:space="0"/>
                    <w:right w:val="single" w:color="auto" w:sz="4" w:space="0"/>
                  </w:tcBorders>
                  <w:noWrap/>
                  <w:vAlign w:val="center"/>
                </w:tcPr>
                <w:p w14:paraId="3FA52742">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空间布局约束</w:t>
                  </w:r>
                </w:p>
              </w:tc>
              <w:tc>
                <w:tcPr>
                  <w:tcW w:w="1830" w:type="pct"/>
                  <w:tcBorders>
                    <w:top w:val="single" w:color="auto" w:sz="4" w:space="0"/>
                    <w:left w:val="nil"/>
                    <w:bottom w:val="single" w:color="auto" w:sz="4" w:space="0"/>
                    <w:right w:val="single" w:color="auto" w:sz="4" w:space="0"/>
                  </w:tcBorders>
                  <w:noWrap w:val="0"/>
                  <w:vAlign w:val="center"/>
                </w:tcPr>
                <w:p w14:paraId="24F73A11">
                  <w:pPr>
                    <w:keepNext w:val="0"/>
                    <w:keepLines w:val="0"/>
                    <w:pageBreakBefore w:val="0"/>
                    <w:numPr>
                      <w:ilvl w:val="-1"/>
                      <w:numId w:val="0"/>
                    </w:numPr>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rPr>
                    <w:t>生态保护红线严格落实《生态保护红线管理办法（暂行）》中相关准入要求。</w:t>
                  </w:r>
                </w:p>
              </w:tc>
              <w:tc>
                <w:tcPr>
                  <w:tcW w:w="1357" w:type="pct"/>
                  <w:tcBorders>
                    <w:top w:val="nil"/>
                    <w:left w:val="nil"/>
                    <w:bottom w:val="single" w:color="auto" w:sz="4" w:space="0"/>
                    <w:right w:val="single" w:color="auto" w:sz="4" w:space="0"/>
                  </w:tcBorders>
                  <w:noWrap/>
                  <w:vAlign w:val="center"/>
                </w:tcPr>
                <w:p w14:paraId="520613FC">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lang w:val="en-US" w:eastAsia="zh-CN"/>
                    </w:rPr>
                    <w:t>本项目不在生态保护红线范围内</w:t>
                  </w:r>
                </w:p>
              </w:tc>
              <w:tc>
                <w:tcPr>
                  <w:tcW w:w="516" w:type="pct"/>
                  <w:tcBorders>
                    <w:top w:val="nil"/>
                    <w:left w:val="nil"/>
                    <w:bottom w:val="single" w:color="auto" w:sz="4" w:space="0"/>
                    <w:right w:val="single" w:color="auto" w:sz="4" w:space="0"/>
                  </w:tcBorders>
                  <w:noWrap/>
                  <w:vAlign w:val="center"/>
                </w:tcPr>
                <w:p w14:paraId="4641A3B5">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符合</w:t>
                  </w:r>
                </w:p>
              </w:tc>
            </w:tr>
            <w:tr w14:paraId="70F32417">
              <w:tblPrEx>
                <w:tblCellMar>
                  <w:top w:w="0" w:type="dxa"/>
                  <w:left w:w="108" w:type="dxa"/>
                  <w:bottom w:w="0" w:type="dxa"/>
                  <w:right w:w="108" w:type="dxa"/>
                </w:tblCellMar>
              </w:tblPrEx>
              <w:trPr>
                <w:trHeight w:val="2116" w:hRule="atLeast"/>
                <w:jc w:val="center"/>
              </w:trPr>
              <w:tc>
                <w:tcPr>
                  <w:tcW w:w="646" w:type="pct"/>
                  <w:vMerge w:val="restart"/>
                  <w:tcBorders>
                    <w:top w:val="single" w:color="auto" w:sz="4" w:space="0"/>
                    <w:left w:val="single" w:color="auto" w:sz="4" w:space="0"/>
                    <w:right w:val="single" w:color="auto" w:sz="4" w:space="0"/>
                  </w:tcBorders>
                  <w:noWrap w:val="0"/>
                  <w:vAlign w:val="center"/>
                </w:tcPr>
                <w:p w14:paraId="307C136B">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一般生态空间总体要求</w:t>
                  </w:r>
                </w:p>
              </w:tc>
              <w:tc>
                <w:tcPr>
                  <w:tcW w:w="648" w:type="pct"/>
                  <w:vMerge w:val="restart"/>
                  <w:tcBorders>
                    <w:top w:val="nil"/>
                    <w:left w:val="nil"/>
                    <w:right w:val="single" w:color="auto" w:sz="4" w:space="0"/>
                  </w:tcBorders>
                  <w:noWrap w:val="0"/>
                  <w:vAlign w:val="center"/>
                </w:tcPr>
                <w:p w14:paraId="1F79C440">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空间布局</w:t>
                  </w:r>
                </w:p>
              </w:tc>
              <w:tc>
                <w:tcPr>
                  <w:tcW w:w="1830" w:type="pct"/>
                  <w:tcBorders>
                    <w:top w:val="single" w:color="auto" w:sz="4" w:space="0"/>
                    <w:left w:val="nil"/>
                    <w:bottom w:val="single" w:color="auto" w:sz="4" w:space="0"/>
                    <w:right w:val="single" w:color="auto" w:sz="4" w:space="0"/>
                  </w:tcBorders>
                  <w:noWrap w:val="0"/>
                  <w:vAlign w:val="center"/>
                </w:tcPr>
                <w:p w14:paraId="4E528E95">
                  <w:pPr>
                    <w:keepNext w:val="0"/>
                    <w:keepLines w:val="0"/>
                    <w:pageBreakBefore w:val="0"/>
                    <w:numPr>
                      <w:ilvl w:val="-1"/>
                      <w:numId w:val="0"/>
                    </w:numPr>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1、</w:t>
                  </w:r>
                  <w:r>
                    <w:rPr>
                      <w:rFonts w:hint="default" w:ascii="Times New Roman" w:hAnsi="Times New Roman" w:cs="Times New Roman"/>
                      <w:color w:val="auto"/>
                      <w:sz w:val="21"/>
                      <w:szCs w:val="21"/>
                      <w:highlight w:val="none"/>
                    </w:rPr>
                    <w:t>生态保护红线严格落实《生态保护红线管理办法（暂行）》中相关准入要求。</w:t>
                  </w:r>
                </w:p>
                <w:p w14:paraId="74498F52">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lang w:val="en-US" w:eastAsia="zh-CN"/>
                    </w:rPr>
                    <w:t>2</w:t>
                  </w:r>
                  <w:r>
                    <w:rPr>
                      <w:rFonts w:hint="eastAsia" w:cs="Times New Roman"/>
                      <w:color w:val="auto"/>
                      <w:sz w:val="21"/>
                      <w:szCs w:val="21"/>
                      <w:highlight w:val="none"/>
                      <w:lang w:eastAsia="zh-CN"/>
                    </w:rPr>
                    <w:t>、</w:t>
                  </w:r>
                  <w:r>
                    <w:rPr>
                      <w:rFonts w:ascii="Times New Roman" w:hAnsi="Times New Roman" w:eastAsia="宋体" w:cs="Times New Roman"/>
                      <w:color w:val="auto"/>
                      <w:sz w:val="21"/>
                      <w:szCs w:val="21"/>
                      <w:highlight w:val="none"/>
                    </w:rPr>
                    <w:t>禁止新建、扩建《环境保护综合名录（</w:t>
                  </w:r>
                  <w:r>
                    <w:rPr>
                      <w:rFonts w:hint="eastAsia" w:cs="Times New Roman"/>
                      <w:color w:val="auto"/>
                      <w:sz w:val="21"/>
                      <w:szCs w:val="21"/>
                      <w:highlight w:val="none"/>
                      <w:lang w:val="en-US" w:eastAsia="zh-CN"/>
                    </w:rPr>
                    <w:t>2021</w:t>
                  </w:r>
                  <w:r>
                    <w:rPr>
                      <w:rFonts w:ascii="Times New Roman" w:hAnsi="Times New Roman" w:eastAsia="宋体" w:cs="Times New Roman"/>
                      <w:color w:val="auto"/>
                      <w:sz w:val="21"/>
                      <w:szCs w:val="21"/>
                      <w:highlight w:val="none"/>
                    </w:rPr>
                    <w:t>年版）及其最新名录所列“高污染、高风险”管控项目。</w:t>
                  </w:r>
                </w:p>
              </w:tc>
              <w:tc>
                <w:tcPr>
                  <w:tcW w:w="1357" w:type="pct"/>
                  <w:tcBorders>
                    <w:top w:val="nil"/>
                    <w:left w:val="nil"/>
                    <w:bottom w:val="single" w:color="auto" w:sz="4" w:space="0"/>
                    <w:right w:val="single" w:color="auto" w:sz="4" w:space="0"/>
                  </w:tcBorders>
                  <w:noWrap w:val="0"/>
                  <w:vAlign w:val="center"/>
                </w:tcPr>
                <w:p w14:paraId="68F1442D">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1、本项目不在生态保护红线范围内；</w:t>
                  </w:r>
                </w:p>
                <w:p w14:paraId="0C293433">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lang w:val="en-US" w:eastAsia="zh-CN"/>
                    </w:rPr>
                    <w:t>2、</w:t>
                  </w:r>
                  <w:r>
                    <w:rPr>
                      <w:rFonts w:ascii="Times New Roman" w:hAnsi="Times New Roman" w:eastAsia="宋体" w:cs="Times New Roman"/>
                      <w:color w:val="auto"/>
                      <w:sz w:val="21"/>
                      <w:szCs w:val="21"/>
                      <w:highlight w:val="none"/>
                    </w:rPr>
                    <w:t>本项目不属于《环境保护综合名录（</w:t>
                  </w:r>
                  <w:r>
                    <w:rPr>
                      <w:rFonts w:hint="default" w:ascii="Times New Roman" w:hAnsi="Times New Roman" w:cs="Times New Roman"/>
                      <w:color w:val="auto"/>
                      <w:sz w:val="21"/>
                      <w:szCs w:val="21"/>
                      <w:highlight w:val="none"/>
                      <w:lang w:val="en-US" w:eastAsia="zh-CN"/>
                    </w:rPr>
                    <w:t>2021</w:t>
                  </w:r>
                  <w:r>
                    <w:rPr>
                      <w:rFonts w:ascii="Times New Roman" w:hAnsi="Times New Roman" w:eastAsia="宋体" w:cs="Times New Roman"/>
                      <w:color w:val="auto"/>
                      <w:sz w:val="21"/>
                      <w:szCs w:val="21"/>
                      <w:highlight w:val="none"/>
                    </w:rPr>
                    <w:t>年版）及其最新名录所列“高污染、高风险”管控项目，符合管控要求。</w:t>
                  </w:r>
                </w:p>
              </w:tc>
              <w:tc>
                <w:tcPr>
                  <w:tcW w:w="516" w:type="pct"/>
                  <w:tcBorders>
                    <w:top w:val="nil"/>
                    <w:left w:val="nil"/>
                    <w:bottom w:val="single" w:color="auto" w:sz="4" w:space="0"/>
                    <w:right w:val="single" w:color="auto" w:sz="4" w:space="0"/>
                  </w:tcBorders>
                  <w:noWrap w:val="0"/>
                  <w:vAlign w:val="center"/>
                </w:tcPr>
                <w:p w14:paraId="1E63DECB">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符合</w:t>
                  </w:r>
                </w:p>
              </w:tc>
            </w:tr>
            <w:tr w14:paraId="45593BA0">
              <w:tblPrEx>
                <w:tblCellMar>
                  <w:top w:w="0" w:type="dxa"/>
                  <w:left w:w="108" w:type="dxa"/>
                  <w:bottom w:w="0" w:type="dxa"/>
                  <w:right w:w="108" w:type="dxa"/>
                </w:tblCellMar>
              </w:tblPrEx>
              <w:trPr>
                <w:trHeight w:val="2000" w:hRule="atLeast"/>
                <w:jc w:val="center"/>
              </w:trPr>
              <w:tc>
                <w:tcPr>
                  <w:tcW w:w="646" w:type="pct"/>
                  <w:vMerge w:val="continue"/>
                  <w:tcBorders>
                    <w:left w:val="single" w:color="auto" w:sz="4" w:space="0"/>
                    <w:bottom w:val="single" w:color="auto" w:sz="4" w:space="0"/>
                    <w:right w:val="single" w:color="auto" w:sz="4" w:space="0"/>
                  </w:tcBorders>
                  <w:noWrap w:val="0"/>
                  <w:vAlign w:val="center"/>
                </w:tcPr>
                <w:p w14:paraId="1AD58C80">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p>
              </w:tc>
              <w:tc>
                <w:tcPr>
                  <w:tcW w:w="648" w:type="pct"/>
                  <w:vMerge w:val="continue"/>
                  <w:tcBorders>
                    <w:left w:val="nil"/>
                    <w:bottom w:val="single" w:color="auto" w:sz="4" w:space="0"/>
                    <w:right w:val="single" w:color="auto" w:sz="4" w:space="0"/>
                  </w:tcBorders>
                  <w:noWrap w:val="0"/>
                  <w:vAlign w:val="center"/>
                </w:tcPr>
                <w:p w14:paraId="2BDBDC9D">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p>
              </w:tc>
              <w:tc>
                <w:tcPr>
                  <w:tcW w:w="1830" w:type="pct"/>
                  <w:tcBorders>
                    <w:top w:val="single" w:color="auto" w:sz="4" w:space="0"/>
                    <w:left w:val="nil"/>
                    <w:bottom w:val="single" w:color="auto" w:sz="4" w:space="0"/>
                    <w:right w:val="single" w:color="auto" w:sz="4" w:space="0"/>
                  </w:tcBorders>
                  <w:noWrap w:val="0"/>
                  <w:vAlign w:val="center"/>
                </w:tcPr>
                <w:p w14:paraId="17F694D4">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统筹考虑能耗和污染物排放情况，确定煤电、石化、化工、煤化工、钢铁、焦化、建材、有色等8个行业中22个子行业的新建（含改扩建，下同）固定资产投资项目，为“两高”项目。</w:t>
                  </w:r>
                </w:p>
              </w:tc>
              <w:tc>
                <w:tcPr>
                  <w:tcW w:w="1357" w:type="pct"/>
                  <w:tcBorders>
                    <w:top w:val="single" w:color="auto" w:sz="4" w:space="0"/>
                    <w:left w:val="nil"/>
                    <w:bottom w:val="single" w:color="auto" w:sz="4" w:space="0"/>
                    <w:right w:val="single" w:color="auto" w:sz="4" w:space="0"/>
                  </w:tcBorders>
                  <w:noWrap w:val="0"/>
                  <w:vAlign w:val="center"/>
                </w:tcPr>
                <w:p w14:paraId="1DE12666">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本项目不属于河北省发展和改革委员会《关于加强新建“两高”项目管理的通知》中“两高”行业项目，不在文件的“两高”名单中。</w:t>
                  </w:r>
                </w:p>
              </w:tc>
              <w:tc>
                <w:tcPr>
                  <w:tcW w:w="516" w:type="pct"/>
                  <w:tcBorders>
                    <w:top w:val="single" w:color="auto" w:sz="4" w:space="0"/>
                    <w:left w:val="nil"/>
                    <w:bottom w:val="single" w:color="auto" w:sz="4" w:space="0"/>
                    <w:right w:val="single" w:color="auto" w:sz="4" w:space="0"/>
                  </w:tcBorders>
                  <w:noWrap w:val="0"/>
                  <w:vAlign w:val="center"/>
                </w:tcPr>
                <w:p w14:paraId="7A6C06E5">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符合</w:t>
                  </w:r>
                </w:p>
              </w:tc>
            </w:tr>
            <w:tr w14:paraId="0E532A0F">
              <w:tblPrEx>
                <w:tblCellMar>
                  <w:top w:w="0" w:type="dxa"/>
                  <w:left w:w="108" w:type="dxa"/>
                  <w:bottom w:w="0" w:type="dxa"/>
                  <w:right w:w="108" w:type="dxa"/>
                </w:tblCellMar>
              </w:tblPrEx>
              <w:trPr>
                <w:trHeight w:val="281" w:hRule="atLeast"/>
                <w:jc w:val="center"/>
              </w:trPr>
              <w:tc>
                <w:tcPr>
                  <w:tcW w:w="5000" w:type="pct"/>
                  <w:gridSpan w:val="5"/>
                  <w:tcBorders>
                    <w:top w:val="single" w:color="auto" w:sz="4" w:space="0"/>
                    <w:left w:val="single" w:color="auto" w:sz="4" w:space="0"/>
                    <w:bottom w:val="single" w:color="auto" w:sz="4" w:space="0"/>
                    <w:right w:val="single" w:color="auto" w:sz="4" w:space="0"/>
                  </w:tcBorders>
                  <w:noWrap w:val="0"/>
                  <w:vAlign w:val="center"/>
                </w:tcPr>
                <w:p w14:paraId="34BAC19E">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大气环境管控总体要求</w:t>
                  </w:r>
                </w:p>
              </w:tc>
            </w:tr>
            <w:tr w14:paraId="3C058788">
              <w:tblPrEx>
                <w:tblCellMar>
                  <w:top w:w="0" w:type="dxa"/>
                  <w:left w:w="108" w:type="dxa"/>
                  <w:bottom w:w="0" w:type="dxa"/>
                  <w:right w:w="108" w:type="dxa"/>
                </w:tblCellMar>
              </w:tblPrEx>
              <w:trPr>
                <w:trHeight w:val="270" w:hRule="atLeast"/>
                <w:jc w:val="center"/>
              </w:trPr>
              <w:tc>
                <w:tcPr>
                  <w:tcW w:w="646" w:type="pct"/>
                  <w:tcBorders>
                    <w:top w:val="single" w:color="auto" w:sz="4" w:space="0"/>
                    <w:left w:val="single" w:color="auto" w:sz="4" w:space="0"/>
                    <w:bottom w:val="single" w:color="auto" w:sz="4" w:space="0"/>
                    <w:right w:val="single" w:color="auto" w:sz="4" w:space="0"/>
                  </w:tcBorders>
                  <w:noWrap/>
                  <w:vAlign w:val="center"/>
                </w:tcPr>
                <w:p w14:paraId="7CF5B4FD">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管控类型</w:t>
                  </w:r>
                </w:p>
              </w:tc>
              <w:tc>
                <w:tcPr>
                  <w:tcW w:w="2478" w:type="pct"/>
                  <w:gridSpan w:val="2"/>
                  <w:tcBorders>
                    <w:top w:val="single" w:color="auto" w:sz="4" w:space="0"/>
                    <w:left w:val="nil"/>
                    <w:bottom w:val="single" w:color="auto" w:sz="4" w:space="0"/>
                    <w:right w:val="single" w:color="auto" w:sz="4" w:space="0"/>
                  </w:tcBorders>
                  <w:noWrap/>
                  <w:vAlign w:val="center"/>
                </w:tcPr>
                <w:p w14:paraId="08C5B9CC">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管控要求</w:t>
                  </w:r>
                </w:p>
              </w:tc>
              <w:tc>
                <w:tcPr>
                  <w:tcW w:w="1357" w:type="pct"/>
                  <w:tcBorders>
                    <w:top w:val="nil"/>
                    <w:left w:val="nil"/>
                    <w:bottom w:val="single" w:color="auto" w:sz="4" w:space="0"/>
                    <w:right w:val="single" w:color="auto" w:sz="4" w:space="0"/>
                  </w:tcBorders>
                  <w:noWrap/>
                  <w:vAlign w:val="center"/>
                </w:tcPr>
                <w:p w14:paraId="548A8023">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本项目</w:t>
                  </w:r>
                </w:p>
              </w:tc>
              <w:tc>
                <w:tcPr>
                  <w:tcW w:w="516" w:type="pct"/>
                  <w:tcBorders>
                    <w:top w:val="nil"/>
                    <w:left w:val="nil"/>
                    <w:bottom w:val="single" w:color="auto" w:sz="4" w:space="0"/>
                    <w:right w:val="single" w:color="auto" w:sz="4" w:space="0"/>
                  </w:tcBorders>
                  <w:noWrap/>
                  <w:vAlign w:val="center"/>
                </w:tcPr>
                <w:p w14:paraId="54BBDC6C">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eastAsia="宋体" w:cs="Times New Roman"/>
                      <w:color w:val="auto"/>
                      <w:sz w:val="21"/>
                      <w:szCs w:val="21"/>
                      <w:highlight w:val="none"/>
                      <w:lang w:val="en-US"/>
                    </w:rPr>
                  </w:pPr>
                  <w:r>
                    <w:rPr>
                      <w:rFonts w:hint="eastAsia" w:cs="Times New Roman"/>
                      <w:color w:val="auto"/>
                      <w:sz w:val="21"/>
                      <w:szCs w:val="21"/>
                      <w:highlight w:val="none"/>
                      <w:lang w:val="en-US" w:eastAsia="zh-CN"/>
                    </w:rPr>
                    <w:t>符合性</w:t>
                  </w:r>
                </w:p>
              </w:tc>
            </w:tr>
            <w:tr w14:paraId="27E8E63E">
              <w:tblPrEx>
                <w:tblCellMar>
                  <w:top w:w="0" w:type="dxa"/>
                  <w:left w:w="108" w:type="dxa"/>
                  <w:bottom w:w="0" w:type="dxa"/>
                  <w:right w:w="108" w:type="dxa"/>
                </w:tblCellMar>
              </w:tblPrEx>
              <w:trPr>
                <w:trHeight w:val="2956" w:hRule="exact"/>
                <w:jc w:val="center"/>
              </w:trPr>
              <w:tc>
                <w:tcPr>
                  <w:tcW w:w="646" w:type="pct"/>
                  <w:tcBorders>
                    <w:top w:val="single" w:color="auto" w:sz="4" w:space="0"/>
                    <w:left w:val="single" w:color="auto" w:sz="4" w:space="0"/>
                    <w:bottom w:val="single" w:color="auto" w:sz="4" w:space="0"/>
                    <w:right w:val="single" w:color="auto" w:sz="4" w:space="0"/>
                  </w:tcBorders>
                  <w:noWrap w:val="0"/>
                  <w:vAlign w:val="center"/>
                </w:tcPr>
                <w:p w14:paraId="35012DDA">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污染物排放管控</w:t>
                  </w:r>
                </w:p>
              </w:tc>
              <w:tc>
                <w:tcPr>
                  <w:tcW w:w="2478" w:type="pct"/>
                  <w:gridSpan w:val="2"/>
                  <w:tcBorders>
                    <w:top w:val="single" w:color="auto" w:sz="4" w:space="0"/>
                    <w:left w:val="nil"/>
                    <w:bottom w:val="single" w:color="auto" w:sz="4" w:space="0"/>
                    <w:right w:val="single" w:color="auto" w:sz="4" w:space="0"/>
                  </w:tcBorders>
                  <w:noWrap w:val="0"/>
                  <w:vAlign w:val="center"/>
                </w:tcPr>
                <w:p w14:paraId="4998DDAD">
                  <w:pPr>
                    <w:keepNext w:val="0"/>
                    <w:keepLines w:val="0"/>
                    <w:pageBreakBefore w:val="0"/>
                    <w:numPr>
                      <w:ilvl w:val="0"/>
                      <w:numId w:val="1"/>
                    </w:numPr>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深入实施燃煤锅炉治理，全市基本淘汰35 蒸吨/小时及以下燃煤锅炉、茶炉大灶以及经营性小煤炉。35蒸吨/小时以上燃煤锅炉基本完成超低排放改造，全面达到排放限值和能效标准。禁止新建35蒸吨/小时及以下燃煤锅炉（符合政策文件要求的热电联产项目、设区市政府的集中供热规划或工业园区建设规划以及有特殊政策的山区县除外）。城市和县城建成区禁止新建35蒸吨/小时及以下生物质锅炉，35</w:t>
                  </w:r>
                  <w:r>
                    <w:rPr>
                      <w:rFonts w:hint="eastAsia" w:ascii="宋体" w:hAnsi="宋体" w:eastAsia="宋体" w:cs="宋体"/>
                      <w:color w:val="auto"/>
                      <w:kern w:val="0"/>
                      <w:sz w:val="21"/>
                      <w:szCs w:val="21"/>
                      <w:highlight w:val="none"/>
                      <w:lang w:val="en-US" w:eastAsia="zh-CN" w:bidi="ar"/>
                    </w:rPr>
                    <w:t>蒸吨/小时以上的生物质锅炉要达到超低排放标准。</w:t>
                  </w:r>
                </w:p>
              </w:tc>
              <w:tc>
                <w:tcPr>
                  <w:tcW w:w="1357" w:type="pct"/>
                  <w:tcBorders>
                    <w:top w:val="nil"/>
                    <w:left w:val="nil"/>
                    <w:bottom w:val="single" w:color="auto" w:sz="4" w:space="0"/>
                    <w:right w:val="single" w:color="auto" w:sz="4" w:space="0"/>
                  </w:tcBorders>
                  <w:noWrap w:val="0"/>
                  <w:vAlign w:val="center"/>
                </w:tcPr>
                <w:p w14:paraId="6C810FBD">
                  <w:pPr>
                    <w:spacing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项目不涉及锅炉</w:t>
                  </w:r>
                </w:p>
              </w:tc>
              <w:tc>
                <w:tcPr>
                  <w:tcW w:w="516" w:type="pct"/>
                  <w:tcBorders>
                    <w:top w:val="nil"/>
                    <w:left w:val="nil"/>
                    <w:bottom w:val="single" w:color="auto" w:sz="4" w:space="0"/>
                    <w:right w:val="single" w:color="auto" w:sz="4" w:space="0"/>
                  </w:tcBorders>
                  <w:noWrap w:val="0"/>
                  <w:vAlign w:val="center"/>
                </w:tcPr>
                <w:p w14:paraId="51514112">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符合</w:t>
                  </w:r>
                </w:p>
              </w:tc>
            </w:tr>
            <w:tr w14:paraId="47F64917">
              <w:tblPrEx>
                <w:tblCellMar>
                  <w:top w:w="0" w:type="dxa"/>
                  <w:left w:w="108" w:type="dxa"/>
                  <w:bottom w:w="0" w:type="dxa"/>
                  <w:right w:w="108" w:type="dxa"/>
                </w:tblCellMar>
              </w:tblPrEx>
              <w:trPr>
                <w:trHeight w:val="430" w:hRule="exact"/>
                <w:jc w:val="center"/>
              </w:trPr>
              <w:tc>
                <w:tcPr>
                  <w:tcW w:w="5000" w:type="pct"/>
                  <w:gridSpan w:val="5"/>
                  <w:tcBorders>
                    <w:top w:val="single" w:color="auto" w:sz="4" w:space="0"/>
                    <w:left w:val="single" w:color="auto" w:sz="4" w:space="0"/>
                    <w:bottom w:val="single" w:color="auto" w:sz="4" w:space="0"/>
                    <w:right w:val="single" w:color="auto" w:sz="4" w:space="0"/>
                  </w:tcBorders>
                  <w:noWrap/>
                  <w:vAlign w:val="center"/>
                </w:tcPr>
                <w:p w14:paraId="176451E9">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土壤及地下水风险防</w:t>
                  </w:r>
                  <w:r>
                    <w:rPr>
                      <w:rFonts w:ascii="Times New Roman" w:hAnsi="Times New Roman" w:eastAsia="宋体" w:cs="Times New Roman"/>
                      <w:color w:val="auto"/>
                      <w:sz w:val="21"/>
                      <w:szCs w:val="21"/>
                      <w:highlight w:val="none"/>
                    </w:rPr>
                    <w:cr/>
                  </w:r>
                  <w:r>
                    <w:rPr>
                      <w:rFonts w:ascii="Times New Roman" w:hAnsi="Times New Roman" w:eastAsia="宋体" w:cs="Times New Roman"/>
                      <w:color w:val="auto"/>
                      <w:sz w:val="21"/>
                      <w:szCs w:val="21"/>
                      <w:highlight w:val="none"/>
                    </w:rPr>
                    <w:t>总体管控要求</w:t>
                  </w:r>
                </w:p>
              </w:tc>
            </w:tr>
            <w:tr w14:paraId="07E2DC84">
              <w:tblPrEx>
                <w:tblCellMar>
                  <w:top w:w="0" w:type="dxa"/>
                  <w:left w:w="108" w:type="dxa"/>
                  <w:bottom w:w="0" w:type="dxa"/>
                  <w:right w:w="108" w:type="dxa"/>
                </w:tblCellMar>
              </w:tblPrEx>
              <w:trPr>
                <w:trHeight w:val="274" w:hRule="atLeast"/>
                <w:jc w:val="center"/>
              </w:trPr>
              <w:tc>
                <w:tcPr>
                  <w:tcW w:w="646" w:type="pct"/>
                  <w:tcBorders>
                    <w:top w:val="single" w:color="auto" w:sz="4" w:space="0"/>
                    <w:left w:val="single" w:color="auto" w:sz="4" w:space="0"/>
                    <w:bottom w:val="single" w:color="auto" w:sz="4" w:space="0"/>
                    <w:right w:val="single" w:color="auto" w:sz="4" w:space="0"/>
                  </w:tcBorders>
                  <w:noWrap/>
                  <w:vAlign w:val="center"/>
                </w:tcPr>
                <w:p w14:paraId="5A623857">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管控类型</w:t>
                  </w:r>
                </w:p>
              </w:tc>
              <w:tc>
                <w:tcPr>
                  <w:tcW w:w="2478" w:type="pct"/>
                  <w:gridSpan w:val="2"/>
                  <w:tcBorders>
                    <w:top w:val="single" w:color="auto" w:sz="4" w:space="0"/>
                    <w:left w:val="nil"/>
                    <w:bottom w:val="single" w:color="auto" w:sz="4" w:space="0"/>
                    <w:right w:val="single" w:color="auto" w:sz="4" w:space="0"/>
                  </w:tcBorders>
                  <w:noWrap/>
                  <w:vAlign w:val="center"/>
                </w:tcPr>
                <w:p w14:paraId="6427235D">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管控要求</w:t>
                  </w:r>
                </w:p>
              </w:tc>
              <w:tc>
                <w:tcPr>
                  <w:tcW w:w="1357" w:type="pct"/>
                  <w:tcBorders>
                    <w:top w:val="nil"/>
                    <w:left w:val="nil"/>
                    <w:bottom w:val="single" w:color="auto" w:sz="4" w:space="0"/>
                    <w:right w:val="single" w:color="auto" w:sz="4" w:space="0"/>
                  </w:tcBorders>
                  <w:noWrap/>
                  <w:vAlign w:val="center"/>
                </w:tcPr>
                <w:p w14:paraId="12C12A5F">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本项目</w:t>
                  </w:r>
                </w:p>
              </w:tc>
              <w:tc>
                <w:tcPr>
                  <w:tcW w:w="516" w:type="pct"/>
                  <w:tcBorders>
                    <w:top w:val="nil"/>
                    <w:left w:val="nil"/>
                    <w:bottom w:val="single" w:color="auto" w:sz="4" w:space="0"/>
                    <w:right w:val="single" w:color="auto" w:sz="4" w:space="0"/>
                  </w:tcBorders>
                  <w:noWrap/>
                  <w:vAlign w:val="center"/>
                </w:tcPr>
                <w:p w14:paraId="36461513">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符合性</w:t>
                  </w:r>
                </w:p>
              </w:tc>
            </w:tr>
            <w:tr w14:paraId="2138CDB3">
              <w:tblPrEx>
                <w:tblCellMar>
                  <w:top w:w="0" w:type="dxa"/>
                  <w:left w:w="108" w:type="dxa"/>
                  <w:bottom w:w="0" w:type="dxa"/>
                  <w:right w:w="108" w:type="dxa"/>
                </w:tblCellMar>
              </w:tblPrEx>
              <w:trPr>
                <w:trHeight w:val="1149" w:hRule="exact"/>
                <w:jc w:val="center"/>
              </w:trPr>
              <w:tc>
                <w:tcPr>
                  <w:tcW w:w="646" w:type="pct"/>
                  <w:tcBorders>
                    <w:top w:val="single" w:color="auto" w:sz="4" w:space="0"/>
                    <w:left w:val="single" w:color="auto" w:sz="4" w:space="0"/>
                    <w:bottom w:val="single" w:color="auto" w:sz="4" w:space="0"/>
                    <w:right w:val="single" w:color="000000" w:sz="4" w:space="0"/>
                  </w:tcBorders>
                  <w:noWrap/>
                  <w:vAlign w:val="center"/>
                </w:tcPr>
                <w:p w14:paraId="1D505DF3">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环境风险防控</w:t>
                  </w:r>
                </w:p>
              </w:tc>
              <w:tc>
                <w:tcPr>
                  <w:tcW w:w="2478" w:type="pct"/>
                  <w:gridSpan w:val="2"/>
                  <w:tcBorders>
                    <w:top w:val="single" w:color="auto" w:sz="4" w:space="0"/>
                    <w:left w:val="nil"/>
                    <w:bottom w:val="single" w:color="auto" w:sz="4" w:space="0"/>
                    <w:right w:val="single" w:color="auto" w:sz="4" w:space="0"/>
                  </w:tcBorders>
                  <w:noWrap w:val="0"/>
                  <w:vAlign w:val="center"/>
                </w:tcPr>
                <w:p w14:paraId="2A671E1F">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危险废物产生企业和利用处置企业要根据土壤污染防治相关要求，完善突发环境事件应急预案内容，并向所在地环保部门备案。</w:t>
                  </w:r>
                </w:p>
              </w:tc>
              <w:tc>
                <w:tcPr>
                  <w:tcW w:w="1357" w:type="pct"/>
                  <w:tcBorders>
                    <w:top w:val="nil"/>
                    <w:left w:val="nil"/>
                    <w:bottom w:val="single" w:color="auto" w:sz="4" w:space="0"/>
                    <w:right w:val="single" w:color="auto" w:sz="4" w:space="0"/>
                  </w:tcBorders>
                  <w:noWrap w:val="0"/>
                  <w:vAlign w:val="center"/>
                </w:tcPr>
                <w:p w14:paraId="313405F7">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本项目建设完成后编制突发环境事件应急预案并在主管部门进行备案</w:t>
                  </w:r>
                  <w:r>
                    <w:rPr>
                      <w:rFonts w:ascii="Times New Roman" w:hAnsi="Times New Roman" w:eastAsia="宋体" w:cs="Times New Roman"/>
                      <w:color w:val="auto"/>
                      <w:sz w:val="21"/>
                      <w:szCs w:val="21"/>
                      <w:highlight w:val="none"/>
                    </w:rPr>
                    <w:t>。</w:t>
                  </w:r>
                </w:p>
              </w:tc>
              <w:tc>
                <w:tcPr>
                  <w:tcW w:w="516" w:type="pct"/>
                  <w:tcBorders>
                    <w:top w:val="nil"/>
                    <w:left w:val="nil"/>
                    <w:bottom w:val="single" w:color="auto" w:sz="4" w:space="0"/>
                    <w:right w:val="single" w:color="auto" w:sz="4" w:space="0"/>
                  </w:tcBorders>
                  <w:noWrap w:val="0"/>
                  <w:vAlign w:val="center"/>
                </w:tcPr>
                <w:p w14:paraId="42AB435D">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符合</w:t>
                  </w:r>
                </w:p>
              </w:tc>
            </w:tr>
            <w:tr w14:paraId="64BB162C">
              <w:tblPrEx>
                <w:tblCellMar>
                  <w:top w:w="0" w:type="dxa"/>
                  <w:left w:w="108" w:type="dxa"/>
                  <w:bottom w:w="0" w:type="dxa"/>
                  <w:right w:w="108" w:type="dxa"/>
                </w:tblCellMar>
              </w:tblPrEx>
              <w:trPr>
                <w:trHeight w:val="379" w:hRule="atLeast"/>
                <w:jc w:val="center"/>
              </w:trPr>
              <w:tc>
                <w:tcPr>
                  <w:tcW w:w="4483" w:type="pct"/>
                  <w:gridSpan w:val="4"/>
                  <w:tcBorders>
                    <w:top w:val="single" w:color="auto" w:sz="4" w:space="0"/>
                    <w:left w:val="single" w:color="auto" w:sz="4" w:space="0"/>
                    <w:bottom w:val="single" w:color="auto" w:sz="4" w:space="0"/>
                    <w:right w:val="single" w:color="auto" w:sz="4" w:space="0"/>
                  </w:tcBorders>
                  <w:noWrap w:val="0"/>
                  <w:vAlign w:val="center"/>
                </w:tcPr>
                <w:p w14:paraId="64D5F5B2">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资源利用总体控制要求</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43F47EDF">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cs="Times New Roman"/>
                      <w:color w:val="auto"/>
                      <w:sz w:val="21"/>
                      <w:szCs w:val="21"/>
                      <w:highlight w:val="none"/>
                      <w:lang w:val="en-US" w:eastAsia="zh-CN"/>
                    </w:rPr>
                  </w:pPr>
                </w:p>
              </w:tc>
            </w:tr>
            <w:tr w14:paraId="2D94502E">
              <w:tblPrEx>
                <w:tblCellMar>
                  <w:top w:w="0" w:type="dxa"/>
                  <w:left w:w="108" w:type="dxa"/>
                  <w:bottom w:w="0" w:type="dxa"/>
                  <w:right w:w="108" w:type="dxa"/>
                </w:tblCellMar>
              </w:tblPrEx>
              <w:trPr>
                <w:trHeight w:val="294" w:hRule="atLeast"/>
                <w:jc w:val="center"/>
              </w:trPr>
              <w:tc>
                <w:tcPr>
                  <w:tcW w:w="646" w:type="pct"/>
                  <w:tcBorders>
                    <w:top w:val="single" w:color="auto" w:sz="4" w:space="0"/>
                    <w:left w:val="single" w:color="auto" w:sz="4" w:space="0"/>
                    <w:bottom w:val="single" w:color="auto" w:sz="4" w:space="0"/>
                    <w:right w:val="single" w:color="auto" w:sz="4" w:space="0"/>
                  </w:tcBorders>
                  <w:noWrap w:val="0"/>
                  <w:vAlign w:val="center"/>
                </w:tcPr>
                <w:p w14:paraId="31F21051">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水资源</w:t>
                  </w:r>
                </w:p>
              </w:tc>
              <w:tc>
                <w:tcPr>
                  <w:tcW w:w="2478" w:type="pct"/>
                  <w:gridSpan w:val="2"/>
                  <w:tcBorders>
                    <w:top w:val="single" w:color="auto" w:sz="4" w:space="0"/>
                    <w:left w:val="single" w:color="auto" w:sz="4" w:space="0"/>
                    <w:bottom w:val="single" w:color="auto" w:sz="4" w:space="0"/>
                    <w:right w:val="single" w:color="auto" w:sz="4" w:space="0"/>
                  </w:tcBorders>
                  <w:noWrap w:val="0"/>
                  <w:vAlign w:val="center"/>
                </w:tcPr>
                <w:p w14:paraId="0E959215">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遏制地下水超采。</w:t>
                  </w:r>
                </w:p>
              </w:tc>
              <w:tc>
                <w:tcPr>
                  <w:tcW w:w="1357" w:type="pct"/>
                  <w:tcBorders>
                    <w:top w:val="single" w:color="auto" w:sz="4" w:space="0"/>
                    <w:left w:val="single" w:color="auto" w:sz="4" w:space="0"/>
                    <w:bottom w:val="single" w:color="auto" w:sz="4" w:space="0"/>
                    <w:right w:val="single" w:color="auto" w:sz="4" w:space="0"/>
                  </w:tcBorders>
                  <w:noWrap w:val="0"/>
                  <w:vAlign w:val="center"/>
                </w:tcPr>
                <w:p w14:paraId="7D948704">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本项目不涉及地下水</w:t>
                  </w:r>
                  <w:r>
                    <w:rPr>
                      <w:rFonts w:hint="eastAsia" w:cs="Times New Roman"/>
                      <w:color w:val="auto"/>
                      <w:sz w:val="21"/>
                      <w:szCs w:val="21"/>
                      <w:highlight w:val="none"/>
                      <w:lang w:val="en-US" w:eastAsia="zh-CN"/>
                    </w:rPr>
                    <w:t>开采</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318B3FAD">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符合</w:t>
                  </w:r>
                </w:p>
              </w:tc>
            </w:tr>
            <w:tr w14:paraId="29F3C9E9">
              <w:tblPrEx>
                <w:tblCellMar>
                  <w:top w:w="0" w:type="dxa"/>
                  <w:left w:w="108" w:type="dxa"/>
                  <w:bottom w:w="0" w:type="dxa"/>
                  <w:right w:w="108" w:type="dxa"/>
                </w:tblCellMar>
              </w:tblPrEx>
              <w:trPr>
                <w:trHeight w:val="91" w:hRule="atLeast"/>
                <w:jc w:val="center"/>
              </w:trPr>
              <w:tc>
                <w:tcPr>
                  <w:tcW w:w="646" w:type="pct"/>
                  <w:tcBorders>
                    <w:top w:val="single" w:color="auto" w:sz="4" w:space="0"/>
                    <w:left w:val="single" w:color="auto" w:sz="4" w:space="0"/>
                    <w:bottom w:val="single" w:color="auto" w:sz="4" w:space="0"/>
                    <w:right w:val="single" w:color="auto" w:sz="4" w:space="0"/>
                  </w:tcBorders>
                  <w:noWrap w:val="0"/>
                  <w:vAlign w:val="center"/>
                </w:tcPr>
                <w:p w14:paraId="7A3B25CB">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能源</w:t>
                  </w:r>
                </w:p>
              </w:tc>
              <w:tc>
                <w:tcPr>
                  <w:tcW w:w="2478" w:type="pct"/>
                  <w:gridSpan w:val="2"/>
                  <w:tcBorders>
                    <w:top w:val="single" w:color="auto" w:sz="4" w:space="0"/>
                    <w:left w:val="single" w:color="auto" w:sz="4" w:space="0"/>
                    <w:bottom w:val="single" w:color="auto" w:sz="4" w:space="0"/>
                    <w:right w:val="single" w:color="auto" w:sz="4" w:space="0"/>
                  </w:tcBorders>
                  <w:noWrap w:val="0"/>
                  <w:vAlign w:val="center"/>
                </w:tcPr>
                <w:p w14:paraId="1AB74551">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禁燃区内不得新建燃烧煤炭、重油、渣油等高污染燃料的设施</w:t>
                  </w:r>
                </w:p>
              </w:tc>
              <w:tc>
                <w:tcPr>
                  <w:tcW w:w="1357" w:type="pct"/>
                  <w:tcBorders>
                    <w:top w:val="single" w:color="auto" w:sz="4" w:space="0"/>
                    <w:left w:val="single" w:color="auto" w:sz="4" w:space="0"/>
                    <w:bottom w:val="single" w:color="auto" w:sz="4" w:space="0"/>
                    <w:right w:val="single" w:color="auto" w:sz="4" w:space="0"/>
                  </w:tcBorders>
                  <w:noWrap w:val="0"/>
                  <w:vAlign w:val="center"/>
                </w:tcPr>
                <w:p w14:paraId="3C19DCC3">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不涉及</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0BEB97ED">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符合</w:t>
                  </w:r>
                </w:p>
              </w:tc>
            </w:tr>
            <w:tr w14:paraId="2996C800">
              <w:tblPrEx>
                <w:tblCellMar>
                  <w:top w:w="0" w:type="dxa"/>
                  <w:left w:w="108" w:type="dxa"/>
                  <w:bottom w:w="0" w:type="dxa"/>
                  <w:right w:w="108" w:type="dxa"/>
                </w:tblCellMar>
              </w:tblPrEx>
              <w:trPr>
                <w:trHeight w:val="662" w:hRule="atLeast"/>
                <w:jc w:val="center"/>
              </w:trPr>
              <w:tc>
                <w:tcPr>
                  <w:tcW w:w="646" w:type="pct"/>
                  <w:tcBorders>
                    <w:top w:val="single" w:color="auto" w:sz="4" w:space="0"/>
                    <w:left w:val="single" w:color="auto" w:sz="4" w:space="0"/>
                    <w:bottom w:val="single" w:color="auto" w:sz="4" w:space="0"/>
                    <w:right w:val="single" w:color="auto" w:sz="4" w:space="0"/>
                  </w:tcBorders>
                  <w:noWrap w:val="0"/>
                  <w:vAlign w:val="center"/>
                </w:tcPr>
                <w:p w14:paraId="54B1430E">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土地资源</w:t>
                  </w:r>
                </w:p>
              </w:tc>
              <w:tc>
                <w:tcPr>
                  <w:tcW w:w="2478" w:type="pct"/>
                  <w:gridSpan w:val="2"/>
                  <w:tcBorders>
                    <w:top w:val="single" w:color="auto" w:sz="4" w:space="0"/>
                    <w:left w:val="single" w:color="auto" w:sz="4" w:space="0"/>
                    <w:bottom w:val="single" w:color="auto" w:sz="4" w:space="0"/>
                    <w:right w:val="single" w:color="auto" w:sz="4" w:space="0"/>
                  </w:tcBorders>
                  <w:noWrap w:val="0"/>
                  <w:vAlign w:val="center"/>
                </w:tcPr>
                <w:p w14:paraId="417D3B0D">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坚持最严格的用地制度，提高土地利用节约集约水平</w:t>
                  </w:r>
                </w:p>
              </w:tc>
              <w:tc>
                <w:tcPr>
                  <w:tcW w:w="1357" w:type="pct"/>
                  <w:tcBorders>
                    <w:top w:val="single" w:color="auto" w:sz="4" w:space="0"/>
                    <w:left w:val="single" w:color="auto" w:sz="4" w:space="0"/>
                    <w:bottom w:val="single" w:color="auto" w:sz="4" w:space="0"/>
                    <w:right w:val="single" w:color="auto" w:sz="4" w:space="0"/>
                  </w:tcBorders>
                  <w:noWrap w:val="0"/>
                  <w:vAlign w:val="center"/>
                </w:tcPr>
                <w:p w14:paraId="5A8BD210">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本</w:t>
                  </w:r>
                  <w:r>
                    <w:rPr>
                      <w:rFonts w:hint="default" w:ascii="Times New Roman" w:hAnsi="Times New Roman" w:cs="Times New Roman"/>
                      <w:color w:val="auto"/>
                      <w:sz w:val="21"/>
                      <w:szCs w:val="21"/>
                      <w:highlight w:val="none"/>
                      <w:lang w:val="en-US" w:eastAsia="zh-CN"/>
                    </w:rPr>
                    <w:t>项目</w:t>
                  </w:r>
                  <w:r>
                    <w:rPr>
                      <w:rFonts w:hint="eastAsia" w:cs="Times New Roman"/>
                      <w:color w:val="auto"/>
                      <w:sz w:val="21"/>
                      <w:szCs w:val="21"/>
                      <w:highlight w:val="none"/>
                      <w:lang w:val="en-US" w:eastAsia="zh-CN"/>
                    </w:rPr>
                    <w:t>占地为工业用地，已取得土地使用证</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273C55C1">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eastAsia"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符合</w:t>
                  </w:r>
                </w:p>
              </w:tc>
            </w:tr>
            <w:tr w14:paraId="174107B6">
              <w:tblPrEx>
                <w:tblCellMar>
                  <w:top w:w="0" w:type="dxa"/>
                  <w:left w:w="108" w:type="dxa"/>
                  <w:bottom w:w="0" w:type="dxa"/>
                  <w:right w:w="108" w:type="dxa"/>
                </w:tblCellMar>
              </w:tblPrEx>
              <w:trPr>
                <w:trHeight w:val="301" w:hRule="atLeast"/>
                <w:jc w:val="center"/>
              </w:trPr>
              <w:tc>
                <w:tcPr>
                  <w:tcW w:w="5000" w:type="pct"/>
                  <w:gridSpan w:val="5"/>
                  <w:tcBorders>
                    <w:top w:val="single" w:color="auto" w:sz="4" w:space="0"/>
                    <w:left w:val="single" w:color="auto" w:sz="4" w:space="0"/>
                    <w:bottom w:val="single" w:color="auto" w:sz="4" w:space="0"/>
                    <w:right w:val="single" w:color="auto" w:sz="4" w:space="0"/>
                  </w:tcBorders>
                  <w:noWrap w:val="0"/>
                  <w:vAlign w:val="center"/>
                </w:tcPr>
                <w:p w14:paraId="2967F69D">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产业布局总体要求</w:t>
                  </w:r>
                </w:p>
              </w:tc>
            </w:tr>
            <w:tr w14:paraId="033C515D">
              <w:tblPrEx>
                <w:tblCellMar>
                  <w:top w:w="0" w:type="dxa"/>
                  <w:left w:w="108" w:type="dxa"/>
                  <w:bottom w:w="0" w:type="dxa"/>
                  <w:right w:w="108" w:type="dxa"/>
                </w:tblCellMar>
              </w:tblPrEx>
              <w:trPr>
                <w:trHeight w:val="439" w:hRule="atLeast"/>
                <w:jc w:val="center"/>
              </w:trPr>
              <w:tc>
                <w:tcPr>
                  <w:tcW w:w="646" w:type="pct"/>
                  <w:tcBorders>
                    <w:top w:val="single" w:color="auto" w:sz="4" w:space="0"/>
                    <w:left w:val="single" w:color="auto" w:sz="4" w:space="0"/>
                    <w:bottom w:val="single" w:color="auto" w:sz="4" w:space="0"/>
                    <w:right w:val="single" w:color="auto" w:sz="4" w:space="0"/>
                  </w:tcBorders>
                  <w:noWrap/>
                  <w:vAlign w:val="center"/>
                </w:tcPr>
                <w:p w14:paraId="61A6E63F">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管控类别</w:t>
                  </w:r>
                </w:p>
              </w:tc>
              <w:tc>
                <w:tcPr>
                  <w:tcW w:w="2478" w:type="pct"/>
                  <w:gridSpan w:val="2"/>
                  <w:tcBorders>
                    <w:top w:val="single" w:color="auto" w:sz="4" w:space="0"/>
                    <w:left w:val="single" w:color="auto" w:sz="4" w:space="0"/>
                    <w:bottom w:val="single" w:color="auto" w:sz="4" w:space="0"/>
                    <w:right w:val="single" w:color="auto" w:sz="4" w:space="0"/>
                  </w:tcBorders>
                  <w:noWrap w:val="0"/>
                  <w:vAlign w:val="center"/>
                </w:tcPr>
                <w:p w14:paraId="5EFA6101">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管控要求</w:t>
                  </w:r>
                </w:p>
              </w:tc>
              <w:tc>
                <w:tcPr>
                  <w:tcW w:w="1357" w:type="pct"/>
                  <w:tcBorders>
                    <w:top w:val="nil"/>
                    <w:left w:val="single" w:color="auto" w:sz="4" w:space="0"/>
                    <w:bottom w:val="single" w:color="auto" w:sz="4" w:space="0"/>
                    <w:right w:val="single" w:color="auto" w:sz="4" w:space="0"/>
                  </w:tcBorders>
                  <w:noWrap/>
                  <w:vAlign w:val="center"/>
                </w:tcPr>
                <w:p w14:paraId="54912DB5">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本项目</w:t>
                  </w:r>
                </w:p>
              </w:tc>
              <w:tc>
                <w:tcPr>
                  <w:tcW w:w="516" w:type="pct"/>
                  <w:tcBorders>
                    <w:top w:val="nil"/>
                    <w:left w:val="single" w:color="auto" w:sz="4" w:space="0"/>
                    <w:bottom w:val="single" w:color="auto" w:sz="4" w:space="0"/>
                    <w:right w:val="single" w:color="auto" w:sz="4" w:space="0"/>
                  </w:tcBorders>
                  <w:noWrap/>
                  <w:vAlign w:val="center"/>
                </w:tcPr>
                <w:p w14:paraId="38A45899">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eastAsia="宋体" w:cs="Times New Roman"/>
                      <w:color w:val="auto"/>
                      <w:sz w:val="21"/>
                      <w:szCs w:val="21"/>
                      <w:highlight w:val="none"/>
                      <w:lang w:val="en-US"/>
                    </w:rPr>
                  </w:pPr>
                  <w:r>
                    <w:rPr>
                      <w:rFonts w:hint="eastAsia" w:cs="Times New Roman"/>
                      <w:color w:val="auto"/>
                      <w:sz w:val="21"/>
                      <w:szCs w:val="21"/>
                      <w:highlight w:val="none"/>
                      <w:lang w:val="en-US" w:eastAsia="zh-CN"/>
                    </w:rPr>
                    <w:t>符合性</w:t>
                  </w:r>
                </w:p>
              </w:tc>
            </w:tr>
            <w:tr w14:paraId="50F3180B">
              <w:tblPrEx>
                <w:tblCellMar>
                  <w:top w:w="0" w:type="dxa"/>
                  <w:left w:w="108" w:type="dxa"/>
                  <w:bottom w:w="0" w:type="dxa"/>
                  <w:right w:w="108" w:type="dxa"/>
                </w:tblCellMar>
              </w:tblPrEx>
              <w:trPr>
                <w:trHeight w:val="2448" w:hRule="atLeast"/>
                <w:jc w:val="center"/>
              </w:trPr>
              <w:tc>
                <w:tcPr>
                  <w:tcW w:w="646" w:type="pct"/>
                  <w:tcBorders>
                    <w:top w:val="single" w:color="auto" w:sz="4" w:space="0"/>
                    <w:left w:val="single" w:color="auto" w:sz="4" w:space="0"/>
                    <w:bottom w:val="single" w:color="auto" w:sz="4" w:space="0"/>
                    <w:right w:val="single" w:color="auto" w:sz="4" w:space="0"/>
                  </w:tcBorders>
                  <w:noWrap/>
                  <w:vAlign w:val="center"/>
                </w:tcPr>
                <w:p w14:paraId="54F52668">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产业总体布局要求</w:t>
                  </w:r>
                </w:p>
              </w:tc>
              <w:tc>
                <w:tcPr>
                  <w:tcW w:w="2478" w:type="pct"/>
                  <w:gridSpan w:val="2"/>
                  <w:tcBorders>
                    <w:top w:val="single" w:color="auto" w:sz="4" w:space="0"/>
                    <w:left w:val="nil"/>
                    <w:bottom w:val="single" w:color="auto" w:sz="4" w:space="0"/>
                    <w:right w:val="single" w:color="auto" w:sz="4" w:space="0"/>
                  </w:tcBorders>
                  <w:noWrap w:val="0"/>
                  <w:vAlign w:val="center"/>
                </w:tcPr>
                <w:p w14:paraId="63692938">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ascii="Times New Roman" w:hAnsi="Times New Roman" w:eastAsia="宋体" w:cs="Times New Roman"/>
                      <w:color w:val="auto"/>
                      <w:sz w:val="21"/>
                      <w:szCs w:val="21"/>
                      <w:highlight w:val="none"/>
                      <w:lang w:val="en-US" w:eastAsia="zh-CN"/>
                    </w:rPr>
                  </w:pPr>
                  <w:r>
                    <w:rPr>
                      <w:rFonts w:ascii="Times New Roman" w:hAnsi="Times New Roman" w:eastAsia="宋体" w:cs="Times New Roman"/>
                      <w:color w:val="auto"/>
                      <w:sz w:val="21"/>
                      <w:szCs w:val="21"/>
                      <w:highlight w:val="none"/>
                    </w:rPr>
                    <w:t>1</w:t>
                  </w:r>
                  <w:r>
                    <w:rPr>
                      <w:rFonts w:hint="default" w:ascii="Times New Roman" w:hAnsi="Times New Roman" w:eastAsia="宋体" w:cs="Times New Roman"/>
                      <w:color w:val="auto"/>
                      <w:sz w:val="21"/>
                      <w:szCs w:val="21"/>
                      <w:highlight w:val="none"/>
                    </w:rPr>
                    <w:t>.</w:t>
                  </w:r>
                  <w:r>
                    <w:rPr>
                      <w:rFonts w:ascii="Times New Roman" w:hAnsi="Times New Roman" w:eastAsia="宋体" w:cs="Times New Roman"/>
                      <w:color w:val="auto"/>
                      <w:sz w:val="21"/>
                      <w:szCs w:val="21"/>
                      <w:highlight w:val="none"/>
                    </w:rPr>
                    <w:t>禁止新建国家《产业结构调整目录》</w:t>
                  </w:r>
                  <w:r>
                    <w:rPr>
                      <w:rFonts w:hint="eastAsia" w:cs="Times New Roman"/>
                      <w:color w:val="auto"/>
                      <w:sz w:val="21"/>
                      <w:szCs w:val="21"/>
                      <w:highlight w:val="none"/>
                      <w:lang w:eastAsia="zh-CN"/>
                    </w:rPr>
                    <w:t>（</w:t>
                  </w:r>
                  <w:r>
                    <w:rPr>
                      <w:rFonts w:hint="eastAsia" w:cs="Times New Roman"/>
                      <w:color w:val="auto"/>
                      <w:sz w:val="21"/>
                      <w:szCs w:val="21"/>
                      <w:highlight w:val="none"/>
                      <w:lang w:val="en-US" w:eastAsia="zh-CN"/>
                    </w:rPr>
                    <w:t>2024年版</w:t>
                  </w:r>
                  <w:r>
                    <w:rPr>
                      <w:rFonts w:hint="eastAsia" w:cs="Times New Roman"/>
                      <w:color w:val="auto"/>
                      <w:sz w:val="21"/>
                      <w:szCs w:val="21"/>
                      <w:highlight w:val="none"/>
                      <w:lang w:eastAsia="zh-CN"/>
                    </w:rPr>
                    <w:t>）</w:t>
                  </w:r>
                  <w:r>
                    <w:rPr>
                      <w:rFonts w:ascii="Times New Roman" w:hAnsi="Times New Roman" w:eastAsia="宋体" w:cs="Times New Roman"/>
                      <w:color w:val="auto"/>
                      <w:sz w:val="21"/>
                      <w:szCs w:val="21"/>
                      <w:highlight w:val="none"/>
                    </w:rPr>
                    <w:t>中限制类、淘汰类产业项目，《市场准入负面清单》中禁止准入类；</w:t>
                  </w:r>
                </w:p>
                <w:p w14:paraId="7C6BAB03">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hint="default"/>
                      <w:color w:val="auto"/>
                      <w:highlight w:val="none"/>
                      <w:lang w:eastAsia="zh-CN"/>
                    </w:rPr>
                  </w:pPr>
                  <w:r>
                    <w:rPr>
                      <w:rFonts w:ascii="Times New Roman" w:hAnsi="Times New Roman" w:eastAsia="宋体" w:cs="Times New Roman"/>
                      <w:color w:val="auto"/>
                      <w:sz w:val="21"/>
                      <w:szCs w:val="21"/>
                      <w:highlight w:val="none"/>
                    </w:rPr>
                    <w:t>2</w:t>
                  </w:r>
                  <w:r>
                    <w:rPr>
                      <w:rFonts w:hint="default" w:ascii="Times New Roman" w:hAnsi="Times New Roman" w:eastAsia="宋体" w:cs="Times New Roman"/>
                      <w:color w:val="auto"/>
                      <w:sz w:val="21"/>
                      <w:szCs w:val="21"/>
                      <w:highlight w:val="none"/>
                    </w:rPr>
                    <w:t>.</w:t>
                  </w:r>
                  <w:r>
                    <w:rPr>
                      <w:rFonts w:ascii="Times New Roman" w:hAnsi="Times New Roman" w:eastAsia="宋体" w:cs="Times New Roman"/>
                      <w:color w:val="auto"/>
                      <w:sz w:val="21"/>
                      <w:szCs w:val="21"/>
                      <w:highlight w:val="none"/>
                    </w:rPr>
                    <w:t>禁止建设《环境保护综合名录（</w:t>
                  </w:r>
                  <w:r>
                    <w:rPr>
                      <w:rFonts w:hint="eastAsia" w:cs="Times New Roman"/>
                      <w:color w:val="auto"/>
                      <w:sz w:val="21"/>
                      <w:szCs w:val="21"/>
                      <w:highlight w:val="none"/>
                      <w:lang w:val="en-US" w:eastAsia="zh-CN"/>
                    </w:rPr>
                    <w:t>2021</w:t>
                  </w:r>
                  <w:r>
                    <w:rPr>
                      <w:rFonts w:ascii="Times New Roman" w:hAnsi="Times New Roman" w:eastAsia="宋体" w:cs="Times New Roman"/>
                      <w:color w:val="auto"/>
                      <w:sz w:val="21"/>
                      <w:szCs w:val="21"/>
                      <w:highlight w:val="none"/>
                    </w:rPr>
                    <w:t>年版）及其最新名录所列“高污染、高风险”产品加工项目。严格控制生态脆弱或环境敏感地区建设“两高”行业项目</w:t>
                  </w:r>
                  <w:r>
                    <w:rPr>
                      <w:rFonts w:hint="default" w:ascii="Times New Roman" w:hAnsi="Times New Roman" w:cs="Times New Roman"/>
                      <w:color w:val="auto"/>
                      <w:sz w:val="21"/>
                      <w:szCs w:val="21"/>
                      <w:highlight w:val="none"/>
                      <w:lang w:eastAsia="zh-CN"/>
                    </w:rPr>
                    <w:t>。</w:t>
                  </w:r>
                </w:p>
              </w:tc>
              <w:tc>
                <w:tcPr>
                  <w:tcW w:w="1357" w:type="pct"/>
                  <w:tcBorders>
                    <w:top w:val="nil"/>
                    <w:left w:val="nil"/>
                    <w:bottom w:val="single" w:color="auto" w:sz="4" w:space="0"/>
                    <w:right w:val="single" w:color="auto" w:sz="4" w:space="0"/>
                  </w:tcBorders>
                  <w:noWrap w:val="0"/>
                  <w:vAlign w:val="center"/>
                </w:tcPr>
                <w:p w14:paraId="727B115A">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本项目为新建项目，属于国家《产业结构调整目录》</w:t>
                  </w:r>
                  <w:r>
                    <w:rPr>
                      <w:rFonts w:hint="eastAsia" w:cs="Times New Roman"/>
                      <w:color w:val="auto"/>
                      <w:sz w:val="21"/>
                      <w:szCs w:val="21"/>
                      <w:highlight w:val="none"/>
                      <w:lang w:eastAsia="zh-CN"/>
                    </w:rPr>
                    <w:t>（</w:t>
                  </w:r>
                  <w:r>
                    <w:rPr>
                      <w:rFonts w:hint="eastAsia" w:cs="Times New Roman"/>
                      <w:color w:val="auto"/>
                      <w:sz w:val="21"/>
                      <w:szCs w:val="21"/>
                      <w:highlight w:val="none"/>
                      <w:lang w:val="en-US" w:eastAsia="zh-CN"/>
                    </w:rPr>
                    <w:t>2024年版</w:t>
                  </w:r>
                  <w:r>
                    <w:rPr>
                      <w:rFonts w:hint="eastAsia" w:cs="Times New Roman"/>
                      <w:color w:val="auto"/>
                      <w:sz w:val="21"/>
                      <w:szCs w:val="21"/>
                      <w:highlight w:val="none"/>
                      <w:lang w:eastAsia="zh-CN"/>
                    </w:rPr>
                    <w:t>）</w:t>
                  </w:r>
                  <w:r>
                    <w:rPr>
                      <w:rFonts w:ascii="Times New Roman" w:hAnsi="Times New Roman" w:eastAsia="宋体" w:cs="Times New Roman"/>
                      <w:color w:val="auto"/>
                      <w:sz w:val="21"/>
                      <w:szCs w:val="21"/>
                      <w:highlight w:val="none"/>
                    </w:rPr>
                    <w:t>中</w:t>
                  </w:r>
                  <w:r>
                    <w:rPr>
                      <w:rFonts w:hint="eastAsia" w:cs="Times New Roman"/>
                      <w:color w:val="auto"/>
                      <w:sz w:val="21"/>
                      <w:szCs w:val="21"/>
                      <w:highlight w:val="none"/>
                      <w:lang w:val="en-US" w:eastAsia="zh-CN"/>
                    </w:rPr>
                    <w:t>鼓励类</w:t>
                  </w:r>
                  <w:r>
                    <w:rPr>
                      <w:rFonts w:ascii="Times New Roman" w:hAnsi="Times New Roman" w:eastAsia="宋体" w:cs="Times New Roman"/>
                      <w:color w:val="auto"/>
                      <w:sz w:val="21"/>
                      <w:szCs w:val="21"/>
                      <w:highlight w:val="none"/>
                    </w:rPr>
                    <w:t>产业项目，《市场准入负面清单》中禁止准入类，不属于“两高”行业项目，符合控制要求。</w:t>
                  </w:r>
                </w:p>
              </w:tc>
              <w:tc>
                <w:tcPr>
                  <w:tcW w:w="516" w:type="pct"/>
                  <w:tcBorders>
                    <w:top w:val="nil"/>
                    <w:left w:val="nil"/>
                    <w:bottom w:val="single" w:color="auto" w:sz="4" w:space="0"/>
                    <w:right w:val="single" w:color="auto" w:sz="4" w:space="0"/>
                  </w:tcBorders>
                  <w:noWrap w:val="0"/>
                  <w:vAlign w:val="center"/>
                </w:tcPr>
                <w:p w14:paraId="73097AC1">
                  <w:pPr>
                    <w:keepNext w:val="0"/>
                    <w:keepLines w:val="0"/>
                    <w:pageBreakBefore w:val="0"/>
                    <w:kinsoku/>
                    <w:wordWrap/>
                    <w:overflowPunct/>
                    <w:topLinePunct w:val="0"/>
                    <w:autoSpaceDE/>
                    <w:autoSpaceDN/>
                    <w:bidi w:val="0"/>
                    <w:adjustRightInd/>
                    <w:snapToGrid w:val="0"/>
                    <w:spacing w:line="240" w:lineRule="auto"/>
                    <w:ind w:firstLine="0"/>
                    <w:jc w:val="center"/>
                    <w:textAlignment w:val="auto"/>
                    <w:rPr>
                      <w:rFonts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符合</w:t>
                  </w:r>
                </w:p>
              </w:tc>
            </w:tr>
          </w:tbl>
          <w:p w14:paraId="7D8C0EA9">
            <w:pPr>
              <w:snapToGrid w:val="0"/>
              <w:spacing w:line="240" w:lineRule="auto"/>
              <w:jc w:val="center"/>
              <w:rPr>
                <w:rFonts w:hint="default" w:ascii="Times New Roman" w:hAnsi="Times New Roman" w:eastAsia="宋体" w:cs="Times New Roman"/>
                <w:b/>
                <w:bCs/>
                <w:color w:val="auto"/>
                <w:sz w:val="24"/>
                <w:szCs w:val="20"/>
                <w:highlight w:val="none"/>
              </w:rPr>
            </w:pPr>
          </w:p>
          <w:p w14:paraId="7B4C77A6">
            <w:pPr>
              <w:snapToGrid w:val="0"/>
              <w:spacing w:line="240" w:lineRule="auto"/>
              <w:jc w:val="center"/>
              <w:rPr>
                <w:rFonts w:hint="default" w:ascii="Times New Roman" w:hAnsi="Times New Roman" w:eastAsia="宋体" w:cs="Times New Roman"/>
                <w:b/>
                <w:bCs/>
                <w:color w:val="auto"/>
                <w:sz w:val="24"/>
                <w:szCs w:val="20"/>
                <w:highlight w:val="none"/>
              </w:rPr>
            </w:pPr>
          </w:p>
          <w:p w14:paraId="2B236A8C">
            <w:pPr>
              <w:snapToGrid w:val="0"/>
              <w:spacing w:line="240" w:lineRule="auto"/>
              <w:jc w:val="center"/>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b/>
                <w:bCs/>
                <w:color w:val="auto"/>
                <w:sz w:val="24"/>
                <w:szCs w:val="20"/>
                <w:highlight w:val="none"/>
              </w:rPr>
              <w:t>表</w:t>
            </w:r>
            <w:r>
              <w:rPr>
                <w:rFonts w:hint="eastAsia" w:ascii="Times New Roman" w:hAnsi="Times New Roman" w:eastAsia="宋体" w:cs="Times New Roman"/>
                <w:b/>
                <w:bCs/>
                <w:color w:val="auto"/>
                <w:sz w:val="24"/>
                <w:szCs w:val="20"/>
                <w:highlight w:val="none"/>
                <w:lang w:val="en-US" w:eastAsia="zh-CN"/>
              </w:rPr>
              <w:t>1-</w:t>
            </w:r>
            <w:r>
              <w:rPr>
                <w:rFonts w:hint="eastAsia" w:cs="Times New Roman"/>
                <w:b/>
                <w:bCs/>
                <w:color w:val="auto"/>
                <w:sz w:val="24"/>
                <w:szCs w:val="20"/>
                <w:highlight w:val="none"/>
                <w:lang w:val="en-US" w:eastAsia="zh-CN"/>
              </w:rPr>
              <w:t>4</w:t>
            </w:r>
            <w:r>
              <w:rPr>
                <w:rFonts w:hint="default" w:ascii="Times New Roman" w:hAnsi="Times New Roman" w:eastAsia="宋体" w:cs="Times New Roman"/>
                <w:b/>
                <w:bCs/>
                <w:color w:val="auto"/>
                <w:sz w:val="24"/>
                <w:szCs w:val="20"/>
                <w:highlight w:val="none"/>
              </w:rPr>
              <w:t xml:space="preserve">  本项目与《实施意见》</w:t>
            </w:r>
            <w:r>
              <w:rPr>
                <w:rFonts w:hint="eastAsia" w:cs="Times New Roman"/>
                <w:b/>
                <w:bCs/>
                <w:color w:val="auto"/>
                <w:sz w:val="24"/>
                <w:szCs w:val="20"/>
                <w:highlight w:val="none"/>
                <w:lang w:val="en-US" w:eastAsia="zh-CN"/>
              </w:rPr>
              <w:t>及</w:t>
            </w:r>
            <w:r>
              <w:rPr>
                <w:rFonts w:hint="eastAsia"/>
                <w:b/>
                <w:bCs/>
                <w:color w:val="auto"/>
                <w:sz w:val="24"/>
                <w:szCs w:val="24"/>
                <w:highlight w:val="none"/>
                <w:lang w:val="en-US" w:eastAsia="zh-CN"/>
              </w:rPr>
              <w:t>环境准入要求（更新）</w:t>
            </w:r>
            <w:r>
              <w:rPr>
                <w:rFonts w:hint="eastAsia" w:ascii="Times New Roman" w:hAnsi="Times New Roman" w:eastAsia="宋体" w:cs="Times New Roman"/>
                <w:b/>
                <w:bCs/>
                <w:color w:val="auto"/>
                <w:sz w:val="24"/>
                <w:szCs w:val="20"/>
                <w:highlight w:val="none"/>
                <w:lang w:val="en-US" w:eastAsia="zh-CN"/>
              </w:rPr>
              <w:t>中重点管控单元</w:t>
            </w:r>
            <w:r>
              <w:rPr>
                <w:rFonts w:hint="default" w:ascii="Times New Roman" w:hAnsi="Times New Roman" w:eastAsia="宋体" w:cs="Times New Roman"/>
                <w:b/>
                <w:bCs/>
                <w:color w:val="auto"/>
                <w:sz w:val="24"/>
                <w:szCs w:val="20"/>
                <w:highlight w:val="none"/>
              </w:rPr>
              <w:t>准入清单关系一览表</w:t>
            </w:r>
          </w:p>
          <w:tbl>
            <w:tblPr>
              <w:tblStyle w:val="3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980"/>
              <w:gridCol w:w="867"/>
              <w:gridCol w:w="3317"/>
              <w:gridCol w:w="2471"/>
            </w:tblGrid>
            <w:tr w14:paraId="49CB5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0" w:type="pct"/>
                  <w:noWrap w:val="0"/>
                  <w:vAlign w:val="center"/>
                </w:tcPr>
                <w:p w14:paraId="688C7771">
                  <w:pPr>
                    <w:keepNext w:val="0"/>
                    <w:keepLines w:val="0"/>
                    <w:pageBreakBefore w:val="0"/>
                    <w:kinsoku/>
                    <w:wordWrap/>
                    <w:overflowPunct/>
                    <w:topLinePunct w:val="0"/>
                    <w:autoSpaceDE/>
                    <w:autoSpaceDN/>
                    <w:bidi w:val="0"/>
                    <w:adjustRightInd w:val="0"/>
                    <w:snapToGrid w:val="0"/>
                    <w:spacing w:line="240" w:lineRule="auto"/>
                    <w:ind w:firstLine="0"/>
                    <w:jc w:val="center"/>
                    <w:textAlignment w:val="auto"/>
                    <w:rPr>
                      <w:color w:val="auto"/>
                      <w:sz w:val="21"/>
                      <w:szCs w:val="21"/>
                      <w:highlight w:val="none"/>
                    </w:rPr>
                  </w:pPr>
                  <w:r>
                    <w:rPr>
                      <w:rFonts w:hint="eastAsia"/>
                      <w:color w:val="auto"/>
                      <w:sz w:val="21"/>
                      <w:szCs w:val="21"/>
                      <w:highlight w:val="none"/>
                    </w:rPr>
                    <w:t>单元类别</w:t>
                  </w:r>
                </w:p>
              </w:tc>
              <w:tc>
                <w:tcPr>
                  <w:tcW w:w="585" w:type="pct"/>
                  <w:noWrap w:val="0"/>
                  <w:vAlign w:val="center"/>
                </w:tcPr>
                <w:p w14:paraId="3E2C79C5">
                  <w:pPr>
                    <w:keepNext w:val="0"/>
                    <w:keepLines w:val="0"/>
                    <w:pageBreakBefore w:val="0"/>
                    <w:kinsoku/>
                    <w:wordWrap/>
                    <w:overflowPunct/>
                    <w:topLinePunct w:val="0"/>
                    <w:autoSpaceDE/>
                    <w:autoSpaceDN/>
                    <w:bidi w:val="0"/>
                    <w:adjustRightInd w:val="0"/>
                    <w:snapToGrid w:val="0"/>
                    <w:spacing w:line="240" w:lineRule="auto"/>
                    <w:ind w:firstLine="0"/>
                    <w:jc w:val="center"/>
                    <w:textAlignment w:val="auto"/>
                    <w:rPr>
                      <w:color w:val="auto"/>
                      <w:sz w:val="21"/>
                      <w:szCs w:val="21"/>
                      <w:highlight w:val="none"/>
                    </w:rPr>
                  </w:pPr>
                  <w:r>
                    <w:rPr>
                      <w:rFonts w:hint="eastAsia"/>
                      <w:color w:val="auto"/>
                      <w:sz w:val="21"/>
                      <w:szCs w:val="21"/>
                      <w:highlight w:val="none"/>
                    </w:rPr>
                    <w:t>环境要素类别</w:t>
                  </w:r>
                </w:p>
              </w:tc>
              <w:tc>
                <w:tcPr>
                  <w:tcW w:w="517" w:type="pct"/>
                  <w:noWrap w:val="0"/>
                  <w:vAlign w:val="center"/>
                </w:tcPr>
                <w:p w14:paraId="5551D331">
                  <w:pPr>
                    <w:keepNext w:val="0"/>
                    <w:keepLines w:val="0"/>
                    <w:pageBreakBefore w:val="0"/>
                    <w:kinsoku/>
                    <w:wordWrap/>
                    <w:overflowPunct/>
                    <w:topLinePunct w:val="0"/>
                    <w:autoSpaceDE/>
                    <w:autoSpaceDN/>
                    <w:bidi w:val="0"/>
                    <w:adjustRightInd w:val="0"/>
                    <w:snapToGrid w:val="0"/>
                    <w:spacing w:line="240" w:lineRule="auto"/>
                    <w:ind w:firstLine="0"/>
                    <w:jc w:val="center"/>
                    <w:textAlignment w:val="auto"/>
                    <w:rPr>
                      <w:color w:val="auto"/>
                      <w:sz w:val="21"/>
                      <w:szCs w:val="21"/>
                      <w:highlight w:val="none"/>
                    </w:rPr>
                  </w:pPr>
                  <w:r>
                    <w:rPr>
                      <w:rFonts w:hint="eastAsia"/>
                      <w:color w:val="auto"/>
                      <w:sz w:val="21"/>
                      <w:szCs w:val="21"/>
                      <w:highlight w:val="none"/>
                    </w:rPr>
                    <w:t>维度</w:t>
                  </w:r>
                </w:p>
              </w:tc>
              <w:tc>
                <w:tcPr>
                  <w:tcW w:w="1981" w:type="pct"/>
                  <w:noWrap w:val="0"/>
                  <w:vAlign w:val="center"/>
                </w:tcPr>
                <w:p w14:paraId="6D192BA9">
                  <w:pPr>
                    <w:keepNext w:val="0"/>
                    <w:keepLines w:val="0"/>
                    <w:pageBreakBefore w:val="0"/>
                    <w:kinsoku/>
                    <w:wordWrap/>
                    <w:overflowPunct/>
                    <w:topLinePunct w:val="0"/>
                    <w:autoSpaceDE/>
                    <w:autoSpaceDN/>
                    <w:bidi w:val="0"/>
                    <w:adjustRightInd w:val="0"/>
                    <w:snapToGrid w:val="0"/>
                    <w:spacing w:line="240" w:lineRule="auto"/>
                    <w:ind w:firstLine="0"/>
                    <w:jc w:val="center"/>
                    <w:textAlignment w:val="auto"/>
                    <w:rPr>
                      <w:color w:val="auto"/>
                      <w:sz w:val="21"/>
                      <w:szCs w:val="21"/>
                      <w:highlight w:val="none"/>
                    </w:rPr>
                  </w:pPr>
                  <w:r>
                    <w:rPr>
                      <w:rFonts w:hint="eastAsia"/>
                      <w:color w:val="auto"/>
                      <w:sz w:val="21"/>
                      <w:szCs w:val="21"/>
                      <w:highlight w:val="none"/>
                    </w:rPr>
                    <w:t>准入要求</w:t>
                  </w:r>
                </w:p>
              </w:tc>
              <w:tc>
                <w:tcPr>
                  <w:tcW w:w="1475" w:type="pct"/>
                  <w:noWrap w:val="0"/>
                  <w:vAlign w:val="center"/>
                </w:tcPr>
                <w:p w14:paraId="6C87CCE1">
                  <w:pPr>
                    <w:keepNext w:val="0"/>
                    <w:keepLines w:val="0"/>
                    <w:pageBreakBefore w:val="0"/>
                    <w:kinsoku/>
                    <w:wordWrap/>
                    <w:overflowPunct/>
                    <w:topLinePunct w:val="0"/>
                    <w:autoSpaceDE/>
                    <w:autoSpaceDN/>
                    <w:bidi w:val="0"/>
                    <w:adjustRightInd w:val="0"/>
                    <w:snapToGrid w:val="0"/>
                    <w:spacing w:line="240" w:lineRule="auto"/>
                    <w:ind w:firstLine="0"/>
                    <w:jc w:val="center"/>
                    <w:textAlignment w:val="auto"/>
                    <w:rPr>
                      <w:color w:val="auto"/>
                      <w:sz w:val="21"/>
                      <w:szCs w:val="21"/>
                      <w:highlight w:val="none"/>
                    </w:rPr>
                  </w:pPr>
                  <w:r>
                    <w:rPr>
                      <w:rFonts w:hint="eastAsia"/>
                      <w:color w:val="auto"/>
                      <w:sz w:val="21"/>
                      <w:szCs w:val="21"/>
                      <w:highlight w:val="none"/>
                    </w:rPr>
                    <w:t>本项目</w:t>
                  </w:r>
                </w:p>
              </w:tc>
            </w:tr>
            <w:tr w14:paraId="7DC9B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 w:hRule="atLeast"/>
                <w:jc w:val="center"/>
              </w:trPr>
              <w:tc>
                <w:tcPr>
                  <w:tcW w:w="440" w:type="pct"/>
                  <w:vMerge w:val="restart"/>
                  <w:noWrap w:val="0"/>
                  <w:vAlign w:val="center"/>
                </w:tcPr>
                <w:p w14:paraId="33EEFC53">
                  <w:pPr>
                    <w:keepNext w:val="0"/>
                    <w:keepLines w:val="0"/>
                    <w:pageBreakBefore w:val="0"/>
                    <w:kinsoku/>
                    <w:wordWrap/>
                    <w:overflowPunct/>
                    <w:topLinePunct w:val="0"/>
                    <w:autoSpaceDE/>
                    <w:autoSpaceDN/>
                    <w:bidi w:val="0"/>
                    <w:adjustRightInd w:val="0"/>
                    <w:snapToGrid w:val="0"/>
                    <w:spacing w:line="240" w:lineRule="auto"/>
                    <w:ind w:firstLine="0"/>
                    <w:jc w:val="left"/>
                    <w:textAlignment w:val="auto"/>
                    <w:rPr>
                      <w:rFonts w:hint="default"/>
                      <w:color w:val="auto"/>
                      <w:sz w:val="21"/>
                      <w:szCs w:val="21"/>
                      <w:highlight w:val="none"/>
                      <w:lang w:val="en-US" w:eastAsia="zh-CN"/>
                    </w:rPr>
                  </w:pPr>
                  <w:r>
                    <w:rPr>
                      <w:rFonts w:hint="eastAsia"/>
                      <w:color w:val="auto"/>
                      <w:sz w:val="21"/>
                      <w:szCs w:val="21"/>
                      <w:highlight w:val="none"/>
                      <w:lang w:val="en-US" w:eastAsia="zh-CN"/>
                    </w:rPr>
                    <w:t>重点管控区（抚宁镇）ZH13030620058</w:t>
                  </w:r>
                </w:p>
              </w:tc>
              <w:tc>
                <w:tcPr>
                  <w:tcW w:w="585" w:type="pct"/>
                  <w:vMerge w:val="restart"/>
                  <w:noWrap w:val="0"/>
                  <w:vAlign w:val="center"/>
                </w:tcPr>
                <w:p w14:paraId="0E22FBEA">
                  <w:pPr>
                    <w:keepNext w:val="0"/>
                    <w:keepLines w:val="0"/>
                    <w:pageBreakBefore w:val="0"/>
                    <w:kinsoku/>
                    <w:wordWrap/>
                    <w:overflowPunct/>
                    <w:topLinePunct w:val="0"/>
                    <w:autoSpaceDE/>
                    <w:autoSpaceDN/>
                    <w:bidi w:val="0"/>
                    <w:adjustRightInd w:val="0"/>
                    <w:snapToGrid w:val="0"/>
                    <w:spacing w:line="240" w:lineRule="auto"/>
                    <w:ind w:firstLine="0"/>
                    <w:jc w:val="left"/>
                    <w:textAlignment w:val="auto"/>
                    <w:rPr>
                      <w:rFonts w:hint="eastAsia" w:eastAsia="宋体"/>
                      <w:color w:val="auto"/>
                      <w:sz w:val="21"/>
                      <w:szCs w:val="21"/>
                      <w:highlight w:val="none"/>
                      <w:lang w:val="en-US" w:eastAsia="zh-CN"/>
                    </w:rPr>
                  </w:pPr>
                  <w:r>
                    <w:rPr>
                      <w:rFonts w:hint="eastAsia" w:eastAsia="宋体"/>
                      <w:color w:val="auto"/>
                      <w:sz w:val="21"/>
                      <w:szCs w:val="21"/>
                      <w:highlight w:val="none"/>
                      <w:lang w:val="en-US" w:eastAsia="zh-CN"/>
                    </w:rPr>
                    <w:t>抚宁经济开发区、城镇开发边界</w:t>
                  </w:r>
                </w:p>
              </w:tc>
              <w:tc>
                <w:tcPr>
                  <w:tcW w:w="517" w:type="pct"/>
                  <w:tcBorders>
                    <w:top w:val="single" w:color="auto" w:sz="4" w:space="0"/>
                    <w:bottom w:val="single" w:color="auto" w:sz="4" w:space="0"/>
                  </w:tcBorders>
                  <w:noWrap w:val="0"/>
                  <w:vAlign w:val="center"/>
                </w:tcPr>
                <w:p w14:paraId="06FADB72">
                  <w:pPr>
                    <w:keepNext w:val="0"/>
                    <w:keepLines w:val="0"/>
                    <w:pageBreakBefore w:val="0"/>
                    <w:kinsoku/>
                    <w:wordWrap/>
                    <w:overflowPunct/>
                    <w:topLinePunct w:val="0"/>
                    <w:autoSpaceDE/>
                    <w:autoSpaceDN/>
                    <w:bidi w:val="0"/>
                    <w:adjustRightInd w:val="0"/>
                    <w:snapToGrid w:val="0"/>
                    <w:spacing w:line="240" w:lineRule="auto"/>
                    <w:ind w:firstLine="0" w:firstLineChars="0"/>
                    <w:jc w:val="left"/>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空间布局约束</w:t>
                  </w:r>
                </w:p>
              </w:tc>
              <w:tc>
                <w:tcPr>
                  <w:tcW w:w="1981" w:type="pct"/>
                  <w:tcBorders>
                    <w:top w:val="single" w:color="auto" w:sz="4" w:space="0"/>
                    <w:bottom w:val="single" w:color="auto" w:sz="4" w:space="0"/>
                  </w:tcBorders>
                  <w:noWrap w:val="0"/>
                  <w:vAlign w:val="center"/>
                </w:tcPr>
                <w:p w14:paraId="67B63E70">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auto"/>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1、在卫生防护距离内不适宜新建居民区、医院、科研、学校等环境敏感点。2、开发区接纳的退城进区的项目需符合开发区的产业定位和产业布局，清洁生产水平较搬迁前必须提高，应满足二级水平要求。3、高新技术产业片区和军民融合产业区多为一类工业用地，不得发展对环境影响较大的建设项目。4、禁止新建和扩建皮毛及皮革鞣制加工项目。5、新建涉水工业项目须入园进区。</w:t>
                  </w:r>
                </w:p>
              </w:tc>
              <w:tc>
                <w:tcPr>
                  <w:tcW w:w="1475" w:type="pct"/>
                  <w:tcBorders>
                    <w:top w:val="single" w:color="auto" w:sz="4" w:space="0"/>
                    <w:bottom w:val="single" w:color="auto" w:sz="4" w:space="0"/>
                  </w:tcBorders>
                  <w:noWrap w:val="0"/>
                  <w:vAlign w:val="center"/>
                </w:tcPr>
                <w:p w14:paraId="6D3104AE">
                  <w:pPr>
                    <w:keepNext w:val="0"/>
                    <w:keepLines w:val="0"/>
                    <w:pageBreakBefore w:val="0"/>
                    <w:widowControl/>
                    <w:numPr>
                      <w:ilvl w:val="0"/>
                      <w:numId w:val="2"/>
                    </w:numPr>
                    <w:kinsoku/>
                    <w:wordWrap/>
                    <w:overflowPunct/>
                    <w:topLinePunct w:val="0"/>
                    <w:autoSpaceDE/>
                    <w:autoSpaceDN/>
                    <w:bidi w:val="0"/>
                    <w:adjustRightInd w:val="0"/>
                    <w:snapToGrid w:val="0"/>
                    <w:spacing w:line="240" w:lineRule="auto"/>
                    <w:jc w:val="left"/>
                    <w:textAlignment w:val="auto"/>
                    <w:rPr>
                      <w:rFonts w:hint="eastAsia"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不涉及</w:t>
                  </w:r>
                </w:p>
                <w:p w14:paraId="744FF082">
                  <w:pPr>
                    <w:keepNext w:val="0"/>
                    <w:keepLines w:val="0"/>
                    <w:pageBreakBefore w:val="0"/>
                    <w:widowControl/>
                    <w:numPr>
                      <w:ilvl w:val="0"/>
                      <w:numId w:val="2"/>
                    </w:numPr>
                    <w:kinsoku/>
                    <w:wordWrap/>
                    <w:overflowPunct/>
                    <w:topLinePunct w:val="0"/>
                    <w:autoSpaceDE/>
                    <w:autoSpaceDN/>
                    <w:bidi w:val="0"/>
                    <w:adjustRightInd w:val="0"/>
                    <w:snapToGrid w:val="0"/>
                    <w:spacing w:line="240" w:lineRule="auto"/>
                    <w:jc w:val="left"/>
                    <w:textAlignment w:val="auto"/>
                    <w:rPr>
                      <w:rFonts w:hint="default"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不涉及</w:t>
                  </w:r>
                </w:p>
                <w:p w14:paraId="1D69E687">
                  <w:pPr>
                    <w:keepNext w:val="0"/>
                    <w:keepLines w:val="0"/>
                    <w:pageBreakBefore w:val="0"/>
                    <w:widowControl/>
                    <w:numPr>
                      <w:ilvl w:val="0"/>
                      <w:numId w:val="2"/>
                    </w:numPr>
                    <w:kinsoku/>
                    <w:wordWrap/>
                    <w:overflowPunct/>
                    <w:topLinePunct w:val="0"/>
                    <w:autoSpaceDE/>
                    <w:autoSpaceDN/>
                    <w:bidi w:val="0"/>
                    <w:adjustRightInd w:val="0"/>
                    <w:snapToGrid w:val="0"/>
                    <w:spacing w:line="240" w:lineRule="auto"/>
                    <w:jc w:val="left"/>
                    <w:textAlignment w:val="auto"/>
                    <w:rPr>
                      <w:rFonts w:hint="default"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不涉及</w:t>
                  </w:r>
                </w:p>
                <w:p w14:paraId="30218BA5">
                  <w:pPr>
                    <w:keepNext w:val="0"/>
                    <w:keepLines w:val="0"/>
                    <w:pageBreakBefore w:val="0"/>
                    <w:widowControl/>
                    <w:numPr>
                      <w:ilvl w:val="0"/>
                      <w:numId w:val="2"/>
                    </w:numPr>
                    <w:kinsoku/>
                    <w:wordWrap/>
                    <w:overflowPunct/>
                    <w:topLinePunct w:val="0"/>
                    <w:autoSpaceDE/>
                    <w:autoSpaceDN/>
                    <w:bidi w:val="0"/>
                    <w:adjustRightInd w:val="0"/>
                    <w:snapToGrid w:val="0"/>
                    <w:spacing w:line="240" w:lineRule="auto"/>
                    <w:jc w:val="left"/>
                    <w:textAlignment w:val="auto"/>
                    <w:rPr>
                      <w:rFonts w:hint="default"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不涉及</w:t>
                  </w:r>
                </w:p>
                <w:p w14:paraId="16F1BDF8">
                  <w:pPr>
                    <w:keepNext w:val="0"/>
                    <w:keepLines w:val="0"/>
                    <w:pageBreakBefore w:val="0"/>
                    <w:widowControl/>
                    <w:numPr>
                      <w:ilvl w:val="0"/>
                      <w:numId w:val="2"/>
                    </w:numPr>
                    <w:kinsoku/>
                    <w:wordWrap/>
                    <w:overflowPunct/>
                    <w:topLinePunct w:val="0"/>
                    <w:autoSpaceDE/>
                    <w:autoSpaceDN/>
                    <w:bidi w:val="0"/>
                    <w:adjustRightInd w:val="0"/>
                    <w:snapToGrid w:val="0"/>
                    <w:spacing w:line="240" w:lineRule="auto"/>
                    <w:jc w:val="left"/>
                    <w:textAlignment w:val="auto"/>
                    <w:rPr>
                      <w:rFonts w:hint="default"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本项目为扩建项目，冲洗废水在废水池暂存后定期由密闭罐车运至污水处理厂进行处理。</w:t>
                  </w:r>
                </w:p>
              </w:tc>
            </w:tr>
            <w:tr w14:paraId="1157A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4" w:hRule="atLeast"/>
                <w:jc w:val="center"/>
              </w:trPr>
              <w:tc>
                <w:tcPr>
                  <w:tcW w:w="440" w:type="pct"/>
                  <w:vMerge w:val="continue"/>
                  <w:noWrap w:val="0"/>
                  <w:vAlign w:val="center"/>
                </w:tcPr>
                <w:p w14:paraId="5B801120">
                  <w:pPr>
                    <w:keepNext w:val="0"/>
                    <w:keepLines w:val="0"/>
                    <w:pageBreakBefore w:val="0"/>
                    <w:kinsoku/>
                    <w:wordWrap/>
                    <w:overflowPunct/>
                    <w:topLinePunct w:val="0"/>
                    <w:autoSpaceDE/>
                    <w:autoSpaceDN/>
                    <w:bidi w:val="0"/>
                    <w:adjustRightInd w:val="0"/>
                    <w:snapToGrid w:val="0"/>
                    <w:spacing w:line="240" w:lineRule="auto"/>
                    <w:ind w:firstLine="0"/>
                    <w:jc w:val="left"/>
                    <w:textAlignment w:val="auto"/>
                    <w:rPr>
                      <w:rFonts w:hint="eastAsia"/>
                      <w:color w:val="auto"/>
                      <w:sz w:val="21"/>
                      <w:szCs w:val="21"/>
                      <w:highlight w:val="none"/>
                      <w:lang w:val="en-US" w:eastAsia="zh-CN"/>
                    </w:rPr>
                  </w:pPr>
                </w:p>
              </w:tc>
              <w:tc>
                <w:tcPr>
                  <w:tcW w:w="585" w:type="pct"/>
                  <w:vMerge w:val="continue"/>
                  <w:noWrap w:val="0"/>
                  <w:vAlign w:val="center"/>
                </w:tcPr>
                <w:p w14:paraId="556021F9">
                  <w:pPr>
                    <w:keepNext w:val="0"/>
                    <w:keepLines w:val="0"/>
                    <w:pageBreakBefore w:val="0"/>
                    <w:kinsoku/>
                    <w:wordWrap/>
                    <w:overflowPunct/>
                    <w:topLinePunct w:val="0"/>
                    <w:autoSpaceDE/>
                    <w:autoSpaceDN/>
                    <w:bidi w:val="0"/>
                    <w:adjustRightInd w:val="0"/>
                    <w:snapToGrid w:val="0"/>
                    <w:spacing w:line="240" w:lineRule="auto"/>
                    <w:ind w:firstLine="0"/>
                    <w:jc w:val="left"/>
                    <w:textAlignment w:val="auto"/>
                    <w:rPr>
                      <w:rFonts w:hint="eastAsia" w:eastAsia="宋体"/>
                      <w:color w:val="auto"/>
                      <w:sz w:val="21"/>
                      <w:szCs w:val="21"/>
                      <w:highlight w:val="none"/>
                      <w:lang w:val="en-US" w:eastAsia="zh-CN"/>
                    </w:rPr>
                  </w:pPr>
                </w:p>
              </w:tc>
              <w:tc>
                <w:tcPr>
                  <w:tcW w:w="517" w:type="pct"/>
                  <w:tcBorders>
                    <w:top w:val="single" w:color="auto" w:sz="4" w:space="0"/>
                    <w:bottom w:val="single" w:color="auto" w:sz="4" w:space="0"/>
                  </w:tcBorders>
                  <w:noWrap w:val="0"/>
                  <w:vAlign w:val="center"/>
                </w:tcPr>
                <w:p w14:paraId="2DDE5FFE">
                  <w:pPr>
                    <w:keepNext w:val="0"/>
                    <w:keepLines w:val="0"/>
                    <w:pageBreakBefore w:val="0"/>
                    <w:kinsoku/>
                    <w:wordWrap/>
                    <w:overflowPunct/>
                    <w:topLinePunct w:val="0"/>
                    <w:autoSpaceDE/>
                    <w:autoSpaceDN/>
                    <w:bidi w:val="0"/>
                    <w:adjustRightInd w:val="0"/>
                    <w:snapToGrid w:val="0"/>
                    <w:spacing w:line="240" w:lineRule="auto"/>
                    <w:ind w:firstLine="0" w:firstLineChars="0"/>
                    <w:jc w:val="left"/>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污染物排放管控</w:t>
                  </w:r>
                </w:p>
              </w:tc>
              <w:tc>
                <w:tcPr>
                  <w:tcW w:w="1981" w:type="pct"/>
                  <w:tcBorders>
                    <w:top w:val="single" w:color="auto" w:sz="4" w:space="0"/>
                    <w:bottom w:val="single" w:color="auto" w:sz="4" w:space="0"/>
                  </w:tcBorders>
                  <w:noWrap w:val="0"/>
                  <w:vAlign w:val="center"/>
                </w:tcPr>
                <w:p w14:paraId="740C8E77">
                  <w:pPr>
                    <w:keepNext w:val="0"/>
                    <w:keepLines w:val="0"/>
                    <w:pageBreakBefore w:val="0"/>
                    <w:widowControl/>
                    <w:suppressLineNumbers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1、严格落实规划环评及其批复文件制定的环保措施。2、对VOCs排放集中的工业园区和产业聚集区，探索建立废气处理、排放检测、平台监控、运营维护一体的第三方治理模式。3、涉VOCs排放工业企业污染物排放应达到《工业企业挥发性有机物排放控制标准》（DB13/2322-2016）及《挥发性有机物无组织排放控制标准》（GB37822-2019）相关排放要求。4、开发区内锅炉污染物排放应达到《锅炉大气污染物排放标准》（DB13/5161-2020）要求。</w:t>
                  </w:r>
                </w:p>
              </w:tc>
              <w:tc>
                <w:tcPr>
                  <w:tcW w:w="1475" w:type="pct"/>
                  <w:tcBorders>
                    <w:top w:val="single" w:color="auto" w:sz="4" w:space="0"/>
                    <w:bottom w:val="single" w:color="auto" w:sz="4" w:space="0"/>
                  </w:tcBorders>
                  <w:noWrap w:val="0"/>
                  <w:vAlign w:val="center"/>
                </w:tcPr>
                <w:p w14:paraId="62369D52">
                  <w:pPr>
                    <w:keepNext w:val="0"/>
                    <w:keepLines w:val="0"/>
                    <w:pageBreakBefore w:val="0"/>
                    <w:widowControl/>
                    <w:numPr>
                      <w:ilvl w:val="0"/>
                      <w:numId w:val="0"/>
                    </w:numPr>
                    <w:kinsoku/>
                    <w:wordWrap/>
                    <w:overflowPunct/>
                    <w:topLinePunct w:val="0"/>
                    <w:autoSpaceDE/>
                    <w:autoSpaceDN/>
                    <w:bidi w:val="0"/>
                    <w:adjustRightInd w:val="0"/>
                    <w:snapToGrid w:val="0"/>
                    <w:spacing w:line="240" w:lineRule="auto"/>
                    <w:jc w:val="left"/>
                    <w:textAlignment w:val="auto"/>
                    <w:rPr>
                      <w:rFonts w:hint="eastAsia"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1、</w:t>
                  </w:r>
                  <w:r>
                    <w:rPr>
                      <w:rFonts w:hint="default" w:ascii="Times New Roman" w:hAnsi="Times New Roman" w:eastAsia="宋体" w:cs="Times New Roman"/>
                      <w:color w:val="auto"/>
                      <w:kern w:val="0"/>
                      <w:sz w:val="21"/>
                      <w:szCs w:val="21"/>
                      <w:highlight w:val="none"/>
                      <w:lang w:val="en-US" w:eastAsia="zh-CN" w:bidi="ar"/>
                    </w:rPr>
                    <w:t>严格落实规划环评及其批复文件制定的环保措施</w:t>
                  </w:r>
                  <w:r>
                    <w:rPr>
                      <w:rFonts w:hint="eastAsia" w:cs="Times New Roman"/>
                      <w:color w:val="auto"/>
                      <w:kern w:val="0"/>
                      <w:sz w:val="21"/>
                      <w:szCs w:val="21"/>
                      <w:highlight w:val="none"/>
                      <w:lang w:val="en-US" w:eastAsia="zh-CN" w:bidi="ar"/>
                    </w:rPr>
                    <w:t>；</w:t>
                  </w:r>
                </w:p>
                <w:p w14:paraId="027A00D7">
                  <w:pPr>
                    <w:keepNext w:val="0"/>
                    <w:keepLines w:val="0"/>
                    <w:pageBreakBefore w:val="0"/>
                    <w:widowControl/>
                    <w:numPr>
                      <w:ilvl w:val="0"/>
                      <w:numId w:val="0"/>
                    </w:numPr>
                    <w:kinsoku/>
                    <w:wordWrap/>
                    <w:overflowPunct/>
                    <w:topLinePunct w:val="0"/>
                    <w:autoSpaceDE/>
                    <w:autoSpaceDN/>
                    <w:bidi w:val="0"/>
                    <w:adjustRightInd w:val="0"/>
                    <w:snapToGrid w:val="0"/>
                    <w:spacing w:line="240" w:lineRule="auto"/>
                    <w:jc w:val="left"/>
                    <w:textAlignment w:val="auto"/>
                    <w:rPr>
                      <w:rFonts w:hint="eastAsia"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2、不涉及</w:t>
                  </w:r>
                </w:p>
                <w:p w14:paraId="38CB6750">
                  <w:pPr>
                    <w:keepNext w:val="0"/>
                    <w:keepLines w:val="0"/>
                    <w:pageBreakBefore w:val="0"/>
                    <w:widowControl/>
                    <w:numPr>
                      <w:ilvl w:val="0"/>
                      <w:numId w:val="0"/>
                    </w:numPr>
                    <w:kinsoku/>
                    <w:wordWrap/>
                    <w:overflowPunct/>
                    <w:topLinePunct w:val="0"/>
                    <w:autoSpaceDE/>
                    <w:autoSpaceDN/>
                    <w:bidi w:val="0"/>
                    <w:adjustRightInd w:val="0"/>
                    <w:snapToGrid w:val="0"/>
                    <w:spacing w:line="240" w:lineRule="auto"/>
                    <w:jc w:val="left"/>
                    <w:textAlignment w:val="auto"/>
                    <w:rPr>
                      <w:rFonts w:hint="eastAsia"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3、不涉及</w:t>
                  </w:r>
                </w:p>
                <w:p w14:paraId="5D21B6D3">
                  <w:pPr>
                    <w:keepNext w:val="0"/>
                    <w:keepLines w:val="0"/>
                    <w:pageBreakBefore w:val="0"/>
                    <w:widowControl/>
                    <w:numPr>
                      <w:ilvl w:val="0"/>
                      <w:numId w:val="0"/>
                    </w:numPr>
                    <w:kinsoku/>
                    <w:wordWrap/>
                    <w:overflowPunct/>
                    <w:topLinePunct w:val="0"/>
                    <w:autoSpaceDE/>
                    <w:autoSpaceDN/>
                    <w:bidi w:val="0"/>
                    <w:adjustRightInd w:val="0"/>
                    <w:snapToGrid w:val="0"/>
                    <w:spacing w:line="240" w:lineRule="auto"/>
                    <w:jc w:val="left"/>
                    <w:textAlignment w:val="auto"/>
                    <w:rPr>
                      <w:rFonts w:hint="default"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4、不涉及</w:t>
                  </w:r>
                </w:p>
              </w:tc>
            </w:tr>
            <w:tr w14:paraId="016AD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440" w:type="pct"/>
                  <w:vMerge w:val="continue"/>
                  <w:noWrap w:val="0"/>
                  <w:vAlign w:val="center"/>
                </w:tcPr>
                <w:p w14:paraId="32B33105">
                  <w:pPr>
                    <w:keepNext w:val="0"/>
                    <w:keepLines w:val="0"/>
                    <w:pageBreakBefore w:val="0"/>
                    <w:kinsoku/>
                    <w:wordWrap/>
                    <w:overflowPunct/>
                    <w:topLinePunct w:val="0"/>
                    <w:autoSpaceDE/>
                    <w:autoSpaceDN/>
                    <w:bidi w:val="0"/>
                    <w:adjustRightInd w:val="0"/>
                    <w:snapToGrid w:val="0"/>
                    <w:spacing w:line="240" w:lineRule="auto"/>
                    <w:ind w:firstLine="0"/>
                    <w:jc w:val="left"/>
                    <w:textAlignment w:val="auto"/>
                    <w:rPr>
                      <w:rFonts w:hint="eastAsia"/>
                      <w:color w:val="auto"/>
                      <w:sz w:val="21"/>
                      <w:szCs w:val="21"/>
                      <w:highlight w:val="none"/>
                      <w:lang w:val="en-US" w:eastAsia="zh-CN"/>
                    </w:rPr>
                  </w:pPr>
                </w:p>
              </w:tc>
              <w:tc>
                <w:tcPr>
                  <w:tcW w:w="585" w:type="pct"/>
                  <w:vMerge w:val="continue"/>
                  <w:noWrap w:val="0"/>
                  <w:vAlign w:val="center"/>
                </w:tcPr>
                <w:p w14:paraId="082DBCA3">
                  <w:pPr>
                    <w:keepNext w:val="0"/>
                    <w:keepLines w:val="0"/>
                    <w:pageBreakBefore w:val="0"/>
                    <w:kinsoku/>
                    <w:wordWrap/>
                    <w:overflowPunct/>
                    <w:topLinePunct w:val="0"/>
                    <w:autoSpaceDE/>
                    <w:autoSpaceDN/>
                    <w:bidi w:val="0"/>
                    <w:adjustRightInd w:val="0"/>
                    <w:snapToGrid w:val="0"/>
                    <w:spacing w:line="240" w:lineRule="auto"/>
                    <w:ind w:firstLine="0"/>
                    <w:jc w:val="left"/>
                    <w:textAlignment w:val="auto"/>
                    <w:rPr>
                      <w:rFonts w:hint="eastAsia" w:eastAsia="宋体"/>
                      <w:color w:val="auto"/>
                      <w:sz w:val="21"/>
                      <w:szCs w:val="21"/>
                      <w:highlight w:val="none"/>
                      <w:lang w:val="en-US" w:eastAsia="zh-CN"/>
                    </w:rPr>
                  </w:pPr>
                </w:p>
              </w:tc>
              <w:tc>
                <w:tcPr>
                  <w:tcW w:w="517" w:type="pct"/>
                  <w:tcBorders>
                    <w:top w:val="single" w:color="auto" w:sz="4" w:space="0"/>
                    <w:bottom w:val="single" w:color="auto" w:sz="4" w:space="0"/>
                  </w:tcBorders>
                  <w:noWrap w:val="0"/>
                  <w:vAlign w:val="center"/>
                </w:tcPr>
                <w:p w14:paraId="5CA02981">
                  <w:pPr>
                    <w:keepNext w:val="0"/>
                    <w:keepLines w:val="0"/>
                    <w:pageBreakBefore w:val="0"/>
                    <w:kinsoku/>
                    <w:wordWrap/>
                    <w:overflowPunct/>
                    <w:topLinePunct w:val="0"/>
                    <w:autoSpaceDE/>
                    <w:autoSpaceDN/>
                    <w:bidi w:val="0"/>
                    <w:adjustRightInd w:val="0"/>
                    <w:snapToGrid w:val="0"/>
                    <w:spacing w:line="240" w:lineRule="auto"/>
                    <w:ind w:firstLine="0" w:firstLineChars="0"/>
                    <w:jc w:val="left"/>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环境风险防控</w:t>
                  </w:r>
                </w:p>
              </w:tc>
              <w:tc>
                <w:tcPr>
                  <w:tcW w:w="1981" w:type="pct"/>
                  <w:tcBorders>
                    <w:top w:val="single" w:color="auto" w:sz="4" w:space="0"/>
                    <w:bottom w:val="single" w:color="auto" w:sz="4" w:space="0"/>
                  </w:tcBorders>
                  <w:noWrap w:val="0"/>
                  <w:vAlign w:val="center"/>
                </w:tcPr>
                <w:p w14:paraId="511B4DBB">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1、严格落实规划环评及其批复文件制定的环境风险防范措施。2、开发区及入区企业需按照相关法律法规及文件要求组织编制《环境风险应急预案》成立应急组织机构，定期开展应急演练，提高区域环境风险防范能力。3、建立有效的事故风险防范体系，使开发区建设和环境保护协调发展。4、禁止建设存在重大环境安全隐患的工业项目。5、确定地下水污染来源和路径，进行污染风险评估。</w:t>
                  </w:r>
                </w:p>
              </w:tc>
              <w:tc>
                <w:tcPr>
                  <w:tcW w:w="1475" w:type="pct"/>
                  <w:tcBorders>
                    <w:top w:val="single" w:color="auto" w:sz="4" w:space="0"/>
                    <w:bottom w:val="single" w:color="auto" w:sz="4" w:space="0"/>
                  </w:tcBorders>
                  <w:noWrap w:val="0"/>
                  <w:vAlign w:val="center"/>
                </w:tcPr>
                <w:p w14:paraId="151B41F4">
                  <w:pPr>
                    <w:keepNext w:val="0"/>
                    <w:keepLines w:val="0"/>
                    <w:pageBreakBefore w:val="0"/>
                    <w:widowControl/>
                    <w:numPr>
                      <w:ilvl w:val="0"/>
                      <w:numId w:val="3"/>
                    </w:numPr>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严格落实规划环评及其批复文件制定的环境风险防范措施</w:t>
                  </w:r>
                </w:p>
                <w:p w14:paraId="1A48CF88">
                  <w:pPr>
                    <w:keepNext w:val="0"/>
                    <w:keepLines w:val="0"/>
                    <w:pageBreakBefore w:val="0"/>
                    <w:widowControl/>
                    <w:numPr>
                      <w:ilvl w:val="0"/>
                      <w:numId w:val="3"/>
                    </w:numPr>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公司危废间已进行防腐防渗处理，项目建设完成后将对应急预案进行修订并重新备案，</w:t>
                  </w:r>
                  <w:r>
                    <w:rPr>
                      <w:rFonts w:hint="default" w:ascii="Times New Roman" w:hAnsi="Times New Roman" w:eastAsia="宋体" w:cs="Times New Roman"/>
                      <w:color w:val="auto"/>
                      <w:kern w:val="0"/>
                      <w:sz w:val="21"/>
                      <w:szCs w:val="21"/>
                      <w:highlight w:val="none"/>
                      <w:lang w:val="en-US" w:eastAsia="zh-CN" w:bidi="ar"/>
                    </w:rPr>
                    <w:t>定期开展应急演练，提高区域环境风险防范能力</w:t>
                  </w:r>
                  <w:r>
                    <w:rPr>
                      <w:rFonts w:hint="eastAsia" w:cs="Times New Roman"/>
                      <w:color w:val="auto"/>
                      <w:kern w:val="0"/>
                      <w:sz w:val="21"/>
                      <w:szCs w:val="21"/>
                      <w:highlight w:val="none"/>
                      <w:lang w:val="en-US" w:eastAsia="zh-CN" w:bidi="ar"/>
                    </w:rPr>
                    <w:t>。</w:t>
                  </w:r>
                </w:p>
                <w:p w14:paraId="1A599AF4">
                  <w:pPr>
                    <w:keepNext w:val="0"/>
                    <w:keepLines w:val="0"/>
                    <w:pageBreakBefore w:val="0"/>
                    <w:widowControl/>
                    <w:numPr>
                      <w:ilvl w:val="0"/>
                      <w:numId w:val="3"/>
                    </w:numPr>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建立有效的事故风险防范体系</w:t>
                  </w:r>
                  <w:r>
                    <w:rPr>
                      <w:rFonts w:hint="eastAsia" w:cs="Times New Roman"/>
                      <w:color w:val="auto"/>
                      <w:kern w:val="0"/>
                      <w:sz w:val="21"/>
                      <w:szCs w:val="21"/>
                      <w:highlight w:val="none"/>
                      <w:lang w:val="en-US" w:eastAsia="zh-CN" w:bidi="ar"/>
                    </w:rPr>
                    <w:t>；</w:t>
                  </w:r>
                </w:p>
                <w:p w14:paraId="4186F7EE">
                  <w:pPr>
                    <w:keepNext w:val="0"/>
                    <w:keepLines w:val="0"/>
                    <w:pageBreakBefore w:val="0"/>
                    <w:widowControl/>
                    <w:numPr>
                      <w:ilvl w:val="0"/>
                      <w:numId w:val="3"/>
                    </w:numPr>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不属于重大安全隐患的工业项目；</w:t>
                  </w:r>
                </w:p>
                <w:p w14:paraId="09AA7D33">
                  <w:pPr>
                    <w:keepNext w:val="0"/>
                    <w:keepLines w:val="0"/>
                    <w:pageBreakBefore w:val="0"/>
                    <w:widowControl/>
                    <w:numPr>
                      <w:ilvl w:val="0"/>
                      <w:numId w:val="3"/>
                    </w:numPr>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本项目新建洗槽均进行防腐防渗处理，不会对地下水造成污染。</w:t>
                  </w:r>
                </w:p>
              </w:tc>
            </w:tr>
            <w:tr w14:paraId="76415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440" w:type="pct"/>
                  <w:vMerge w:val="continue"/>
                  <w:noWrap w:val="0"/>
                  <w:vAlign w:val="center"/>
                </w:tcPr>
                <w:p w14:paraId="03BB40E4">
                  <w:pPr>
                    <w:keepNext w:val="0"/>
                    <w:keepLines w:val="0"/>
                    <w:pageBreakBefore w:val="0"/>
                    <w:kinsoku/>
                    <w:wordWrap/>
                    <w:overflowPunct/>
                    <w:topLinePunct w:val="0"/>
                    <w:autoSpaceDE/>
                    <w:autoSpaceDN/>
                    <w:bidi w:val="0"/>
                    <w:adjustRightInd w:val="0"/>
                    <w:snapToGrid w:val="0"/>
                    <w:spacing w:line="240" w:lineRule="auto"/>
                    <w:ind w:firstLine="0"/>
                    <w:jc w:val="left"/>
                    <w:textAlignment w:val="auto"/>
                    <w:rPr>
                      <w:rFonts w:hint="eastAsia"/>
                      <w:color w:val="auto"/>
                      <w:sz w:val="21"/>
                      <w:szCs w:val="21"/>
                      <w:highlight w:val="none"/>
                      <w:lang w:val="en-US" w:eastAsia="zh-CN"/>
                    </w:rPr>
                  </w:pPr>
                </w:p>
              </w:tc>
              <w:tc>
                <w:tcPr>
                  <w:tcW w:w="585" w:type="pct"/>
                  <w:vMerge w:val="continue"/>
                  <w:noWrap w:val="0"/>
                  <w:vAlign w:val="center"/>
                </w:tcPr>
                <w:p w14:paraId="39CA8A4F">
                  <w:pPr>
                    <w:keepNext w:val="0"/>
                    <w:keepLines w:val="0"/>
                    <w:pageBreakBefore w:val="0"/>
                    <w:kinsoku/>
                    <w:wordWrap/>
                    <w:overflowPunct/>
                    <w:topLinePunct w:val="0"/>
                    <w:autoSpaceDE/>
                    <w:autoSpaceDN/>
                    <w:bidi w:val="0"/>
                    <w:adjustRightInd w:val="0"/>
                    <w:snapToGrid w:val="0"/>
                    <w:spacing w:line="240" w:lineRule="auto"/>
                    <w:ind w:firstLine="0"/>
                    <w:jc w:val="left"/>
                    <w:textAlignment w:val="auto"/>
                    <w:rPr>
                      <w:rFonts w:hint="eastAsia" w:eastAsia="宋体"/>
                      <w:color w:val="auto"/>
                      <w:sz w:val="21"/>
                      <w:szCs w:val="21"/>
                      <w:highlight w:val="none"/>
                      <w:lang w:val="en-US" w:eastAsia="zh-CN"/>
                    </w:rPr>
                  </w:pPr>
                </w:p>
              </w:tc>
              <w:tc>
                <w:tcPr>
                  <w:tcW w:w="517" w:type="pct"/>
                  <w:tcBorders>
                    <w:top w:val="single" w:color="auto" w:sz="4" w:space="0"/>
                    <w:bottom w:val="single" w:color="auto" w:sz="4" w:space="0"/>
                  </w:tcBorders>
                  <w:noWrap w:val="0"/>
                  <w:vAlign w:val="center"/>
                </w:tcPr>
                <w:p w14:paraId="4A8BFDA0">
                  <w:pPr>
                    <w:keepNext w:val="0"/>
                    <w:keepLines w:val="0"/>
                    <w:pageBreakBefore w:val="0"/>
                    <w:kinsoku/>
                    <w:wordWrap/>
                    <w:overflowPunct/>
                    <w:topLinePunct w:val="0"/>
                    <w:autoSpaceDE/>
                    <w:autoSpaceDN/>
                    <w:bidi w:val="0"/>
                    <w:adjustRightInd w:val="0"/>
                    <w:snapToGrid w:val="0"/>
                    <w:spacing w:line="240" w:lineRule="auto"/>
                    <w:ind w:firstLine="0" w:firstLineChars="0"/>
                    <w:jc w:val="left"/>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资源利用效率</w:t>
                  </w:r>
                </w:p>
              </w:tc>
              <w:tc>
                <w:tcPr>
                  <w:tcW w:w="1981" w:type="pct"/>
                  <w:tcBorders>
                    <w:top w:val="single" w:color="auto" w:sz="4" w:space="0"/>
                    <w:bottom w:val="single" w:color="auto" w:sz="4" w:space="0"/>
                  </w:tcBorders>
                  <w:noWrap w:val="0"/>
                  <w:vAlign w:val="center"/>
                </w:tcPr>
                <w:p w14:paraId="3C71B4DC">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auto"/>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1、中水回用率≥30%。2、园区工业水重复利用率≥75%。</w:t>
                  </w:r>
                </w:p>
              </w:tc>
              <w:tc>
                <w:tcPr>
                  <w:tcW w:w="1475" w:type="pct"/>
                  <w:tcBorders>
                    <w:top w:val="single" w:color="auto" w:sz="4" w:space="0"/>
                    <w:bottom w:val="single" w:color="auto" w:sz="4" w:space="0"/>
                  </w:tcBorders>
                  <w:noWrap w:val="0"/>
                  <w:vAlign w:val="center"/>
                </w:tcPr>
                <w:p w14:paraId="67695CD2">
                  <w:pPr>
                    <w:keepNext w:val="0"/>
                    <w:keepLines w:val="0"/>
                    <w:pageBreakBefore w:val="0"/>
                    <w:widowControl/>
                    <w:numPr>
                      <w:ilvl w:val="0"/>
                      <w:numId w:val="0"/>
                    </w:numPr>
                    <w:kinsoku/>
                    <w:wordWrap/>
                    <w:overflowPunct/>
                    <w:topLinePunct w:val="0"/>
                    <w:autoSpaceDE/>
                    <w:autoSpaceDN/>
                    <w:bidi w:val="0"/>
                    <w:adjustRightInd w:val="0"/>
                    <w:snapToGrid w:val="0"/>
                    <w:spacing w:line="240" w:lineRule="auto"/>
                    <w:jc w:val="left"/>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项目水洗槽内水循环使用，定期补充新水</w:t>
                  </w:r>
                </w:p>
              </w:tc>
            </w:tr>
          </w:tbl>
          <w:p w14:paraId="1BC558C5">
            <w:pPr>
              <w:keepNext w:val="0"/>
              <w:keepLines w:val="0"/>
              <w:pageBreakBefore w:val="0"/>
              <w:widowControl/>
              <w:kinsoku/>
              <w:wordWrap/>
              <w:overflowPunct/>
              <w:topLinePunct w:val="0"/>
              <w:autoSpaceDE/>
              <w:autoSpaceDN/>
              <w:bidi w:val="0"/>
              <w:adjustRightInd/>
              <w:snapToGrid w:val="0"/>
              <w:ind w:firstLine="480"/>
              <w:jc w:val="left"/>
              <w:textAlignment w:val="auto"/>
              <w:rPr>
                <w:color w:val="auto"/>
                <w:highlight w:val="none"/>
              </w:rPr>
            </w:pPr>
            <w:r>
              <w:rPr>
                <w:rFonts w:hint="eastAsia"/>
                <w:color w:val="auto"/>
                <w:highlight w:val="none"/>
                <w:lang w:val="en-US" w:eastAsia="zh-CN"/>
              </w:rPr>
              <w:t>综上所述</w:t>
            </w:r>
            <w:r>
              <w:rPr>
                <w:color w:val="auto"/>
                <w:highlight w:val="none"/>
              </w:rPr>
              <w:t>，本项目从生态空间、土壤及地下水风险防控、产业布局等方面论述，本项目符合《秦皇岛市人民政府关于秦皇岛市“三线一单”生态环境分区管控的实施意见》（秦政字【2021】6号）</w:t>
            </w:r>
            <w:r>
              <w:rPr>
                <w:rFonts w:hint="eastAsia"/>
                <w:color w:val="auto"/>
                <w:highlight w:val="none"/>
                <w:lang w:val="en-US" w:eastAsia="zh-CN"/>
              </w:rPr>
              <w:t>及环境准入要求（更新）中相关要求</w:t>
            </w:r>
            <w:r>
              <w:rPr>
                <w:color w:val="auto"/>
                <w:highlight w:val="none"/>
              </w:rPr>
              <w:t>。</w:t>
            </w:r>
          </w:p>
          <w:p w14:paraId="578778D0">
            <w:pPr>
              <w:pStyle w:val="6"/>
              <w:rPr>
                <w:color w:val="auto"/>
                <w:highlight w:val="none"/>
              </w:rPr>
            </w:pPr>
            <w:r>
              <w:rPr>
                <w:color w:val="auto"/>
              </w:rPr>
              <w:drawing>
                <wp:inline distT="0" distB="0" distL="114300" distR="114300">
                  <wp:extent cx="4791075" cy="7079615"/>
                  <wp:effectExtent l="0" t="0" r="9525" b="6985"/>
                  <wp:docPr id="20"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41"/>
                          <pic:cNvPicPr>
                            <a:picLocks noChangeAspect="1"/>
                          </pic:cNvPicPr>
                        </pic:nvPicPr>
                        <pic:blipFill>
                          <a:blip r:embed="rId15"/>
                          <a:stretch>
                            <a:fillRect/>
                          </a:stretch>
                        </pic:blipFill>
                        <pic:spPr>
                          <a:xfrm>
                            <a:off x="0" y="0"/>
                            <a:ext cx="4791075" cy="7079615"/>
                          </a:xfrm>
                          <a:prstGeom prst="rect">
                            <a:avLst/>
                          </a:prstGeom>
                          <a:noFill/>
                          <a:ln>
                            <a:noFill/>
                          </a:ln>
                        </pic:spPr>
                      </pic:pic>
                    </a:graphicData>
                  </a:graphic>
                </wp:inline>
              </w:drawing>
            </w:r>
          </w:p>
          <w:p w14:paraId="41493C0C">
            <w:pPr>
              <w:snapToGrid w:val="0"/>
              <w:spacing w:line="240" w:lineRule="auto"/>
              <w:jc w:val="center"/>
              <w:rPr>
                <w:b/>
                <w:bCs/>
                <w:color w:val="auto"/>
                <w:szCs w:val="24"/>
                <w:highlight w:val="none"/>
              </w:rPr>
            </w:pPr>
            <w:r>
              <w:rPr>
                <w:rFonts w:hint="eastAsia"/>
                <w:b/>
                <w:bCs/>
                <w:color w:val="auto"/>
                <w:szCs w:val="24"/>
                <w:highlight w:val="none"/>
              </w:rPr>
              <w:t xml:space="preserve">图 </w:t>
            </w:r>
            <w:r>
              <w:rPr>
                <w:rFonts w:hint="eastAsia"/>
                <w:b/>
                <w:bCs/>
                <w:color w:val="auto"/>
                <w:szCs w:val="24"/>
                <w:highlight w:val="none"/>
                <w:lang w:val="en-US" w:eastAsia="zh-CN"/>
              </w:rPr>
              <w:t>1-</w:t>
            </w:r>
            <w:r>
              <w:rPr>
                <w:rFonts w:hint="eastAsia"/>
                <w:b/>
                <w:bCs/>
                <w:color w:val="auto"/>
                <w:szCs w:val="24"/>
                <w:highlight w:val="none"/>
              </w:rPr>
              <w:t>2 本项目与秦皇岛市环境管控单元分布关系图</w:t>
            </w:r>
          </w:p>
          <w:p w14:paraId="0036A874">
            <w:pPr>
              <w:snapToGrid w:val="0"/>
              <w:rPr>
                <w:color w:val="auto"/>
                <w:highlight w:val="none"/>
              </w:rPr>
            </w:pPr>
          </w:p>
        </w:tc>
      </w:tr>
    </w:tbl>
    <w:p w14:paraId="4900DC3B">
      <w:pPr>
        <w:rPr>
          <w:rFonts w:eastAsia="黑体"/>
          <w:color w:val="auto"/>
          <w:sz w:val="30"/>
          <w:highlight w:val="none"/>
        </w:rPr>
        <w:sectPr>
          <w:footerReference r:id="rId8" w:type="default"/>
          <w:pgSz w:w="11906" w:h="16838"/>
          <w:pgMar w:top="1701" w:right="1531" w:bottom="1701" w:left="1531" w:header="851" w:footer="1077" w:gutter="0"/>
          <w:pgNumType w:fmt="decimal" w:start="1"/>
          <w:cols w:space="720" w:num="1"/>
          <w:docGrid w:linePitch="312" w:charSpace="0"/>
        </w:sectPr>
      </w:pPr>
    </w:p>
    <w:p w14:paraId="0352B412">
      <w:pPr>
        <w:pStyle w:val="6"/>
        <w:rPr>
          <w:color w:val="auto"/>
          <w:highlight w:val="none"/>
        </w:rPr>
      </w:pPr>
      <w:r>
        <w:rPr>
          <w:color w:val="auto"/>
          <w:highlight w:val="none"/>
        </w:rPr>
        <w:t>二、建设项目工程分析</w:t>
      </w:r>
    </w:p>
    <w:tbl>
      <w:tblPr>
        <w:tblStyle w:val="34"/>
        <w:tblW w:w="907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519"/>
        <w:gridCol w:w="8552"/>
      </w:tblGrid>
      <w:tr w14:paraId="0E55ED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972" w:hRule="atLeast"/>
          <w:jc w:val="center"/>
        </w:trPr>
        <w:tc>
          <w:tcPr>
            <w:tcW w:w="527" w:type="dxa"/>
            <w:vAlign w:val="center"/>
          </w:tcPr>
          <w:p w14:paraId="11BB216F">
            <w:pPr>
              <w:pStyle w:val="7"/>
              <w:rPr>
                <w:color w:val="auto"/>
                <w:highlight w:val="none"/>
              </w:rPr>
            </w:pPr>
          </w:p>
          <w:p w14:paraId="71F04800">
            <w:pPr>
              <w:pStyle w:val="7"/>
              <w:rPr>
                <w:color w:val="auto"/>
                <w:highlight w:val="none"/>
              </w:rPr>
            </w:pPr>
          </w:p>
          <w:p w14:paraId="21F99336">
            <w:pPr>
              <w:pStyle w:val="7"/>
              <w:rPr>
                <w:color w:val="auto"/>
                <w:highlight w:val="none"/>
              </w:rPr>
            </w:pPr>
          </w:p>
          <w:p w14:paraId="1F3EEC8D">
            <w:pPr>
              <w:pStyle w:val="7"/>
              <w:rPr>
                <w:color w:val="auto"/>
                <w:highlight w:val="none"/>
              </w:rPr>
            </w:pPr>
          </w:p>
          <w:p w14:paraId="70C7378D">
            <w:pPr>
              <w:rPr>
                <w:color w:val="auto"/>
                <w:highlight w:val="none"/>
              </w:rPr>
            </w:pPr>
          </w:p>
          <w:p w14:paraId="627D8467">
            <w:pPr>
              <w:pStyle w:val="33"/>
              <w:ind w:left="480" w:firstLine="480"/>
              <w:rPr>
                <w:color w:val="auto"/>
                <w:highlight w:val="none"/>
              </w:rPr>
            </w:pPr>
          </w:p>
          <w:p w14:paraId="18E7FD2D">
            <w:pPr>
              <w:rPr>
                <w:color w:val="auto"/>
                <w:highlight w:val="none"/>
              </w:rPr>
            </w:pPr>
          </w:p>
          <w:p w14:paraId="5E55F6C1">
            <w:pPr>
              <w:pStyle w:val="7"/>
              <w:rPr>
                <w:color w:val="auto"/>
                <w:highlight w:val="none"/>
              </w:rPr>
            </w:pPr>
          </w:p>
          <w:p w14:paraId="1468D532">
            <w:pPr>
              <w:pStyle w:val="7"/>
              <w:rPr>
                <w:color w:val="auto"/>
                <w:highlight w:val="none"/>
              </w:rPr>
            </w:pPr>
          </w:p>
          <w:p w14:paraId="27CCF0C2">
            <w:pPr>
              <w:pStyle w:val="7"/>
              <w:rPr>
                <w:color w:val="auto"/>
                <w:highlight w:val="none"/>
              </w:rPr>
            </w:pPr>
          </w:p>
          <w:p w14:paraId="53E7073D">
            <w:pPr>
              <w:pStyle w:val="7"/>
              <w:rPr>
                <w:color w:val="auto"/>
                <w:highlight w:val="none"/>
              </w:rPr>
            </w:pPr>
          </w:p>
          <w:p w14:paraId="2CA995F0">
            <w:pPr>
              <w:pStyle w:val="7"/>
              <w:rPr>
                <w:color w:val="auto"/>
                <w:highlight w:val="none"/>
              </w:rPr>
            </w:pPr>
          </w:p>
          <w:p w14:paraId="5333DDD8">
            <w:pPr>
              <w:pStyle w:val="7"/>
              <w:rPr>
                <w:color w:val="auto"/>
                <w:highlight w:val="none"/>
              </w:rPr>
            </w:pPr>
          </w:p>
          <w:p w14:paraId="2A0D3E1E">
            <w:pPr>
              <w:pStyle w:val="7"/>
              <w:rPr>
                <w:color w:val="auto"/>
                <w:highlight w:val="none"/>
              </w:rPr>
            </w:pPr>
          </w:p>
          <w:p w14:paraId="4C3CEA91">
            <w:pPr>
              <w:pStyle w:val="7"/>
              <w:rPr>
                <w:color w:val="auto"/>
                <w:highlight w:val="none"/>
              </w:rPr>
            </w:pPr>
            <w:r>
              <w:rPr>
                <w:color w:val="auto"/>
                <w:highlight w:val="none"/>
              </w:rPr>
              <w:t>建设内容</w:t>
            </w:r>
          </w:p>
          <w:p w14:paraId="3CDF703E">
            <w:pPr>
              <w:rPr>
                <w:color w:val="auto"/>
                <w:highlight w:val="none"/>
              </w:rPr>
            </w:pPr>
          </w:p>
          <w:p w14:paraId="7390D56A">
            <w:pPr>
              <w:pStyle w:val="33"/>
              <w:ind w:left="480" w:firstLine="480"/>
              <w:rPr>
                <w:color w:val="auto"/>
                <w:highlight w:val="none"/>
              </w:rPr>
            </w:pPr>
          </w:p>
          <w:p w14:paraId="2305345E">
            <w:pPr>
              <w:rPr>
                <w:color w:val="auto"/>
                <w:highlight w:val="none"/>
              </w:rPr>
            </w:pPr>
          </w:p>
          <w:p w14:paraId="4D3F45F9">
            <w:pPr>
              <w:pStyle w:val="33"/>
              <w:ind w:left="480" w:firstLine="480"/>
              <w:rPr>
                <w:color w:val="auto"/>
                <w:highlight w:val="none"/>
              </w:rPr>
            </w:pPr>
          </w:p>
          <w:p w14:paraId="2DB1D31D">
            <w:pPr>
              <w:rPr>
                <w:color w:val="auto"/>
                <w:highlight w:val="none"/>
              </w:rPr>
            </w:pPr>
          </w:p>
          <w:p w14:paraId="01F09C78">
            <w:pPr>
              <w:pStyle w:val="33"/>
              <w:ind w:left="480" w:firstLine="480"/>
              <w:rPr>
                <w:color w:val="auto"/>
                <w:highlight w:val="none"/>
              </w:rPr>
            </w:pPr>
          </w:p>
          <w:p w14:paraId="373A4F00">
            <w:pPr>
              <w:rPr>
                <w:color w:val="auto"/>
                <w:highlight w:val="none"/>
              </w:rPr>
            </w:pPr>
          </w:p>
          <w:p w14:paraId="0FE050A8">
            <w:pPr>
              <w:pStyle w:val="33"/>
              <w:ind w:left="480" w:firstLine="480"/>
              <w:rPr>
                <w:color w:val="auto"/>
                <w:highlight w:val="none"/>
              </w:rPr>
            </w:pPr>
          </w:p>
          <w:p w14:paraId="320EC8E9">
            <w:pPr>
              <w:rPr>
                <w:color w:val="auto"/>
                <w:highlight w:val="none"/>
              </w:rPr>
            </w:pPr>
          </w:p>
          <w:p w14:paraId="6AE958EA">
            <w:pPr>
              <w:pStyle w:val="7"/>
              <w:rPr>
                <w:color w:val="auto"/>
                <w:highlight w:val="none"/>
              </w:rPr>
            </w:pPr>
          </w:p>
          <w:p w14:paraId="4556E7D2">
            <w:pPr>
              <w:pStyle w:val="7"/>
              <w:rPr>
                <w:color w:val="auto"/>
                <w:highlight w:val="none"/>
              </w:rPr>
            </w:pPr>
          </w:p>
          <w:p w14:paraId="3BE84D71">
            <w:pPr>
              <w:pStyle w:val="7"/>
              <w:rPr>
                <w:color w:val="auto"/>
                <w:highlight w:val="none"/>
              </w:rPr>
            </w:pPr>
          </w:p>
          <w:p w14:paraId="445844E0">
            <w:pPr>
              <w:pStyle w:val="7"/>
              <w:rPr>
                <w:color w:val="auto"/>
                <w:highlight w:val="none"/>
              </w:rPr>
            </w:pPr>
          </w:p>
          <w:p w14:paraId="170A9B3A">
            <w:pPr>
              <w:pStyle w:val="7"/>
              <w:rPr>
                <w:color w:val="auto"/>
                <w:highlight w:val="none"/>
              </w:rPr>
            </w:pPr>
          </w:p>
          <w:p w14:paraId="0EA7198D">
            <w:pPr>
              <w:pStyle w:val="7"/>
              <w:rPr>
                <w:color w:val="auto"/>
                <w:highlight w:val="none"/>
              </w:rPr>
            </w:pPr>
          </w:p>
          <w:p w14:paraId="6AAC19C8">
            <w:pPr>
              <w:pStyle w:val="7"/>
              <w:rPr>
                <w:color w:val="auto"/>
                <w:highlight w:val="none"/>
              </w:rPr>
            </w:pPr>
          </w:p>
          <w:p w14:paraId="793CEBCF">
            <w:pPr>
              <w:pStyle w:val="7"/>
              <w:rPr>
                <w:color w:val="auto"/>
                <w:highlight w:val="none"/>
              </w:rPr>
            </w:pPr>
          </w:p>
          <w:p w14:paraId="035CE6C9">
            <w:pPr>
              <w:pStyle w:val="7"/>
              <w:rPr>
                <w:color w:val="auto"/>
                <w:highlight w:val="none"/>
              </w:rPr>
            </w:pPr>
          </w:p>
          <w:p w14:paraId="763052CB">
            <w:pPr>
              <w:rPr>
                <w:color w:val="auto"/>
                <w:highlight w:val="none"/>
              </w:rPr>
            </w:pPr>
          </w:p>
          <w:p w14:paraId="55E7997E">
            <w:pPr>
              <w:pStyle w:val="33"/>
              <w:ind w:left="480" w:firstLine="480"/>
              <w:rPr>
                <w:color w:val="auto"/>
                <w:highlight w:val="none"/>
              </w:rPr>
            </w:pPr>
          </w:p>
          <w:p w14:paraId="7D8EA2A9">
            <w:pPr>
              <w:rPr>
                <w:color w:val="auto"/>
                <w:highlight w:val="none"/>
              </w:rPr>
            </w:pPr>
          </w:p>
          <w:p w14:paraId="1192D81D">
            <w:pPr>
              <w:pStyle w:val="7"/>
              <w:rPr>
                <w:color w:val="auto"/>
                <w:highlight w:val="none"/>
              </w:rPr>
            </w:pPr>
          </w:p>
          <w:p w14:paraId="310A3EF3">
            <w:pPr>
              <w:pStyle w:val="7"/>
              <w:rPr>
                <w:color w:val="auto"/>
                <w:highlight w:val="none"/>
              </w:rPr>
            </w:pPr>
          </w:p>
          <w:p w14:paraId="05AAA728">
            <w:pPr>
              <w:pStyle w:val="7"/>
              <w:rPr>
                <w:color w:val="auto"/>
                <w:highlight w:val="none"/>
              </w:rPr>
            </w:pPr>
          </w:p>
          <w:p w14:paraId="387FC553">
            <w:pPr>
              <w:pStyle w:val="7"/>
              <w:rPr>
                <w:color w:val="auto"/>
                <w:highlight w:val="none"/>
              </w:rPr>
            </w:pPr>
          </w:p>
          <w:p w14:paraId="01D780F8">
            <w:pPr>
              <w:pStyle w:val="7"/>
              <w:rPr>
                <w:color w:val="auto"/>
                <w:highlight w:val="none"/>
              </w:rPr>
            </w:pPr>
          </w:p>
          <w:p w14:paraId="7DD30A68">
            <w:pPr>
              <w:pStyle w:val="7"/>
              <w:rPr>
                <w:color w:val="auto"/>
                <w:highlight w:val="none"/>
              </w:rPr>
            </w:pPr>
          </w:p>
          <w:p w14:paraId="64FD4D62">
            <w:pPr>
              <w:pStyle w:val="7"/>
              <w:rPr>
                <w:color w:val="auto"/>
                <w:highlight w:val="none"/>
              </w:rPr>
            </w:pPr>
          </w:p>
          <w:p w14:paraId="1AE2F016">
            <w:pPr>
              <w:pStyle w:val="7"/>
              <w:rPr>
                <w:color w:val="auto"/>
                <w:highlight w:val="none"/>
              </w:rPr>
            </w:pPr>
            <w:r>
              <w:rPr>
                <w:color w:val="auto"/>
                <w:highlight w:val="none"/>
              </w:rPr>
              <w:t>建设内容</w:t>
            </w:r>
          </w:p>
          <w:p w14:paraId="2FC661DC">
            <w:pPr>
              <w:rPr>
                <w:color w:val="auto"/>
                <w:highlight w:val="none"/>
              </w:rPr>
            </w:pPr>
          </w:p>
          <w:p w14:paraId="0FE42096">
            <w:pPr>
              <w:pStyle w:val="33"/>
              <w:ind w:left="480" w:firstLine="480"/>
              <w:rPr>
                <w:color w:val="auto"/>
                <w:highlight w:val="none"/>
              </w:rPr>
            </w:pPr>
          </w:p>
          <w:p w14:paraId="6E264830">
            <w:pPr>
              <w:rPr>
                <w:color w:val="auto"/>
                <w:highlight w:val="none"/>
              </w:rPr>
            </w:pPr>
          </w:p>
          <w:p w14:paraId="21BDF2BB">
            <w:pPr>
              <w:pStyle w:val="33"/>
              <w:ind w:left="480" w:firstLine="480"/>
              <w:rPr>
                <w:color w:val="auto"/>
                <w:highlight w:val="none"/>
              </w:rPr>
            </w:pPr>
          </w:p>
          <w:p w14:paraId="6D31F0DE">
            <w:pPr>
              <w:rPr>
                <w:color w:val="auto"/>
                <w:highlight w:val="none"/>
              </w:rPr>
            </w:pPr>
          </w:p>
          <w:p w14:paraId="7600BFA4">
            <w:pPr>
              <w:pStyle w:val="33"/>
              <w:ind w:left="480" w:firstLine="480"/>
              <w:rPr>
                <w:color w:val="auto"/>
                <w:highlight w:val="none"/>
              </w:rPr>
            </w:pPr>
          </w:p>
          <w:p w14:paraId="434F4142">
            <w:pPr>
              <w:rPr>
                <w:color w:val="auto"/>
                <w:highlight w:val="none"/>
              </w:rPr>
            </w:pPr>
          </w:p>
          <w:p w14:paraId="553CD687">
            <w:pPr>
              <w:pStyle w:val="33"/>
              <w:ind w:left="480" w:firstLine="480"/>
              <w:rPr>
                <w:color w:val="auto"/>
                <w:highlight w:val="none"/>
              </w:rPr>
            </w:pPr>
          </w:p>
          <w:p w14:paraId="2E44B138">
            <w:pPr>
              <w:rPr>
                <w:color w:val="auto"/>
                <w:highlight w:val="none"/>
              </w:rPr>
            </w:pPr>
          </w:p>
          <w:p w14:paraId="0C4E43CD">
            <w:pPr>
              <w:pStyle w:val="7"/>
              <w:rPr>
                <w:color w:val="auto"/>
                <w:highlight w:val="none"/>
              </w:rPr>
            </w:pPr>
          </w:p>
          <w:p w14:paraId="780164B9">
            <w:pPr>
              <w:pStyle w:val="7"/>
              <w:rPr>
                <w:color w:val="auto"/>
                <w:highlight w:val="none"/>
              </w:rPr>
            </w:pPr>
          </w:p>
          <w:p w14:paraId="20A5F76F">
            <w:pPr>
              <w:pStyle w:val="7"/>
              <w:rPr>
                <w:color w:val="auto"/>
                <w:highlight w:val="none"/>
              </w:rPr>
            </w:pPr>
          </w:p>
          <w:p w14:paraId="2435EEE4">
            <w:pPr>
              <w:pStyle w:val="7"/>
              <w:rPr>
                <w:color w:val="auto"/>
                <w:highlight w:val="none"/>
              </w:rPr>
            </w:pPr>
          </w:p>
          <w:p w14:paraId="21C3501F">
            <w:pPr>
              <w:pStyle w:val="7"/>
              <w:rPr>
                <w:color w:val="auto"/>
                <w:highlight w:val="none"/>
              </w:rPr>
            </w:pPr>
          </w:p>
          <w:p w14:paraId="2FE5CD44">
            <w:pPr>
              <w:pStyle w:val="7"/>
              <w:rPr>
                <w:color w:val="auto"/>
                <w:highlight w:val="none"/>
              </w:rPr>
            </w:pPr>
          </w:p>
          <w:p w14:paraId="631D4487">
            <w:pPr>
              <w:pStyle w:val="7"/>
              <w:rPr>
                <w:color w:val="auto"/>
                <w:highlight w:val="none"/>
              </w:rPr>
            </w:pPr>
          </w:p>
          <w:p w14:paraId="38CA88A7">
            <w:pPr>
              <w:pStyle w:val="7"/>
              <w:rPr>
                <w:color w:val="auto"/>
                <w:highlight w:val="none"/>
              </w:rPr>
            </w:pPr>
          </w:p>
          <w:p w14:paraId="6210166C">
            <w:pPr>
              <w:pStyle w:val="7"/>
              <w:rPr>
                <w:color w:val="auto"/>
                <w:highlight w:val="none"/>
              </w:rPr>
            </w:pPr>
          </w:p>
          <w:p w14:paraId="3A72643F">
            <w:pPr>
              <w:pStyle w:val="7"/>
              <w:rPr>
                <w:color w:val="auto"/>
                <w:highlight w:val="none"/>
              </w:rPr>
            </w:pPr>
          </w:p>
          <w:p w14:paraId="40BB55F7">
            <w:pPr>
              <w:rPr>
                <w:color w:val="auto"/>
                <w:highlight w:val="none"/>
              </w:rPr>
            </w:pPr>
          </w:p>
          <w:p w14:paraId="089034E2">
            <w:pPr>
              <w:pStyle w:val="33"/>
              <w:ind w:left="480" w:firstLine="480"/>
              <w:rPr>
                <w:color w:val="auto"/>
                <w:highlight w:val="none"/>
              </w:rPr>
            </w:pPr>
          </w:p>
          <w:p w14:paraId="64E79B76">
            <w:pPr>
              <w:rPr>
                <w:color w:val="auto"/>
                <w:highlight w:val="none"/>
              </w:rPr>
            </w:pPr>
          </w:p>
          <w:p w14:paraId="57193669">
            <w:pPr>
              <w:pStyle w:val="7"/>
              <w:rPr>
                <w:color w:val="auto"/>
                <w:highlight w:val="none"/>
              </w:rPr>
            </w:pPr>
          </w:p>
          <w:p w14:paraId="7BDEEC40">
            <w:pPr>
              <w:pStyle w:val="7"/>
              <w:rPr>
                <w:color w:val="auto"/>
                <w:highlight w:val="none"/>
              </w:rPr>
            </w:pPr>
          </w:p>
          <w:p w14:paraId="60EE3089">
            <w:pPr>
              <w:pStyle w:val="7"/>
              <w:rPr>
                <w:color w:val="auto"/>
                <w:highlight w:val="none"/>
              </w:rPr>
            </w:pPr>
          </w:p>
          <w:p w14:paraId="31D03D5F">
            <w:pPr>
              <w:pStyle w:val="7"/>
              <w:rPr>
                <w:color w:val="auto"/>
                <w:highlight w:val="none"/>
              </w:rPr>
            </w:pPr>
          </w:p>
          <w:p w14:paraId="1F0CCF1B">
            <w:pPr>
              <w:pStyle w:val="7"/>
              <w:rPr>
                <w:color w:val="auto"/>
                <w:highlight w:val="none"/>
              </w:rPr>
            </w:pPr>
          </w:p>
          <w:p w14:paraId="7B8F8BBE">
            <w:pPr>
              <w:pStyle w:val="7"/>
              <w:rPr>
                <w:color w:val="auto"/>
                <w:highlight w:val="none"/>
              </w:rPr>
            </w:pPr>
          </w:p>
          <w:p w14:paraId="661F90CE">
            <w:pPr>
              <w:pStyle w:val="7"/>
              <w:rPr>
                <w:color w:val="auto"/>
                <w:highlight w:val="none"/>
              </w:rPr>
            </w:pPr>
          </w:p>
          <w:p w14:paraId="2345BCC0">
            <w:pPr>
              <w:pStyle w:val="7"/>
              <w:rPr>
                <w:color w:val="auto"/>
                <w:highlight w:val="none"/>
              </w:rPr>
            </w:pPr>
            <w:r>
              <w:rPr>
                <w:color w:val="auto"/>
                <w:highlight w:val="none"/>
              </w:rPr>
              <w:t>建设内容</w:t>
            </w:r>
          </w:p>
          <w:p w14:paraId="4FF72604">
            <w:pPr>
              <w:rPr>
                <w:color w:val="auto"/>
                <w:highlight w:val="none"/>
              </w:rPr>
            </w:pPr>
          </w:p>
          <w:p w14:paraId="5D894D54">
            <w:pPr>
              <w:pStyle w:val="33"/>
              <w:ind w:left="480" w:firstLine="480"/>
              <w:rPr>
                <w:color w:val="auto"/>
                <w:highlight w:val="none"/>
              </w:rPr>
            </w:pPr>
          </w:p>
          <w:p w14:paraId="5964EF81">
            <w:pPr>
              <w:rPr>
                <w:color w:val="auto"/>
                <w:highlight w:val="none"/>
              </w:rPr>
            </w:pPr>
          </w:p>
          <w:p w14:paraId="18F154ED">
            <w:pPr>
              <w:pStyle w:val="33"/>
              <w:ind w:left="480" w:firstLine="480"/>
              <w:rPr>
                <w:color w:val="auto"/>
                <w:highlight w:val="none"/>
              </w:rPr>
            </w:pPr>
          </w:p>
          <w:p w14:paraId="247B84D3">
            <w:pPr>
              <w:rPr>
                <w:color w:val="auto"/>
                <w:highlight w:val="none"/>
              </w:rPr>
            </w:pPr>
          </w:p>
          <w:p w14:paraId="57DECF7F">
            <w:pPr>
              <w:pStyle w:val="33"/>
              <w:ind w:left="480" w:firstLine="480"/>
              <w:rPr>
                <w:color w:val="auto"/>
                <w:highlight w:val="none"/>
              </w:rPr>
            </w:pPr>
          </w:p>
          <w:p w14:paraId="36A545E1">
            <w:pPr>
              <w:rPr>
                <w:color w:val="auto"/>
                <w:highlight w:val="none"/>
              </w:rPr>
            </w:pPr>
          </w:p>
          <w:p w14:paraId="4E9723F5">
            <w:pPr>
              <w:pStyle w:val="33"/>
              <w:ind w:left="480" w:firstLine="480"/>
              <w:rPr>
                <w:color w:val="auto"/>
                <w:highlight w:val="none"/>
              </w:rPr>
            </w:pPr>
          </w:p>
          <w:p w14:paraId="57CF5EBB">
            <w:pPr>
              <w:rPr>
                <w:color w:val="auto"/>
                <w:highlight w:val="none"/>
              </w:rPr>
            </w:pPr>
          </w:p>
          <w:p w14:paraId="7A7A50D0">
            <w:pPr>
              <w:pStyle w:val="7"/>
              <w:rPr>
                <w:color w:val="auto"/>
                <w:highlight w:val="none"/>
              </w:rPr>
            </w:pPr>
          </w:p>
          <w:p w14:paraId="6BA80B95">
            <w:pPr>
              <w:pStyle w:val="7"/>
              <w:rPr>
                <w:color w:val="auto"/>
                <w:highlight w:val="none"/>
              </w:rPr>
            </w:pPr>
          </w:p>
          <w:p w14:paraId="28589676">
            <w:pPr>
              <w:pStyle w:val="7"/>
              <w:rPr>
                <w:color w:val="auto"/>
                <w:highlight w:val="none"/>
              </w:rPr>
            </w:pPr>
          </w:p>
          <w:p w14:paraId="7995E374">
            <w:pPr>
              <w:pStyle w:val="7"/>
              <w:rPr>
                <w:color w:val="auto"/>
                <w:highlight w:val="none"/>
              </w:rPr>
            </w:pPr>
          </w:p>
          <w:p w14:paraId="195EF70C">
            <w:pPr>
              <w:pStyle w:val="7"/>
              <w:rPr>
                <w:color w:val="auto"/>
                <w:highlight w:val="none"/>
              </w:rPr>
            </w:pPr>
          </w:p>
          <w:p w14:paraId="6EA8E879">
            <w:pPr>
              <w:rPr>
                <w:color w:val="auto"/>
                <w:highlight w:val="none"/>
              </w:rPr>
            </w:pPr>
          </w:p>
          <w:p w14:paraId="4A1014B9">
            <w:pPr>
              <w:pStyle w:val="7"/>
              <w:rPr>
                <w:color w:val="auto"/>
                <w:highlight w:val="none"/>
              </w:rPr>
            </w:pPr>
          </w:p>
          <w:p w14:paraId="7B2EF196">
            <w:pPr>
              <w:pStyle w:val="7"/>
              <w:rPr>
                <w:color w:val="auto"/>
                <w:highlight w:val="none"/>
              </w:rPr>
            </w:pPr>
          </w:p>
          <w:p w14:paraId="5BCC3682">
            <w:pPr>
              <w:pStyle w:val="7"/>
              <w:rPr>
                <w:color w:val="auto"/>
                <w:highlight w:val="none"/>
              </w:rPr>
            </w:pPr>
          </w:p>
          <w:p w14:paraId="699932D5">
            <w:pPr>
              <w:pStyle w:val="7"/>
              <w:rPr>
                <w:color w:val="auto"/>
                <w:highlight w:val="none"/>
              </w:rPr>
            </w:pPr>
          </w:p>
          <w:p w14:paraId="6FF3D243">
            <w:pPr>
              <w:rPr>
                <w:color w:val="auto"/>
                <w:highlight w:val="none"/>
              </w:rPr>
            </w:pPr>
          </w:p>
          <w:p w14:paraId="0C69DFC2">
            <w:pPr>
              <w:pStyle w:val="33"/>
              <w:ind w:left="480" w:firstLine="480"/>
              <w:rPr>
                <w:color w:val="auto"/>
                <w:highlight w:val="none"/>
              </w:rPr>
            </w:pPr>
          </w:p>
          <w:p w14:paraId="44AFBFE4">
            <w:pPr>
              <w:rPr>
                <w:color w:val="auto"/>
                <w:highlight w:val="none"/>
              </w:rPr>
            </w:pPr>
          </w:p>
          <w:p w14:paraId="1480F8ED">
            <w:pPr>
              <w:pStyle w:val="7"/>
              <w:rPr>
                <w:color w:val="auto"/>
                <w:highlight w:val="none"/>
              </w:rPr>
            </w:pPr>
          </w:p>
          <w:p w14:paraId="46955A0C">
            <w:pPr>
              <w:pStyle w:val="7"/>
              <w:rPr>
                <w:color w:val="auto"/>
                <w:highlight w:val="none"/>
              </w:rPr>
            </w:pPr>
          </w:p>
          <w:p w14:paraId="78F0BDD4">
            <w:pPr>
              <w:pStyle w:val="7"/>
              <w:rPr>
                <w:color w:val="auto"/>
                <w:highlight w:val="none"/>
              </w:rPr>
            </w:pPr>
          </w:p>
          <w:p w14:paraId="05D9092F">
            <w:pPr>
              <w:pStyle w:val="7"/>
              <w:rPr>
                <w:color w:val="auto"/>
                <w:highlight w:val="none"/>
              </w:rPr>
            </w:pPr>
          </w:p>
          <w:p w14:paraId="5F66437F">
            <w:pPr>
              <w:pStyle w:val="7"/>
              <w:rPr>
                <w:color w:val="auto"/>
                <w:highlight w:val="none"/>
              </w:rPr>
            </w:pPr>
          </w:p>
          <w:p w14:paraId="0A0BC01F">
            <w:pPr>
              <w:pStyle w:val="7"/>
              <w:rPr>
                <w:color w:val="auto"/>
                <w:highlight w:val="none"/>
              </w:rPr>
            </w:pPr>
          </w:p>
          <w:p w14:paraId="77D0B37A">
            <w:pPr>
              <w:pStyle w:val="7"/>
              <w:rPr>
                <w:color w:val="auto"/>
                <w:highlight w:val="none"/>
              </w:rPr>
            </w:pPr>
          </w:p>
          <w:p w14:paraId="2DC70933">
            <w:pPr>
              <w:pStyle w:val="7"/>
              <w:rPr>
                <w:color w:val="auto"/>
                <w:highlight w:val="none"/>
              </w:rPr>
            </w:pPr>
            <w:r>
              <w:rPr>
                <w:color w:val="auto"/>
                <w:highlight w:val="none"/>
              </w:rPr>
              <w:t>建设内容</w:t>
            </w:r>
          </w:p>
          <w:p w14:paraId="4BD9FC4F">
            <w:pPr>
              <w:rPr>
                <w:color w:val="auto"/>
                <w:highlight w:val="none"/>
              </w:rPr>
            </w:pPr>
          </w:p>
          <w:p w14:paraId="4BE0D8EB">
            <w:pPr>
              <w:pStyle w:val="33"/>
              <w:ind w:left="480" w:firstLine="480"/>
              <w:rPr>
                <w:color w:val="auto"/>
                <w:highlight w:val="none"/>
              </w:rPr>
            </w:pPr>
          </w:p>
          <w:p w14:paraId="0C7D0215">
            <w:pPr>
              <w:rPr>
                <w:color w:val="auto"/>
                <w:highlight w:val="none"/>
              </w:rPr>
            </w:pPr>
          </w:p>
          <w:p w14:paraId="1E26D8EE">
            <w:pPr>
              <w:pStyle w:val="33"/>
              <w:ind w:left="480" w:firstLine="480"/>
              <w:rPr>
                <w:color w:val="auto"/>
                <w:highlight w:val="none"/>
              </w:rPr>
            </w:pPr>
          </w:p>
          <w:p w14:paraId="48CE48A7">
            <w:pPr>
              <w:rPr>
                <w:color w:val="auto"/>
                <w:highlight w:val="none"/>
              </w:rPr>
            </w:pPr>
          </w:p>
          <w:p w14:paraId="08F6732A">
            <w:pPr>
              <w:pStyle w:val="33"/>
              <w:ind w:left="480" w:firstLine="480"/>
              <w:rPr>
                <w:color w:val="auto"/>
                <w:highlight w:val="none"/>
              </w:rPr>
            </w:pPr>
          </w:p>
          <w:p w14:paraId="091A7A37">
            <w:pPr>
              <w:rPr>
                <w:color w:val="auto"/>
                <w:highlight w:val="none"/>
              </w:rPr>
            </w:pPr>
          </w:p>
          <w:p w14:paraId="4155224B">
            <w:pPr>
              <w:pStyle w:val="33"/>
              <w:ind w:left="480" w:firstLine="480"/>
              <w:rPr>
                <w:color w:val="auto"/>
                <w:highlight w:val="none"/>
              </w:rPr>
            </w:pPr>
          </w:p>
          <w:p w14:paraId="0205B45E">
            <w:pPr>
              <w:rPr>
                <w:color w:val="auto"/>
                <w:highlight w:val="none"/>
              </w:rPr>
            </w:pPr>
          </w:p>
          <w:p w14:paraId="45D0F8B6">
            <w:pPr>
              <w:pStyle w:val="7"/>
              <w:rPr>
                <w:color w:val="auto"/>
                <w:highlight w:val="none"/>
              </w:rPr>
            </w:pPr>
          </w:p>
          <w:p w14:paraId="5153C746">
            <w:pPr>
              <w:pStyle w:val="7"/>
              <w:rPr>
                <w:color w:val="auto"/>
                <w:highlight w:val="none"/>
              </w:rPr>
            </w:pPr>
          </w:p>
          <w:p w14:paraId="4D488068">
            <w:pPr>
              <w:pStyle w:val="7"/>
              <w:rPr>
                <w:color w:val="auto"/>
                <w:highlight w:val="none"/>
              </w:rPr>
            </w:pPr>
          </w:p>
          <w:p w14:paraId="1AD5A16A">
            <w:pPr>
              <w:pStyle w:val="7"/>
              <w:rPr>
                <w:color w:val="auto"/>
                <w:highlight w:val="none"/>
              </w:rPr>
            </w:pPr>
          </w:p>
          <w:p w14:paraId="3794C81C">
            <w:pPr>
              <w:pStyle w:val="7"/>
              <w:rPr>
                <w:color w:val="auto"/>
                <w:highlight w:val="none"/>
              </w:rPr>
            </w:pPr>
          </w:p>
          <w:p w14:paraId="2830629F">
            <w:pPr>
              <w:pStyle w:val="7"/>
              <w:rPr>
                <w:color w:val="auto"/>
                <w:highlight w:val="none"/>
              </w:rPr>
            </w:pPr>
          </w:p>
          <w:p w14:paraId="286D4DC5">
            <w:pPr>
              <w:pStyle w:val="7"/>
              <w:rPr>
                <w:color w:val="auto"/>
                <w:highlight w:val="none"/>
              </w:rPr>
            </w:pPr>
          </w:p>
          <w:p w14:paraId="5482E53B">
            <w:pPr>
              <w:pStyle w:val="7"/>
              <w:rPr>
                <w:color w:val="auto"/>
                <w:highlight w:val="none"/>
              </w:rPr>
            </w:pPr>
          </w:p>
          <w:p w14:paraId="1C069DF3">
            <w:pPr>
              <w:pStyle w:val="7"/>
              <w:rPr>
                <w:color w:val="auto"/>
                <w:highlight w:val="none"/>
              </w:rPr>
            </w:pPr>
          </w:p>
          <w:p w14:paraId="0F2AF9D3">
            <w:pPr>
              <w:rPr>
                <w:color w:val="auto"/>
                <w:highlight w:val="none"/>
              </w:rPr>
            </w:pPr>
          </w:p>
          <w:p w14:paraId="39DF42F4">
            <w:pPr>
              <w:pStyle w:val="33"/>
              <w:ind w:left="480" w:firstLine="480"/>
              <w:rPr>
                <w:color w:val="auto"/>
                <w:highlight w:val="none"/>
              </w:rPr>
            </w:pPr>
          </w:p>
          <w:p w14:paraId="5F5EA7F1">
            <w:pPr>
              <w:rPr>
                <w:color w:val="auto"/>
                <w:highlight w:val="none"/>
              </w:rPr>
            </w:pPr>
          </w:p>
          <w:p w14:paraId="3E532965">
            <w:pPr>
              <w:pStyle w:val="7"/>
              <w:rPr>
                <w:color w:val="auto"/>
                <w:highlight w:val="none"/>
              </w:rPr>
            </w:pPr>
          </w:p>
          <w:p w14:paraId="1E21949A">
            <w:pPr>
              <w:pStyle w:val="7"/>
              <w:rPr>
                <w:color w:val="auto"/>
                <w:highlight w:val="none"/>
              </w:rPr>
            </w:pPr>
          </w:p>
          <w:p w14:paraId="1C0C9B03">
            <w:pPr>
              <w:pStyle w:val="7"/>
              <w:rPr>
                <w:color w:val="auto"/>
                <w:highlight w:val="none"/>
              </w:rPr>
            </w:pPr>
          </w:p>
          <w:p w14:paraId="16BFB5D8">
            <w:pPr>
              <w:pStyle w:val="7"/>
              <w:rPr>
                <w:color w:val="auto"/>
                <w:highlight w:val="none"/>
              </w:rPr>
            </w:pPr>
          </w:p>
          <w:p w14:paraId="3F3EA627">
            <w:pPr>
              <w:pStyle w:val="7"/>
              <w:rPr>
                <w:color w:val="auto"/>
                <w:highlight w:val="none"/>
              </w:rPr>
            </w:pPr>
          </w:p>
          <w:p w14:paraId="71147B88">
            <w:pPr>
              <w:pStyle w:val="7"/>
              <w:rPr>
                <w:color w:val="auto"/>
                <w:highlight w:val="none"/>
              </w:rPr>
            </w:pPr>
          </w:p>
          <w:p w14:paraId="141DE7D7">
            <w:pPr>
              <w:pStyle w:val="7"/>
              <w:rPr>
                <w:color w:val="auto"/>
                <w:highlight w:val="none"/>
              </w:rPr>
            </w:pPr>
          </w:p>
          <w:p w14:paraId="30A571DE">
            <w:pPr>
              <w:pStyle w:val="7"/>
              <w:rPr>
                <w:color w:val="auto"/>
                <w:highlight w:val="none"/>
              </w:rPr>
            </w:pPr>
            <w:r>
              <w:rPr>
                <w:color w:val="auto"/>
                <w:highlight w:val="none"/>
              </w:rPr>
              <w:t>建设内容</w:t>
            </w:r>
          </w:p>
          <w:p w14:paraId="659F4982">
            <w:pPr>
              <w:rPr>
                <w:color w:val="auto"/>
                <w:highlight w:val="none"/>
              </w:rPr>
            </w:pPr>
          </w:p>
          <w:p w14:paraId="6717DD1A">
            <w:pPr>
              <w:pStyle w:val="33"/>
              <w:ind w:left="480" w:firstLine="480"/>
              <w:rPr>
                <w:color w:val="auto"/>
                <w:highlight w:val="none"/>
              </w:rPr>
            </w:pPr>
          </w:p>
          <w:p w14:paraId="6CD26C8B">
            <w:pPr>
              <w:rPr>
                <w:color w:val="auto"/>
                <w:highlight w:val="none"/>
              </w:rPr>
            </w:pPr>
          </w:p>
          <w:p w14:paraId="0EAA06BA">
            <w:pPr>
              <w:pStyle w:val="33"/>
              <w:ind w:left="480" w:firstLine="480"/>
              <w:rPr>
                <w:color w:val="auto"/>
                <w:highlight w:val="none"/>
              </w:rPr>
            </w:pPr>
          </w:p>
          <w:p w14:paraId="14408071">
            <w:pPr>
              <w:rPr>
                <w:color w:val="auto"/>
                <w:highlight w:val="none"/>
              </w:rPr>
            </w:pPr>
          </w:p>
          <w:p w14:paraId="60D532DE">
            <w:pPr>
              <w:pStyle w:val="33"/>
              <w:ind w:left="480" w:firstLine="480"/>
              <w:rPr>
                <w:color w:val="auto"/>
                <w:highlight w:val="none"/>
              </w:rPr>
            </w:pPr>
          </w:p>
          <w:p w14:paraId="783EDD9F">
            <w:pPr>
              <w:rPr>
                <w:color w:val="auto"/>
                <w:highlight w:val="none"/>
              </w:rPr>
            </w:pPr>
          </w:p>
          <w:p w14:paraId="38A72890">
            <w:pPr>
              <w:pStyle w:val="33"/>
              <w:ind w:left="480" w:firstLine="480"/>
              <w:rPr>
                <w:color w:val="auto"/>
                <w:highlight w:val="none"/>
              </w:rPr>
            </w:pPr>
          </w:p>
          <w:p w14:paraId="505B5DF3">
            <w:pPr>
              <w:rPr>
                <w:color w:val="auto"/>
                <w:highlight w:val="none"/>
              </w:rPr>
            </w:pPr>
          </w:p>
          <w:p w14:paraId="059BAA8F">
            <w:pPr>
              <w:pStyle w:val="7"/>
              <w:rPr>
                <w:color w:val="auto"/>
                <w:highlight w:val="none"/>
              </w:rPr>
            </w:pPr>
          </w:p>
          <w:p w14:paraId="7FB10C37">
            <w:pPr>
              <w:pStyle w:val="7"/>
              <w:rPr>
                <w:color w:val="auto"/>
                <w:highlight w:val="none"/>
              </w:rPr>
            </w:pPr>
          </w:p>
          <w:p w14:paraId="2E506C53">
            <w:pPr>
              <w:pStyle w:val="7"/>
              <w:rPr>
                <w:color w:val="auto"/>
                <w:highlight w:val="none"/>
              </w:rPr>
            </w:pPr>
          </w:p>
          <w:p w14:paraId="02F39F65">
            <w:pPr>
              <w:pStyle w:val="7"/>
              <w:rPr>
                <w:color w:val="auto"/>
                <w:highlight w:val="none"/>
              </w:rPr>
            </w:pPr>
          </w:p>
          <w:p w14:paraId="67C48426">
            <w:pPr>
              <w:pStyle w:val="7"/>
              <w:rPr>
                <w:color w:val="auto"/>
                <w:highlight w:val="none"/>
              </w:rPr>
            </w:pPr>
          </w:p>
          <w:p w14:paraId="7D4C19D9">
            <w:pPr>
              <w:pStyle w:val="33"/>
              <w:ind w:left="0" w:leftChars="0" w:firstLine="0" w:firstLineChars="0"/>
              <w:rPr>
                <w:color w:val="auto"/>
                <w:highlight w:val="none"/>
              </w:rPr>
            </w:pPr>
          </w:p>
        </w:tc>
        <w:tc>
          <w:tcPr>
            <w:tcW w:w="8544" w:type="dxa"/>
          </w:tcPr>
          <w:p w14:paraId="0F3AD68B">
            <w:pPr>
              <w:pStyle w:val="8"/>
              <w:rPr>
                <w:color w:val="auto"/>
                <w:highlight w:val="none"/>
              </w:rPr>
            </w:pPr>
            <w:r>
              <w:rPr>
                <w:color w:val="auto"/>
                <w:highlight w:val="none"/>
              </w:rPr>
              <w:t xml:space="preserve">1 </w:t>
            </w:r>
            <w:r>
              <w:rPr>
                <w:rFonts w:hint="eastAsia"/>
                <w:color w:val="auto"/>
                <w:highlight w:val="none"/>
              </w:rPr>
              <w:t>项目由来</w:t>
            </w:r>
          </w:p>
          <w:p w14:paraId="3771629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olor w:val="auto"/>
                <w:lang w:val="en-US" w:eastAsia="zh-CN"/>
              </w:rPr>
            </w:pPr>
            <w:r>
              <w:rPr>
                <w:rFonts w:hint="eastAsia"/>
                <w:color w:val="auto"/>
                <w:highlight w:val="none"/>
                <w:lang w:val="en-US" w:eastAsia="zh-CN"/>
              </w:rPr>
              <w:t>秦皇岛市日昌升农产品有限公司成立于2010年1月，</w:t>
            </w:r>
            <w:r>
              <w:rPr>
                <w:rFonts w:hint="eastAsia"/>
                <w:color w:val="auto"/>
                <w:lang w:val="en-US" w:eastAsia="zh-CN"/>
              </w:rPr>
              <w:t>现建有汽车零部件加工项目，年生产芯子30万件、模具零件20万件、车门密封饰条30万件、从动轴等配件10万件，全厂总产能为年生产汽车零部件90万件。</w:t>
            </w:r>
          </w:p>
          <w:p w14:paraId="5A39A8A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olor w:val="auto"/>
                <w:lang w:val="en-US" w:eastAsia="zh-CN"/>
              </w:rPr>
            </w:pPr>
            <w:r>
              <w:rPr>
                <w:rFonts w:hint="eastAsia"/>
                <w:color w:val="auto"/>
                <w:lang w:val="en-US" w:eastAsia="zh-CN"/>
              </w:rPr>
              <w:t>为适应市场需求，提供企业的竞争能力，秦皇岛市日昌升农产品有限公司拟投资200万元建设汽车零部件加工扩建项目，对现有项目产品方案进行调整，生产工艺进行升级，项目建设完成后全厂总产能为年生产、加工汽车零部件120万件（折合900吨）。</w:t>
            </w:r>
          </w:p>
          <w:p w14:paraId="5C9A5769">
            <w:pPr>
              <w:pStyle w:val="30"/>
              <w:spacing w:before="0" w:beforeAutospacing="0" w:after="0" w:afterAutospacing="0"/>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根据《中华人民共和国环境影响评价法》、《建设项目环境保护管理条例》、</w:t>
            </w:r>
            <w:r>
              <w:rPr>
                <w:rFonts w:hint="default" w:ascii="Times New Roman" w:hAnsi="Times New Roman" w:cs="Times New Roman"/>
                <w:color w:val="auto"/>
                <w:kern w:val="2"/>
                <w:szCs w:val="24"/>
                <w:highlight w:val="none"/>
              </w:rPr>
              <w:t>《建设项目环境影响评价分类管理名录（2021年版）》</w:t>
            </w:r>
            <w:r>
              <w:rPr>
                <w:rFonts w:hint="default" w:ascii="Times New Roman" w:hAnsi="Times New Roman" w:cs="Times New Roman"/>
                <w:color w:val="auto"/>
                <w:highlight w:val="none"/>
              </w:rPr>
              <w:t>的有关要求，本项目属于</w:t>
            </w:r>
            <w:r>
              <w:rPr>
                <w:rFonts w:hint="default" w:ascii="Times New Roman" w:hAnsi="Times New Roman" w:cs="Times New Roman"/>
                <w:color w:val="auto"/>
                <w:highlight w:val="none"/>
                <w:lang w:val="en-US" w:eastAsia="zh-CN"/>
              </w:rPr>
              <w:t>三十</w:t>
            </w:r>
            <w:r>
              <w:rPr>
                <w:rFonts w:hint="default" w:ascii="Times New Roman" w:hAnsi="Times New Roman" w:cs="Times New Roman"/>
                <w:color w:val="auto"/>
                <w:highlight w:val="none"/>
              </w:rPr>
              <w:t>、</w:t>
            </w:r>
            <w:r>
              <w:rPr>
                <w:rFonts w:hint="default" w:ascii="Times New Roman" w:hAnsi="Times New Roman" w:cs="Times New Roman"/>
                <w:color w:val="auto"/>
                <w:highlight w:val="none"/>
                <w:lang w:val="en-US" w:eastAsia="zh-CN"/>
              </w:rPr>
              <w:t>金属制品业  33.33  66.结构性金属制品制造331   其他（仅分割、焊接、组装的除外；年用非溶剂型低VOCs含量涂料10吨以下的除外）</w:t>
            </w:r>
            <w:r>
              <w:rPr>
                <w:rFonts w:hint="eastAsia" w:ascii="Times New Roman" w:hAnsi="Times New Roman" w:cs="Times New Roman"/>
                <w:color w:val="auto"/>
                <w:highlight w:val="none"/>
                <w:lang w:val="en-US" w:eastAsia="zh-CN"/>
              </w:rPr>
              <w:t>，</w:t>
            </w:r>
            <w:r>
              <w:rPr>
                <w:rFonts w:hint="default" w:ascii="Times New Roman" w:hAnsi="Times New Roman" w:cs="Times New Roman"/>
                <w:color w:val="auto"/>
                <w:highlight w:val="none"/>
              </w:rPr>
              <w:t>为报告表类。为此，</w:t>
            </w:r>
            <w:r>
              <w:rPr>
                <w:rFonts w:hint="eastAsia" w:ascii="Times New Roman" w:hAnsi="Times New Roman" w:cs="Times New Roman"/>
                <w:color w:val="auto"/>
                <w:highlight w:val="none"/>
                <w:lang w:val="en-US" w:eastAsia="zh-CN"/>
              </w:rPr>
              <w:t>秦皇岛市日昌升农产品有限公司</w:t>
            </w:r>
            <w:r>
              <w:rPr>
                <w:rFonts w:hint="default" w:ascii="Times New Roman" w:hAnsi="Times New Roman" w:cs="Times New Roman"/>
                <w:color w:val="auto"/>
                <w:highlight w:val="none"/>
              </w:rPr>
              <w:t>委托我公司开展该项目的环境影响评价工作，编制环境影响报告表。评价单位接受委托后，根据国家有关环境影响评价工作的技术要求，结合工程和项目所在地的特点，在现场踏勘、收集资料、并依据有关资料和同类工程分析、类比的基础上，编制完成该项目环境影响报告表。</w:t>
            </w:r>
          </w:p>
          <w:p w14:paraId="19E3EE40">
            <w:pPr>
              <w:pStyle w:val="8"/>
              <w:keepNext/>
              <w:keepLines/>
              <w:pageBreakBefore w:val="0"/>
              <w:widowControl w:val="0"/>
              <w:kinsoku/>
              <w:wordWrap/>
              <w:overflowPunct/>
              <w:topLinePunct w:val="0"/>
              <w:autoSpaceDE/>
              <w:autoSpaceDN/>
              <w:bidi w:val="0"/>
              <w:adjustRightInd w:val="0"/>
              <w:snapToGrid w:val="0"/>
              <w:textAlignment w:val="auto"/>
              <w:rPr>
                <w:rFonts w:hint="eastAsia" w:eastAsia="宋体"/>
                <w:color w:val="auto"/>
                <w:highlight w:val="none"/>
                <w:lang w:val="en-US" w:eastAsia="zh-CN"/>
              </w:rPr>
            </w:pPr>
            <w:r>
              <w:rPr>
                <w:rFonts w:hint="eastAsia"/>
                <w:color w:val="auto"/>
                <w:highlight w:val="none"/>
                <w:lang w:val="en-US" w:eastAsia="zh-CN"/>
              </w:rPr>
              <w:t>2 现有</w:t>
            </w:r>
            <w:r>
              <w:rPr>
                <w:rFonts w:hint="eastAsia"/>
                <w:color w:val="auto"/>
                <w:highlight w:val="none"/>
              </w:rPr>
              <w:t>项目</w:t>
            </w:r>
            <w:r>
              <w:rPr>
                <w:rFonts w:hint="eastAsia"/>
                <w:color w:val="auto"/>
                <w:highlight w:val="none"/>
                <w:lang w:val="en-US" w:eastAsia="zh-CN"/>
              </w:rPr>
              <w:t>概况</w:t>
            </w:r>
          </w:p>
          <w:p w14:paraId="4427CD16">
            <w:pPr>
              <w:pStyle w:val="9"/>
              <w:keepNext/>
              <w:keepLines/>
              <w:pageBreakBefore w:val="0"/>
              <w:widowControl w:val="0"/>
              <w:kinsoku/>
              <w:wordWrap/>
              <w:overflowPunct/>
              <w:topLinePunct w:val="0"/>
              <w:autoSpaceDE/>
              <w:autoSpaceDN/>
              <w:bidi w:val="0"/>
              <w:adjustRightInd w:val="0"/>
              <w:snapToGrid w:val="0"/>
              <w:textAlignment w:val="auto"/>
              <w:rPr>
                <w:color w:val="auto"/>
                <w:highlight w:val="none"/>
              </w:rPr>
            </w:pPr>
            <w:r>
              <w:rPr>
                <w:rFonts w:hint="eastAsia"/>
                <w:color w:val="auto"/>
                <w:highlight w:val="none"/>
                <w:lang w:val="en-US" w:eastAsia="zh-CN"/>
              </w:rPr>
              <w:t>2</w:t>
            </w:r>
            <w:r>
              <w:rPr>
                <w:rFonts w:hint="eastAsia"/>
                <w:color w:val="auto"/>
                <w:highlight w:val="none"/>
              </w:rPr>
              <w:t xml:space="preserve">.1 </w:t>
            </w:r>
            <w:r>
              <w:rPr>
                <w:rFonts w:hint="eastAsia"/>
                <w:color w:val="auto"/>
                <w:highlight w:val="none"/>
                <w:lang w:val="en-US" w:eastAsia="zh-CN"/>
              </w:rPr>
              <w:t>现有</w:t>
            </w:r>
            <w:r>
              <w:rPr>
                <w:rFonts w:hint="eastAsia"/>
                <w:color w:val="auto"/>
                <w:highlight w:val="none"/>
              </w:rPr>
              <w:t>项目概况</w:t>
            </w:r>
            <w:bookmarkStart w:id="4" w:name="_GoBack"/>
            <w:bookmarkEnd w:id="4"/>
          </w:p>
          <w:p w14:paraId="1FA74781">
            <w:pPr>
              <w:keepNext w:val="0"/>
              <w:keepLines w:val="0"/>
              <w:pageBreakBefore w:val="0"/>
              <w:widowControl w:val="0"/>
              <w:kinsoku/>
              <w:wordWrap/>
              <w:overflowPunct/>
              <w:topLinePunct w:val="0"/>
              <w:autoSpaceDE/>
              <w:autoSpaceDN/>
              <w:bidi w:val="0"/>
              <w:adjustRightInd w:val="0"/>
              <w:snapToGrid/>
              <w:ind w:firstLine="480" w:firstLineChars="200"/>
              <w:jc w:val="both"/>
              <w:textAlignment w:val="auto"/>
              <w:rPr>
                <w:rFonts w:hint="default" w:ascii="Times New Roman" w:hAnsi="Times New Roman" w:eastAsia="宋体" w:cs="Times New Roman"/>
                <w:color w:val="auto"/>
                <w:highlight w:val="none"/>
                <w:lang w:val="en-US" w:eastAsia="zh-CN"/>
              </w:rPr>
            </w:pPr>
            <w:r>
              <w:rPr>
                <w:rFonts w:hint="default"/>
                <w:color w:val="auto"/>
                <w:highlight w:val="none"/>
              </w:rPr>
              <w:t>（1）项目名称</w:t>
            </w:r>
            <w:r>
              <w:rPr>
                <w:rFonts w:hint="default" w:ascii="Times New Roman" w:hAnsi="Times New Roman" w:eastAsia="宋体" w:cs="Times New Roman"/>
                <w:color w:val="auto"/>
                <w:highlight w:val="none"/>
                <w:lang w:val="en-US" w:eastAsia="zh-CN"/>
              </w:rPr>
              <w:t>：</w:t>
            </w:r>
            <w:r>
              <w:rPr>
                <w:rFonts w:hint="eastAsia" w:cs="Times New Roman"/>
                <w:color w:val="auto"/>
                <w:highlight w:val="none"/>
                <w:lang w:val="en-US" w:eastAsia="zh-CN"/>
              </w:rPr>
              <w:t xml:space="preserve">汽车零部件加工扩建项目 </w:t>
            </w:r>
          </w:p>
          <w:p w14:paraId="5A89DD6F">
            <w:pPr>
              <w:keepNext w:val="0"/>
              <w:keepLines w:val="0"/>
              <w:pageBreakBefore w:val="0"/>
              <w:widowControl w:val="0"/>
              <w:kinsoku/>
              <w:wordWrap/>
              <w:overflowPunct/>
              <w:topLinePunct w:val="0"/>
              <w:autoSpaceDE/>
              <w:autoSpaceDN/>
              <w:bidi w:val="0"/>
              <w:adjustRightInd w:val="0"/>
              <w:snapToGrid/>
              <w:ind w:firstLine="480" w:firstLineChars="200"/>
              <w:jc w:val="both"/>
              <w:textAlignment w:val="auto"/>
              <w:rPr>
                <w:rFonts w:hint="eastAsia" w:eastAsia="宋体"/>
                <w:color w:val="auto"/>
                <w:highlight w:val="none"/>
                <w:lang w:val="en-US" w:eastAsia="zh-CN"/>
              </w:rPr>
            </w:pPr>
            <w:r>
              <w:rPr>
                <w:rFonts w:hint="default"/>
                <w:color w:val="auto"/>
                <w:highlight w:val="none"/>
              </w:rPr>
              <w:t>（2）建设单位：</w:t>
            </w:r>
            <w:r>
              <w:rPr>
                <w:rFonts w:hint="eastAsia"/>
                <w:color w:val="auto"/>
                <w:highlight w:val="none"/>
                <w:lang w:eastAsia="zh-CN"/>
              </w:rPr>
              <w:t>秦皇岛市日昌升农产品有限公司</w:t>
            </w:r>
          </w:p>
          <w:p w14:paraId="17501DF6">
            <w:pPr>
              <w:keepNext w:val="0"/>
              <w:keepLines w:val="0"/>
              <w:pageBreakBefore w:val="0"/>
              <w:widowControl w:val="0"/>
              <w:kinsoku/>
              <w:wordWrap/>
              <w:overflowPunct/>
              <w:topLinePunct w:val="0"/>
              <w:autoSpaceDE/>
              <w:autoSpaceDN/>
              <w:bidi w:val="0"/>
              <w:adjustRightInd w:val="0"/>
              <w:snapToGrid/>
              <w:ind w:firstLine="480" w:firstLineChars="200"/>
              <w:jc w:val="both"/>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w:t>
            </w:r>
            <w:r>
              <w:rPr>
                <w:rFonts w:hint="eastAsia" w:cs="Times New Roman"/>
                <w:color w:val="auto"/>
                <w:highlight w:val="none"/>
                <w:lang w:val="en-US" w:eastAsia="zh-CN"/>
              </w:rPr>
              <w:t>3</w:t>
            </w:r>
            <w:r>
              <w:rPr>
                <w:rFonts w:hint="default" w:ascii="Times New Roman" w:hAnsi="Times New Roman" w:cs="Times New Roman"/>
                <w:color w:val="auto"/>
                <w:highlight w:val="none"/>
              </w:rPr>
              <w:t>）建设地点：</w:t>
            </w:r>
            <w:r>
              <w:rPr>
                <w:rFonts w:hint="eastAsia" w:cs="Times New Roman"/>
                <w:color w:val="auto"/>
                <w:highlight w:val="none"/>
                <w:lang w:val="en-US" w:eastAsia="zh-CN"/>
              </w:rPr>
              <w:t>秦皇岛市抚宁区下庄管区102国道南侧，</w:t>
            </w:r>
            <w:r>
              <w:rPr>
                <w:rFonts w:hint="default" w:ascii="Times New Roman" w:hAnsi="Times New Roman" w:cs="Times New Roman"/>
                <w:color w:val="auto"/>
                <w:highlight w:val="none"/>
                <w:lang w:val="en-US" w:eastAsia="zh-CN"/>
              </w:rPr>
              <w:t>本项目</w:t>
            </w:r>
            <w:r>
              <w:rPr>
                <w:rFonts w:hint="default" w:ascii="Times New Roman" w:hAnsi="Times New Roman" w:cs="Times New Roman"/>
                <w:color w:val="auto"/>
                <w:highlight w:val="none"/>
              </w:rPr>
              <w:t>中心位置坐标：北纬</w:t>
            </w:r>
            <w:r>
              <w:rPr>
                <w:rFonts w:hint="default" w:ascii="Times New Roman" w:hAnsi="Times New Roman" w:cs="Times New Roman"/>
                <w:color w:val="auto"/>
                <w:highlight w:val="none"/>
                <w:lang w:eastAsia="zh-CN"/>
              </w:rPr>
              <w:t>119°18′9.263″</w:t>
            </w:r>
            <w:r>
              <w:rPr>
                <w:rFonts w:hint="default" w:ascii="Times New Roman" w:hAnsi="Times New Roman" w:cs="Times New Roman"/>
                <w:color w:val="auto"/>
                <w:highlight w:val="none"/>
              </w:rPr>
              <w:t>，东经</w:t>
            </w:r>
            <w:r>
              <w:rPr>
                <w:rFonts w:hint="default" w:ascii="Times New Roman" w:hAnsi="Times New Roman" w:cs="Times New Roman"/>
                <w:color w:val="auto"/>
                <w:highlight w:val="none"/>
                <w:lang w:eastAsia="zh-CN"/>
              </w:rPr>
              <w:t>39°52′42.825″</w:t>
            </w:r>
            <w:r>
              <w:rPr>
                <w:rFonts w:hint="default" w:ascii="Times New Roman" w:hAnsi="Times New Roman" w:cs="Times New Roman"/>
                <w:color w:val="auto"/>
                <w:highlight w:val="none"/>
              </w:rPr>
              <w:t>。</w:t>
            </w:r>
            <w:r>
              <w:rPr>
                <w:rFonts w:hint="eastAsia" w:ascii="Times New Roman" w:hAnsi="Times New Roman" w:cs="Times New Roman"/>
                <w:bCs/>
                <w:color w:val="auto"/>
                <w:sz w:val="24"/>
                <w:highlight w:val="none"/>
                <w:lang w:val="en-US" w:eastAsia="zh-CN"/>
              </w:rPr>
              <w:t>厂界北侧为骊城大街，西侧为乡村道路，南侧、东侧均为空地</w:t>
            </w:r>
            <w:r>
              <w:rPr>
                <w:rFonts w:hint="eastAsia" w:ascii="Times New Roman" w:hAnsi="Times New Roman" w:cs="Times New Roman"/>
                <w:color w:val="auto"/>
                <w:highlight w:val="none"/>
                <w:lang w:val="en-US" w:eastAsia="zh-CN"/>
              </w:rPr>
              <w:t>。</w:t>
            </w:r>
            <w:r>
              <w:rPr>
                <w:rFonts w:hint="default" w:ascii="Times New Roman" w:hAnsi="Times New Roman" w:cs="Times New Roman"/>
                <w:color w:val="auto"/>
                <w:highlight w:val="none"/>
                <w:lang w:val="en-US" w:eastAsia="zh-CN"/>
              </w:rPr>
              <w:t>项目所在厂址周边关系示意图见附图2所示。</w:t>
            </w:r>
          </w:p>
          <w:p w14:paraId="3910EC22">
            <w:pPr>
              <w:keepNext w:val="0"/>
              <w:keepLines w:val="0"/>
              <w:pageBreakBefore w:val="0"/>
              <w:widowControl w:val="0"/>
              <w:numPr>
                <w:ilvl w:val="0"/>
                <w:numId w:val="0"/>
              </w:numPr>
              <w:kinsoku/>
              <w:wordWrap/>
              <w:overflowPunct/>
              <w:topLinePunct w:val="0"/>
              <w:autoSpaceDE/>
              <w:autoSpaceDN/>
              <w:bidi w:val="0"/>
              <w:adjustRightInd w:val="0"/>
              <w:snapToGrid w:val="0"/>
              <w:ind w:firstLine="480" w:firstLineChars="200"/>
              <w:jc w:val="both"/>
              <w:textAlignment w:val="auto"/>
              <w:rPr>
                <w:rFonts w:hint="eastAsia"/>
                <w:color w:val="auto"/>
                <w:highlight w:val="none"/>
                <w:lang w:val="en-US" w:eastAsia="zh-CN"/>
              </w:rPr>
            </w:pPr>
            <w:r>
              <w:rPr>
                <w:rFonts w:hint="eastAsia" w:ascii="Times New Roman" w:hAnsi="Times New Roman" w:eastAsia="宋体" w:cs="Times New Roman"/>
                <w:color w:val="auto"/>
                <w:kern w:val="2"/>
                <w:sz w:val="24"/>
                <w:szCs w:val="24"/>
                <w:highlight w:val="none"/>
                <w:lang w:val="en-US" w:eastAsia="zh-CN" w:bidi="ar-SA"/>
              </w:rPr>
              <w:t>（</w:t>
            </w:r>
            <w:r>
              <w:rPr>
                <w:rFonts w:hint="eastAsia" w:cs="Times New Roman"/>
                <w:color w:val="auto"/>
                <w:kern w:val="2"/>
                <w:sz w:val="24"/>
                <w:szCs w:val="24"/>
                <w:highlight w:val="none"/>
                <w:lang w:val="en-US" w:eastAsia="zh-CN" w:bidi="ar-SA"/>
              </w:rPr>
              <w:t>4</w:t>
            </w:r>
            <w:r>
              <w:rPr>
                <w:rFonts w:hint="eastAsia" w:ascii="Times New Roman" w:hAnsi="Times New Roman" w:eastAsia="宋体" w:cs="Times New Roman"/>
                <w:color w:val="auto"/>
                <w:kern w:val="2"/>
                <w:sz w:val="24"/>
                <w:szCs w:val="24"/>
                <w:highlight w:val="none"/>
                <w:lang w:val="en-US" w:eastAsia="zh-CN" w:bidi="ar-SA"/>
              </w:rPr>
              <w:t>）</w:t>
            </w:r>
            <w:r>
              <w:rPr>
                <w:rFonts w:hint="eastAsia"/>
                <w:color w:val="auto"/>
                <w:highlight w:val="none"/>
                <w:lang w:val="en-US" w:eastAsia="zh-CN"/>
              </w:rPr>
              <w:t>建设内容：建设机加工车间1座，机加工库房等，年生产汽车零部件90万件，其中年生产芯子30万件、模具零件20万件、车门密封饰条30万件、从动轴等设备配件10万件。</w:t>
            </w:r>
          </w:p>
          <w:p w14:paraId="2751EC67">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color w:val="auto"/>
                <w:highlight w:val="none"/>
              </w:rPr>
            </w:pPr>
            <w:r>
              <w:rPr>
                <w:rFonts w:hint="default"/>
                <w:color w:val="auto"/>
                <w:highlight w:val="none"/>
              </w:rPr>
              <w:t>（</w:t>
            </w:r>
            <w:r>
              <w:rPr>
                <w:rFonts w:hint="eastAsia"/>
                <w:color w:val="auto"/>
                <w:highlight w:val="none"/>
                <w:lang w:val="en-US" w:eastAsia="zh-CN"/>
              </w:rPr>
              <w:t>5</w:t>
            </w:r>
            <w:r>
              <w:rPr>
                <w:rFonts w:hint="default"/>
                <w:color w:val="auto"/>
                <w:highlight w:val="none"/>
              </w:rPr>
              <w:t>）劳动</w:t>
            </w:r>
            <w:r>
              <w:rPr>
                <w:rFonts w:hint="default" w:ascii="Times New Roman" w:hAnsi="Times New Roman" w:eastAsia="宋体" w:cs="Times New Roman"/>
                <w:color w:val="auto"/>
                <w:highlight w:val="none"/>
              </w:rPr>
              <w:t>定员</w:t>
            </w:r>
            <w:r>
              <w:rPr>
                <w:rFonts w:hint="default"/>
                <w:color w:val="auto"/>
                <w:highlight w:val="none"/>
              </w:rPr>
              <w:t>及工作制度：</w:t>
            </w:r>
            <w:r>
              <w:rPr>
                <w:rFonts w:hint="default"/>
                <w:color w:val="auto"/>
                <w:highlight w:val="none"/>
                <w:lang w:val="en-US" w:eastAsia="zh-CN"/>
              </w:rPr>
              <w:t>本项目工作人员</w:t>
            </w:r>
            <w:r>
              <w:rPr>
                <w:rFonts w:hint="eastAsia"/>
                <w:color w:val="auto"/>
                <w:highlight w:val="none"/>
                <w:lang w:val="en-US" w:eastAsia="zh-CN"/>
              </w:rPr>
              <w:t>10</w:t>
            </w:r>
            <w:r>
              <w:rPr>
                <w:rFonts w:hint="default"/>
                <w:color w:val="auto"/>
                <w:highlight w:val="none"/>
                <w:lang w:val="en-US" w:eastAsia="zh-CN"/>
              </w:rPr>
              <w:t>人，年工作天数为</w:t>
            </w:r>
            <w:r>
              <w:rPr>
                <w:rFonts w:hint="eastAsia"/>
                <w:color w:val="auto"/>
                <w:highlight w:val="none"/>
                <w:lang w:val="en-US" w:eastAsia="zh-CN"/>
              </w:rPr>
              <w:t>300</w:t>
            </w:r>
            <w:r>
              <w:rPr>
                <w:rFonts w:hint="default"/>
                <w:color w:val="auto"/>
                <w:highlight w:val="none"/>
                <w:lang w:val="en-US" w:eastAsia="zh-CN"/>
              </w:rPr>
              <w:t>天，</w:t>
            </w:r>
            <w:r>
              <w:rPr>
                <w:rFonts w:hint="eastAsia"/>
                <w:color w:val="auto"/>
                <w:highlight w:val="none"/>
                <w:lang w:val="en-US" w:eastAsia="zh-CN"/>
              </w:rPr>
              <w:t>每天1班制，每班工作8小时，不提供住宿及食堂</w:t>
            </w:r>
            <w:r>
              <w:rPr>
                <w:color w:val="auto"/>
                <w:highlight w:val="none"/>
              </w:rPr>
              <w:t>。</w:t>
            </w:r>
          </w:p>
          <w:p w14:paraId="0BA0753F">
            <w:pPr>
              <w:pStyle w:val="9"/>
              <w:rPr>
                <w:color w:val="auto"/>
                <w:highlight w:val="none"/>
              </w:rPr>
            </w:pPr>
            <w:r>
              <w:rPr>
                <w:rFonts w:hint="eastAsia"/>
                <w:color w:val="auto"/>
                <w:highlight w:val="none"/>
                <w:lang w:val="en-US" w:eastAsia="zh-CN"/>
              </w:rPr>
              <w:t>2</w:t>
            </w:r>
            <w:r>
              <w:rPr>
                <w:rFonts w:hint="eastAsia"/>
                <w:color w:val="auto"/>
                <w:highlight w:val="none"/>
              </w:rPr>
              <w:t xml:space="preserve">.2 </w:t>
            </w:r>
            <w:r>
              <w:rPr>
                <w:color w:val="auto"/>
                <w:highlight w:val="none"/>
              </w:rPr>
              <w:t>工程规模及工程内容</w:t>
            </w:r>
          </w:p>
          <w:p w14:paraId="719CF26A">
            <w:pPr>
              <w:spacing w:line="240" w:lineRule="auto"/>
              <w:ind w:firstLine="480" w:firstLineChars="200"/>
              <w:rPr>
                <w:color w:val="auto"/>
                <w:highlight w:val="none"/>
              </w:rPr>
            </w:pPr>
            <w:r>
              <w:rPr>
                <w:rFonts w:hint="eastAsia"/>
                <w:color w:val="auto"/>
                <w:highlight w:val="none"/>
                <w:lang w:val="en-US" w:eastAsia="zh-CN"/>
              </w:rPr>
              <w:t>现有</w:t>
            </w:r>
            <w:r>
              <w:rPr>
                <w:rFonts w:hint="eastAsia"/>
                <w:color w:val="auto"/>
                <w:highlight w:val="none"/>
              </w:rPr>
              <w:t>项目组成见下表：</w:t>
            </w:r>
          </w:p>
          <w:p w14:paraId="55E266D9">
            <w:pPr>
              <w:pStyle w:val="47"/>
              <w:ind w:left="482" w:hanging="482"/>
              <w:rPr>
                <w:color w:val="auto"/>
                <w:highlight w:val="none"/>
              </w:rPr>
            </w:pPr>
            <w:r>
              <w:rPr>
                <w:color w:val="auto"/>
                <w:highlight w:val="none"/>
              </w:rPr>
              <w:t>表</w:t>
            </w:r>
            <w:r>
              <w:rPr>
                <w:rFonts w:hint="eastAsia"/>
                <w:color w:val="auto"/>
                <w:highlight w:val="none"/>
                <w:lang w:val="en-US" w:eastAsia="zh-CN"/>
              </w:rPr>
              <w:t xml:space="preserve">2-1 </w:t>
            </w:r>
            <w:r>
              <w:rPr>
                <w:color w:val="auto"/>
                <w:highlight w:val="none"/>
              </w:rPr>
              <w:t xml:space="preserve"> 项目组成一览表</w:t>
            </w:r>
          </w:p>
          <w:tbl>
            <w:tblPr>
              <w:tblStyle w:val="3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9"/>
              <w:gridCol w:w="426"/>
              <w:gridCol w:w="1212"/>
              <w:gridCol w:w="6026"/>
            </w:tblGrid>
            <w:tr w14:paraId="74160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70" w:hRule="atLeast"/>
                <w:jc w:val="center"/>
              </w:trPr>
              <w:tc>
                <w:tcPr>
                  <w:tcW w:w="396" w:type="pct"/>
                  <w:vAlign w:val="center"/>
                </w:tcPr>
                <w:p w14:paraId="7FFC5F4E">
                  <w:pPr>
                    <w:pStyle w:val="58"/>
                    <w:ind w:firstLine="0"/>
                    <w:rPr>
                      <w:rFonts w:ascii="Times New Roman" w:hAnsi="Times New Roman"/>
                      <w:color w:val="auto"/>
                      <w:highlight w:val="none"/>
                    </w:rPr>
                  </w:pPr>
                  <w:r>
                    <w:rPr>
                      <w:rFonts w:ascii="Times New Roman" w:hAnsi="Times New Roman"/>
                      <w:color w:val="auto"/>
                      <w:highlight w:val="none"/>
                    </w:rPr>
                    <w:t>项目</w:t>
                  </w:r>
                </w:p>
              </w:tc>
              <w:tc>
                <w:tcPr>
                  <w:tcW w:w="983" w:type="pct"/>
                  <w:gridSpan w:val="2"/>
                  <w:vAlign w:val="center"/>
                </w:tcPr>
                <w:p w14:paraId="35D844EE">
                  <w:pPr>
                    <w:pStyle w:val="58"/>
                    <w:ind w:firstLine="0"/>
                    <w:rPr>
                      <w:rFonts w:ascii="Times New Roman" w:hAnsi="Times New Roman"/>
                      <w:color w:val="auto"/>
                      <w:highlight w:val="none"/>
                    </w:rPr>
                  </w:pPr>
                  <w:r>
                    <w:rPr>
                      <w:rFonts w:ascii="Times New Roman" w:hAnsi="Times New Roman"/>
                      <w:color w:val="auto"/>
                      <w:highlight w:val="none"/>
                    </w:rPr>
                    <w:t>项目组成</w:t>
                  </w:r>
                </w:p>
              </w:tc>
              <w:tc>
                <w:tcPr>
                  <w:tcW w:w="3619" w:type="pct"/>
                  <w:vAlign w:val="center"/>
                </w:tcPr>
                <w:p w14:paraId="36C94C0E">
                  <w:pPr>
                    <w:pStyle w:val="58"/>
                    <w:ind w:firstLine="0"/>
                    <w:rPr>
                      <w:rFonts w:ascii="Times New Roman" w:hAnsi="Times New Roman"/>
                      <w:color w:val="auto"/>
                      <w:highlight w:val="none"/>
                    </w:rPr>
                  </w:pPr>
                  <w:r>
                    <w:rPr>
                      <w:rFonts w:ascii="Times New Roman" w:hAnsi="Times New Roman"/>
                      <w:color w:val="auto"/>
                      <w:highlight w:val="none"/>
                    </w:rPr>
                    <w:t>项目工程内容</w:t>
                  </w:r>
                </w:p>
              </w:tc>
            </w:tr>
            <w:tr w14:paraId="386DF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396" w:type="pct"/>
                  <w:vAlign w:val="center"/>
                </w:tcPr>
                <w:p w14:paraId="01C77857">
                  <w:pPr>
                    <w:pStyle w:val="58"/>
                    <w:ind w:firstLine="0"/>
                    <w:rPr>
                      <w:rFonts w:ascii="Times New Roman" w:hAnsi="Times New Roman"/>
                      <w:color w:val="auto"/>
                      <w:highlight w:val="none"/>
                    </w:rPr>
                  </w:pPr>
                  <w:r>
                    <w:rPr>
                      <w:rFonts w:ascii="Times New Roman" w:hAnsi="Times New Roman"/>
                      <w:color w:val="auto"/>
                      <w:highlight w:val="none"/>
                    </w:rPr>
                    <w:t>主体工程</w:t>
                  </w:r>
                </w:p>
              </w:tc>
              <w:tc>
                <w:tcPr>
                  <w:tcW w:w="983" w:type="pct"/>
                  <w:gridSpan w:val="2"/>
                  <w:vAlign w:val="center"/>
                </w:tcPr>
                <w:p w14:paraId="50FC124B">
                  <w:pPr>
                    <w:pStyle w:val="58"/>
                    <w:ind w:firstLine="0"/>
                    <w:rPr>
                      <w:rFonts w:hint="eastAsia" w:ascii="Times New Roman" w:hAnsi="Times New Roman" w:eastAsia="宋体"/>
                      <w:color w:val="auto"/>
                      <w:highlight w:val="none"/>
                      <w:lang w:eastAsia="zh-CN"/>
                    </w:rPr>
                  </w:pPr>
                  <w:r>
                    <w:rPr>
                      <w:rFonts w:hint="eastAsia" w:ascii="Times New Roman" w:hAnsi="Times New Roman"/>
                      <w:color w:val="auto"/>
                      <w:highlight w:val="none"/>
                      <w:lang w:val="en-US" w:eastAsia="zh-CN"/>
                    </w:rPr>
                    <w:t>机加工车间</w:t>
                  </w:r>
                </w:p>
              </w:tc>
              <w:tc>
                <w:tcPr>
                  <w:tcW w:w="3619" w:type="pct"/>
                  <w:tcBorders>
                    <w:bottom w:val="nil"/>
                  </w:tcBorders>
                  <w:vAlign w:val="center"/>
                </w:tcPr>
                <w:p w14:paraId="5E263DB8">
                  <w:pPr>
                    <w:pStyle w:val="58"/>
                    <w:ind w:firstLine="0"/>
                    <w:rPr>
                      <w:rFonts w:hint="default" w:ascii="Times New Roman" w:hAnsi="Times New Roman" w:eastAsia="宋体"/>
                      <w:color w:val="auto"/>
                      <w:highlight w:val="none"/>
                      <w:lang w:val="en-US" w:eastAsia="zh-CN"/>
                    </w:rPr>
                  </w:pPr>
                  <w:r>
                    <w:rPr>
                      <w:rFonts w:hint="eastAsia" w:ascii="Times New Roman" w:hAnsi="Times New Roman"/>
                      <w:color w:val="auto"/>
                      <w:highlight w:val="none"/>
                      <w:lang w:val="en-US" w:eastAsia="zh-CN"/>
                    </w:rPr>
                    <w:t>建筑面积为900m</w:t>
                  </w:r>
                  <w:r>
                    <w:rPr>
                      <w:rFonts w:hint="eastAsia" w:ascii="Times New Roman" w:hAnsi="Times New Roman"/>
                      <w:color w:val="auto"/>
                      <w:highlight w:val="none"/>
                      <w:vertAlign w:val="superscript"/>
                      <w:lang w:val="en-US" w:eastAsia="zh-CN"/>
                    </w:rPr>
                    <w:t>2</w:t>
                  </w:r>
                  <w:r>
                    <w:rPr>
                      <w:rFonts w:hint="eastAsia" w:ascii="Times New Roman" w:hAnsi="Times New Roman"/>
                      <w:color w:val="auto"/>
                      <w:highlight w:val="none"/>
                      <w:lang w:val="en-US" w:eastAsia="zh-CN"/>
                    </w:rPr>
                    <w:t>，内设普通车床、立式加工中心等生产设备，年生产汽车零部件90万件</w:t>
                  </w:r>
                </w:p>
              </w:tc>
            </w:tr>
            <w:tr w14:paraId="268D2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 w:hRule="atLeast"/>
                <w:jc w:val="center"/>
              </w:trPr>
              <w:tc>
                <w:tcPr>
                  <w:tcW w:w="396" w:type="pct"/>
                  <w:vAlign w:val="center"/>
                </w:tcPr>
                <w:p w14:paraId="7A1B606D">
                  <w:pPr>
                    <w:pStyle w:val="58"/>
                    <w:ind w:firstLine="0"/>
                    <w:rPr>
                      <w:rFonts w:hint="eastAsia" w:ascii="Times New Roman" w:hAnsi="Times New Roman" w:eastAsia="宋体"/>
                      <w:color w:val="auto"/>
                      <w:highlight w:val="none"/>
                      <w:lang w:val="en-US" w:eastAsia="zh-CN"/>
                    </w:rPr>
                  </w:pPr>
                  <w:r>
                    <w:rPr>
                      <w:rFonts w:hint="eastAsia" w:ascii="Times New Roman" w:hAnsi="Times New Roman"/>
                      <w:color w:val="auto"/>
                      <w:highlight w:val="none"/>
                      <w:lang w:val="en-US" w:eastAsia="zh-CN"/>
                    </w:rPr>
                    <w:t>储运工程</w:t>
                  </w:r>
                </w:p>
              </w:tc>
              <w:tc>
                <w:tcPr>
                  <w:tcW w:w="983" w:type="pct"/>
                  <w:gridSpan w:val="2"/>
                  <w:vAlign w:val="center"/>
                </w:tcPr>
                <w:p w14:paraId="138B264B">
                  <w:pPr>
                    <w:pStyle w:val="58"/>
                    <w:ind w:firstLine="0"/>
                    <w:rPr>
                      <w:rFonts w:hint="default" w:ascii="Times New Roman" w:hAnsi="Times New Roman" w:eastAsia="宋体"/>
                      <w:color w:val="auto"/>
                      <w:highlight w:val="none"/>
                      <w:lang w:val="en-US" w:eastAsia="zh-CN"/>
                    </w:rPr>
                  </w:pPr>
                  <w:r>
                    <w:rPr>
                      <w:rFonts w:hint="eastAsia" w:ascii="Times New Roman" w:hAnsi="Times New Roman"/>
                      <w:color w:val="auto"/>
                      <w:highlight w:val="none"/>
                      <w:lang w:val="en-US" w:eastAsia="zh-CN"/>
                    </w:rPr>
                    <w:t>机加工库房</w:t>
                  </w:r>
                </w:p>
              </w:tc>
              <w:tc>
                <w:tcPr>
                  <w:tcW w:w="3619" w:type="pct"/>
                  <w:vAlign w:val="center"/>
                </w:tcPr>
                <w:p w14:paraId="02777F01">
                  <w:pPr>
                    <w:pStyle w:val="58"/>
                    <w:ind w:firstLine="0"/>
                    <w:rPr>
                      <w:rFonts w:hint="default" w:ascii="Times New Roman" w:hAnsi="Times New Roman"/>
                      <w:color w:val="auto"/>
                      <w:highlight w:val="none"/>
                      <w:vertAlign w:val="baseline"/>
                      <w:lang w:val="en-US" w:eastAsia="zh-CN"/>
                    </w:rPr>
                  </w:pPr>
                  <w:r>
                    <w:rPr>
                      <w:rFonts w:hint="eastAsia" w:ascii="Times New Roman" w:hAnsi="Times New Roman"/>
                      <w:color w:val="auto"/>
                      <w:highlight w:val="none"/>
                      <w:lang w:val="en-US" w:eastAsia="zh-CN"/>
                    </w:rPr>
                    <w:t>建筑面积680m</w:t>
                  </w:r>
                  <w:r>
                    <w:rPr>
                      <w:rFonts w:hint="eastAsia" w:ascii="Times New Roman" w:hAnsi="Times New Roman"/>
                      <w:color w:val="auto"/>
                      <w:highlight w:val="none"/>
                      <w:vertAlign w:val="superscript"/>
                      <w:lang w:val="en-US" w:eastAsia="zh-CN"/>
                    </w:rPr>
                    <w:t>2</w:t>
                  </w:r>
                  <w:r>
                    <w:rPr>
                      <w:rFonts w:hint="eastAsia" w:ascii="Times New Roman" w:hAnsi="Times New Roman"/>
                      <w:color w:val="auto"/>
                      <w:highlight w:val="none"/>
                      <w:vertAlign w:val="baseline"/>
                      <w:lang w:val="en-US" w:eastAsia="zh-CN"/>
                    </w:rPr>
                    <w:t>，用于存放原辅料及产品</w:t>
                  </w:r>
                </w:p>
              </w:tc>
            </w:tr>
            <w:tr w14:paraId="683E5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jc w:val="center"/>
              </w:trPr>
              <w:tc>
                <w:tcPr>
                  <w:tcW w:w="396" w:type="pct"/>
                  <w:vAlign w:val="center"/>
                </w:tcPr>
                <w:p w14:paraId="3BE7407B">
                  <w:pPr>
                    <w:pStyle w:val="58"/>
                    <w:ind w:firstLine="0" w:firstLineChars="0"/>
                    <w:rPr>
                      <w:rFonts w:hint="eastAsia" w:ascii="Times New Roman" w:hAnsi="Times New Roman"/>
                      <w:color w:val="auto"/>
                      <w:highlight w:val="none"/>
                      <w:lang w:val="en-US" w:eastAsia="zh-CN"/>
                    </w:rPr>
                  </w:pPr>
                  <w:r>
                    <w:rPr>
                      <w:rFonts w:ascii="Times New Roman" w:hAnsi="Times New Roman"/>
                      <w:color w:val="auto"/>
                      <w:highlight w:val="none"/>
                    </w:rPr>
                    <w:t>辅助工程</w:t>
                  </w:r>
                </w:p>
              </w:tc>
              <w:tc>
                <w:tcPr>
                  <w:tcW w:w="983" w:type="pct"/>
                  <w:gridSpan w:val="2"/>
                  <w:vAlign w:val="center"/>
                </w:tcPr>
                <w:p w14:paraId="7E89597D">
                  <w:pPr>
                    <w:spacing w:line="240" w:lineRule="auto"/>
                    <w:jc w:val="center"/>
                    <w:rPr>
                      <w:rFonts w:hint="eastAsia" w:ascii="Times New Roman" w:hAnsi="Times New Roman"/>
                      <w:color w:val="auto"/>
                      <w:highlight w:val="none"/>
                      <w:lang w:val="en-US" w:eastAsia="zh-CN"/>
                    </w:rPr>
                  </w:pPr>
                  <w:r>
                    <w:rPr>
                      <w:color w:val="auto"/>
                      <w:kern w:val="0"/>
                      <w:sz w:val="21"/>
                      <w:szCs w:val="20"/>
                      <w:highlight w:val="none"/>
                    </w:rPr>
                    <w:t>办公区</w:t>
                  </w:r>
                </w:p>
              </w:tc>
              <w:tc>
                <w:tcPr>
                  <w:tcW w:w="3619" w:type="pct"/>
                  <w:vAlign w:val="center"/>
                </w:tcPr>
                <w:p w14:paraId="167E8747">
                  <w:pPr>
                    <w:pStyle w:val="58"/>
                    <w:ind w:firstLine="0" w:firstLineChars="0"/>
                    <w:rPr>
                      <w:rFonts w:hint="default" w:ascii="Times New Roman" w:hAnsi="Times New Roman" w:eastAsia="宋体"/>
                      <w:color w:val="auto"/>
                      <w:highlight w:val="none"/>
                      <w:vertAlign w:val="baseline"/>
                      <w:lang w:val="en-US" w:eastAsia="zh-CN"/>
                    </w:rPr>
                  </w:pPr>
                  <w:r>
                    <w:rPr>
                      <w:rFonts w:hint="eastAsia" w:ascii="Times New Roman" w:hAnsi="Times New Roman"/>
                      <w:color w:val="auto"/>
                      <w:highlight w:val="none"/>
                      <w:lang w:val="en-US" w:eastAsia="zh-CN"/>
                    </w:rPr>
                    <w:t>建筑面积为634.04m</w:t>
                  </w:r>
                  <w:r>
                    <w:rPr>
                      <w:rFonts w:hint="eastAsia" w:ascii="Times New Roman" w:hAnsi="Times New Roman"/>
                      <w:color w:val="auto"/>
                      <w:highlight w:val="none"/>
                      <w:vertAlign w:val="superscript"/>
                      <w:lang w:val="en-US" w:eastAsia="zh-CN"/>
                    </w:rPr>
                    <w:t>2</w:t>
                  </w:r>
                  <w:r>
                    <w:rPr>
                      <w:rFonts w:hint="eastAsia" w:ascii="Times New Roman" w:hAnsi="Times New Roman"/>
                      <w:color w:val="auto"/>
                      <w:highlight w:val="none"/>
                      <w:vertAlign w:val="baseline"/>
                      <w:lang w:val="en-US" w:eastAsia="zh-CN"/>
                    </w:rPr>
                    <w:t>，共2层，用于职工办公</w:t>
                  </w:r>
                </w:p>
              </w:tc>
            </w:tr>
            <w:tr w14:paraId="26308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 w:hRule="atLeast"/>
                <w:jc w:val="center"/>
              </w:trPr>
              <w:tc>
                <w:tcPr>
                  <w:tcW w:w="396" w:type="pct"/>
                  <w:vMerge w:val="restart"/>
                  <w:vAlign w:val="center"/>
                </w:tcPr>
                <w:p w14:paraId="1578E0A5">
                  <w:pPr>
                    <w:pStyle w:val="58"/>
                    <w:ind w:firstLine="0"/>
                    <w:rPr>
                      <w:rFonts w:ascii="Times New Roman" w:hAnsi="Times New Roman"/>
                      <w:color w:val="auto"/>
                      <w:highlight w:val="none"/>
                    </w:rPr>
                  </w:pPr>
                  <w:r>
                    <w:rPr>
                      <w:rFonts w:ascii="Times New Roman" w:hAnsi="Times New Roman"/>
                      <w:color w:val="auto"/>
                      <w:highlight w:val="none"/>
                    </w:rPr>
                    <w:t>公用工程</w:t>
                  </w:r>
                </w:p>
              </w:tc>
              <w:tc>
                <w:tcPr>
                  <w:tcW w:w="983" w:type="pct"/>
                  <w:gridSpan w:val="2"/>
                  <w:vAlign w:val="center"/>
                </w:tcPr>
                <w:p w14:paraId="3AA4E6A6">
                  <w:pPr>
                    <w:pStyle w:val="58"/>
                    <w:ind w:firstLine="0"/>
                    <w:rPr>
                      <w:rFonts w:ascii="Times New Roman" w:hAnsi="Times New Roman"/>
                      <w:color w:val="auto"/>
                      <w:highlight w:val="none"/>
                    </w:rPr>
                  </w:pPr>
                  <w:r>
                    <w:rPr>
                      <w:rFonts w:ascii="Times New Roman" w:hAnsi="Times New Roman"/>
                      <w:color w:val="auto"/>
                      <w:highlight w:val="none"/>
                    </w:rPr>
                    <w:t>供水</w:t>
                  </w:r>
                </w:p>
              </w:tc>
              <w:tc>
                <w:tcPr>
                  <w:tcW w:w="3619" w:type="pct"/>
                  <w:vAlign w:val="center"/>
                </w:tcPr>
                <w:p w14:paraId="4A3988BD">
                  <w:pPr>
                    <w:pStyle w:val="58"/>
                    <w:ind w:firstLine="0"/>
                    <w:rPr>
                      <w:rFonts w:hint="default" w:ascii="Times New Roman" w:hAnsi="Times New Roman" w:eastAsia="宋体"/>
                      <w:color w:val="auto"/>
                      <w:highlight w:val="none"/>
                      <w:lang w:val="en-US" w:eastAsia="zh-CN"/>
                    </w:rPr>
                  </w:pPr>
                  <w:r>
                    <w:rPr>
                      <w:rFonts w:hint="eastAsia" w:ascii="Times New Roman" w:hAnsi="Times New Roman"/>
                      <w:color w:val="auto"/>
                      <w:highlight w:val="none"/>
                      <w:lang w:val="en-US" w:eastAsia="zh-CN"/>
                    </w:rPr>
                    <w:t>市政供水管网</w:t>
                  </w:r>
                </w:p>
              </w:tc>
            </w:tr>
            <w:tr w14:paraId="22573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96" w:type="pct"/>
                  <w:vMerge w:val="continue"/>
                  <w:vAlign w:val="center"/>
                </w:tcPr>
                <w:p w14:paraId="7E823336">
                  <w:pPr>
                    <w:pStyle w:val="58"/>
                    <w:ind w:firstLine="0"/>
                    <w:rPr>
                      <w:rFonts w:ascii="Times New Roman" w:hAnsi="Times New Roman"/>
                      <w:color w:val="auto"/>
                      <w:highlight w:val="none"/>
                    </w:rPr>
                  </w:pPr>
                </w:p>
              </w:tc>
              <w:tc>
                <w:tcPr>
                  <w:tcW w:w="983" w:type="pct"/>
                  <w:gridSpan w:val="2"/>
                  <w:vAlign w:val="center"/>
                </w:tcPr>
                <w:p w14:paraId="65FD704B">
                  <w:pPr>
                    <w:pStyle w:val="58"/>
                    <w:ind w:firstLine="0"/>
                    <w:rPr>
                      <w:rFonts w:ascii="Times New Roman" w:hAnsi="Times New Roman"/>
                      <w:color w:val="auto"/>
                      <w:highlight w:val="none"/>
                    </w:rPr>
                  </w:pPr>
                  <w:r>
                    <w:rPr>
                      <w:rFonts w:ascii="Times New Roman" w:hAnsi="Times New Roman"/>
                      <w:color w:val="auto"/>
                      <w:highlight w:val="none"/>
                    </w:rPr>
                    <w:t>供电</w:t>
                  </w:r>
                </w:p>
              </w:tc>
              <w:tc>
                <w:tcPr>
                  <w:tcW w:w="3619" w:type="pct"/>
                  <w:vAlign w:val="center"/>
                </w:tcPr>
                <w:p w14:paraId="236F61D8">
                  <w:pPr>
                    <w:pStyle w:val="58"/>
                    <w:ind w:firstLine="0"/>
                    <w:rPr>
                      <w:rFonts w:ascii="Times New Roman" w:hAnsi="Times New Roman"/>
                      <w:color w:val="auto"/>
                      <w:highlight w:val="none"/>
                    </w:rPr>
                  </w:pPr>
                  <w:r>
                    <w:rPr>
                      <w:rFonts w:ascii="Times New Roman" w:hAnsi="Times New Roman"/>
                      <w:color w:val="auto"/>
                      <w:highlight w:val="none"/>
                    </w:rPr>
                    <w:t>供电由当地电网供给</w:t>
                  </w:r>
                </w:p>
              </w:tc>
            </w:tr>
            <w:tr w14:paraId="41CAE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96" w:type="pct"/>
                  <w:vMerge w:val="continue"/>
                  <w:vAlign w:val="center"/>
                </w:tcPr>
                <w:p w14:paraId="31EE5DD6">
                  <w:pPr>
                    <w:pStyle w:val="58"/>
                    <w:ind w:firstLine="0"/>
                    <w:rPr>
                      <w:rFonts w:ascii="Times New Roman" w:hAnsi="Times New Roman"/>
                      <w:color w:val="auto"/>
                      <w:highlight w:val="none"/>
                    </w:rPr>
                  </w:pPr>
                </w:p>
              </w:tc>
              <w:tc>
                <w:tcPr>
                  <w:tcW w:w="983" w:type="pct"/>
                  <w:gridSpan w:val="2"/>
                  <w:vAlign w:val="center"/>
                </w:tcPr>
                <w:p w14:paraId="4A2CBC9C">
                  <w:pPr>
                    <w:pStyle w:val="58"/>
                    <w:ind w:firstLine="0"/>
                    <w:rPr>
                      <w:rFonts w:ascii="Times New Roman" w:hAnsi="Times New Roman"/>
                      <w:color w:val="auto"/>
                      <w:highlight w:val="none"/>
                    </w:rPr>
                  </w:pPr>
                  <w:r>
                    <w:rPr>
                      <w:rFonts w:ascii="Times New Roman" w:hAnsi="Times New Roman"/>
                      <w:color w:val="auto"/>
                      <w:highlight w:val="none"/>
                    </w:rPr>
                    <w:t>供热</w:t>
                  </w:r>
                </w:p>
              </w:tc>
              <w:tc>
                <w:tcPr>
                  <w:tcW w:w="3619" w:type="pct"/>
                  <w:vAlign w:val="center"/>
                </w:tcPr>
                <w:p w14:paraId="0F817CDC">
                  <w:pPr>
                    <w:pStyle w:val="58"/>
                    <w:ind w:firstLine="0"/>
                    <w:rPr>
                      <w:rFonts w:hint="default" w:ascii="Times New Roman" w:hAnsi="Times New Roman" w:eastAsia="宋体"/>
                      <w:color w:val="auto"/>
                      <w:highlight w:val="none"/>
                      <w:lang w:val="en-US" w:eastAsia="zh-CN"/>
                    </w:rPr>
                  </w:pPr>
                  <w:r>
                    <w:rPr>
                      <w:rFonts w:ascii="Times New Roman" w:hAnsi="Times New Roman"/>
                      <w:color w:val="auto"/>
                      <w:highlight w:val="none"/>
                    </w:rPr>
                    <w:t>冬季办公室使用空调供暖</w:t>
                  </w:r>
                  <w:r>
                    <w:rPr>
                      <w:rFonts w:hint="eastAsia" w:ascii="Times New Roman" w:hAnsi="Times New Roman"/>
                      <w:color w:val="auto"/>
                      <w:highlight w:val="none"/>
                      <w:lang w:eastAsia="zh-CN"/>
                    </w:rPr>
                    <w:t>；</w:t>
                  </w:r>
                  <w:r>
                    <w:rPr>
                      <w:rFonts w:hint="eastAsia" w:ascii="Times New Roman" w:hAnsi="Times New Roman"/>
                      <w:color w:val="auto"/>
                      <w:highlight w:val="none"/>
                      <w:lang w:val="en-US" w:eastAsia="zh-CN"/>
                    </w:rPr>
                    <w:t>生产无需供热</w:t>
                  </w:r>
                </w:p>
              </w:tc>
            </w:tr>
            <w:tr w14:paraId="3301A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 w:hRule="atLeast"/>
                <w:jc w:val="center"/>
              </w:trPr>
              <w:tc>
                <w:tcPr>
                  <w:tcW w:w="396" w:type="pct"/>
                  <w:vMerge w:val="restart"/>
                  <w:vAlign w:val="center"/>
                </w:tcPr>
                <w:p w14:paraId="55E17ACA">
                  <w:pPr>
                    <w:pStyle w:val="58"/>
                    <w:ind w:firstLine="0"/>
                    <w:rPr>
                      <w:rFonts w:ascii="Times New Roman" w:hAnsi="Times New Roman"/>
                      <w:color w:val="auto"/>
                      <w:highlight w:val="none"/>
                    </w:rPr>
                  </w:pPr>
                  <w:r>
                    <w:rPr>
                      <w:rFonts w:ascii="Times New Roman" w:hAnsi="Times New Roman"/>
                      <w:color w:val="auto"/>
                      <w:highlight w:val="none"/>
                    </w:rPr>
                    <w:t>环保工程</w:t>
                  </w:r>
                </w:p>
              </w:tc>
              <w:tc>
                <w:tcPr>
                  <w:tcW w:w="983" w:type="pct"/>
                  <w:gridSpan w:val="2"/>
                  <w:vAlign w:val="center"/>
                </w:tcPr>
                <w:p w14:paraId="0F1D58F8">
                  <w:pPr>
                    <w:pStyle w:val="58"/>
                    <w:ind w:firstLine="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废气</w:t>
                  </w:r>
                </w:p>
              </w:tc>
              <w:tc>
                <w:tcPr>
                  <w:tcW w:w="3619" w:type="pct"/>
                  <w:vAlign w:val="center"/>
                </w:tcPr>
                <w:p w14:paraId="10703FB8">
                  <w:pPr>
                    <w:pStyle w:val="58"/>
                    <w:ind w:firstLine="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钻床、切割机产生的颗粒物无组织排放</w:t>
                  </w:r>
                </w:p>
              </w:tc>
            </w:tr>
            <w:tr w14:paraId="1CC70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396" w:type="pct"/>
                  <w:vMerge w:val="continue"/>
                  <w:vAlign w:val="center"/>
                </w:tcPr>
                <w:p w14:paraId="7AA0656E">
                  <w:pPr>
                    <w:pStyle w:val="58"/>
                    <w:ind w:firstLine="0"/>
                    <w:rPr>
                      <w:rFonts w:ascii="Times New Roman" w:hAnsi="Times New Roman"/>
                      <w:color w:val="auto"/>
                      <w:highlight w:val="none"/>
                    </w:rPr>
                  </w:pPr>
                </w:p>
              </w:tc>
              <w:tc>
                <w:tcPr>
                  <w:tcW w:w="983" w:type="pct"/>
                  <w:gridSpan w:val="2"/>
                  <w:vAlign w:val="center"/>
                </w:tcPr>
                <w:p w14:paraId="17443F8F">
                  <w:pPr>
                    <w:pStyle w:val="58"/>
                    <w:ind w:firstLine="0"/>
                    <w:rPr>
                      <w:rFonts w:hint="eastAsia" w:ascii="Times New Roman" w:hAnsi="Times New Roman" w:eastAsia="宋体"/>
                      <w:color w:val="auto"/>
                      <w:highlight w:val="none"/>
                      <w:lang w:val="en-US" w:eastAsia="zh-CN"/>
                    </w:rPr>
                  </w:pPr>
                  <w:r>
                    <w:rPr>
                      <w:rFonts w:hint="eastAsia" w:ascii="Times New Roman" w:hAnsi="Times New Roman"/>
                      <w:color w:val="auto"/>
                      <w:highlight w:val="none"/>
                      <w:lang w:val="en-US" w:eastAsia="zh-CN"/>
                    </w:rPr>
                    <w:t>废水</w:t>
                  </w:r>
                </w:p>
              </w:tc>
              <w:tc>
                <w:tcPr>
                  <w:tcW w:w="3619" w:type="pct"/>
                  <w:vAlign w:val="center"/>
                </w:tcPr>
                <w:p w14:paraId="6F5CC71B">
                  <w:pPr>
                    <w:pStyle w:val="58"/>
                    <w:ind w:firstLine="0"/>
                    <w:jc w:val="center"/>
                    <w:rPr>
                      <w:rFonts w:hint="default" w:ascii="Times New Roman" w:hAnsi="Times New Roman" w:cs="Times New Roman"/>
                      <w:b w:val="0"/>
                      <w:bCs w:val="0"/>
                      <w:color w:val="auto"/>
                      <w:highlight w:val="none"/>
                      <w:lang w:val="en-US" w:eastAsia="zh-CN"/>
                    </w:rPr>
                  </w:pPr>
                  <w:r>
                    <w:rPr>
                      <w:rFonts w:hint="default" w:ascii="Times New Roman" w:hAnsi="Times New Roman" w:cs="Times New Roman"/>
                      <w:b w:val="0"/>
                      <w:bCs w:val="0"/>
                      <w:color w:val="auto"/>
                      <w:highlight w:val="none"/>
                      <w:lang w:val="en-US" w:eastAsia="zh-CN"/>
                    </w:rPr>
                    <w:t>生活污水进入厂区化粪池后</w:t>
                  </w:r>
                  <w:r>
                    <w:rPr>
                      <w:rFonts w:hint="eastAsia" w:ascii="Times New Roman" w:hAnsi="Times New Roman" w:cs="Times New Roman"/>
                      <w:b w:val="0"/>
                      <w:bCs w:val="0"/>
                      <w:color w:val="auto"/>
                      <w:highlight w:val="none"/>
                      <w:lang w:val="en-US" w:eastAsia="zh-CN"/>
                    </w:rPr>
                    <w:t>定期清掏</w:t>
                  </w:r>
                </w:p>
              </w:tc>
            </w:tr>
            <w:tr w14:paraId="03811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96" w:type="pct"/>
                  <w:vMerge w:val="continue"/>
                  <w:vAlign w:val="center"/>
                </w:tcPr>
                <w:p w14:paraId="3CB63E08">
                  <w:pPr>
                    <w:pStyle w:val="58"/>
                    <w:ind w:firstLine="0"/>
                    <w:rPr>
                      <w:rFonts w:ascii="Times New Roman" w:hAnsi="Times New Roman"/>
                      <w:color w:val="auto"/>
                      <w:highlight w:val="none"/>
                    </w:rPr>
                  </w:pPr>
                </w:p>
              </w:tc>
              <w:tc>
                <w:tcPr>
                  <w:tcW w:w="983" w:type="pct"/>
                  <w:gridSpan w:val="2"/>
                  <w:tcBorders>
                    <w:bottom w:val="nil"/>
                  </w:tcBorders>
                  <w:vAlign w:val="center"/>
                </w:tcPr>
                <w:p w14:paraId="316AB76C">
                  <w:pPr>
                    <w:pStyle w:val="58"/>
                    <w:ind w:firstLine="0"/>
                    <w:rPr>
                      <w:rFonts w:ascii="Times New Roman" w:hAnsi="Times New Roman"/>
                      <w:color w:val="auto"/>
                      <w:highlight w:val="none"/>
                    </w:rPr>
                  </w:pPr>
                  <w:r>
                    <w:rPr>
                      <w:rFonts w:ascii="Times New Roman" w:hAnsi="Times New Roman"/>
                      <w:color w:val="auto"/>
                      <w:highlight w:val="none"/>
                    </w:rPr>
                    <w:t>噪声防治</w:t>
                  </w:r>
                </w:p>
              </w:tc>
              <w:tc>
                <w:tcPr>
                  <w:tcW w:w="3619" w:type="pct"/>
                  <w:tcBorders>
                    <w:bottom w:val="nil"/>
                  </w:tcBorders>
                  <w:vAlign w:val="center"/>
                </w:tcPr>
                <w:p w14:paraId="52B2A904">
                  <w:pPr>
                    <w:pStyle w:val="58"/>
                    <w:ind w:firstLine="0"/>
                    <w:rPr>
                      <w:rFonts w:ascii="Times New Roman" w:hAnsi="Times New Roman"/>
                      <w:color w:val="auto"/>
                      <w:highlight w:val="none"/>
                    </w:rPr>
                  </w:pPr>
                  <w:r>
                    <w:rPr>
                      <w:rFonts w:ascii="Times New Roman" w:hAnsi="Times New Roman"/>
                      <w:color w:val="auto"/>
                      <w:highlight w:val="none"/>
                    </w:rPr>
                    <w:t>采取将产噪设备布置于厂房内并加隔声门窗，振动设备加减震垫的隔声降噪措施</w:t>
                  </w:r>
                </w:p>
              </w:tc>
            </w:tr>
            <w:tr w14:paraId="5C02F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jc w:val="center"/>
              </w:trPr>
              <w:tc>
                <w:tcPr>
                  <w:tcW w:w="396" w:type="pct"/>
                  <w:vMerge w:val="continue"/>
                  <w:vAlign w:val="center"/>
                </w:tcPr>
                <w:p w14:paraId="4E5B8E37">
                  <w:pPr>
                    <w:pStyle w:val="58"/>
                    <w:ind w:firstLine="0"/>
                    <w:rPr>
                      <w:rFonts w:ascii="Times New Roman" w:hAnsi="Times New Roman"/>
                      <w:color w:val="auto"/>
                      <w:highlight w:val="none"/>
                    </w:rPr>
                  </w:pPr>
                </w:p>
              </w:tc>
              <w:tc>
                <w:tcPr>
                  <w:tcW w:w="255" w:type="pct"/>
                  <w:vMerge w:val="restart"/>
                  <w:vAlign w:val="center"/>
                </w:tcPr>
                <w:p w14:paraId="65B2E170">
                  <w:pPr>
                    <w:pStyle w:val="58"/>
                    <w:ind w:firstLine="0" w:firstLineChars="0"/>
                    <w:rPr>
                      <w:rFonts w:ascii="Times New Roman" w:hAnsi="Times New Roman"/>
                      <w:color w:val="auto"/>
                      <w:highlight w:val="none"/>
                    </w:rPr>
                  </w:pPr>
                  <w:r>
                    <w:rPr>
                      <w:rFonts w:ascii="Times New Roman" w:hAnsi="Times New Roman"/>
                      <w:color w:val="auto"/>
                      <w:highlight w:val="none"/>
                    </w:rPr>
                    <w:t>固体废物</w:t>
                  </w:r>
                </w:p>
                <w:p w14:paraId="7243B950">
                  <w:pPr>
                    <w:pStyle w:val="58"/>
                    <w:ind w:firstLine="0" w:firstLineChars="0"/>
                    <w:rPr>
                      <w:rFonts w:hint="eastAsia" w:ascii="Times New Roman" w:hAnsi="Times New Roman"/>
                      <w:color w:val="auto"/>
                      <w:highlight w:val="none"/>
                    </w:rPr>
                  </w:pPr>
                </w:p>
              </w:tc>
              <w:tc>
                <w:tcPr>
                  <w:tcW w:w="728" w:type="pct"/>
                  <w:vAlign w:val="center"/>
                </w:tcPr>
                <w:p w14:paraId="10F7F44D">
                  <w:pPr>
                    <w:pStyle w:val="58"/>
                    <w:ind w:firstLine="0" w:firstLineChars="0"/>
                    <w:rPr>
                      <w:rFonts w:hint="default" w:ascii="Times New Roman" w:hAnsi="Times New Roman" w:eastAsia="宋体" w:cs="Times New Roman"/>
                      <w:color w:val="auto"/>
                      <w:kern w:val="0"/>
                      <w:sz w:val="21"/>
                      <w:szCs w:val="20"/>
                      <w:highlight w:val="none"/>
                      <w:lang w:val="en-US" w:eastAsia="zh-CN" w:bidi="ar-SA"/>
                    </w:rPr>
                  </w:pPr>
                  <w:r>
                    <w:rPr>
                      <w:rFonts w:hint="eastAsia" w:ascii="Times New Roman" w:hAnsi="Times New Roman" w:cs="Times New Roman"/>
                      <w:color w:val="auto"/>
                      <w:kern w:val="0"/>
                      <w:sz w:val="21"/>
                      <w:szCs w:val="20"/>
                      <w:highlight w:val="none"/>
                      <w:lang w:val="en-US" w:eastAsia="zh-CN" w:bidi="ar-SA"/>
                    </w:rPr>
                    <w:t>生活垃圾</w:t>
                  </w:r>
                </w:p>
              </w:tc>
              <w:tc>
                <w:tcPr>
                  <w:tcW w:w="3619" w:type="pct"/>
                  <w:vAlign w:val="center"/>
                </w:tcPr>
                <w:p w14:paraId="68288C18">
                  <w:pPr>
                    <w:pStyle w:val="58"/>
                    <w:ind w:firstLine="0" w:firstLineChars="0"/>
                    <w:rPr>
                      <w:rFonts w:hint="eastAsia" w:ascii="Times New Roman" w:hAnsi="Times New Roman" w:eastAsia="宋体" w:cs="Times New Roman"/>
                      <w:color w:val="auto"/>
                      <w:kern w:val="0"/>
                      <w:sz w:val="21"/>
                      <w:szCs w:val="20"/>
                      <w:highlight w:val="none"/>
                      <w:lang w:val="en-US" w:eastAsia="zh-CN" w:bidi="ar-SA"/>
                    </w:rPr>
                  </w:pPr>
                  <w:r>
                    <w:rPr>
                      <w:rFonts w:hint="eastAsia" w:ascii="Times New Roman" w:hAnsi="Times New Roman"/>
                      <w:color w:val="auto"/>
                      <w:highlight w:val="none"/>
                    </w:rPr>
                    <w:t>生活垃圾收集后交由环卫部门统一处理</w:t>
                  </w:r>
                </w:p>
              </w:tc>
            </w:tr>
            <w:tr w14:paraId="0831B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jc w:val="center"/>
              </w:trPr>
              <w:tc>
                <w:tcPr>
                  <w:tcW w:w="396" w:type="pct"/>
                  <w:vMerge w:val="continue"/>
                  <w:vAlign w:val="center"/>
                </w:tcPr>
                <w:p w14:paraId="0AEFB032">
                  <w:pPr>
                    <w:pStyle w:val="58"/>
                    <w:ind w:firstLine="0"/>
                    <w:rPr>
                      <w:rFonts w:ascii="Times New Roman" w:hAnsi="Times New Roman"/>
                      <w:color w:val="auto"/>
                      <w:highlight w:val="none"/>
                    </w:rPr>
                  </w:pPr>
                </w:p>
              </w:tc>
              <w:tc>
                <w:tcPr>
                  <w:tcW w:w="255" w:type="pct"/>
                  <w:vMerge w:val="continue"/>
                  <w:vAlign w:val="center"/>
                </w:tcPr>
                <w:p w14:paraId="2BA54878">
                  <w:pPr>
                    <w:pStyle w:val="58"/>
                    <w:ind w:firstLine="0"/>
                    <w:rPr>
                      <w:rFonts w:ascii="Times New Roman" w:hAnsi="Times New Roman"/>
                      <w:color w:val="auto"/>
                      <w:highlight w:val="none"/>
                    </w:rPr>
                  </w:pPr>
                </w:p>
              </w:tc>
              <w:tc>
                <w:tcPr>
                  <w:tcW w:w="728" w:type="pct"/>
                  <w:vAlign w:val="center"/>
                </w:tcPr>
                <w:p w14:paraId="03DCD2F6">
                  <w:pPr>
                    <w:pStyle w:val="58"/>
                    <w:ind w:firstLine="0" w:firstLineChars="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一般工业固体废物</w:t>
                  </w:r>
                </w:p>
              </w:tc>
              <w:tc>
                <w:tcPr>
                  <w:tcW w:w="3619" w:type="pct"/>
                  <w:vAlign w:val="center"/>
                </w:tcPr>
                <w:p w14:paraId="76EC4D82">
                  <w:pPr>
                    <w:pStyle w:val="58"/>
                    <w:ind w:firstLine="0" w:firstLineChars="0"/>
                    <w:rPr>
                      <w:rFonts w:hint="default" w:ascii="Times New Roman" w:hAnsi="Times New Roman"/>
                      <w:color w:val="auto"/>
                      <w:highlight w:val="none"/>
                      <w:lang w:val="en-US" w:eastAsia="zh-CN"/>
                    </w:rPr>
                  </w:pPr>
                  <w:r>
                    <w:rPr>
                      <w:rFonts w:hint="eastAsia"/>
                      <w:color w:val="auto"/>
                      <w:highlight w:val="none"/>
                      <w:lang w:val="en-US" w:eastAsia="zh-CN"/>
                    </w:rPr>
                    <w:t>不含切削液金属屑收集后外售</w:t>
                  </w:r>
                </w:p>
              </w:tc>
            </w:tr>
            <w:tr w14:paraId="7681B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396" w:type="pct"/>
                  <w:vMerge w:val="continue"/>
                  <w:vAlign w:val="center"/>
                </w:tcPr>
                <w:p w14:paraId="1C9F193C">
                  <w:pPr>
                    <w:pStyle w:val="58"/>
                    <w:ind w:firstLine="0"/>
                    <w:rPr>
                      <w:rFonts w:ascii="Times New Roman" w:hAnsi="Times New Roman"/>
                      <w:color w:val="auto"/>
                      <w:highlight w:val="none"/>
                    </w:rPr>
                  </w:pPr>
                </w:p>
              </w:tc>
              <w:tc>
                <w:tcPr>
                  <w:tcW w:w="255" w:type="pct"/>
                  <w:vMerge w:val="continue"/>
                  <w:vAlign w:val="center"/>
                </w:tcPr>
                <w:p w14:paraId="0241DB51">
                  <w:pPr>
                    <w:pStyle w:val="58"/>
                    <w:ind w:firstLine="0"/>
                    <w:rPr>
                      <w:rFonts w:ascii="Times New Roman" w:hAnsi="Times New Roman"/>
                      <w:color w:val="auto"/>
                      <w:highlight w:val="none"/>
                    </w:rPr>
                  </w:pPr>
                </w:p>
              </w:tc>
              <w:tc>
                <w:tcPr>
                  <w:tcW w:w="728" w:type="pct"/>
                  <w:vAlign w:val="center"/>
                </w:tcPr>
                <w:p w14:paraId="0D344D45">
                  <w:pPr>
                    <w:pStyle w:val="58"/>
                    <w:ind w:firstLine="0" w:firstLineChars="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危险废物</w:t>
                  </w:r>
                </w:p>
              </w:tc>
              <w:tc>
                <w:tcPr>
                  <w:tcW w:w="3619" w:type="pct"/>
                  <w:vAlign w:val="center"/>
                </w:tcPr>
                <w:p w14:paraId="3C307725">
                  <w:pPr>
                    <w:pStyle w:val="58"/>
                    <w:ind w:firstLine="0" w:firstLineChars="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含切削液金属屑、废切削液及切削液废包装桶收集后暂存危废暂存间，定期交由有资质单位进行处置</w:t>
                  </w:r>
                </w:p>
              </w:tc>
            </w:tr>
            <w:tr w14:paraId="3FF19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 w:hRule="atLeast"/>
                <w:jc w:val="center"/>
              </w:trPr>
              <w:tc>
                <w:tcPr>
                  <w:tcW w:w="396" w:type="pct"/>
                  <w:vMerge w:val="continue"/>
                  <w:vAlign w:val="center"/>
                </w:tcPr>
                <w:p w14:paraId="3CD2344E">
                  <w:pPr>
                    <w:pStyle w:val="58"/>
                    <w:ind w:firstLine="0"/>
                    <w:rPr>
                      <w:rFonts w:ascii="Times New Roman" w:hAnsi="Times New Roman"/>
                      <w:color w:val="auto"/>
                      <w:highlight w:val="none"/>
                    </w:rPr>
                  </w:pPr>
                </w:p>
              </w:tc>
              <w:tc>
                <w:tcPr>
                  <w:tcW w:w="255" w:type="pct"/>
                  <w:vMerge w:val="continue"/>
                  <w:vAlign w:val="center"/>
                </w:tcPr>
                <w:p w14:paraId="1E42E2BC">
                  <w:pPr>
                    <w:pStyle w:val="58"/>
                    <w:ind w:firstLine="0"/>
                    <w:rPr>
                      <w:rFonts w:ascii="Times New Roman" w:hAnsi="Times New Roman"/>
                      <w:color w:val="auto"/>
                      <w:highlight w:val="none"/>
                    </w:rPr>
                  </w:pPr>
                </w:p>
              </w:tc>
              <w:tc>
                <w:tcPr>
                  <w:tcW w:w="728" w:type="pct"/>
                  <w:vAlign w:val="center"/>
                </w:tcPr>
                <w:p w14:paraId="17F63CFA">
                  <w:pPr>
                    <w:adjustRightInd w:val="0"/>
                    <w:snapToGrid w:val="0"/>
                    <w:jc w:val="center"/>
                    <w:rPr>
                      <w:color w:val="auto"/>
                      <w:sz w:val="21"/>
                      <w:szCs w:val="18"/>
                      <w:highlight w:val="none"/>
                    </w:rPr>
                  </w:pPr>
                  <w:r>
                    <w:rPr>
                      <w:color w:val="auto"/>
                      <w:sz w:val="21"/>
                      <w:szCs w:val="18"/>
                      <w:highlight w:val="none"/>
                    </w:rPr>
                    <w:t>危废</w:t>
                  </w:r>
                </w:p>
                <w:p w14:paraId="7262D6DD">
                  <w:pPr>
                    <w:adjustRightInd w:val="0"/>
                    <w:snapToGrid w:val="0"/>
                    <w:jc w:val="center"/>
                    <w:rPr>
                      <w:rFonts w:hint="eastAsia" w:ascii="Times New Roman" w:hAnsi="Times New Roman"/>
                      <w:color w:val="auto"/>
                      <w:sz w:val="21"/>
                      <w:szCs w:val="21"/>
                      <w:highlight w:val="none"/>
                      <w:lang w:val="en-US" w:eastAsia="zh-CN"/>
                    </w:rPr>
                  </w:pPr>
                  <w:r>
                    <w:rPr>
                      <w:color w:val="auto"/>
                      <w:sz w:val="21"/>
                      <w:szCs w:val="18"/>
                      <w:highlight w:val="none"/>
                    </w:rPr>
                    <w:t>暂存间</w:t>
                  </w:r>
                </w:p>
              </w:tc>
              <w:tc>
                <w:tcPr>
                  <w:tcW w:w="3619" w:type="pct"/>
                  <w:vAlign w:val="center"/>
                </w:tcPr>
                <w:p w14:paraId="1C6C6AC1">
                  <w:pPr>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eastAsia" w:ascii="Times New Roman" w:hAnsi="Times New Roman"/>
                      <w:color w:val="auto"/>
                      <w:sz w:val="21"/>
                      <w:szCs w:val="21"/>
                      <w:highlight w:val="none"/>
                      <w:lang w:val="en-US" w:eastAsia="zh-CN"/>
                    </w:rPr>
                  </w:pPr>
                  <w:r>
                    <w:rPr>
                      <w:color w:val="auto"/>
                      <w:sz w:val="21"/>
                      <w:szCs w:val="18"/>
                      <w:highlight w:val="none"/>
                    </w:rPr>
                    <w:t>建筑面积</w:t>
                  </w:r>
                  <w:r>
                    <w:rPr>
                      <w:rFonts w:hint="eastAsia"/>
                      <w:color w:val="auto"/>
                      <w:sz w:val="21"/>
                      <w:szCs w:val="18"/>
                      <w:highlight w:val="none"/>
                      <w:lang w:val="en-US" w:eastAsia="zh-CN"/>
                    </w:rPr>
                    <w:t>6</w:t>
                  </w:r>
                  <w:r>
                    <w:rPr>
                      <w:color w:val="auto"/>
                      <w:sz w:val="21"/>
                      <w:szCs w:val="18"/>
                      <w:highlight w:val="none"/>
                    </w:rPr>
                    <w:t>m</w:t>
                  </w:r>
                  <w:r>
                    <w:rPr>
                      <w:color w:val="auto"/>
                      <w:sz w:val="21"/>
                      <w:szCs w:val="18"/>
                      <w:highlight w:val="none"/>
                      <w:vertAlign w:val="superscript"/>
                    </w:rPr>
                    <w:t>2</w:t>
                  </w:r>
                  <w:r>
                    <w:rPr>
                      <w:rFonts w:hint="eastAsia"/>
                      <w:color w:val="auto"/>
                      <w:sz w:val="21"/>
                      <w:szCs w:val="18"/>
                      <w:highlight w:val="none"/>
                      <w:lang w:val="en-US" w:eastAsia="zh-CN"/>
                    </w:rPr>
                    <w:t>，</w:t>
                  </w:r>
                  <w:r>
                    <w:rPr>
                      <w:color w:val="auto"/>
                      <w:sz w:val="21"/>
                      <w:szCs w:val="18"/>
                      <w:highlight w:val="none"/>
                    </w:rPr>
                    <w:t>用于暂时</w:t>
                  </w:r>
                  <w:r>
                    <w:rPr>
                      <w:rFonts w:hint="eastAsia"/>
                      <w:color w:val="auto"/>
                      <w:sz w:val="21"/>
                      <w:szCs w:val="18"/>
                      <w:highlight w:val="none"/>
                      <w:lang w:val="en-US" w:eastAsia="zh-CN"/>
                    </w:rPr>
                    <w:t>生产过程产生的危险废物</w:t>
                  </w:r>
                  <w:r>
                    <w:rPr>
                      <w:color w:val="auto"/>
                      <w:sz w:val="21"/>
                      <w:szCs w:val="18"/>
                      <w:highlight w:val="none"/>
                    </w:rPr>
                    <w:t>。危废暂存间为</w:t>
                  </w:r>
                  <w:r>
                    <w:rPr>
                      <w:bCs/>
                      <w:color w:val="auto"/>
                      <w:sz w:val="21"/>
                      <w:szCs w:val="18"/>
                      <w:highlight w:val="none"/>
                    </w:rPr>
                    <w:t>重点防渗区，重点防渗区域地面及裙墙采取防渗措施，室内底部铺设1m</w:t>
                  </w:r>
                  <w:r>
                    <w:rPr>
                      <w:rFonts w:hint="eastAsia"/>
                      <w:bCs/>
                      <w:color w:val="auto"/>
                      <w:sz w:val="21"/>
                      <w:szCs w:val="18"/>
                      <w:highlight w:val="none"/>
                      <w:lang w:eastAsia="zh-CN"/>
                    </w:rPr>
                    <w:t>黏土层</w:t>
                  </w:r>
                  <w:r>
                    <w:rPr>
                      <w:bCs/>
                      <w:color w:val="auto"/>
                      <w:sz w:val="21"/>
                      <w:szCs w:val="18"/>
                      <w:highlight w:val="none"/>
                    </w:rPr>
                    <w:t>(保护层，同时作为辅助防渗层)压实平整，</w:t>
                  </w:r>
                  <w:r>
                    <w:rPr>
                      <w:rFonts w:hint="eastAsia"/>
                      <w:bCs/>
                      <w:color w:val="auto"/>
                      <w:sz w:val="21"/>
                      <w:szCs w:val="18"/>
                      <w:highlight w:val="none"/>
                      <w:lang w:eastAsia="zh-CN"/>
                    </w:rPr>
                    <w:t>黏土层</w:t>
                  </w:r>
                  <w:r>
                    <w:rPr>
                      <w:bCs/>
                      <w:color w:val="auto"/>
                      <w:sz w:val="21"/>
                      <w:szCs w:val="18"/>
                      <w:highlight w:val="none"/>
                    </w:rPr>
                    <w:t>上铺设双层HDPE——GCL复合防渗系统(2×2mm厚的高密度聚乙烯膜、300g/m</w:t>
                  </w:r>
                  <w:r>
                    <w:rPr>
                      <w:bCs/>
                      <w:color w:val="auto"/>
                      <w:sz w:val="21"/>
                      <w:szCs w:val="18"/>
                      <w:highlight w:val="none"/>
                      <w:vertAlign w:val="superscript"/>
                    </w:rPr>
                    <w:t>2</w:t>
                  </w:r>
                  <w:r>
                    <w:rPr>
                      <w:bCs/>
                      <w:color w:val="auto"/>
                      <w:sz w:val="21"/>
                      <w:szCs w:val="18"/>
                      <w:highlight w:val="none"/>
                    </w:rPr>
                    <w:t>土工织物膨润土垫)，上部外加耐腐蚀混凝土15cm(保护层)等防渗，渗透系数≤10</w:t>
                  </w:r>
                  <w:r>
                    <w:rPr>
                      <w:bCs/>
                      <w:color w:val="auto"/>
                      <w:sz w:val="21"/>
                      <w:szCs w:val="18"/>
                      <w:highlight w:val="none"/>
                      <w:vertAlign w:val="superscript"/>
                    </w:rPr>
                    <w:t>-10</w:t>
                  </w:r>
                  <w:r>
                    <w:rPr>
                      <w:bCs/>
                      <w:color w:val="auto"/>
                      <w:sz w:val="21"/>
                      <w:szCs w:val="18"/>
                      <w:highlight w:val="none"/>
                    </w:rPr>
                    <w:t>cm/s（或采取同等有效防渗措施）</w:t>
                  </w:r>
                </w:p>
              </w:tc>
            </w:tr>
            <w:tr w14:paraId="6BF13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9" w:hRule="atLeast"/>
                <w:jc w:val="center"/>
              </w:trPr>
              <w:tc>
                <w:tcPr>
                  <w:tcW w:w="396" w:type="pct"/>
                  <w:vMerge w:val="continue"/>
                  <w:vAlign w:val="center"/>
                </w:tcPr>
                <w:p w14:paraId="319359BA">
                  <w:pPr>
                    <w:pStyle w:val="58"/>
                    <w:ind w:firstLine="0"/>
                    <w:rPr>
                      <w:rFonts w:ascii="Times New Roman" w:hAnsi="Times New Roman"/>
                      <w:color w:val="auto"/>
                      <w:highlight w:val="none"/>
                    </w:rPr>
                  </w:pPr>
                </w:p>
              </w:tc>
              <w:tc>
                <w:tcPr>
                  <w:tcW w:w="255" w:type="pct"/>
                  <w:vMerge w:val="continue"/>
                  <w:vAlign w:val="center"/>
                </w:tcPr>
                <w:p w14:paraId="79C7E9CB">
                  <w:pPr>
                    <w:pStyle w:val="58"/>
                    <w:ind w:firstLine="0"/>
                    <w:rPr>
                      <w:rFonts w:ascii="Times New Roman" w:hAnsi="Times New Roman"/>
                      <w:color w:val="auto"/>
                      <w:highlight w:val="none"/>
                    </w:rPr>
                  </w:pPr>
                </w:p>
              </w:tc>
              <w:tc>
                <w:tcPr>
                  <w:tcW w:w="728" w:type="pct"/>
                  <w:vAlign w:val="center"/>
                </w:tcPr>
                <w:p w14:paraId="23D6F572">
                  <w:pPr>
                    <w:pStyle w:val="58"/>
                    <w:ind w:firstLine="0" w:firstLineChars="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一般固体废物暂存区</w:t>
                  </w:r>
                </w:p>
              </w:tc>
              <w:tc>
                <w:tcPr>
                  <w:tcW w:w="3619" w:type="pct"/>
                  <w:vAlign w:val="center"/>
                </w:tcPr>
                <w:p w14:paraId="2232C2E6">
                  <w:pPr>
                    <w:pStyle w:val="58"/>
                    <w:keepNext w:val="0"/>
                    <w:keepLines w:val="0"/>
                    <w:pageBreakBefore w:val="0"/>
                    <w:widowControl w:val="0"/>
                    <w:kinsoku/>
                    <w:wordWrap/>
                    <w:overflowPunct/>
                    <w:topLinePunct w:val="0"/>
                    <w:autoSpaceDE/>
                    <w:autoSpaceDN/>
                    <w:bidi w:val="0"/>
                    <w:adjustRightInd w:val="0"/>
                    <w:snapToGrid w:val="0"/>
                    <w:ind w:firstLine="0" w:firstLineChars="0"/>
                    <w:jc w:val="left"/>
                    <w:textAlignment w:val="auto"/>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建筑面积为4m</w:t>
                  </w:r>
                  <w:r>
                    <w:rPr>
                      <w:rFonts w:hint="eastAsia" w:ascii="Times New Roman" w:hAnsi="Times New Roman"/>
                      <w:color w:val="auto"/>
                      <w:highlight w:val="none"/>
                      <w:vertAlign w:val="superscript"/>
                      <w:lang w:val="en-US" w:eastAsia="zh-CN"/>
                    </w:rPr>
                    <w:t>2</w:t>
                  </w:r>
                  <w:r>
                    <w:rPr>
                      <w:rFonts w:hint="eastAsia" w:ascii="Times New Roman" w:hAnsi="Times New Roman"/>
                      <w:color w:val="auto"/>
                      <w:highlight w:val="none"/>
                      <w:lang w:val="en-US" w:eastAsia="zh-CN"/>
                    </w:rPr>
                    <w:t>，用于存放一般固体废物，一般固体废物暂存间应满足防流失、防渗漏、防扬尘的要求。</w:t>
                  </w:r>
                </w:p>
              </w:tc>
            </w:tr>
          </w:tbl>
          <w:p w14:paraId="17A434D3">
            <w:pPr>
              <w:pStyle w:val="9"/>
              <w:rPr>
                <w:color w:val="auto"/>
                <w:highlight w:val="none"/>
              </w:rPr>
            </w:pPr>
            <w:r>
              <w:rPr>
                <w:rFonts w:hint="eastAsia"/>
                <w:color w:val="auto"/>
                <w:highlight w:val="none"/>
                <w:lang w:val="en-US" w:eastAsia="zh-CN"/>
              </w:rPr>
              <w:t>2</w:t>
            </w:r>
            <w:r>
              <w:rPr>
                <w:rFonts w:hint="eastAsia"/>
                <w:color w:val="auto"/>
                <w:highlight w:val="none"/>
              </w:rPr>
              <w:t>.</w:t>
            </w:r>
            <w:r>
              <w:rPr>
                <w:color w:val="auto"/>
                <w:highlight w:val="none"/>
              </w:rPr>
              <w:t>3</w:t>
            </w:r>
            <w:r>
              <w:rPr>
                <w:rFonts w:hint="eastAsia"/>
                <w:color w:val="auto"/>
                <w:highlight w:val="none"/>
              </w:rPr>
              <w:t xml:space="preserve"> </w:t>
            </w:r>
            <w:r>
              <w:rPr>
                <w:rFonts w:hint="eastAsia"/>
                <w:color w:val="auto"/>
                <w:highlight w:val="none"/>
                <w:lang w:val="en-US" w:eastAsia="zh-CN"/>
              </w:rPr>
              <w:t>现有工程</w:t>
            </w:r>
            <w:r>
              <w:rPr>
                <w:color w:val="auto"/>
                <w:highlight w:val="none"/>
              </w:rPr>
              <w:t>主要生产设备</w:t>
            </w:r>
          </w:p>
          <w:p w14:paraId="3160C231">
            <w:pPr>
              <w:ind w:firstLine="480" w:firstLineChars="200"/>
              <w:rPr>
                <w:color w:val="auto"/>
                <w:highlight w:val="none"/>
              </w:rPr>
            </w:pPr>
            <w:r>
              <w:rPr>
                <w:rFonts w:hint="eastAsia"/>
                <w:color w:val="auto"/>
                <w:highlight w:val="none"/>
                <w:lang w:val="en-US" w:eastAsia="zh-CN"/>
              </w:rPr>
              <w:t>现有项目</w:t>
            </w:r>
            <w:r>
              <w:rPr>
                <w:color w:val="auto"/>
                <w:highlight w:val="none"/>
              </w:rPr>
              <w:t>生产设备一览表如下表：</w:t>
            </w:r>
          </w:p>
          <w:p w14:paraId="5039D072">
            <w:pPr>
              <w:pStyle w:val="47"/>
              <w:ind w:left="482" w:hanging="482"/>
              <w:rPr>
                <w:color w:val="auto"/>
                <w:highlight w:val="none"/>
              </w:rPr>
            </w:pPr>
            <w:r>
              <w:rPr>
                <w:color w:val="auto"/>
                <w:highlight w:val="none"/>
              </w:rPr>
              <w:t>表</w:t>
            </w:r>
            <w:r>
              <w:rPr>
                <w:rFonts w:hint="eastAsia"/>
                <w:color w:val="auto"/>
                <w:highlight w:val="none"/>
                <w:lang w:val="en-US" w:eastAsia="zh-CN"/>
              </w:rPr>
              <w:t xml:space="preserve">2-2 </w:t>
            </w:r>
            <w:r>
              <w:rPr>
                <w:color w:val="auto"/>
                <w:highlight w:val="none"/>
              </w:rPr>
              <w:t xml:space="preserve"> </w:t>
            </w:r>
            <w:r>
              <w:rPr>
                <w:rFonts w:hint="eastAsia"/>
                <w:color w:val="auto"/>
                <w:highlight w:val="none"/>
                <w:lang w:val="en-US" w:eastAsia="zh-CN"/>
              </w:rPr>
              <w:t>现有</w:t>
            </w:r>
            <w:r>
              <w:rPr>
                <w:color w:val="auto"/>
                <w:highlight w:val="none"/>
              </w:rPr>
              <w:t>生产设备一览表</w:t>
            </w:r>
          </w:p>
          <w:tbl>
            <w:tblPr>
              <w:tblStyle w:val="3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951"/>
              <w:gridCol w:w="2502"/>
              <w:gridCol w:w="1144"/>
              <w:gridCol w:w="3726"/>
            </w:tblGrid>
            <w:tr w14:paraId="06393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34" w:hRule="atLeast"/>
              </w:trPr>
              <w:tc>
                <w:tcPr>
                  <w:tcW w:w="571" w:type="pct"/>
                  <w:tcBorders>
                    <w:tl2br w:val="nil"/>
                    <w:tr2bl w:val="nil"/>
                  </w:tcBorders>
                  <w:tcMar>
                    <w:top w:w="0" w:type="dxa"/>
                    <w:left w:w="108" w:type="dxa"/>
                    <w:bottom w:w="0" w:type="dxa"/>
                    <w:right w:w="108" w:type="dxa"/>
                  </w:tcMar>
                  <w:vAlign w:val="center"/>
                </w:tcPr>
                <w:p w14:paraId="719F03C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序号</w:t>
                  </w:r>
                </w:p>
              </w:tc>
              <w:tc>
                <w:tcPr>
                  <w:tcW w:w="1503" w:type="pct"/>
                  <w:tcBorders>
                    <w:tl2br w:val="nil"/>
                    <w:tr2bl w:val="nil"/>
                  </w:tcBorders>
                  <w:tcMar>
                    <w:top w:w="0" w:type="dxa"/>
                    <w:left w:w="108" w:type="dxa"/>
                    <w:bottom w:w="0" w:type="dxa"/>
                    <w:right w:w="108" w:type="dxa"/>
                  </w:tcMar>
                  <w:vAlign w:val="center"/>
                </w:tcPr>
                <w:p w14:paraId="1792848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名称</w:t>
                  </w:r>
                </w:p>
              </w:tc>
              <w:tc>
                <w:tcPr>
                  <w:tcW w:w="687" w:type="pct"/>
                  <w:tcBorders>
                    <w:tl2br w:val="nil"/>
                    <w:tr2bl w:val="nil"/>
                  </w:tcBorders>
                  <w:tcMar>
                    <w:top w:w="0" w:type="dxa"/>
                    <w:left w:w="108" w:type="dxa"/>
                    <w:bottom w:w="0" w:type="dxa"/>
                    <w:right w:w="108" w:type="dxa"/>
                  </w:tcMar>
                  <w:vAlign w:val="center"/>
                </w:tcPr>
                <w:p w14:paraId="747D139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ascii="Times New Roman" w:hAnsi="Times New Roman" w:cs="Times New Roman"/>
                      <w:color w:val="auto"/>
                      <w:sz w:val="21"/>
                      <w:szCs w:val="21"/>
                      <w:highlight w:val="none"/>
                    </w:rPr>
                    <w:t>数量（台）</w:t>
                  </w:r>
                </w:p>
              </w:tc>
              <w:tc>
                <w:tcPr>
                  <w:tcW w:w="2238" w:type="pct"/>
                  <w:tcBorders>
                    <w:tl2br w:val="nil"/>
                    <w:tr2bl w:val="nil"/>
                  </w:tcBorders>
                  <w:tcMar>
                    <w:top w:w="0" w:type="dxa"/>
                    <w:left w:w="108" w:type="dxa"/>
                    <w:bottom w:w="0" w:type="dxa"/>
                    <w:right w:w="108" w:type="dxa"/>
                  </w:tcMar>
                  <w:vAlign w:val="center"/>
                </w:tcPr>
                <w:p w14:paraId="13F1FDD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型号</w:t>
                  </w:r>
                </w:p>
              </w:tc>
            </w:tr>
            <w:tr w14:paraId="33B9F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64" w:hRule="atLeast"/>
              </w:trPr>
              <w:tc>
                <w:tcPr>
                  <w:tcW w:w="571" w:type="pct"/>
                  <w:tcBorders>
                    <w:tl2br w:val="nil"/>
                    <w:tr2bl w:val="nil"/>
                  </w:tcBorders>
                  <w:tcMar>
                    <w:top w:w="0" w:type="dxa"/>
                    <w:left w:w="108" w:type="dxa"/>
                    <w:bottom w:w="0" w:type="dxa"/>
                    <w:right w:w="108" w:type="dxa"/>
                  </w:tcMar>
                  <w:vAlign w:val="center"/>
                </w:tcPr>
                <w:p w14:paraId="61DA5FD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1</w:t>
                  </w:r>
                </w:p>
              </w:tc>
              <w:tc>
                <w:tcPr>
                  <w:tcW w:w="1503" w:type="pct"/>
                  <w:tcBorders>
                    <w:tl2br w:val="nil"/>
                    <w:tr2bl w:val="nil"/>
                  </w:tcBorders>
                  <w:tcMar>
                    <w:top w:w="0" w:type="dxa"/>
                    <w:left w:w="108" w:type="dxa"/>
                    <w:bottom w:w="0" w:type="dxa"/>
                    <w:right w:w="108" w:type="dxa"/>
                  </w:tcMar>
                  <w:vAlign w:val="center"/>
                </w:tcPr>
                <w:p w14:paraId="5E70DEB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普通车床</w:t>
                  </w:r>
                </w:p>
              </w:tc>
              <w:tc>
                <w:tcPr>
                  <w:tcW w:w="687" w:type="pct"/>
                  <w:tcBorders>
                    <w:tl2br w:val="nil"/>
                    <w:tr2bl w:val="nil"/>
                  </w:tcBorders>
                  <w:tcMar>
                    <w:top w:w="0" w:type="dxa"/>
                    <w:left w:w="108" w:type="dxa"/>
                    <w:bottom w:w="0" w:type="dxa"/>
                    <w:right w:w="108" w:type="dxa"/>
                  </w:tcMar>
                  <w:vAlign w:val="center"/>
                </w:tcPr>
                <w:p w14:paraId="677BADF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415FCBB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CV6103*3000</w:t>
                  </w:r>
                </w:p>
              </w:tc>
            </w:tr>
            <w:tr w14:paraId="78C4B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17" w:hRule="atLeast"/>
              </w:trPr>
              <w:tc>
                <w:tcPr>
                  <w:tcW w:w="571" w:type="pct"/>
                  <w:tcBorders>
                    <w:tl2br w:val="nil"/>
                    <w:tr2bl w:val="nil"/>
                  </w:tcBorders>
                  <w:tcMar>
                    <w:top w:w="0" w:type="dxa"/>
                    <w:left w:w="108" w:type="dxa"/>
                    <w:bottom w:w="0" w:type="dxa"/>
                    <w:right w:w="108" w:type="dxa"/>
                  </w:tcMar>
                  <w:vAlign w:val="center"/>
                </w:tcPr>
                <w:p w14:paraId="2C70CFE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2</w:t>
                  </w:r>
                </w:p>
              </w:tc>
              <w:tc>
                <w:tcPr>
                  <w:tcW w:w="1503" w:type="pct"/>
                  <w:tcBorders>
                    <w:tl2br w:val="nil"/>
                    <w:tr2bl w:val="nil"/>
                  </w:tcBorders>
                  <w:tcMar>
                    <w:top w:w="0" w:type="dxa"/>
                    <w:left w:w="108" w:type="dxa"/>
                    <w:bottom w:w="0" w:type="dxa"/>
                    <w:right w:w="108" w:type="dxa"/>
                  </w:tcMar>
                  <w:vAlign w:val="center"/>
                </w:tcPr>
                <w:p w14:paraId="28A6962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立式升降台铣床</w:t>
                  </w:r>
                </w:p>
              </w:tc>
              <w:tc>
                <w:tcPr>
                  <w:tcW w:w="687" w:type="pct"/>
                  <w:tcBorders>
                    <w:tl2br w:val="nil"/>
                    <w:tr2bl w:val="nil"/>
                  </w:tcBorders>
                  <w:tcMar>
                    <w:top w:w="0" w:type="dxa"/>
                    <w:left w:w="108" w:type="dxa"/>
                    <w:bottom w:w="0" w:type="dxa"/>
                    <w:right w:w="108" w:type="dxa"/>
                  </w:tcMar>
                  <w:vAlign w:val="center"/>
                </w:tcPr>
                <w:p w14:paraId="2CE35A3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2795D623">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X5032</w:t>
                  </w:r>
                </w:p>
              </w:tc>
            </w:tr>
            <w:tr w14:paraId="239F7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94" w:hRule="atLeast"/>
              </w:trPr>
              <w:tc>
                <w:tcPr>
                  <w:tcW w:w="571" w:type="pct"/>
                  <w:tcBorders>
                    <w:tl2br w:val="nil"/>
                    <w:tr2bl w:val="nil"/>
                  </w:tcBorders>
                  <w:tcMar>
                    <w:top w:w="0" w:type="dxa"/>
                    <w:left w:w="108" w:type="dxa"/>
                    <w:bottom w:w="0" w:type="dxa"/>
                    <w:right w:w="108" w:type="dxa"/>
                  </w:tcMar>
                  <w:vAlign w:val="center"/>
                </w:tcPr>
                <w:p w14:paraId="5386167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 w:val="21"/>
                      <w:szCs w:val="21"/>
                      <w:highlight w:val="none"/>
                      <w:lang w:eastAsia="zh-CN"/>
                    </w:rPr>
                  </w:pPr>
                  <w:r>
                    <w:rPr>
                      <w:rFonts w:hint="eastAsia" w:ascii="Times New Roman" w:hAnsi="Times New Roman" w:cs="Times New Roman"/>
                      <w:color w:val="auto"/>
                      <w:sz w:val="21"/>
                      <w:szCs w:val="21"/>
                      <w:highlight w:val="none"/>
                      <w:lang w:val="en-US" w:eastAsia="zh-CN"/>
                    </w:rPr>
                    <w:t>3</w:t>
                  </w:r>
                </w:p>
              </w:tc>
              <w:tc>
                <w:tcPr>
                  <w:tcW w:w="1503" w:type="pct"/>
                  <w:tcBorders>
                    <w:tl2br w:val="nil"/>
                    <w:tr2bl w:val="nil"/>
                  </w:tcBorders>
                  <w:tcMar>
                    <w:top w:w="0" w:type="dxa"/>
                    <w:left w:w="108" w:type="dxa"/>
                    <w:bottom w:w="0" w:type="dxa"/>
                    <w:right w:w="108" w:type="dxa"/>
                  </w:tcMar>
                  <w:vAlign w:val="center"/>
                </w:tcPr>
                <w:p w14:paraId="1D6B979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立式加工中心</w:t>
                  </w:r>
                </w:p>
              </w:tc>
              <w:tc>
                <w:tcPr>
                  <w:tcW w:w="687" w:type="pct"/>
                  <w:tcBorders>
                    <w:tl2br w:val="nil"/>
                    <w:tr2bl w:val="nil"/>
                  </w:tcBorders>
                  <w:tcMar>
                    <w:top w:w="0" w:type="dxa"/>
                    <w:left w:w="108" w:type="dxa"/>
                    <w:bottom w:w="0" w:type="dxa"/>
                    <w:right w:w="108" w:type="dxa"/>
                  </w:tcMar>
                  <w:vAlign w:val="center"/>
                </w:tcPr>
                <w:p w14:paraId="056A831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11C6B08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VMC850L</w:t>
                  </w:r>
                </w:p>
              </w:tc>
            </w:tr>
            <w:tr w14:paraId="3A985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64" w:hRule="atLeast"/>
              </w:trPr>
              <w:tc>
                <w:tcPr>
                  <w:tcW w:w="571" w:type="pct"/>
                  <w:tcBorders>
                    <w:tl2br w:val="nil"/>
                    <w:tr2bl w:val="nil"/>
                  </w:tcBorders>
                  <w:tcMar>
                    <w:top w:w="0" w:type="dxa"/>
                    <w:left w:w="108" w:type="dxa"/>
                    <w:bottom w:w="0" w:type="dxa"/>
                    <w:right w:w="108" w:type="dxa"/>
                  </w:tcMar>
                  <w:vAlign w:val="center"/>
                </w:tcPr>
                <w:p w14:paraId="2F4BEDD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4</w:t>
                  </w:r>
                </w:p>
              </w:tc>
              <w:tc>
                <w:tcPr>
                  <w:tcW w:w="1503" w:type="pct"/>
                  <w:tcBorders>
                    <w:tl2br w:val="nil"/>
                    <w:tr2bl w:val="nil"/>
                  </w:tcBorders>
                  <w:tcMar>
                    <w:top w:w="0" w:type="dxa"/>
                    <w:left w:w="108" w:type="dxa"/>
                    <w:bottom w:w="0" w:type="dxa"/>
                    <w:right w:w="108" w:type="dxa"/>
                  </w:tcMar>
                  <w:vAlign w:val="center"/>
                </w:tcPr>
                <w:p w14:paraId="70416C5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立式数控铣床</w:t>
                  </w:r>
                </w:p>
              </w:tc>
              <w:tc>
                <w:tcPr>
                  <w:tcW w:w="687" w:type="pct"/>
                  <w:tcBorders>
                    <w:tl2br w:val="nil"/>
                    <w:tr2bl w:val="nil"/>
                  </w:tcBorders>
                  <w:tcMar>
                    <w:top w:w="0" w:type="dxa"/>
                    <w:left w:w="108" w:type="dxa"/>
                    <w:bottom w:w="0" w:type="dxa"/>
                    <w:right w:w="108" w:type="dxa"/>
                  </w:tcMar>
                  <w:vAlign w:val="center"/>
                </w:tcPr>
                <w:p w14:paraId="66C035F3">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15E6FE2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XK600A</w:t>
                  </w:r>
                </w:p>
              </w:tc>
            </w:tr>
            <w:tr w14:paraId="1C4F3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79" w:hRule="atLeast"/>
              </w:trPr>
              <w:tc>
                <w:tcPr>
                  <w:tcW w:w="571" w:type="pct"/>
                  <w:tcBorders>
                    <w:tl2br w:val="nil"/>
                    <w:tr2bl w:val="nil"/>
                  </w:tcBorders>
                  <w:tcMar>
                    <w:top w:w="0" w:type="dxa"/>
                    <w:left w:w="108" w:type="dxa"/>
                    <w:bottom w:w="0" w:type="dxa"/>
                    <w:right w:w="108" w:type="dxa"/>
                  </w:tcMar>
                  <w:vAlign w:val="center"/>
                </w:tcPr>
                <w:p w14:paraId="1DC49313">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5</w:t>
                  </w:r>
                </w:p>
              </w:tc>
              <w:tc>
                <w:tcPr>
                  <w:tcW w:w="1503" w:type="pct"/>
                  <w:tcBorders>
                    <w:tl2br w:val="nil"/>
                    <w:tr2bl w:val="nil"/>
                  </w:tcBorders>
                  <w:tcMar>
                    <w:top w:w="0" w:type="dxa"/>
                    <w:left w:w="108" w:type="dxa"/>
                    <w:bottom w:w="0" w:type="dxa"/>
                    <w:right w:w="108" w:type="dxa"/>
                  </w:tcMar>
                  <w:vAlign w:val="center"/>
                </w:tcPr>
                <w:p w14:paraId="4FC0C06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数控车床</w:t>
                  </w:r>
                </w:p>
              </w:tc>
              <w:tc>
                <w:tcPr>
                  <w:tcW w:w="687" w:type="pct"/>
                  <w:tcBorders>
                    <w:tl2br w:val="nil"/>
                    <w:tr2bl w:val="nil"/>
                  </w:tcBorders>
                  <w:tcMar>
                    <w:top w:w="0" w:type="dxa"/>
                    <w:left w:w="108" w:type="dxa"/>
                    <w:bottom w:w="0" w:type="dxa"/>
                    <w:right w:w="108" w:type="dxa"/>
                  </w:tcMar>
                  <w:vAlign w:val="center"/>
                </w:tcPr>
                <w:p w14:paraId="58CB4042">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263D8D3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SC6136</w:t>
                  </w:r>
                </w:p>
              </w:tc>
            </w:tr>
            <w:tr w14:paraId="7DDFF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49" w:hRule="atLeast"/>
              </w:trPr>
              <w:tc>
                <w:tcPr>
                  <w:tcW w:w="571" w:type="pct"/>
                  <w:tcBorders>
                    <w:tl2br w:val="nil"/>
                    <w:tr2bl w:val="nil"/>
                  </w:tcBorders>
                  <w:tcMar>
                    <w:top w:w="0" w:type="dxa"/>
                    <w:left w:w="108" w:type="dxa"/>
                    <w:bottom w:w="0" w:type="dxa"/>
                    <w:right w:w="108" w:type="dxa"/>
                  </w:tcMar>
                  <w:vAlign w:val="center"/>
                </w:tcPr>
                <w:p w14:paraId="2428D4F3">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6</w:t>
                  </w:r>
                </w:p>
              </w:tc>
              <w:tc>
                <w:tcPr>
                  <w:tcW w:w="1503" w:type="pct"/>
                  <w:tcBorders>
                    <w:tl2br w:val="nil"/>
                    <w:tr2bl w:val="nil"/>
                  </w:tcBorders>
                  <w:tcMar>
                    <w:top w:w="0" w:type="dxa"/>
                    <w:left w:w="108" w:type="dxa"/>
                    <w:bottom w:w="0" w:type="dxa"/>
                    <w:right w:w="108" w:type="dxa"/>
                  </w:tcMar>
                  <w:vAlign w:val="center"/>
                </w:tcPr>
                <w:p w14:paraId="58613D5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普通车床</w:t>
                  </w:r>
                </w:p>
              </w:tc>
              <w:tc>
                <w:tcPr>
                  <w:tcW w:w="687" w:type="pct"/>
                  <w:tcBorders>
                    <w:tl2br w:val="nil"/>
                    <w:tr2bl w:val="nil"/>
                  </w:tcBorders>
                  <w:tcMar>
                    <w:top w:w="0" w:type="dxa"/>
                    <w:left w:w="108" w:type="dxa"/>
                    <w:bottom w:w="0" w:type="dxa"/>
                    <w:right w:w="108" w:type="dxa"/>
                  </w:tcMar>
                  <w:vAlign w:val="center"/>
                </w:tcPr>
                <w:p w14:paraId="5F26C09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75CBC7C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CY6132B-1000</w:t>
                  </w:r>
                </w:p>
              </w:tc>
            </w:tr>
            <w:tr w14:paraId="243EA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79" w:hRule="atLeast"/>
              </w:trPr>
              <w:tc>
                <w:tcPr>
                  <w:tcW w:w="571" w:type="pct"/>
                  <w:tcBorders>
                    <w:tl2br w:val="nil"/>
                    <w:tr2bl w:val="nil"/>
                  </w:tcBorders>
                  <w:tcMar>
                    <w:top w:w="0" w:type="dxa"/>
                    <w:left w:w="108" w:type="dxa"/>
                    <w:bottom w:w="0" w:type="dxa"/>
                    <w:right w:w="108" w:type="dxa"/>
                  </w:tcMar>
                  <w:vAlign w:val="center"/>
                </w:tcPr>
                <w:p w14:paraId="4F246AA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7</w:t>
                  </w:r>
                </w:p>
              </w:tc>
              <w:tc>
                <w:tcPr>
                  <w:tcW w:w="1503" w:type="pct"/>
                  <w:tcBorders>
                    <w:tl2br w:val="nil"/>
                    <w:tr2bl w:val="nil"/>
                  </w:tcBorders>
                  <w:tcMar>
                    <w:top w:w="0" w:type="dxa"/>
                    <w:left w:w="108" w:type="dxa"/>
                    <w:bottom w:w="0" w:type="dxa"/>
                    <w:right w:w="108" w:type="dxa"/>
                  </w:tcMar>
                  <w:vAlign w:val="center"/>
                </w:tcPr>
                <w:p w14:paraId="154E328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普通车床</w:t>
                  </w:r>
                </w:p>
              </w:tc>
              <w:tc>
                <w:tcPr>
                  <w:tcW w:w="687" w:type="pct"/>
                  <w:tcBorders>
                    <w:tl2br w:val="nil"/>
                    <w:tr2bl w:val="nil"/>
                  </w:tcBorders>
                  <w:tcMar>
                    <w:top w:w="0" w:type="dxa"/>
                    <w:left w:w="108" w:type="dxa"/>
                    <w:bottom w:w="0" w:type="dxa"/>
                    <w:right w:w="108" w:type="dxa"/>
                  </w:tcMar>
                  <w:vAlign w:val="center"/>
                </w:tcPr>
                <w:p w14:paraId="43AADB5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4D3F23E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CY6140B-1000</w:t>
                  </w:r>
                </w:p>
              </w:tc>
            </w:tr>
            <w:tr w14:paraId="53D99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49" w:hRule="atLeast"/>
              </w:trPr>
              <w:tc>
                <w:tcPr>
                  <w:tcW w:w="571" w:type="pct"/>
                  <w:tcBorders>
                    <w:tl2br w:val="nil"/>
                    <w:tr2bl w:val="nil"/>
                  </w:tcBorders>
                  <w:tcMar>
                    <w:top w:w="0" w:type="dxa"/>
                    <w:left w:w="108" w:type="dxa"/>
                    <w:bottom w:w="0" w:type="dxa"/>
                    <w:right w:w="108" w:type="dxa"/>
                  </w:tcMar>
                  <w:vAlign w:val="center"/>
                </w:tcPr>
                <w:p w14:paraId="5B5B902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8</w:t>
                  </w:r>
                </w:p>
              </w:tc>
              <w:tc>
                <w:tcPr>
                  <w:tcW w:w="1503" w:type="pct"/>
                  <w:tcBorders>
                    <w:tl2br w:val="nil"/>
                    <w:tr2bl w:val="nil"/>
                  </w:tcBorders>
                  <w:tcMar>
                    <w:top w:w="0" w:type="dxa"/>
                    <w:left w:w="108" w:type="dxa"/>
                    <w:bottom w:w="0" w:type="dxa"/>
                    <w:right w:w="108" w:type="dxa"/>
                  </w:tcMar>
                  <w:vAlign w:val="center"/>
                </w:tcPr>
                <w:p w14:paraId="181774B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压力机</w:t>
                  </w:r>
                </w:p>
              </w:tc>
              <w:tc>
                <w:tcPr>
                  <w:tcW w:w="687" w:type="pct"/>
                  <w:tcBorders>
                    <w:tl2br w:val="nil"/>
                    <w:tr2bl w:val="nil"/>
                  </w:tcBorders>
                  <w:tcMar>
                    <w:top w:w="0" w:type="dxa"/>
                    <w:left w:w="108" w:type="dxa"/>
                    <w:bottom w:w="0" w:type="dxa"/>
                    <w:right w:w="108" w:type="dxa"/>
                  </w:tcMar>
                  <w:vAlign w:val="center"/>
                </w:tcPr>
                <w:p w14:paraId="5726CC2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26E0A28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JH100T</w:t>
                  </w:r>
                </w:p>
              </w:tc>
            </w:tr>
            <w:tr w14:paraId="0C215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74" w:hRule="atLeast"/>
              </w:trPr>
              <w:tc>
                <w:tcPr>
                  <w:tcW w:w="571" w:type="pct"/>
                  <w:tcBorders>
                    <w:tl2br w:val="nil"/>
                    <w:tr2bl w:val="nil"/>
                  </w:tcBorders>
                  <w:tcMar>
                    <w:top w:w="0" w:type="dxa"/>
                    <w:left w:w="108" w:type="dxa"/>
                    <w:bottom w:w="0" w:type="dxa"/>
                    <w:right w:w="108" w:type="dxa"/>
                  </w:tcMar>
                  <w:vAlign w:val="center"/>
                </w:tcPr>
                <w:p w14:paraId="6384D50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9</w:t>
                  </w:r>
                </w:p>
              </w:tc>
              <w:tc>
                <w:tcPr>
                  <w:tcW w:w="1503" w:type="pct"/>
                  <w:tcBorders>
                    <w:tl2br w:val="nil"/>
                    <w:tr2bl w:val="nil"/>
                  </w:tcBorders>
                  <w:tcMar>
                    <w:top w:w="0" w:type="dxa"/>
                    <w:left w:w="108" w:type="dxa"/>
                    <w:bottom w:w="0" w:type="dxa"/>
                    <w:right w:w="108" w:type="dxa"/>
                  </w:tcMar>
                  <w:vAlign w:val="center"/>
                </w:tcPr>
                <w:p w14:paraId="26F3035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台式钻床</w:t>
                  </w:r>
                </w:p>
              </w:tc>
              <w:tc>
                <w:tcPr>
                  <w:tcW w:w="687" w:type="pct"/>
                  <w:tcBorders>
                    <w:tl2br w:val="nil"/>
                    <w:tr2bl w:val="nil"/>
                  </w:tcBorders>
                  <w:tcMar>
                    <w:top w:w="0" w:type="dxa"/>
                    <w:left w:w="108" w:type="dxa"/>
                    <w:bottom w:w="0" w:type="dxa"/>
                    <w:right w:w="108" w:type="dxa"/>
                  </w:tcMar>
                  <w:vAlign w:val="center"/>
                </w:tcPr>
                <w:p w14:paraId="016EE59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701974E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Z512B</w:t>
                  </w:r>
                </w:p>
              </w:tc>
            </w:tr>
            <w:tr w14:paraId="5A73D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79" w:hRule="atLeast"/>
              </w:trPr>
              <w:tc>
                <w:tcPr>
                  <w:tcW w:w="571" w:type="pct"/>
                  <w:tcBorders>
                    <w:tl2br w:val="nil"/>
                    <w:tr2bl w:val="nil"/>
                  </w:tcBorders>
                  <w:tcMar>
                    <w:top w:w="0" w:type="dxa"/>
                    <w:left w:w="108" w:type="dxa"/>
                    <w:bottom w:w="0" w:type="dxa"/>
                    <w:right w:w="108" w:type="dxa"/>
                  </w:tcMar>
                  <w:vAlign w:val="center"/>
                </w:tcPr>
                <w:p w14:paraId="62EDEBB2">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10</w:t>
                  </w:r>
                </w:p>
              </w:tc>
              <w:tc>
                <w:tcPr>
                  <w:tcW w:w="1503" w:type="pct"/>
                  <w:tcBorders>
                    <w:tl2br w:val="nil"/>
                    <w:tr2bl w:val="nil"/>
                  </w:tcBorders>
                  <w:tcMar>
                    <w:top w:w="0" w:type="dxa"/>
                    <w:left w:w="108" w:type="dxa"/>
                    <w:bottom w:w="0" w:type="dxa"/>
                    <w:right w:w="108" w:type="dxa"/>
                  </w:tcMar>
                  <w:vAlign w:val="center"/>
                </w:tcPr>
                <w:p w14:paraId="7D03CE0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台式攻丝机</w:t>
                  </w:r>
                </w:p>
              </w:tc>
              <w:tc>
                <w:tcPr>
                  <w:tcW w:w="687" w:type="pct"/>
                  <w:tcBorders>
                    <w:tl2br w:val="nil"/>
                    <w:tr2bl w:val="nil"/>
                  </w:tcBorders>
                  <w:tcMar>
                    <w:top w:w="0" w:type="dxa"/>
                    <w:left w:w="108" w:type="dxa"/>
                    <w:bottom w:w="0" w:type="dxa"/>
                    <w:right w:w="108" w:type="dxa"/>
                  </w:tcMar>
                  <w:vAlign w:val="center"/>
                </w:tcPr>
                <w:p w14:paraId="182230D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00568E2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SWJ-12</w:t>
                  </w:r>
                </w:p>
              </w:tc>
            </w:tr>
            <w:tr w14:paraId="63724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41" w:hRule="atLeast"/>
              </w:trPr>
              <w:tc>
                <w:tcPr>
                  <w:tcW w:w="571" w:type="pct"/>
                  <w:tcBorders>
                    <w:tl2br w:val="nil"/>
                    <w:tr2bl w:val="nil"/>
                  </w:tcBorders>
                  <w:tcMar>
                    <w:top w:w="0" w:type="dxa"/>
                    <w:left w:w="108" w:type="dxa"/>
                    <w:bottom w:w="0" w:type="dxa"/>
                    <w:right w:w="108" w:type="dxa"/>
                  </w:tcMar>
                  <w:vAlign w:val="center"/>
                </w:tcPr>
                <w:p w14:paraId="7A89913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11</w:t>
                  </w:r>
                </w:p>
              </w:tc>
              <w:tc>
                <w:tcPr>
                  <w:tcW w:w="1503" w:type="pct"/>
                  <w:tcBorders>
                    <w:tl2br w:val="nil"/>
                    <w:tr2bl w:val="nil"/>
                  </w:tcBorders>
                  <w:tcMar>
                    <w:top w:w="0" w:type="dxa"/>
                    <w:left w:w="108" w:type="dxa"/>
                    <w:bottom w:w="0" w:type="dxa"/>
                    <w:right w:w="108" w:type="dxa"/>
                  </w:tcMar>
                  <w:vAlign w:val="center"/>
                </w:tcPr>
                <w:p w14:paraId="51C3F1E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立式加工中心</w:t>
                  </w:r>
                </w:p>
              </w:tc>
              <w:tc>
                <w:tcPr>
                  <w:tcW w:w="687" w:type="pct"/>
                  <w:tcBorders>
                    <w:tl2br w:val="nil"/>
                    <w:tr2bl w:val="nil"/>
                  </w:tcBorders>
                  <w:tcMar>
                    <w:top w:w="0" w:type="dxa"/>
                    <w:left w:w="108" w:type="dxa"/>
                    <w:bottom w:w="0" w:type="dxa"/>
                    <w:right w:w="108" w:type="dxa"/>
                  </w:tcMar>
                  <w:vAlign w:val="center"/>
                </w:tcPr>
                <w:p w14:paraId="17788D3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66CD1F9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VMC1265</w:t>
                  </w:r>
                </w:p>
              </w:tc>
            </w:tr>
            <w:tr w14:paraId="5C05F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74" w:hRule="atLeast"/>
              </w:trPr>
              <w:tc>
                <w:tcPr>
                  <w:tcW w:w="571" w:type="pct"/>
                  <w:tcBorders>
                    <w:tl2br w:val="nil"/>
                    <w:tr2bl w:val="nil"/>
                  </w:tcBorders>
                  <w:tcMar>
                    <w:top w:w="0" w:type="dxa"/>
                    <w:left w:w="108" w:type="dxa"/>
                    <w:bottom w:w="0" w:type="dxa"/>
                    <w:right w:w="108" w:type="dxa"/>
                  </w:tcMar>
                  <w:vAlign w:val="center"/>
                </w:tcPr>
                <w:p w14:paraId="32BE446D">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12</w:t>
                  </w:r>
                </w:p>
              </w:tc>
              <w:tc>
                <w:tcPr>
                  <w:tcW w:w="1503" w:type="pct"/>
                  <w:tcBorders>
                    <w:tl2br w:val="nil"/>
                    <w:tr2bl w:val="nil"/>
                  </w:tcBorders>
                  <w:tcMar>
                    <w:top w:w="0" w:type="dxa"/>
                    <w:left w:w="108" w:type="dxa"/>
                    <w:bottom w:w="0" w:type="dxa"/>
                    <w:right w:w="108" w:type="dxa"/>
                  </w:tcMar>
                  <w:vAlign w:val="center"/>
                </w:tcPr>
                <w:p w14:paraId="052CE5B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台式攻丝机</w:t>
                  </w:r>
                </w:p>
              </w:tc>
              <w:tc>
                <w:tcPr>
                  <w:tcW w:w="687" w:type="pct"/>
                  <w:tcBorders>
                    <w:tl2br w:val="nil"/>
                    <w:tr2bl w:val="nil"/>
                  </w:tcBorders>
                  <w:tcMar>
                    <w:top w:w="0" w:type="dxa"/>
                    <w:left w:w="108" w:type="dxa"/>
                    <w:bottom w:w="0" w:type="dxa"/>
                    <w:right w:w="108" w:type="dxa"/>
                  </w:tcMar>
                  <w:vAlign w:val="center"/>
                </w:tcPr>
                <w:p w14:paraId="2D6105E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2</w:t>
                  </w:r>
                </w:p>
              </w:tc>
              <w:tc>
                <w:tcPr>
                  <w:tcW w:w="2238" w:type="pct"/>
                  <w:tcBorders>
                    <w:tl2br w:val="nil"/>
                    <w:tr2bl w:val="nil"/>
                  </w:tcBorders>
                  <w:tcMar>
                    <w:top w:w="0" w:type="dxa"/>
                    <w:left w:w="108" w:type="dxa"/>
                    <w:bottom w:w="0" w:type="dxa"/>
                    <w:right w:w="108" w:type="dxa"/>
                  </w:tcMar>
                  <w:vAlign w:val="center"/>
                </w:tcPr>
                <w:p w14:paraId="32EC2F2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SWJ-16</w:t>
                  </w:r>
                </w:p>
              </w:tc>
            </w:tr>
            <w:tr w14:paraId="42337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08" w:hRule="atLeast"/>
              </w:trPr>
              <w:tc>
                <w:tcPr>
                  <w:tcW w:w="571" w:type="pct"/>
                  <w:tcBorders>
                    <w:tl2br w:val="nil"/>
                    <w:tr2bl w:val="nil"/>
                  </w:tcBorders>
                  <w:tcMar>
                    <w:top w:w="0" w:type="dxa"/>
                    <w:left w:w="108" w:type="dxa"/>
                    <w:bottom w:w="0" w:type="dxa"/>
                    <w:right w:w="108" w:type="dxa"/>
                  </w:tcMar>
                  <w:vAlign w:val="center"/>
                </w:tcPr>
                <w:p w14:paraId="1D7FD85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13</w:t>
                  </w:r>
                </w:p>
              </w:tc>
              <w:tc>
                <w:tcPr>
                  <w:tcW w:w="1503" w:type="pct"/>
                  <w:tcBorders>
                    <w:tl2br w:val="nil"/>
                    <w:tr2bl w:val="nil"/>
                  </w:tcBorders>
                  <w:tcMar>
                    <w:top w:w="0" w:type="dxa"/>
                    <w:left w:w="108" w:type="dxa"/>
                    <w:bottom w:w="0" w:type="dxa"/>
                    <w:right w:w="108" w:type="dxa"/>
                  </w:tcMar>
                  <w:vAlign w:val="center"/>
                </w:tcPr>
                <w:p w14:paraId="720EA2C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台式钻床</w:t>
                  </w:r>
                </w:p>
              </w:tc>
              <w:tc>
                <w:tcPr>
                  <w:tcW w:w="687" w:type="pct"/>
                  <w:tcBorders>
                    <w:tl2br w:val="nil"/>
                    <w:tr2bl w:val="nil"/>
                  </w:tcBorders>
                  <w:tcMar>
                    <w:top w:w="0" w:type="dxa"/>
                    <w:left w:w="108" w:type="dxa"/>
                    <w:bottom w:w="0" w:type="dxa"/>
                    <w:right w:w="108" w:type="dxa"/>
                  </w:tcMar>
                  <w:vAlign w:val="center"/>
                </w:tcPr>
                <w:p w14:paraId="3DA0541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2</w:t>
                  </w:r>
                </w:p>
              </w:tc>
              <w:tc>
                <w:tcPr>
                  <w:tcW w:w="2238" w:type="pct"/>
                  <w:tcBorders>
                    <w:tl2br w:val="nil"/>
                    <w:tr2bl w:val="nil"/>
                  </w:tcBorders>
                  <w:tcMar>
                    <w:top w:w="0" w:type="dxa"/>
                    <w:left w:w="108" w:type="dxa"/>
                    <w:bottom w:w="0" w:type="dxa"/>
                    <w:right w:w="108" w:type="dxa"/>
                  </w:tcMar>
                  <w:vAlign w:val="center"/>
                </w:tcPr>
                <w:p w14:paraId="5B39B53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Z512B</w:t>
                  </w:r>
                </w:p>
              </w:tc>
            </w:tr>
            <w:tr w14:paraId="2A4304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41" w:hRule="atLeast"/>
              </w:trPr>
              <w:tc>
                <w:tcPr>
                  <w:tcW w:w="571" w:type="pct"/>
                  <w:tcBorders>
                    <w:tl2br w:val="nil"/>
                    <w:tr2bl w:val="nil"/>
                  </w:tcBorders>
                  <w:tcMar>
                    <w:top w:w="0" w:type="dxa"/>
                    <w:left w:w="108" w:type="dxa"/>
                    <w:bottom w:w="0" w:type="dxa"/>
                    <w:right w:w="108" w:type="dxa"/>
                  </w:tcMar>
                  <w:vAlign w:val="center"/>
                </w:tcPr>
                <w:p w14:paraId="62E3BE9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14</w:t>
                  </w:r>
                </w:p>
              </w:tc>
              <w:tc>
                <w:tcPr>
                  <w:tcW w:w="1503" w:type="pct"/>
                  <w:tcBorders>
                    <w:tl2br w:val="nil"/>
                    <w:tr2bl w:val="nil"/>
                  </w:tcBorders>
                  <w:tcMar>
                    <w:top w:w="0" w:type="dxa"/>
                    <w:left w:w="108" w:type="dxa"/>
                    <w:bottom w:w="0" w:type="dxa"/>
                    <w:right w:w="108" w:type="dxa"/>
                  </w:tcMar>
                  <w:vAlign w:val="center"/>
                </w:tcPr>
                <w:p w14:paraId="082B0B3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万能工具铣床</w:t>
                  </w:r>
                </w:p>
              </w:tc>
              <w:tc>
                <w:tcPr>
                  <w:tcW w:w="687" w:type="pct"/>
                  <w:tcBorders>
                    <w:tl2br w:val="nil"/>
                    <w:tr2bl w:val="nil"/>
                  </w:tcBorders>
                  <w:tcMar>
                    <w:top w:w="0" w:type="dxa"/>
                    <w:left w:w="108" w:type="dxa"/>
                    <w:bottom w:w="0" w:type="dxa"/>
                    <w:right w:w="108" w:type="dxa"/>
                  </w:tcMar>
                  <w:vAlign w:val="center"/>
                </w:tcPr>
                <w:p w14:paraId="3B6A0B3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4E6DF62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X8126C</w:t>
                  </w:r>
                </w:p>
              </w:tc>
            </w:tr>
            <w:tr w14:paraId="22062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79" w:hRule="atLeast"/>
              </w:trPr>
              <w:tc>
                <w:tcPr>
                  <w:tcW w:w="571" w:type="pct"/>
                  <w:tcBorders>
                    <w:tl2br w:val="nil"/>
                    <w:tr2bl w:val="nil"/>
                  </w:tcBorders>
                  <w:tcMar>
                    <w:top w:w="0" w:type="dxa"/>
                    <w:left w:w="108" w:type="dxa"/>
                    <w:bottom w:w="0" w:type="dxa"/>
                    <w:right w:w="108" w:type="dxa"/>
                  </w:tcMar>
                  <w:vAlign w:val="center"/>
                </w:tcPr>
                <w:p w14:paraId="7C2F3A0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15</w:t>
                  </w:r>
                </w:p>
              </w:tc>
              <w:tc>
                <w:tcPr>
                  <w:tcW w:w="1503" w:type="pct"/>
                  <w:tcBorders>
                    <w:tl2br w:val="nil"/>
                    <w:tr2bl w:val="nil"/>
                  </w:tcBorders>
                  <w:tcMar>
                    <w:top w:w="0" w:type="dxa"/>
                    <w:left w:w="108" w:type="dxa"/>
                    <w:bottom w:w="0" w:type="dxa"/>
                    <w:right w:w="108" w:type="dxa"/>
                  </w:tcMar>
                  <w:vAlign w:val="center"/>
                </w:tcPr>
                <w:p w14:paraId="300A517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数控车床</w:t>
                  </w:r>
                </w:p>
              </w:tc>
              <w:tc>
                <w:tcPr>
                  <w:tcW w:w="687" w:type="pct"/>
                  <w:tcBorders>
                    <w:tl2br w:val="nil"/>
                    <w:tr2bl w:val="nil"/>
                  </w:tcBorders>
                  <w:tcMar>
                    <w:top w:w="0" w:type="dxa"/>
                    <w:left w:w="108" w:type="dxa"/>
                    <w:bottom w:w="0" w:type="dxa"/>
                    <w:right w:w="108" w:type="dxa"/>
                  </w:tcMar>
                  <w:vAlign w:val="center"/>
                </w:tcPr>
                <w:p w14:paraId="6DE3793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537767E2">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CK-6136</w:t>
                  </w:r>
                </w:p>
              </w:tc>
            </w:tr>
            <w:tr w14:paraId="765DC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57" w:hRule="atLeast"/>
              </w:trPr>
              <w:tc>
                <w:tcPr>
                  <w:tcW w:w="571" w:type="pct"/>
                  <w:tcBorders>
                    <w:tl2br w:val="nil"/>
                    <w:tr2bl w:val="nil"/>
                  </w:tcBorders>
                  <w:tcMar>
                    <w:top w:w="0" w:type="dxa"/>
                    <w:left w:w="108" w:type="dxa"/>
                    <w:bottom w:w="0" w:type="dxa"/>
                    <w:right w:w="108" w:type="dxa"/>
                  </w:tcMar>
                  <w:vAlign w:val="center"/>
                </w:tcPr>
                <w:p w14:paraId="26E260E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16</w:t>
                  </w:r>
                </w:p>
              </w:tc>
              <w:tc>
                <w:tcPr>
                  <w:tcW w:w="1503" w:type="pct"/>
                  <w:tcBorders>
                    <w:tl2br w:val="nil"/>
                    <w:tr2bl w:val="nil"/>
                  </w:tcBorders>
                  <w:tcMar>
                    <w:top w:w="0" w:type="dxa"/>
                    <w:left w:w="108" w:type="dxa"/>
                    <w:bottom w:w="0" w:type="dxa"/>
                    <w:right w:w="108" w:type="dxa"/>
                  </w:tcMar>
                  <w:vAlign w:val="center"/>
                </w:tcPr>
                <w:p w14:paraId="21B520A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立式升降台铣床</w:t>
                  </w:r>
                </w:p>
              </w:tc>
              <w:tc>
                <w:tcPr>
                  <w:tcW w:w="687" w:type="pct"/>
                  <w:tcBorders>
                    <w:tl2br w:val="nil"/>
                    <w:tr2bl w:val="nil"/>
                  </w:tcBorders>
                  <w:tcMar>
                    <w:top w:w="0" w:type="dxa"/>
                    <w:left w:w="108" w:type="dxa"/>
                    <w:bottom w:w="0" w:type="dxa"/>
                    <w:right w:w="108" w:type="dxa"/>
                  </w:tcMar>
                  <w:vAlign w:val="center"/>
                </w:tcPr>
                <w:p w14:paraId="25A8A07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0C77A17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X5032</w:t>
                  </w:r>
                </w:p>
              </w:tc>
            </w:tr>
            <w:tr w14:paraId="5A1B3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34" w:hRule="atLeast"/>
              </w:trPr>
              <w:tc>
                <w:tcPr>
                  <w:tcW w:w="571" w:type="pct"/>
                  <w:tcBorders>
                    <w:tl2br w:val="nil"/>
                    <w:tr2bl w:val="nil"/>
                  </w:tcBorders>
                  <w:tcMar>
                    <w:top w:w="0" w:type="dxa"/>
                    <w:left w:w="108" w:type="dxa"/>
                    <w:bottom w:w="0" w:type="dxa"/>
                    <w:right w:w="108" w:type="dxa"/>
                  </w:tcMar>
                  <w:vAlign w:val="center"/>
                </w:tcPr>
                <w:p w14:paraId="5085D53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17</w:t>
                  </w:r>
                </w:p>
              </w:tc>
              <w:tc>
                <w:tcPr>
                  <w:tcW w:w="1503" w:type="pct"/>
                  <w:tcBorders>
                    <w:tl2br w:val="nil"/>
                    <w:tr2bl w:val="nil"/>
                  </w:tcBorders>
                  <w:tcMar>
                    <w:top w:w="0" w:type="dxa"/>
                    <w:left w:w="108" w:type="dxa"/>
                    <w:bottom w:w="0" w:type="dxa"/>
                    <w:right w:w="108" w:type="dxa"/>
                  </w:tcMar>
                  <w:vAlign w:val="center"/>
                </w:tcPr>
                <w:p w14:paraId="1CF569B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电火花数控线切割机床</w:t>
                  </w:r>
                </w:p>
              </w:tc>
              <w:tc>
                <w:tcPr>
                  <w:tcW w:w="687" w:type="pct"/>
                  <w:tcBorders>
                    <w:tl2br w:val="nil"/>
                    <w:tr2bl w:val="nil"/>
                  </w:tcBorders>
                  <w:tcMar>
                    <w:top w:w="0" w:type="dxa"/>
                    <w:left w:w="108" w:type="dxa"/>
                    <w:bottom w:w="0" w:type="dxa"/>
                    <w:right w:w="108" w:type="dxa"/>
                  </w:tcMar>
                  <w:vAlign w:val="center"/>
                </w:tcPr>
                <w:p w14:paraId="0D5709A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2</w:t>
                  </w:r>
                </w:p>
              </w:tc>
              <w:tc>
                <w:tcPr>
                  <w:tcW w:w="2238" w:type="pct"/>
                  <w:tcBorders>
                    <w:tl2br w:val="nil"/>
                    <w:tr2bl w:val="nil"/>
                  </w:tcBorders>
                  <w:tcMar>
                    <w:top w:w="0" w:type="dxa"/>
                    <w:left w:w="108" w:type="dxa"/>
                    <w:bottom w:w="0" w:type="dxa"/>
                    <w:right w:w="108" w:type="dxa"/>
                  </w:tcMar>
                  <w:vAlign w:val="center"/>
                </w:tcPr>
                <w:p w14:paraId="087BE45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DK7740</w:t>
                  </w:r>
                </w:p>
              </w:tc>
            </w:tr>
          </w:tbl>
          <w:p w14:paraId="01E01CAE">
            <w:pPr>
              <w:pStyle w:val="9"/>
              <w:rPr>
                <w:color w:val="auto"/>
                <w:highlight w:val="none"/>
              </w:rPr>
            </w:pPr>
            <w:r>
              <w:rPr>
                <w:rFonts w:hint="eastAsia"/>
                <w:color w:val="auto"/>
                <w:highlight w:val="none"/>
                <w:lang w:val="en-US" w:eastAsia="zh-CN"/>
              </w:rPr>
              <w:t>2</w:t>
            </w:r>
            <w:r>
              <w:rPr>
                <w:rFonts w:hint="eastAsia"/>
                <w:color w:val="auto"/>
                <w:highlight w:val="none"/>
              </w:rPr>
              <w:t>.</w:t>
            </w:r>
            <w:r>
              <w:rPr>
                <w:color w:val="auto"/>
                <w:highlight w:val="none"/>
              </w:rPr>
              <w:t xml:space="preserve">4 </w:t>
            </w:r>
            <w:r>
              <w:rPr>
                <w:rFonts w:hint="eastAsia"/>
                <w:color w:val="auto"/>
                <w:highlight w:val="none"/>
                <w:lang w:val="en-US" w:eastAsia="zh-CN"/>
              </w:rPr>
              <w:t>现有工程</w:t>
            </w:r>
            <w:r>
              <w:rPr>
                <w:color w:val="auto"/>
                <w:highlight w:val="none"/>
              </w:rPr>
              <w:t>主要原辅材料消耗</w:t>
            </w:r>
          </w:p>
          <w:p w14:paraId="7E5A2F2D">
            <w:pPr>
              <w:pStyle w:val="47"/>
              <w:ind w:left="482" w:hanging="482"/>
              <w:rPr>
                <w:color w:val="auto"/>
                <w:highlight w:val="none"/>
              </w:rPr>
            </w:pPr>
            <w:r>
              <w:rPr>
                <w:color w:val="auto"/>
                <w:highlight w:val="none"/>
              </w:rPr>
              <w:t>表</w:t>
            </w:r>
            <w:r>
              <w:rPr>
                <w:rFonts w:hint="eastAsia"/>
                <w:color w:val="auto"/>
                <w:highlight w:val="none"/>
                <w:lang w:val="en-US" w:eastAsia="zh-CN"/>
              </w:rPr>
              <w:t xml:space="preserve">2-3 </w:t>
            </w:r>
            <w:r>
              <w:rPr>
                <w:color w:val="auto"/>
                <w:highlight w:val="none"/>
              </w:rPr>
              <w:t xml:space="preserve"> </w:t>
            </w:r>
            <w:r>
              <w:rPr>
                <w:rFonts w:hint="eastAsia"/>
                <w:color w:val="auto"/>
                <w:highlight w:val="none"/>
                <w:lang w:val="en-US" w:eastAsia="zh-CN"/>
              </w:rPr>
              <w:t>现有</w:t>
            </w:r>
            <w:r>
              <w:rPr>
                <w:color w:val="auto"/>
                <w:highlight w:val="none"/>
              </w:rPr>
              <w:t>主要原辅材料</w:t>
            </w:r>
            <w:r>
              <w:rPr>
                <w:rFonts w:hint="eastAsia"/>
                <w:color w:val="auto"/>
                <w:highlight w:val="none"/>
              </w:rPr>
              <w:t>及能源</w:t>
            </w:r>
            <w:r>
              <w:rPr>
                <w:color w:val="auto"/>
                <w:highlight w:val="none"/>
              </w:rPr>
              <w:t>消耗一览表</w:t>
            </w:r>
          </w:p>
          <w:tbl>
            <w:tblPr>
              <w:tblStyle w:val="3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1" w:type="dxa"/>
                <w:bottom w:w="0" w:type="dxa"/>
                <w:right w:w="51" w:type="dxa"/>
              </w:tblCellMar>
            </w:tblPr>
            <w:tblGrid>
              <w:gridCol w:w="805"/>
              <w:gridCol w:w="1619"/>
              <w:gridCol w:w="1316"/>
              <w:gridCol w:w="4583"/>
            </w:tblGrid>
            <w:tr w14:paraId="6FBC4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95" w:hRule="atLeast"/>
                <w:jc w:val="center"/>
              </w:trPr>
              <w:tc>
                <w:tcPr>
                  <w:tcW w:w="484" w:type="pct"/>
                  <w:tcBorders>
                    <w:tl2br w:val="nil"/>
                    <w:tr2bl w:val="nil"/>
                  </w:tcBorders>
                  <w:vAlign w:val="center"/>
                </w:tcPr>
                <w:p w14:paraId="1F35B150">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项目</w:t>
                  </w:r>
                </w:p>
              </w:tc>
              <w:tc>
                <w:tcPr>
                  <w:tcW w:w="972" w:type="pct"/>
                  <w:tcBorders>
                    <w:tl2br w:val="nil"/>
                    <w:tr2bl w:val="nil"/>
                  </w:tcBorders>
                  <w:vAlign w:val="center"/>
                </w:tcPr>
                <w:p w14:paraId="1418FFA0">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名称</w:t>
                  </w:r>
                </w:p>
              </w:tc>
              <w:tc>
                <w:tcPr>
                  <w:tcW w:w="790" w:type="pct"/>
                  <w:tcBorders>
                    <w:tl2br w:val="nil"/>
                    <w:tr2bl w:val="nil"/>
                  </w:tcBorders>
                  <w:vAlign w:val="center"/>
                </w:tcPr>
                <w:p w14:paraId="5651F413">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用量</w:t>
                  </w:r>
                </w:p>
              </w:tc>
              <w:tc>
                <w:tcPr>
                  <w:tcW w:w="2752" w:type="pct"/>
                  <w:tcBorders>
                    <w:tl2br w:val="nil"/>
                    <w:tr2bl w:val="nil"/>
                  </w:tcBorders>
                  <w:vAlign w:val="center"/>
                </w:tcPr>
                <w:p w14:paraId="7F55EE2E">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其他说明</w:t>
                  </w:r>
                </w:p>
              </w:tc>
            </w:tr>
            <w:tr w14:paraId="0689E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81" w:hRule="atLeast"/>
                <w:jc w:val="center"/>
              </w:trPr>
              <w:tc>
                <w:tcPr>
                  <w:tcW w:w="484" w:type="pct"/>
                  <w:vMerge w:val="restart"/>
                  <w:tcBorders>
                    <w:tl2br w:val="nil"/>
                    <w:tr2bl w:val="nil"/>
                  </w:tcBorders>
                  <w:vAlign w:val="center"/>
                </w:tcPr>
                <w:p w14:paraId="2DFE158E">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原料</w:t>
                  </w:r>
                </w:p>
              </w:tc>
              <w:tc>
                <w:tcPr>
                  <w:tcW w:w="972" w:type="pct"/>
                  <w:tcBorders>
                    <w:tl2br w:val="nil"/>
                    <w:tr2bl w:val="nil"/>
                  </w:tcBorders>
                  <w:vAlign w:val="center"/>
                </w:tcPr>
                <w:p w14:paraId="6B186CCA">
                  <w:pPr>
                    <w:pStyle w:val="32"/>
                    <w:adjustRightInd w:val="0"/>
                    <w:snapToGrid w:val="0"/>
                    <w:spacing w:after="0"/>
                    <w:ind w:right="113"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不锈钢</w:t>
                  </w:r>
                </w:p>
              </w:tc>
              <w:tc>
                <w:tcPr>
                  <w:tcW w:w="790" w:type="pct"/>
                  <w:tcBorders>
                    <w:tl2br w:val="nil"/>
                    <w:tr2bl w:val="nil"/>
                  </w:tcBorders>
                  <w:vAlign w:val="center"/>
                </w:tcPr>
                <w:p w14:paraId="56826BF5">
                  <w:pPr>
                    <w:pStyle w:val="32"/>
                    <w:adjustRightInd w:val="0"/>
                    <w:snapToGrid w:val="0"/>
                    <w:spacing w:after="0"/>
                    <w:ind w:right="113"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10t/a</w:t>
                  </w:r>
                </w:p>
              </w:tc>
              <w:tc>
                <w:tcPr>
                  <w:tcW w:w="2752" w:type="pct"/>
                  <w:tcBorders>
                    <w:tl2br w:val="nil"/>
                    <w:tr2bl w:val="nil"/>
                  </w:tcBorders>
                  <w:vAlign w:val="center"/>
                </w:tcPr>
                <w:p w14:paraId="5A3F7693">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生产从动原料</w:t>
                  </w:r>
                </w:p>
              </w:tc>
            </w:tr>
            <w:tr w14:paraId="22E90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23" w:hRule="exact"/>
                <w:jc w:val="center"/>
              </w:trPr>
              <w:tc>
                <w:tcPr>
                  <w:tcW w:w="484" w:type="pct"/>
                  <w:vMerge w:val="continue"/>
                  <w:tcBorders>
                    <w:tl2br w:val="nil"/>
                    <w:tr2bl w:val="nil"/>
                  </w:tcBorders>
                  <w:vAlign w:val="center"/>
                </w:tcPr>
                <w:p w14:paraId="243AD65C">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p>
              </w:tc>
              <w:tc>
                <w:tcPr>
                  <w:tcW w:w="972" w:type="pct"/>
                  <w:tcBorders>
                    <w:tl2br w:val="nil"/>
                    <w:tr2bl w:val="nil"/>
                  </w:tcBorders>
                  <w:vAlign w:val="center"/>
                </w:tcPr>
                <w:p w14:paraId="14723C88">
                  <w:pPr>
                    <w:pStyle w:val="32"/>
                    <w:adjustRightInd w:val="0"/>
                    <w:snapToGrid w:val="0"/>
                    <w:spacing w:after="0"/>
                    <w:ind w:right="113"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铁锭</w:t>
                  </w:r>
                </w:p>
              </w:tc>
              <w:tc>
                <w:tcPr>
                  <w:tcW w:w="790" w:type="pct"/>
                  <w:tcBorders>
                    <w:tl2br w:val="nil"/>
                    <w:tr2bl w:val="nil"/>
                  </w:tcBorders>
                  <w:vAlign w:val="center"/>
                </w:tcPr>
                <w:p w14:paraId="4DDAF229">
                  <w:pPr>
                    <w:pStyle w:val="32"/>
                    <w:adjustRightInd w:val="0"/>
                    <w:snapToGrid w:val="0"/>
                    <w:spacing w:after="0"/>
                    <w:ind w:right="113" w:rightChars="0" w:firstLine="0" w:firstLineChars="0"/>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20t/a</w:t>
                  </w:r>
                </w:p>
              </w:tc>
              <w:tc>
                <w:tcPr>
                  <w:tcW w:w="2752" w:type="pct"/>
                  <w:tcBorders>
                    <w:tl2br w:val="nil"/>
                    <w:tr2bl w:val="nil"/>
                  </w:tcBorders>
                  <w:vAlign w:val="center"/>
                </w:tcPr>
                <w:p w14:paraId="5E01B641">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生产模具零件原料</w:t>
                  </w:r>
                </w:p>
              </w:tc>
            </w:tr>
            <w:tr w14:paraId="584C2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57" w:hRule="exact"/>
                <w:jc w:val="center"/>
              </w:trPr>
              <w:tc>
                <w:tcPr>
                  <w:tcW w:w="484" w:type="pct"/>
                  <w:vMerge w:val="continue"/>
                  <w:tcBorders>
                    <w:tl2br w:val="nil"/>
                    <w:tr2bl w:val="nil"/>
                  </w:tcBorders>
                  <w:vAlign w:val="center"/>
                </w:tcPr>
                <w:p w14:paraId="11BCECD9">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p>
              </w:tc>
              <w:tc>
                <w:tcPr>
                  <w:tcW w:w="972" w:type="pct"/>
                  <w:tcBorders>
                    <w:tl2br w:val="nil"/>
                    <w:tr2bl w:val="nil"/>
                  </w:tcBorders>
                  <w:vAlign w:val="center"/>
                </w:tcPr>
                <w:p w14:paraId="41591223">
                  <w:pPr>
                    <w:pStyle w:val="32"/>
                    <w:adjustRightInd w:val="0"/>
                    <w:snapToGrid w:val="0"/>
                    <w:spacing w:after="0"/>
                    <w:ind w:right="113"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高分子密度板</w:t>
                  </w:r>
                </w:p>
              </w:tc>
              <w:tc>
                <w:tcPr>
                  <w:tcW w:w="790" w:type="pct"/>
                  <w:tcBorders>
                    <w:tl2br w:val="nil"/>
                    <w:tr2bl w:val="nil"/>
                  </w:tcBorders>
                  <w:vAlign w:val="center"/>
                </w:tcPr>
                <w:p w14:paraId="2F828523">
                  <w:pPr>
                    <w:pStyle w:val="32"/>
                    <w:adjustRightInd w:val="0"/>
                    <w:snapToGrid w:val="0"/>
                    <w:spacing w:after="0"/>
                    <w:ind w:right="113"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20t/a</w:t>
                  </w:r>
                </w:p>
              </w:tc>
              <w:tc>
                <w:tcPr>
                  <w:tcW w:w="2752" w:type="pct"/>
                  <w:tcBorders>
                    <w:tl2br w:val="nil"/>
                    <w:tr2bl w:val="nil"/>
                  </w:tcBorders>
                  <w:vAlign w:val="center"/>
                </w:tcPr>
                <w:p w14:paraId="600CE221">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生产芯子、车门密封饰条原料</w:t>
                  </w:r>
                </w:p>
              </w:tc>
            </w:tr>
            <w:tr w14:paraId="77261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46" w:hRule="exact"/>
                <w:jc w:val="center"/>
              </w:trPr>
              <w:tc>
                <w:tcPr>
                  <w:tcW w:w="484" w:type="pct"/>
                  <w:vMerge w:val="restart"/>
                  <w:tcBorders>
                    <w:tl2br w:val="nil"/>
                    <w:tr2bl w:val="nil"/>
                  </w:tcBorders>
                  <w:vAlign w:val="center"/>
                </w:tcPr>
                <w:p w14:paraId="15F08FBE">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eastAsia"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val="en-US" w:eastAsia="zh-CN"/>
                    </w:rPr>
                    <w:t>辅料</w:t>
                  </w:r>
                </w:p>
              </w:tc>
              <w:tc>
                <w:tcPr>
                  <w:tcW w:w="972" w:type="pct"/>
                  <w:tcBorders>
                    <w:tl2br w:val="nil"/>
                    <w:tr2bl w:val="nil"/>
                  </w:tcBorders>
                  <w:vAlign w:val="center"/>
                </w:tcPr>
                <w:p w14:paraId="3515F702">
                  <w:pPr>
                    <w:pStyle w:val="32"/>
                    <w:adjustRightInd w:val="0"/>
                    <w:snapToGrid w:val="0"/>
                    <w:spacing w:after="0"/>
                    <w:ind w:right="113"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切削液</w:t>
                  </w:r>
                </w:p>
              </w:tc>
              <w:tc>
                <w:tcPr>
                  <w:tcW w:w="790" w:type="pct"/>
                  <w:tcBorders>
                    <w:tl2br w:val="nil"/>
                    <w:tr2bl w:val="nil"/>
                  </w:tcBorders>
                  <w:vAlign w:val="center"/>
                </w:tcPr>
                <w:p w14:paraId="4E37AB38">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180kg/a</w:t>
                  </w:r>
                </w:p>
              </w:tc>
              <w:tc>
                <w:tcPr>
                  <w:tcW w:w="2752" w:type="pct"/>
                  <w:tcBorders>
                    <w:tl2br w:val="nil"/>
                    <w:tr2bl w:val="nil"/>
                  </w:tcBorders>
                  <w:vAlign w:val="center"/>
                </w:tcPr>
                <w:p w14:paraId="2F7D4463">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生产用</w:t>
                  </w:r>
                </w:p>
              </w:tc>
            </w:tr>
            <w:tr w14:paraId="291E5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52" w:hRule="exact"/>
                <w:jc w:val="center"/>
              </w:trPr>
              <w:tc>
                <w:tcPr>
                  <w:tcW w:w="484" w:type="pct"/>
                  <w:vMerge w:val="continue"/>
                  <w:tcBorders>
                    <w:tl2br w:val="nil"/>
                    <w:tr2bl w:val="nil"/>
                  </w:tcBorders>
                  <w:vAlign w:val="center"/>
                </w:tcPr>
                <w:p w14:paraId="371E014A">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p>
              </w:tc>
              <w:tc>
                <w:tcPr>
                  <w:tcW w:w="972" w:type="pct"/>
                  <w:tcBorders>
                    <w:tl2br w:val="nil"/>
                    <w:tr2bl w:val="nil"/>
                  </w:tcBorders>
                  <w:vAlign w:val="center"/>
                </w:tcPr>
                <w:p w14:paraId="5B7FA6D8">
                  <w:pPr>
                    <w:pStyle w:val="32"/>
                    <w:adjustRightInd w:val="0"/>
                    <w:snapToGrid w:val="0"/>
                    <w:spacing w:after="0"/>
                    <w:ind w:right="113" w:rightChars="0" w:firstLine="0" w:firstLineChars="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电</w:t>
                  </w:r>
                </w:p>
              </w:tc>
              <w:tc>
                <w:tcPr>
                  <w:tcW w:w="790" w:type="pct"/>
                  <w:tcBorders>
                    <w:tl2br w:val="nil"/>
                    <w:tr2bl w:val="nil"/>
                  </w:tcBorders>
                  <w:vAlign w:val="center"/>
                </w:tcPr>
                <w:p w14:paraId="72BD6A95">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r>
                    <w:rPr>
                      <w:rFonts w:hint="eastAsia" w:cs="Times New Roman"/>
                      <w:color w:val="auto"/>
                      <w:sz w:val="21"/>
                      <w:szCs w:val="21"/>
                      <w:highlight w:val="none"/>
                      <w:lang w:val="en-US" w:eastAsia="zh-CN"/>
                    </w:rPr>
                    <w:t>3万</w:t>
                  </w:r>
                  <w:r>
                    <w:rPr>
                      <w:rFonts w:hint="eastAsia" w:ascii="Times New Roman" w:hAnsi="Times New Roman" w:cs="Times New Roman"/>
                      <w:color w:val="auto"/>
                      <w:sz w:val="21"/>
                      <w:szCs w:val="21"/>
                      <w:highlight w:val="none"/>
                    </w:rPr>
                    <w:t>Kwh/a</w:t>
                  </w:r>
                </w:p>
              </w:tc>
              <w:tc>
                <w:tcPr>
                  <w:tcW w:w="2752" w:type="pct"/>
                  <w:tcBorders>
                    <w:tl2br w:val="nil"/>
                    <w:tr2bl w:val="nil"/>
                  </w:tcBorders>
                  <w:vAlign w:val="center"/>
                </w:tcPr>
                <w:p w14:paraId="3C3CA359">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eastAsia"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val="en-US" w:eastAsia="zh-CN"/>
                    </w:rPr>
                    <w:t>市政</w:t>
                  </w:r>
                  <w:r>
                    <w:rPr>
                      <w:rFonts w:hint="eastAsia" w:cs="Times New Roman"/>
                      <w:color w:val="auto"/>
                      <w:sz w:val="21"/>
                      <w:szCs w:val="21"/>
                      <w:highlight w:val="none"/>
                      <w:lang w:val="en-US" w:eastAsia="zh-CN"/>
                    </w:rPr>
                    <w:t>供电管网</w:t>
                  </w:r>
                  <w:r>
                    <w:rPr>
                      <w:rFonts w:hint="eastAsia" w:ascii="Times New Roman" w:hAnsi="Times New Roman" w:cs="Times New Roman"/>
                      <w:color w:val="auto"/>
                      <w:sz w:val="21"/>
                      <w:szCs w:val="21"/>
                      <w:highlight w:val="none"/>
                      <w:lang w:val="en-US" w:eastAsia="zh-CN"/>
                    </w:rPr>
                    <w:t>供应</w:t>
                  </w:r>
                </w:p>
              </w:tc>
            </w:tr>
            <w:tr w14:paraId="3C62A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65" w:hRule="exact"/>
                <w:jc w:val="center"/>
              </w:trPr>
              <w:tc>
                <w:tcPr>
                  <w:tcW w:w="484" w:type="pct"/>
                  <w:vMerge w:val="continue"/>
                  <w:tcBorders>
                    <w:tl2br w:val="nil"/>
                    <w:tr2bl w:val="nil"/>
                  </w:tcBorders>
                  <w:vAlign w:val="center"/>
                </w:tcPr>
                <w:p w14:paraId="065AF928">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p>
              </w:tc>
              <w:tc>
                <w:tcPr>
                  <w:tcW w:w="972" w:type="pct"/>
                  <w:tcBorders>
                    <w:tl2br w:val="nil"/>
                    <w:tr2bl w:val="nil"/>
                  </w:tcBorders>
                  <w:vAlign w:val="center"/>
                </w:tcPr>
                <w:p w14:paraId="2D73BB1A">
                  <w:pPr>
                    <w:pStyle w:val="32"/>
                    <w:adjustRightInd w:val="0"/>
                    <w:snapToGrid w:val="0"/>
                    <w:spacing w:after="0"/>
                    <w:ind w:right="113"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水</w:t>
                  </w:r>
                </w:p>
              </w:tc>
              <w:tc>
                <w:tcPr>
                  <w:tcW w:w="790" w:type="pct"/>
                  <w:tcBorders>
                    <w:tl2br w:val="nil"/>
                    <w:tr2bl w:val="nil"/>
                  </w:tcBorders>
                  <w:vAlign w:val="center"/>
                </w:tcPr>
                <w:p w14:paraId="39862FC9">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121.8m</w:t>
                  </w:r>
                  <w:r>
                    <w:rPr>
                      <w:rFonts w:hint="eastAsia"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/a</w:t>
                  </w:r>
                </w:p>
              </w:tc>
              <w:tc>
                <w:tcPr>
                  <w:tcW w:w="2752" w:type="pct"/>
                  <w:tcBorders>
                    <w:tl2br w:val="nil"/>
                    <w:tr2bl w:val="nil"/>
                  </w:tcBorders>
                  <w:vAlign w:val="center"/>
                </w:tcPr>
                <w:p w14:paraId="7F53404B">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市政供水管网</w:t>
                  </w:r>
                </w:p>
              </w:tc>
            </w:tr>
          </w:tbl>
          <w:p w14:paraId="7C8BE910">
            <w:pPr>
              <w:adjustRightInd w:val="0"/>
              <w:snapToGrid w:val="0"/>
              <w:spacing w:line="400" w:lineRule="exact"/>
              <w:rPr>
                <w:b/>
                <w:color w:val="auto"/>
                <w:highlight w:val="none"/>
              </w:rPr>
            </w:pPr>
            <w:r>
              <w:rPr>
                <w:rFonts w:hint="eastAsia"/>
                <w:b/>
                <w:color w:val="auto"/>
                <w:highlight w:val="none"/>
                <w:lang w:val="en-US" w:eastAsia="zh-CN"/>
              </w:rPr>
              <w:t>2</w:t>
            </w:r>
            <w:r>
              <w:rPr>
                <w:rFonts w:hint="eastAsia"/>
                <w:b/>
                <w:color w:val="auto"/>
                <w:highlight w:val="none"/>
              </w:rPr>
              <w:t xml:space="preserve">.5 </w:t>
            </w:r>
            <w:r>
              <w:rPr>
                <w:rFonts w:hint="eastAsia"/>
                <w:b/>
                <w:color w:val="auto"/>
                <w:highlight w:val="none"/>
                <w:lang w:val="en-US" w:eastAsia="zh-CN"/>
              </w:rPr>
              <w:t>现有工程</w:t>
            </w:r>
            <w:r>
              <w:rPr>
                <w:rFonts w:hint="eastAsia"/>
                <w:b/>
                <w:color w:val="auto"/>
                <w:highlight w:val="none"/>
              </w:rPr>
              <w:t>产品方案</w:t>
            </w:r>
          </w:p>
          <w:p w14:paraId="24A16BBA">
            <w:pPr>
              <w:adjustRightInd w:val="0"/>
              <w:snapToGrid w:val="0"/>
              <w:spacing w:line="400" w:lineRule="exact"/>
              <w:ind w:firstLine="480" w:firstLineChars="200"/>
              <w:rPr>
                <w:rFonts w:hint="eastAsia"/>
                <w:b/>
                <w:color w:val="auto"/>
                <w:highlight w:val="none"/>
              </w:rPr>
            </w:pPr>
            <w:r>
              <w:rPr>
                <w:rFonts w:hint="eastAsia"/>
                <w:bCs/>
                <w:color w:val="auto"/>
                <w:szCs w:val="21"/>
                <w:highlight w:val="none"/>
                <w:lang w:val="en-US" w:eastAsia="zh-CN"/>
              </w:rPr>
              <w:t>本项目主要产品方案详见下表</w:t>
            </w:r>
            <w:r>
              <w:rPr>
                <w:rFonts w:hint="eastAsia"/>
                <w:bCs/>
                <w:color w:val="auto"/>
                <w:szCs w:val="21"/>
                <w:highlight w:val="none"/>
              </w:rPr>
              <w:t>。</w:t>
            </w:r>
          </w:p>
          <w:p w14:paraId="3B2987A7">
            <w:pPr>
              <w:spacing w:line="240" w:lineRule="auto"/>
              <w:jc w:val="center"/>
              <w:rPr>
                <w:b/>
                <w:color w:val="auto"/>
                <w:highlight w:val="none"/>
              </w:rPr>
            </w:pPr>
            <w:r>
              <w:rPr>
                <w:rFonts w:hint="eastAsia"/>
                <w:b/>
                <w:color w:val="auto"/>
                <w:highlight w:val="none"/>
              </w:rPr>
              <w:t>表</w:t>
            </w:r>
            <w:r>
              <w:rPr>
                <w:rFonts w:hint="eastAsia"/>
                <w:b/>
                <w:color w:val="auto"/>
                <w:highlight w:val="none"/>
                <w:lang w:val="en-US" w:eastAsia="zh-CN"/>
              </w:rPr>
              <w:t xml:space="preserve">2-4 </w:t>
            </w:r>
            <w:r>
              <w:rPr>
                <w:rFonts w:hint="eastAsia"/>
                <w:b/>
                <w:color w:val="auto"/>
                <w:highlight w:val="none"/>
              </w:rPr>
              <w:t xml:space="preserve"> 产品方案一览表</w:t>
            </w:r>
          </w:p>
          <w:tbl>
            <w:tblPr>
              <w:tblStyle w:val="3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8"/>
              <w:gridCol w:w="1788"/>
              <w:gridCol w:w="1675"/>
              <w:gridCol w:w="1565"/>
              <w:gridCol w:w="2597"/>
            </w:tblGrid>
            <w:tr w14:paraId="4FA78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19" w:type="pct"/>
                  <w:tcBorders>
                    <w:tl2br w:val="nil"/>
                    <w:tr2bl w:val="nil"/>
                  </w:tcBorders>
                  <w:vAlign w:val="center"/>
                </w:tcPr>
                <w:p w14:paraId="7C29AFEF">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序号</w:t>
                  </w:r>
                </w:p>
              </w:tc>
              <w:tc>
                <w:tcPr>
                  <w:tcW w:w="1074" w:type="pct"/>
                  <w:tcBorders>
                    <w:tl2br w:val="nil"/>
                    <w:tr2bl w:val="nil"/>
                  </w:tcBorders>
                  <w:vAlign w:val="center"/>
                </w:tcPr>
                <w:p w14:paraId="673C2BB5">
                  <w:pPr>
                    <w:pStyle w:val="8"/>
                    <w:pageBreakBefore w:val="0"/>
                    <w:kinsoku/>
                    <w:wordWrap/>
                    <w:overflowPunct/>
                    <w:topLinePunct w:val="0"/>
                    <w:autoSpaceDE/>
                    <w:autoSpaceDN/>
                    <w:bidi w:val="0"/>
                    <w:adjustRightInd w:val="0"/>
                    <w:snapToGrid w:val="0"/>
                    <w:spacing w:line="240" w:lineRule="auto"/>
                    <w:ind w:right="0" w:firstLine="0" w:firstLineChars="0"/>
                    <w:jc w:val="center"/>
                    <w:textAlignment w:val="baseline"/>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lang w:val="en-US" w:eastAsia="zh-CN"/>
                    </w:rPr>
                    <w:t>名称</w:t>
                  </w:r>
                </w:p>
              </w:tc>
              <w:tc>
                <w:tcPr>
                  <w:tcW w:w="1006" w:type="pct"/>
                  <w:tcBorders>
                    <w:tl2br w:val="nil"/>
                    <w:tr2bl w:val="nil"/>
                  </w:tcBorders>
                  <w:vAlign w:val="center"/>
                </w:tcPr>
                <w:p w14:paraId="615A2D97">
                  <w:pPr>
                    <w:pStyle w:val="8"/>
                    <w:pageBreakBefore w:val="0"/>
                    <w:kinsoku/>
                    <w:wordWrap/>
                    <w:overflowPunct/>
                    <w:topLinePunct w:val="0"/>
                    <w:autoSpaceDE/>
                    <w:autoSpaceDN/>
                    <w:bidi w:val="0"/>
                    <w:adjustRightInd w:val="0"/>
                    <w:snapToGrid w:val="0"/>
                    <w:spacing w:line="240" w:lineRule="auto"/>
                    <w:ind w:right="0" w:firstLine="0" w:firstLineChars="0"/>
                    <w:jc w:val="center"/>
                    <w:textAlignment w:val="baseline"/>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kern w:val="0"/>
                      <w:sz w:val="21"/>
                      <w:szCs w:val="21"/>
                      <w:highlight w:val="none"/>
                    </w:rPr>
                    <w:t>规格型号</w:t>
                  </w:r>
                </w:p>
              </w:tc>
              <w:tc>
                <w:tcPr>
                  <w:tcW w:w="940" w:type="pct"/>
                  <w:tcBorders>
                    <w:tl2br w:val="nil"/>
                    <w:tr2bl w:val="nil"/>
                  </w:tcBorders>
                  <w:vAlign w:val="center"/>
                </w:tcPr>
                <w:p w14:paraId="1984ADB8">
                  <w:pPr>
                    <w:pStyle w:val="8"/>
                    <w:pageBreakBefore w:val="0"/>
                    <w:kinsoku/>
                    <w:wordWrap/>
                    <w:overflowPunct/>
                    <w:topLinePunct w:val="0"/>
                    <w:autoSpaceDE/>
                    <w:autoSpaceDN/>
                    <w:bidi w:val="0"/>
                    <w:adjustRightInd w:val="0"/>
                    <w:snapToGrid w:val="0"/>
                    <w:spacing w:line="240" w:lineRule="auto"/>
                    <w:ind w:right="0" w:firstLine="0" w:firstLineChars="0"/>
                    <w:jc w:val="center"/>
                    <w:textAlignment w:val="baseline"/>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lang w:val="en-US" w:eastAsia="zh-CN"/>
                    </w:rPr>
                    <w:t>产量</w:t>
                  </w:r>
                </w:p>
              </w:tc>
              <w:tc>
                <w:tcPr>
                  <w:tcW w:w="1559" w:type="pct"/>
                  <w:tcBorders>
                    <w:tl2br w:val="nil"/>
                    <w:tr2bl w:val="nil"/>
                  </w:tcBorders>
                  <w:vAlign w:val="center"/>
                </w:tcPr>
                <w:p w14:paraId="2E80A6FB">
                  <w:pPr>
                    <w:pStyle w:val="8"/>
                    <w:pageBreakBefore w:val="0"/>
                    <w:kinsoku/>
                    <w:wordWrap/>
                    <w:overflowPunct/>
                    <w:topLinePunct w:val="0"/>
                    <w:autoSpaceDE/>
                    <w:autoSpaceDN/>
                    <w:bidi w:val="0"/>
                    <w:adjustRightInd w:val="0"/>
                    <w:snapToGrid w:val="0"/>
                    <w:spacing w:line="240" w:lineRule="auto"/>
                    <w:ind w:right="0" w:firstLine="0" w:firstLineChars="0"/>
                    <w:jc w:val="center"/>
                    <w:textAlignment w:val="baseline"/>
                    <w:rPr>
                      <w:rFonts w:hint="default" w:ascii="Times New Roman" w:hAnsi="Times New Roman"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备注</w:t>
                  </w:r>
                </w:p>
              </w:tc>
            </w:tr>
            <w:tr w14:paraId="70F9C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419" w:type="pct"/>
                  <w:tcBorders>
                    <w:tl2br w:val="nil"/>
                    <w:tr2bl w:val="nil"/>
                  </w:tcBorders>
                  <w:vAlign w:val="center"/>
                </w:tcPr>
                <w:p w14:paraId="68EBAE38">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1</w:t>
                  </w:r>
                </w:p>
              </w:tc>
              <w:tc>
                <w:tcPr>
                  <w:tcW w:w="1074" w:type="pct"/>
                  <w:tcBorders>
                    <w:tl2br w:val="nil"/>
                    <w:tr2bl w:val="nil"/>
                  </w:tcBorders>
                  <w:vAlign w:val="center"/>
                </w:tcPr>
                <w:p w14:paraId="69A36F6B">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芯子</w:t>
                  </w:r>
                </w:p>
              </w:tc>
              <w:tc>
                <w:tcPr>
                  <w:tcW w:w="1006" w:type="pct"/>
                  <w:tcBorders>
                    <w:tl2br w:val="nil"/>
                    <w:tr2bl w:val="nil"/>
                  </w:tcBorders>
                  <w:vAlign w:val="center"/>
                </w:tcPr>
                <w:p w14:paraId="4D401426">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w:t>
                  </w:r>
                </w:p>
              </w:tc>
              <w:tc>
                <w:tcPr>
                  <w:tcW w:w="940" w:type="pct"/>
                  <w:tcBorders>
                    <w:tl2br w:val="nil"/>
                    <w:tr2bl w:val="nil"/>
                  </w:tcBorders>
                  <w:vAlign w:val="center"/>
                </w:tcPr>
                <w:p w14:paraId="615DC85B">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30万件</w:t>
                  </w:r>
                  <w:r>
                    <w:rPr>
                      <w:rFonts w:hint="eastAsia" w:cs="Times New Roman"/>
                      <w:i w:val="0"/>
                      <w:iCs w:val="0"/>
                      <w:color w:val="auto"/>
                      <w:kern w:val="0"/>
                      <w:sz w:val="21"/>
                      <w:szCs w:val="21"/>
                      <w:highlight w:val="none"/>
                      <w:u w:val="none"/>
                      <w:lang w:val="en-US" w:eastAsia="zh-CN" w:bidi="ar"/>
                    </w:rPr>
                    <w:t>/a</w:t>
                  </w:r>
                </w:p>
              </w:tc>
              <w:tc>
                <w:tcPr>
                  <w:tcW w:w="1559" w:type="pct"/>
                  <w:vMerge w:val="restart"/>
                  <w:tcBorders>
                    <w:tl2br w:val="nil"/>
                    <w:tr2bl w:val="nil"/>
                  </w:tcBorders>
                  <w:vAlign w:val="center"/>
                </w:tcPr>
                <w:p w14:paraId="16C9C545">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ascii="Times New Roman" w:hAnsi="Times New Roman"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90万件/a（约45t/a）</w:t>
                  </w:r>
                </w:p>
              </w:tc>
            </w:tr>
            <w:tr w14:paraId="190E2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419" w:type="pct"/>
                  <w:tcBorders>
                    <w:tl2br w:val="nil"/>
                    <w:tr2bl w:val="nil"/>
                  </w:tcBorders>
                  <w:vAlign w:val="center"/>
                </w:tcPr>
                <w:p w14:paraId="4125BF9C">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w:t>
                  </w:r>
                </w:p>
              </w:tc>
              <w:tc>
                <w:tcPr>
                  <w:tcW w:w="1074" w:type="pct"/>
                  <w:tcBorders>
                    <w:tl2br w:val="nil"/>
                    <w:tr2bl w:val="nil"/>
                  </w:tcBorders>
                  <w:vAlign w:val="center"/>
                </w:tcPr>
                <w:p w14:paraId="52C62762">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cs="Times New Roman"/>
                      <w:b w:val="0"/>
                      <w:bCs w:val="0"/>
                      <w:color w:val="auto"/>
                      <w:sz w:val="21"/>
                      <w:szCs w:val="21"/>
                      <w:highlight w:val="none"/>
                      <w:lang w:val="en-US" w:eastAsia="zh-CN"/>
                    </w:rPr>
                  </w:pPr>
                  <w:r>
                    <w:rPr>
                      <w:rFonts w:hint="default" w:cs="Times New Roman"/>
                      <w:b w:val="0"/>
                      <w:bCs w:val="0"/>
                      <w:color w:val="auto"/>
                      <w:sz w:val="21"/>
                      <w:szCs w:val="21"/>
                      <w:highlight w:val="none"/>
                      <w:lang w:val="en-US" w:eastAsia="zh-CN"/>
                    </w:rPr>
                    <w:t>模具零件</w:t>
                  </w:r>
                </w:p>
              </w:tc>
              <w:tc>
                <w:tcPr>
                  <w:tcW w:w="1006" w:type="pct"/>
                  <w:tcBorders>
                    <w:tl2br w:val="nil"/>
                    <w:tr2bl w:val="nil"/>
                  </w:tcBorders>
                  <w:vAlign w:val="center"/>
                </w:tcPr>
                <w:p w14:paraId="05882820">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ascii="Times New Roman" w:hAnsi="Times New Roman"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5kg-100kg/件</w:t>
                  </w:r>
                </w:p>
              </w:tc>
              <w:tc>
                <w:tcPr>
                  <w:tcW w:w="940" w:type="pct"/>
                  <w:tcBorders>
                    <w:tl2br w:val="nil"/>
                    <w:tr2bl w:val="nil"/>
                  </w:tcBorders>
                  <w:vAlign w:val="center"/>
                </w:tcPr>
                <w:p w14:paraId="49CA3DC6">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20万件</w:t>
                  </w:r>
                  <w:r>
                    <w:rPr>
                      <w:rFonts w:hint="eastAsia" w:cs="Times New Roman"/>
                      <w:i w:val="0"/>
                      <w:iCs w:val="0"/>
                      <w:color w:val="auto"/>
                      <w:kern w:val="0"/>
                      <w:sz w:val="21"/>
                      <w:szCs w:val="21"/>
                      <w:highlight w:val="none"/>
                      <w:u w:val="none"/>
                      <w:lang w:val="en-US" w:eastAsia="zh-CN" w:bidi="ar"/>
                    </w:rPr>
                    <w:t>/a</w:t>
                  </w:r>
                </w:p>
              </w:tc>
              <w:tc>
                <w:tcPr>
                  <w:tcW w:w="1559" w:type="pct"/>
                  <w:vMerge w:val="continue"/>
                  <w:tcBorders>
                    <w:tl2br w:val="nil"/>
                    <w:tr2bl w:val="nil"/>
                  </w:tcBorders>
                  <w:vAlign w:val="center"/>
                </w:tcPr>
                <w:p w14:paraId="6592AAC9">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eastAsia" w:cs="Times New Roman"/>
                      <w:b w:val="0"/>
                      <w:bCs w:val="0"/>
                      <w:color w:val="auto"/>
                      <w:sz w:val="21"/>
                      <w:szCs w:val="21"/>
                      <w:highlight w:val="none"/>
                      <w:lang w:val="en-US" w:eastAsia="zh-CN"/>
                    </w:rPr>
                  </w:pPr>
                </w:p>
              </w:tc>
            </w:tr>
            <w:tr w14:paraId="6EF1C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419" w:type="pct"/>
                  <w:tcBorders>
                    <w:tl2br w:val="nil"/>
                    <w:tr2bl w:val="nil"/>
                  </w:tcBorders>
                  <w:vAlign w:val="center"/>
                </w:tcPr>
                <w:p w14:paraId="29175BDE">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w:t>
                  </w:r>
                </w:p>
              </w:tc>
              <w:tc>
                <w:tcPr>
                  <w:tcW w:w="1074" w:type="pct"/>
                  <w:tcBorders>
                    <w:tl2br w:val="nil"/>
                    <w:tr2bl w:val="nil"/>
                  </w:tcBorders>
                  <w:vAlign w:val="center"/>
                </w:tcPr>
                <w:p w14:paraId="1F2DB975">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eastAsia" w:cs="Times New Roman"/>
                      <w:b w:val="0"/>
                      <w:bCs w:val="0"/>
                      <w:color w:val="auto"/>
                      <w:sz w:val="21"/>
                      <w:szCs w:val="21"/>
                      <w:highlight w:val="none"/>
                      <w:lang w:val="en-US" w:eastAsia="zh-CN"/>
                    </w:rPr>
                  </w:pPr>
                  <w:r>
                    <w:rPr>
                      <w:rFonts w:hint="eastAsia"/>
                      <w:color w:val="auto"/>
                      <w:sz w:val="21"/>
                      <w:szCs w:val="21"/>
                      <w:highlight w:val="none"/>
                      <w:lang w:val="en-US" w:eastAsia="zh-CN"/>
                    </w:rPr>
                    <w:t>车门密封饰条</w:t>
                  </w:r>
                </w:p>
              </w:tc>
              <w:tc>
                <w:tcPr>
                  <w:tcW w:w="1006" w:type="pct"/>
                  <w:tcBorders>
                    <w:tl2br w:val="nil"/>
                    <w:tr2bl w:val="nil"/>
                  </w:tcBorders>
                  <w:vAlign w:val="center"/>
                </w:tcPr>
                <w:p w14:paraId="1126DC0B">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w:t>
                  </w:r>
                </w:p>
              </w:tc>
              <w:tc>
                <w:tcPr>
                  <w:tcW w:w="940" w:type="pct"/>
                  <w:tcBorders>
                    <w:tl2br w:val="nil"/>
                    <w:tr2bl w:val="nil"/>
                  </w:tcBorders>
                  <w:vAlign w:val="center"/>
                </w:tcPr>
                <w:p w14:paraId="70238B7D">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30万件/a</w:t>
                  </w:r>
                </w:p>
              </w:tc>
              <w:tc>
                <w:tcPr>
                  <w:tcW w:w="1559" w:type="pct"/>
                  <w:vMerge w:val="continue"/>
                  <w:tcBorders>
                    <w:tl2br w:val="nil"/>
                    <w:tr2bl w:val="nil"/>
                  </w:tcBorders>
                  <w:vAlign w:val="center"/>
                </w:tcPr>
                <w:p w14:paraId="050978CE">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eastAsia" w:cs="Times New Roman"/>
                      <w:b w:val="0"/>
                      <w:bCs w:val="0"/>
                      <w:color w:val="auto"/>
                      <w:sz w:val="21"/>
                      <w:szCs w:val="21"/>
                      <w:highlight w:val="none"/>
                      <w:lang w:val="en-US" w:eastAsia="zh-CN"/>
                    </w:rPr>
                  </w:pPr>
                </w:p>
              </w:tc>
            </w:tr>
            <w:tr w14:paraId="14395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419" w:type="pct"/>
                  <w:tcBorders>
                    <w:tl2br w:val="nil"/>
                    <w:tr2bl w:val="nil"/>
                  </w:tcBorders>
                  <w:vAlign w:val="center"/>
                </w:tcPr>
                <w:p w14:paraId="7B71FF99">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4</w:t>
                  </w:r>
                </w:p>
              </w:tc>
              <w:tc>
                <w:tcPr>
                  <w:tcW w:w="1074" w:type="pct"/>
                  <w:tcBorders>
                    <w:tl2br w:val="nil"/>
                    <w:tr2bl w:val="nil"/>
                  </w:tcBorders>
                  <w:vAlign w:val="center"/>
                </w:tcPr>
                <w:p w14:paraId="7C3DF023">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color w:val="auto"/>
                      <w:sz w:val="21"/>
                      <w:szCs w:val="21"/>
                      <w:highlight w:val="none"/>
                      <w:lang w:val="en-US" w:eastAsia="zh-CN"/>
                    </w:rPr>
                  </w:pPr>
                  <w:r>
                    <w:rPr>
                      <w:rFonts w:hint="eastAsia"/>
                      <w:color w:val="auto"/>
                      <w:sz w:val="21"/>
                      <w:szCs w:val="21"/>
                      <w:highlight w:val="none"/>
                      <w:lang w:val="en-US" w:eastAsia="zh-CN"/>
                    </w:rPr>
                    <w:t>从动轴</w:t>
                  </w:r>
                </w:p>
              </w:tc>
              <w:tc>
                <w:tcPr>
                  <w:tcW w:w="1006" w:type="pct"/>
                  <w:tcBorders>
                    <w:tl2br w:val="nil"/>
                    <w:tr2bl w:val="nil"/>
                  </w:tcBorders>
                  <w:vAlign w:val="center"/>
                </w:tcPr>
                <w:p w14:paraId="1D4F4162">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5kg-100kg/件</w:t>
                  </w:r>
                </w:p>
              </w:tc>
              <w:tc>
                <w:tcPr>
                  <w:tcW w:w="940" w:type="pct"/>
                  <w:tcBorders>
                    <w:tl2br w:val="nil"/>
                    <w:tr2bl w:val="nil"/>
                  </w:tcBorders>
                  <w:vAlign w:val="center"/>
                </w:tcPr>
                <w:p w14:paraId="518FB9AF">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10万件/a</w:t>
                  </w:r>
                </w:p>
              </w:tc>
              <w:tc>
                <w:tcPr>
                  <w:tcW w:w="1559" w:type="pct"/>
                  <w:vMerge w:val="continue"/>
                  <w:tcBorders>
                    <w:tl2br w:val="nil"/>
                    <w:tr2bl w:val="nil"/>
                  </w:tcBorders>
                  <w:vAlign w:val="center"/>
                </w:tcPr>
                <w:p w14:paraId="41965BB6">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eastAsia" w:cs="Times New Roman"/>
                      <w:b w:val="0"/>
                      <w:bCs w:val="0"/>
                      <w:color w:val="auto"/>
                      <w:sz w:val="21"/>
                      <w:szCs w:val="21"/>
                      <w:highlight w:val="none"/>
                      <w:lang w:val="en-US" w:eastAsia="zh-CN"/>
                    </w:rPr>
                  </w:pPr>
                </w:p>
              </w:tc>
            </w:tr>
          </w:tbl>
          <w:p w14:paraId="0B4D66E3">
            <w:pPr>
              <w:pStyle w:val="9"/>
              <w:rPr>
                <w:color w:val="auto"/>
                <w:highlight w:val="none"/>
              </w:rPr>
            </w:pPr>
            <w:r>
              <w:rPr>
                <w:rFonts w:hint="eastAsia"/>
                <w:color w:val="auto"/>
                <w:highlight w:val="none"/>
                <w:lang w:val="en-US" w:eastAsia="zh-CN"/>
              </w:rPr>
              <w:t>2</w:t>
            </w:r>
            <w:r>
              <w:rPr>
                <w:rFonts w:hint="eastAsia"/>
                <w:color w:val="auto"/>
                <w:highlight w:val="none"/>
              </w:rPr>
              <w:t>.6</w:t>
            </w:r>
            <w:r>
              <w:rPr>
                <w:color w:val="auto"/>
                <w:highlight w:val="none"/>
              </w:rPr>
              <w:t xml:space="preserve"> 水资源及能源消耗情况</w:t>
            </w:r>
          </w:p>
          <w:p w14:paraId="20F84C2E">
            <w:pPr>
              <w:pStyle w:val="10"/>
              <w:rPr>
                <w:rFonts w:hint="default" w:eastAsia="宋体"/>
                <w:color w:val="auto"/>
                <w:highlight w:val="none"/>
                <w:lang w:val="en-US" w:eastAsia="zh-CN"/>
              </w:rPr>
            </w:pPr>
            <w:r>
              <w:rPr>
                <w:rFonts w:hint="eastAsia"/>
                <w:color w:val="auto"/>
                <w:highlight w:val="none"/>
                <w:lang w:val="en-US" w:eastAsia="zh-CN"/>
              </w:rPr>
              <w:t>2</w:t>
            </w:r>
            <w:r>
              <w:rPr>
                <w:color w:val="auto"/>
                <w:highlight w:val="none"/>
              </w:rPr>
              <w:t>.6.1 给排水</w:t>
            </w:r>
            <w:r>
              <w:rPr>
                <w:rFonts w:hint="eastAsia"/>
                <w:color w:val="auto"/>
                <w:highlight w:val="none"/>
                <w:lang w:val="en-US" w:eastAsia="zh-CN"/>
              </w:rPr>
              <w:t xml:space="preserve">  </w:t>
            </w:r>
          </w:p>
          <w:p w14:paraId="3F8DC277">
            <w:pPr>
              <w:ind w:firstLine="480" w:firstLineChars="200"/>
              <w:rPr>
                <w:rFonts w:hint="eastAsia"/>
                <w:color w:val="auto"/>
                <w:highlight w:val="none"/>
              </w:rPr>
            </w:pPr>
            <w:r>
              <w:rPr>
                <w:rFonts w:hint="eastAsia"/>
                <w:color w:val="auto"/>
                <w:highlight w:val="none"/>
              </w:rPr>
              <w:t>（1）给水：</w:t>
            </w:r>
          </w:p>
          <w:p w14:paraId="47CEC21F">
            <w:pPr>
              <w:ind w:firstLine="480" w:firstLineChars="200"/>
              <w:rPr>
                <w:rFonts w:hint="eastAsia" w:eastAsia="宋体"/>
                <w:color w:val="auto"/>
                <w:highlight w:val="none"/>
                <w:lang w:eastAsia="zh-CN"/>
              </w:rPr>
            </w:pPr>
            <w:r>
              <w:rPr>
                <w:rFonts w:hint="eastAsia"/>
                <w:color w:val="auto"/>
                <w:highlight w:val="none"/>
                <w:lang w:val="en-US" w:eastAsia="zh-CN"/>
              </w:rPr>
              <w:t>本</w:t>
            </w:r>
            <w:r>
              <w:rPr>
                <w:rFonts w:hint="eastAsia"/>
                <w:color w:val="auto"/>
                <w:highlight w:val="none"/>
              </w:rPr>
              <w:t>项目水源由</w:t>
            </w:r>
            <w:r>
              <w:rPr>
                <w:rFonts w:hint="eastAsia"/>
                <w:color w:val="auto"/>
                <w:highlight w:val="none"/>
                <w:lang w:val="en-US" w:eastAsia="zh-CN"/>
              </w:rPr>
              <w:t>市政</w:t>
            </w:r>
            <w:r>
              <w:rPr>
                <w:rFonts w:hint="eastAsia"/>
                <w:color w:val="auto"/>
                <w:highlight w:val="none"/>
              </w:rPr>
              <w:t>统一供给</w:t>
            </w:r>
            <w:r>
              <w:rPr>
                <w:rFonts w:hint="eastAsia"/>
                <w:color w:val="auto"/>
                <w:highlight w:val="none"/>
                <w:lang w:eastAsia="zh-CN"/>
              </w:rPr>
              <w:t>。</w:t>
            </w:r>
          </w:p>
          <w:p w14:paraId="196A4CF7">
            <w:pPr>
              <w:ind w:firstLine="480" w:firstLineChars="200"/>
              <w:rPr>
                <w:color w:val="auto"/>
                <w:highlight w:val="none"/>
              </w:rPr>
            </w:pPr>
            <w:r>
              <w:rPr>
                <w:rFonts w:hint="eastAsia"/>
                <w:color w:val="auto"/>
                <w:highlight w:val="none"/>
              </w:rPr>
              <w:t>生活用水：本项目劳动定员为</w:t>
            </w:r>
            <w:r>
              <w:rPr>
                <w:rFonts w:hint="eastAsia"/>
                <w:color w:val="auto"/>
                <w:highlight w:val="none"/>
                <w:lang w:val="en-US" w:eastAsia="zh-CN"/>
              </w:rPr>
              <w:t>10</w:t>
            </w:r>
            <w:r>
              <w:rPr>
                <w:rFonts w:hint="eastAsia"/>
                <w:color w:val="auto"/>
                <w:highlight w:val="none"/>
              </w:rPr>
              <w:t>人，根据</w:t>
            </w:r>
            <w:r>
              <w:rPr>
                <w:bCs/>
                <w:color w:val="auto"/>
                <w:highlight w:val="none"/>
              </w:rPr>
              <w:t>《20</w:t>
            </w:r>
            <w:r>
              <w:rPr>
                <w:rFonts w:hint="eastAsia"/>
                <w:bCs/>
                <w:color w:val="auto"/>
                <w:highlight w:val="none"/>
              </w:rPr>
              <w:t>21</w:t>
            </w:r>
            <w:r>
              <w:rPr>
                <w:bCs/>
                <w:color w:val="auto"/>
                <w:highlight w:val="none"/>
              </w:rPr>
              <w:t>年河北省用水定额》，</w:t>
            </w:r>
            <w:r>
              <w:rPr>
                <w:rFonts w:hint="eastAsia"/>
                <w:color w:val="auto"/>
                <w:highlight w:val="none"/>
              </w:rPr>
              <w:t>按照每人每天用水量为</w:t>
            </w:r>
            <w:r>
              <w:rPr>
                <w:rFonts w:hint="eastAsia"/>
                <w:color w:val="auto"/>
                <w:highlight w:val="none"/>
                <w:lang w:val="en-US" w:eastAsia="zh-CN"/>
              </w:rPr>
              <w:t>40</w:t>
            </w:r>
            <w:r>
              <w:rPr>
                <w:rFonts w:hint="eastAsia"/>
                <w:color w:val="auto"/>
                <w:highlight w:val="none"/>
              </w:rPr>
              <w:t>L计算，则职工用水量为</w:t>
            </w:r>
            <w:r>
              <w:rPr>
                <w:rFonts w:hint="eastAsia"/>
                <w:color w:val="auto"/>
                <w:highlight w:val="none"/>
                <w:lang w:val="en-US" w:eastAsia="zh-CN"/>
              </w:rPr>
              <w:t>0.4</w:t>
            </w:r>
            <w:r>
              <w:rPr>
                <w:rFonts w:hint="eastAsia"/>
                <w:color w:val="auto"/>
                <w:highlight w:val="none"/>
              </w:rPr>
              <w:t>m</w:t>
            </w:r>
            <w:r>
              <w:rPr>
                <w:rFonts w:hint="eastAsia"/>
                <w:color w:val="auto"/>
                <w:highlight w:val="none"/>
                <w:vertAlign w:val="superscript"/>
                <w:lang w:val="en-US" w:eastAsia="zh-CN"/>
              </w:rPr>
              <w:t>3</w:t>
            </w:r>
            <w:r>
              <w:rPr>
                <w:rFonts w:hint="eastAsia"/>
                <w:color w:val="auto"/>
                <w:highlight w:val="none"/>
              </w:rPr>
              <w:t>/d（</w:t>
            </w:r>
            <w:r>
              <w:rPr>
                <w:rFonts w:hint="eastAsia"/>
                <w:color w:val="auto"/>
                <w:highlight w:val="none"/>
                <w:lang w:val="en-US" w:eastAsia="zh-CN"/>
              </w:rPr>
              <w:t>120</w:t>
            </w:r>
            <w:r>
              <w:rPr>
                <w:rFonts w:hint="eastAsia"/>
                <w:color w:val="auto"/>
                <w:highlight w:val="none"/>
              </w:rPr>
              <w:t>m</w:t>
            </w:r>
            <w:r>
              <w:rPr>
                <w:rFonts w:hint="eastAsia"/>
                <w:color w:val="auto"/>
                <w:highlight w:val="none"/>
                <w:vertAlign w:val="superscript"/>
                <w:lang w:val="en-US" w:eastAsia="zh-CN"/>
              </w:rPr>
              <w:t>3</w:t>
            </w:r>
            <w:r>
              <w:rPr>
                <w:rFonts w:hint="eastAsia"/>
                <w:color w:val="auto"/>
                <w:highlight w:val="none"/>
              </w:rPr>
              <w:t>/a）。</w:t>
            </w:r>
          </w:p>
          <w:p w14:paraId="19F6F5C0">
            <w:pPr>
              <w:keepNext w:val="0"/>
              <w:keepLines w:val="0"/>
              <w:pageBreakBefore w:val="0"/>
              <w:widowControl w:val="0"/>
              <w:kinsoku/>
              <w:wordWrap/>
              <w:overflowPunct/>
              <w:topLinePunct w:val="0"/>
              <w:autoSpaceDE/>
              <w:autoSpaceDN/>
              <w:bidi w:val="0"/>
              <w:adjustRightInd w:val="0"/>
              <w:snapToGrid w:val="0"/>
              <w:ind w:firstLine="480" w:firstLineChars="200"/>
              <w:textAlignment w:val="auto"/>
              <w:rPr>
                <w:rFonts w:hint="default"/>
                <w:color w:val="auto"/>
                <w:highlight w:val="none"/>
                <w:lang w:val="en-US" w:eastAsia="zh-CN"/>
              </w:rPr>
            </w:pPr>
            <w:r>
              <w:rPr>
                <w:rFonts w:hint="eastAsia"/>
                <w:color w:val="auto"/>
                <w:highlight w:val="none"/>
                <w:lang w:val="en-US" w:eastAsia="zh-CN"/>
              </w:rPr>
              <w:t>切削液使用过程中需要用水调配，切削液：水=1：10，切削液年用量为180kg，则调配用水年用量为1.8m</w:t>
            </w:r>
            <w:r>
              <w:rPr>
                <w:rFonts w:hint="eastAsia"/>
                <w:color w:val="auto"/>
                <w:highlight w:val="none"/>
                <w:vertAlign w:val="superscript"/>
                <w:lang w:val="en-US" w:eastAsia="zh-CN"/>
              </w:rPr>
              <w:t>3</w:t>
            </w:r>
            <w:r>
              <w:rPr>
                <w:rFonts w:hint="eastAsia"/>
                <w:color w:val="auto"/>
                <w:highlight w:val="none"/>
                <w:vertAlign w:val="baseline"/>
                <w:lang w:val="en-US" w:eastAsia="zh-CN"/>
              </w:rPr>
              <w:t>/a</w:t>
            </w:r>
            <w:r>
              <w:rPr>
                <w:rFonts w:hint="eastAsia"/>
                <w:color w:val="auto"/>
                <w:highlight w:val="none"/>
                <w:lang w:val="en-US" w:eastAsia="zh-CN"/>
              </w:rPr>
              <w:t>。</w:t>
            </w:r>
          </w:p>
          <w:p w14:paraId="5BB718B4">
            <w:pPr>
              <w:keepNext w:val="0"/>
              <w:keepLines w:val="0"/>
              <w:pageBreakBefore w:val="0"/>
              <w:widowControl w:val="0"/>
              <w:kinsoku/>
              <w:wordWrap/>
              <w:overflowPunct/>
              <w:topLinePunct w:val="0"/>
              <w:autoSpaceDE/>
              <w:autoSpaceDN/>
              <w:bidi w:val="0"/>
              <w:adjustRightInd w:val="0"/>
              <w:snapToGrid w:val="0"/>
              <w:ind w:firstLine="480" w:firstLineChars="200"/>
              <w:textAlignment w:val="auto"/>
              <w:rPr>
                <w:rFonts w:hint="default" w:eastAsia="宋体"/>
                <w:color w:val="auto"/>
                <w:highlight w:val="none"/>
                <w:lang w:val="en-US" w:eastAsia="zh-CN"/>
              </w:rPr>
            </w:pPr>
            <w:r>
              <w:rPr>
                <w:rFonts w:hint="eastAsia"/>
                <w:color w:val="auto"/>
                <w:highlight w:val="none"/>
                <w:lang w:eastAsia="zh-CN"/>
              </w:rPr>
              <w:t>（</w:t>
            </w:r>
            <w:r>
              <w:rPr>
                <w:rFonts w:hint="eastAsia"/>
                <w:color w:val="auto"/>
                <w:highlight w:val="none"/>
                <w:lang w:val="en-US" w:eastAsia="zh-CN"/>
              </w:rPr>
              <w:t>2</w:t>
            </w:r>
            <w:r>
              <w:rPr>
                <w:rFonts w:hint="eastAsia"/>
                <w:color w:val="auto"/>
                <w:highlight w:val="none"/>
                <w:lang w:eastAsia="zh-CN"/>
              </w:rPr>
              <w:t>）</w:t>
            </w:r>
            <w:r>
              <w:rPr>
                <w:rFonts w:hint="eastAsia"/>
                <w:color w:val="auto"/>
                <w:highlight w:val="none"/>
                <w:lang w:val="en-US" w:eastAsia="zh-CN"/>
              </w:rPr>
              <w:t>排水</w:t>
            </w:r>
          </w:p>
          <w:p w14:paraId="37BBA9B3">
            <w:pPr>
              <w:keepNext w:val="0"/>
              <w:keepLines w:val="0"/>
              <w:pageBreakBefore w:val="0"/>
              <w:widowControl w:val="0"/>
              <w:kinsoku/>
              <w:wordWrap/>
              <w:overflowPunct/>
              <w:topLinePunct w:val="0"/>
              <w:autoSpaceDE/>
              <w:autoSpaceDN/>
              <w:bidi w:val="0"/>
              <w:adjustRightInd w:val="0"/>
              <w:snapToGrid w:val="0"/>
              <w:ind w:firstLine="480" w:firstLineChars="200"/>
              <w:jc w:val="both"/>
              <w:textAlignment w:val="auto"/>
              <w:rPr>
                <w:rFonts w:hint="eastAsia"/>
                <w:color w:val="auto"/>
                <w:highlight w:val="none"/>
              </w:rPr>
            </w:pPr>
            <w:r>
              <w:rPr>
                <w:rFonts w:hint="eastAsia"/>
                <w:color w:val="auto"/>
                <w:highlight w:val="none"/>
              </w:rPr>
              <w:t>本项目职工</w:t>
            </w:r>
            <w:r>
              <w:rPr>
                <w:rFonts w:hint="eastAsia"/>
                <w:color w:val="auto"/>
                <w:highlight w:val="none"/>
                <w:lang w:val="en-US" w:eastAsia="zh-CN"/>
              </w:rPr>
              <w:t>生活污水</w:t>
            </w:r>
            <w:r>
              <w:rPr>
                <w:rFonts w:hint="eastAsia"/>
                <w:color w:val="auto"/>
                <w:highlight w:val="none"/>
              </w:rPr>
              <w:t>产生量按照</w:t>
            </w:r>
            <w:r>
              <w:rPr>
                <w:rFonts w:hint="eastAsia"/>
                <w:color w:val="auto"/>
                <w:highlight w:val="none"/>
                <w:lang w:val="en-US" w:eastAsia="zh-CN"/>
              </w:rPr>
              <w:t>用水量的</w:t>
            </w:r>
            <w:r>
              <w:rPr>
                <w:rFonts w:hint="eastAsia"/>
                <w:color w:val="auto"/>
                <w:highlight w:val="none"/>
              </w:rPr>
              <w:t>80%计算，</w:t>
            </w:r>
            <w:r>
              <w:rPr>
                <w:rFonts w:hint="eastAsia"/>
                <w:color w:val="auto"/>
                <w:highlight w:val="none"/>
                <w:lang w:val="en-US" w:eastAsia="zh-CN"/>
              </w:rPr>
              <w:t>为0.32</w:t>
            </w:r>
            <w:r>
              <w:rPr>
                <w:rFonts w:hint="eastAsia"/>
                <w:color w:val="auto"/>
                <w:highlight w:val="none"/>
              </w:rPr>
              <w:t>m</w:t>
            </w:r>
            <w:r>
              <w:rPr>
                <w:rFonts w:hint="eastAsia"/>
                <w:color w:val="auto"/>
                <w:highlight w:val="none"/>
                <w:vertAlign w:val="superscript"/>
                <w:lang w:val="en-US" w:eastAsia="zh-CN"/>
              </w:rPr>
              <w:t>3</w:t>
            </w:r>
            <w:r>
              <w:rPr>
                <w:rFonts w:hint="eastAsia"/>
                <w:color w:val="auto"/>
                <w:highlight w:val="none"/>
              </w:rPr>
              <w:t>/d（</w:t>
            </w:r>
            <w:r>
              <w:rPr>
                <w:rFonts w:hint="eastAsia"/>
                <w:color w:val="auto"/>
                <w:highlight w:val="none"/>
                <w:lang w:val="en-US" w:eastAsia="zh-CN"/>
              </w:rPr>
              <w:t>96</w:t>
            </w:r>
            <w:r>
              <w:rPr>
                <w:rFonts w:hint="eastAsia"/>
                <w:color w:val="auto"/>
                <w:highlight w:val="none"/>
              </w:rPr>
              <w:t>m</w:t>
            </w:r>
            <w:r>
              <w:rPr>
                <w:rFonts w:hint="eastAsia"/>
                <w:color w:val="auto"/>
                <w:highlight w:val="none"/>
                <w:vertAlign w:val="superscript"/>
                <w:lang w:val="en-US" w:eastAsia="zh-CN"/>
              </w:rPr>
              <w:t>3</w:t>
            </w:r>
            <w:r>
              <w:rPr>
                <w:rFonts w:hint="eastAsia"/>
                <w:color w:val="auto"/>
                <w:highlight w:val="none"/>
              </w:rPr>
              <w:t>/a）。生活污水</w:t>
            </w:r>
            <w:r>
              <w:rPr>
                <w:rFonts w:hint="eastAsia"/>
                <w:color w:val="auto"/>
                <w:highlight w:val="none"/>
                <w:lang w:val="en-US" w:eastAsia="zh-CN"/>
              </w:rPr>
              <w:t>进入</w:t>
            </w:r>
            <w:r>
              <w:rPr>
                <w:rFonts w:hint="eastAsia"/>
                <w:color w:val="auto"/>
                <w:highlight w:val="none"/>
              </w:rPr>
              <w:t>化粪池</w:t>
            </w:r>
            <w:r>
              <w:rPr>
                <w:rFonts w:hint="eastAsia"/>
                <w:color w:val="auto"/>
                <w:highlight w:val="none"/>
                <w:lang w:val="en-US" w:eastAsia="zh-CN"/>
              </w:rPr>
              <w:t>后定期清掏</w:t>
            </w:r>
            <w:r>
              <w:rPr>
                <w:rFonts w:hint="eastAsia"/>
                <w:color w:val="auto"/>
                <w:highlight w:val="none"/>
              </w:rPr>
              <w:t>。</w:t>
            </w:r>
          </w:p>
          <w:p w14:paraId="08B106E7">
            <w:pPr>
              <w:keepNext w:val="0"/>
              <w:keepLines w:val="0"/>
              <w:pageBreakBefore w:val="0"/>
              <w:widowControl w:val="0"/>
              <w:kinsoku/>
              <w:wordWrap/>
              <w:overflowPunct/>
              <w:topLinePunct w:val="0"/>
              <w:autoSpaceDE/>
              <w:autoSpaceDN/>
              <w:bidi w:val="0"/>
              <w:adjustRightInd w:val="0"/>
              <w:snapToGrid w:val="0"/>
              <w:ind w:firstLine="480" w:firstLineChars="200"/>
              <w:jc w:val="both"/>
              <w:textAlignment w:val="auto"/>
              <w:rPr>
                <w:rFonts w:hint="eastAsia"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切削液废水全部消耗</w:t>
            </w:r>
            <w:r>
              <w:rPr>
                <w:rFonts w:hint="eastAsia" w:ascii="Times New Roman" w:hAnsi="Times New Roman" w:eastAsia="宋体" w:cs="Times New Roman"/>
                <w:color w:val="auto"/>
                <w:sz w:val="24"/>
                <w:szCs w:val="24"/>
                <w:highlight w:val="none"/>
                <w:lang w:val="en-US" w:eastAsia="zh-CN"/>
              </w:rPr>
              <w:t>。</w:t>
            </w:r>
          </w:p>
          <w:p w14:paraId="23060D24">
            <w:pPr>
              <w:pStyle w:val="10"/>
              <w:keepNext w:val="0"/>
              <w:keepLines w:val="0"/>
              <w:pageBreakBefore w:val="0"/>
              <w:widowControl w:val="0"/>
              <w:kinsoku/>
              <w:wordWrap/>
              <w:overflowPunct/>
              <w:topLinePunct w:val="0"/>
              <w:autoSpaceDE/>
              <w:autoSpaceDN/>
              <w:bidi w:val="0"/>
              <w:adjustRightInd w:val="0"/>
              <w:snapToGrid w:val="0"/>
              <w:spacing w:line="360" w:lineRule="auto"/>
              <w:ind w:right="0"/>
              <w:textAlignment w:val="auto"/>
              <w:rPr>
                <w:rFonts w:hint="default"/>
                <w:color w:val="auto"/>
                <w:highlight w:val="none"/>
              </w:rPr>
            </w:pPr>
            <w:r>
              <w:rPr>
                <w:rFonts w:hint="eastAsia"/>
                <w:color w:val="auto"/>
                <w:highlight w:val="none"/>
                <w:lang w:val="en-US" w:eastAsia="zh-CN"/>
              </w:rPr>
              <w:t>2</w:t>
            </w:r>
            <w:r>
              <w:rPr>
                <w:color w:val="auto"/>
                <w:highlight w:val="none"/>
              </w:rPr>
              <w:t>.6</w:t>
            </w:r>
            <w:r>
              <w:rPr>
                <w:rFonts w:hint="default"/>
                <w:color w:val="auto"/>
                <w:highlight w:val="none"/>
              </w:rPr>
              <w:t>.2 供电</w:t>
            </w:r>
          </w:p>
          <w:p w14:paraId="5B4EF176">
            <w:pPr>
              <w:keepNext w:val="0"/>
              <w:keepLines w:val="0"/>
              <w:pageBreakBefore w:val="0"/>
              <w:widowControl w:val="0"/>
              <w:kinsoku/>
              <w:wordWrap/>
              <w:overflowPunct/>
              <w:topLinePunct w:val="0"/>
              <w:autoSpaceDE/>
              <w:autoSpaceDN/>
              <w:bidi w:val="0"/>
              <w:adjustRightInd w:val="0"/>
              <w:snapToGrid w:val="0"/>
              <w:spacing w:line="360" w:lineRule="auto"/>
              <w:ind w:right="0" w:firstLine="480" w:firstLineChars="200"/>
              <w:textAlignment w:val="auto"/>
              <w:rPr>
                <w:color w:val="auto"/>
                <w:highlight w:val="none"/>
              </w:rPr>
            </w:pPr>
            <w:r>
              <w:rPr>
                <w:rFonts w:hint="eastAsia"/>
                <w:color w:val="auto"/>
                <w:highlight w:val="none"/>
              </w:rPr>
              <w:t>企业供电由当地电网统一供给，</w:t>
            </w:r>
            <w:r>
              <w:rPr>
                <w:rFonts w:hint="eastAsia"/>
                <w:color w:val="auto"/>
                <w:highlight w:val="none"/>
                <w:lang w:val="en-US" w:eastAsia="zh-CN"/>
              </w:rPr>
              <w:t>用电量为2万kw</w:t>
            </w:r>
            <w:r>
              <w:rPr>
                <w:rFonts w:hint="default" w:ascii="Times New Roman" w:hAnsi="Times New Roman" w:cs="Times New Roman"/>
                <w:color w:val="auto"/>
                <w:highlight w:val="none"/>
                <w:lang w:val="en-US" w:eastAsia="zh-CN"/>
              </w:rPr>
              <w:t>·</w:t>
            </w:r>
            <w:r>
              <w:rPr>
                <w:rFonts w:hint="eastAsia"/>
                <w:color w:val="auto"/>
                <w:highlight w:val="none"/>
                <w:lang w:val="en-US" w:eastAsia="zh-CN"/>
              </w:rPr>
              <w:t>h/a，</w:t>
            </w:r>
            <w:r>
              <w:rPr>
                <w:rFonts w:hint="eastAsia"/>
                <w:color w:val="auto"/>
                <w:highlight w:val="none"/>
              </w:rPr>
              <w:t>能够满足日常生产及生活用电。</w:t>
            </w:r>
          </w:p>
          <w:p w14:paraId="30EB1F4C">
            <w:pPr>
              <w:pStyle w:val="10"/>
              <w:keepNext w:val="0"/>
              <w:keepLines w:val="0"/>
              <w:pageBreakBefore w:val="0"/>
              <w:widowControl w:val="0"/>
              <w:kinsoku/>
              <w:wordWrap/>
              <w:overflowPunct/>
              <w:topLinePunct w:val="0"/>
              <w:autoSpaceDE/>
              <w:autoSpaceDN/>
              <w:bidi w:val="0"/>
              <w:adjustRightInd w:val="0"/>
              <w:snapToGrid w:val="0"/>
              <w:spacing w:line="360" w:lineRule="auto"/>
              <w:ind w:right="0"/>
              <w:textAlignment w:val="auto"/>
              <w:rPr>
                <w:rFonts w:hint="default"/>
                <w:color w:val="auto"/>
                <w:highlight w:val="none"/>
              </w:rPr>
            </w:pPr>
            <w:r>
              <w:rPr>
                <w:rFonts w:hint="eastAsia"/>
                <w:color w:val="auto"/>
                <w:highlight w:val="none"/>
                <w:lang w:val="en-US" w:eastAsia="zh-CN"/>
              </w:rPr>
              <w:t>2</w:t>
            </w:r>
            <w:r>
              <w:rPr>
                <w:color w:val="auto"/>
                <w:highlight w:val="none"/>
              </w:rPr>
              <w:t>.6</w:t>
            </w:r>
            <w:r>
              <w:rPr>
                <w:rFonts w:hint="default"/>
                <w:color w:val="auto"/>
                <w:highlight w:val="none"/>
              </w:rPr>
              <w:t>.3 供热</w:t>
            </w:r>
          </w:p>
          <w:p w14:paraId="39BD179E">
            <w:pPr>
              <w:pStyle w:val="33"/>
              <w:keepNext w:val="0"/>
              <w:keepLines w:val="0"/>
              <w:pageBreakBefore w:val="0"/>
              <w:widowControl w:val="0"/>
              <w:kinsoku/>
              <w:wordWrap/>
              <w:overflowPunct/>
              <w:topLinePunct w:val="0"/>
              <w:autoSpaceDE/>
              <w:autoSpaceDN/>
              <w:bidi w:val="0"/>
              <w:adjustRightInd w:val="0"/>
              <w:snapToGrid w:val="0"/>
              <w:spacing w:after="0" w:line="360" w:lineRule="auto"/>
              <w:ind w:left="0" w:leftChars="0" w:right="0" w:firstLine="480"/>
              <w:textAlignment w:val="auto"/>
              <w:rPr>
                <w:rFonts w:hint="eastAsia"/>
                <w:color w:val="auto"/>
                <w:highlight w:val="none"/>
                <w:lang w:val="en-US" w:eastAsia="zh-CN"/>
              </w:rPr>
            </w:pPr>
            <w:r>
              <w:rPr>
                <w:rFonts w:hint="eastAsia"/>
                <w:color w:val="auto"/>
                <w:highlight w:val="none"/>
              </w:rPr>
              <w:t>本项目办公采用空调供暖</w:t>
            </w:r>
            <w:r>
              <w:rPr>
                <w:rFonts w:hint="eastAsia"/>
                <w:color w:val="auto"/>
                <w:highlight w:val="none"/>
                <w:lang w:eastAsia="zh-CN"/>
              </w:rPr>
              <w:t>；</w:t>
            </w:r>
            <w:r>
              <w:rPr>
                <w:rFonts w:hint="eastAsia"/>
                <w:color w:val="auto"/>
                <w:highlight w:val="none"/>
                <w:lang w:val="en-US" w:eastAsia="zh-CN"/>
              </w:rPr>
              <w:t>生产不需要供热。</w:t>
            </w:r>
          </w:p>
          <w:p w14:paraId="607E3FE5">
            <w:pPr>
              <w:pStyle w:val="32"/>
              <w:keepNext w:val="0"/>
              <w:keepLines w:val="0"/>
              <w:pageBreakBefore w:val="0"/>
              <w:kinsoku/>
              <w:wordWrap/>
              <w:overflowPunct/>
              <w:topLinePunct w:val="0"/>
              <w:autoSpaceDE/>
              <w:autoSpaceDN/>
              <w:bidi w:val="0"/>
              <w:adjustRightInd w:val="0"/>
              <w:snapToGrid w:val="0"/>
              <w:spacing w:before="0" w:after="0" w:line="360" w:lineRule="auto"/>
              <w:ind w:left="0" w:leftChars="0" w:right="0" w:firstLine="0" w:firstLineChars="0"/>
              <w:textAlignment w:val="auto"/>
              <w:rPr>
                <w:rFonts w:hint="default"/>
                <w:color w:val="auto"/>
                <w:sz w:val="24"/>
                <w:szCs w:val="32"/>
                <w:highlight w:val="none"/>
                <w:lang w:val="en-US" w:eastAsia="zh-CN"/>
              </w:rPr>
            </w:pPr>
            <w:r>
              <w:rPr>
                <w:rFonts w:hint="eastAsia"/>
                <w:color w:val="auto"/>
                <w:sz w:val="24"/>
                <w:szCs w:val="32"/>
                <w:highlight w:val="none"/>
                <w:lang w:val="en-US" w:eastAsia="zh-CN"/>
              </w:rPr>
              <w:t>2.7生产工艺流程</w:t>
            </w:r>
          </w:p>
          <w:p w14:paraId="7726B81A">
            <w:pPr>
              <w:pStyle w:val="32"/>
              <w:keepNext w:val="0"/>
              <w:keepLines w:val="0"/>
              <w:pageBreakBefore w:val="0"/>
              <w:kinsoku/>
              <w:wordWrap/>
              <w:overflowPunct/>
              <w:topLinePunct w:val="0"/>
              <w:autoSpaceDE/>
              <w:autoSpaceDN/>
              <w:bidi w:val="0"/>
              <w:adjustRightInd w:val="0"/>
              <w:snapToGrid w:val="0"/>
              <w:spacing w:before="0" w:after="0" w:line="360" w:lineRule="auto"/>
              <w:ind w:right="0"/>
              <w:textAlignment w:val="auto"/>
              <w:rPr>
                <w:rFonts w:hint="default"/>
                <w:color w:val="auto"/>
                <w:sz w:val="24"/>
                <w:szCs w:val="32"/>
                <w:highlight w:val="none"/>
                <w:lang w:val="en-US" w:eastAsia="zh-CN"/>
              </w:rPr>
            </w:pPr>
            <w:r>
              <w:rPr>
                <w:rFonts w:hint="eastAsia"/>
                <w:color w:val="auto"/>
                <w:sz w:val="24"/>
                <w:szCs w:val="32"/>
                <w:highlight w:val="none"/>
                <w:lang w:val="en-US" w:eastAsia="zh-CN"/>
              </w:rPr>
              <w:t>2.7.1模具零件、从动轴生产工艺</w:t>
            </w:r>
          </w:p>
          <w:p w14:paraId="433337D6">
            <w:pPr>
              <w:pStyle w:val="32"/>
              <w:keepNext w:val="0"/>
              <w:keepLines w:val="0"/>
              <w:pageBreakBefore w:val="0"/>
              <w:kinsoku/>
              <w:wordWrap/>
              <w:overflowPunct/>
              <w:topLinePunct w:val="0"/>
              <w:autoSpaceDE/>
              <w:autoSpaceDN/>
              <w:bidi w:val="0"/>
              <w:adjustRightInd w:val="0"/>
              <w:snapToGrid w:val="0"/>
              <w:spacing w:before="0" w:after="0" w:line="360" w:lineRule="auto"/>
              <w:ind w:right="0"/>
              <w:textAlignment w:val="auto"/>
              <w:rPr>
                <w:rFonts w:hint="default"/>
                <w:color w:val="auto"/>
                <w:sz w:val="24"/>
                <w:szCs w:val="32"/>
                <w:highlight w:val="none"/>
                <w:lang w:val="en-US" w:eastAsia="zh-CN"/>
              </w:rPr>
            </w:pPr>
            <w:r>
              <w:rPr>
                <w:rFonts w:hint="eastAsia"/>
                <w:color w:val="auto"/>
                <w:sz w:val="24"/>
                <w:szCs w:val="32"/>
                <w:highlight w:val="none"/>
                <w:lang w:val="en-US" w:eastAsia="zh-CN"/>
              </w:rPr>
              <w:t>企业使用外购不锈钢（钢锭），根据客户下单图纸要求加工形成最终成品。</w:t>
            </w:r>
          </w:p>
          <w:p w14:paraId="2638D8A6">
            <w:pPr>
              <w:pStyle w:val="32"/>
              <w:keepNext w:val="0"/>
              <w:keepLines w:val="0"/>
              <w:pageBreakBefore w:val="0"/>
              <w:kinsoku/>
              <w:wordWrap/>
              <w:overflowPunct/>
              <w:topLinePunct w:val="0"/>
              <w:autoSpaceDE/>
              <w:autoSpaceDN/>
              <w:bidi w:val="0"/>
              <w:adjustRightInd w:val="0"/>
              <w:snapToGrid w:val="0"/>
              <w:spacing w:before="0" w:after="0" w:line="360" w:lineRule="auto"/>
              <w:ind w:right="0"/>
              <w:textAlignment w:val="auto"/>
              <w:rPr>
                <w:rFonts w:hint="default"/>
                <w:color w:val="auto"/>
                <w:sz w:val="24"/>
                <w:szCs w:val="32"/>
                <w:highlight w:val="none"/>
                <w:lang w:val="en-US" w:eastAsia="zh-CN"/>
              </w:rPr>
            </w:pPr>
            <w:r>
              <w:rPr>
                <w:rFonts w:hint="eastAsia"/>
                <w:color w:val="auto"/>
                <w:sz w:val="24"/>
                <w:szCs w:val="32"/>
                <w:highlight w:val="none"/>
                <w:lang w:val="en-US" w:eastAsia="zh-CN"/>
              </w:rPr>
              <w:t>企业根据客户定制产品对钢锭进行按照图纸使用电火花数控线切割机床进行切割，切割后的部分板材需使用加工中心、铣床进行加工，根据图纸对加工好的物料使用铣钻进行打孔等处理，最终成为模具零件、从动轴等成品外售。</w:t>
            </w:r>
          </w:p>
          <w:p w14:paraId="01E87916">
            <w:pPr>
              <w:pStyle w:val="32"/>
              <w:keepNext w:val="0"/>
              <w:keepLines w:val="0"/>
              <w:pageBreakBefore w:val="0"/>
              <w:kinsoku/>
              <w:wordWrap/>
              <w:overflowPunct/>
              <w:topLinePunct w:val="0"/>
              <w:autoSpaceDE/>
              <w:autoSpaceDN/>
              <w:bidi w:val="0"/>
              <w:adjustRightInd w:val="0"/>
              <w:snapToGrid w:val="0"/>
              <w:spacing w:before="0" w:after="0" w:line="360" w:lineRule="auto"/>
              <w:ind w:right="0"/>
              <w:jc w:val="center"/>
              <w:textAlignment w:val="auto"/>
              <w:rPr>
                <w:rFonts w:hint="eastAsia"/>
                <w:color w:val="auto"/>
                <w:sz w:val="24"/>
                <w:szCs w:val="32"/>
                <w:highlight w:val="none"/>
                <w:lang w:val="en-US" w:eastAsia="zh-CN"/>
              </w:rPr>
            </w:pPr>
            <w:r>
              <w:rPr>
                <w:rFonts w:hint="eastAsia"/>
                <w:color w:val="auto"/>
                <w:sz w:val="24"/>
                <w:szCs w:val="32"/>
                <w:highlight w:val="none"/>
                <w:lang w:val="en-US" w:eastAsia="zh-CN"/>
              </w:rPr>
              <w:drawing>
                <wp:inline distT="0" distB="0" distL="114300" distR="114300">
                  <wp:extent cx="4537075" cy="1287780"/>
                  <wp:effectExtent l="0" t="0" r="0" b="0"/>
                  <wp:docPr id="17" name="ECB019B1-382A-4266-B25C-5B523AA43C14-1" descr="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ECB019B1-382A-4266-B25C-5B523AA43C14-1" descr="wps"/>
                          <pic:cNvPicPr>
                            <a:picLocks noChangeAspect="1"/>
                          </pic:cNvPicPr>
                        </pic:nvPicPr>
                        <pic:blipFill>
                          <a:blip r:embed="rId16"/>
                          <a:stretch>
                            <a:fillRect/>
                          </a:stretch>
                        </pic:blipFill>
                        <pic:spPr>
                          <a:xfrm>
                            <a:off x="0" y="0"/>
                            <a:ext cx="4537075" cy="1287780"/>
                          </a:xfrm>
                          <a:prstGeom prst="rect">
                            <a:avLst/>
                          </a:prstGeom>
                        </pic:spPr>
                      </pic:pic>
                    </a:graphicData>
                  </a:graphic>
                </wp:inline>
              </w:drawing>
            </w:r>
          </w:p>
          <w:p w14:paraId="76945D77">
            <w:pPr>
              <w:pStyle w:val="32"/>
              <w:keepNext w:val="0"/>
              <w:keepLines w:val="0"/>
              <w:pageBreakBefore w:val="0"/>
              <w:kinsoku/>
              <w:wordWrap/>
              <w:overflowPunct/>
              <w:topLinePunct w:val="0"/>
              <w:autoSpaceDE/>
              <w:autoSpaceDN/>
              <w:bidi w:val="0"/>
              <w:adjustRightInd w:val="0"/>
              <w:snapToGrid w:val="0"/>
              <w:spacing w:before="0" w:after="0" w:line="360" w:lineRule="auto"/>
              <w:ind w:left="0" w:leftChars="0" w:right="0" w:firstLine="0" w:firstLineChars="0"/>
              <w:jc w:val="center"/>
              <w:textAlignment w:val="auto"/>
              <w:rPr>
                <w:rFonts w:hint="default"/>
                <w:b/>
                <w:bCs/>
                <w:color w:val="auto"/>
                <w:sz w:val="24"/>
                <w:szCs w:val="32"/>
                <w:highlight w:val="none"/>
                <w:lang w:val="en-US" w:eastAsia="zh-CN"/>
              </w:rPr>
            </w:pPr>
            <w:r>
              <w:rPr>
                <w:rFonts w:hint="eastAsia"/>
                <w:b/>
                <w:bCs/>
                <w:color w:val="auto"/>
                <w:sz w:val="24"/>
                <w:szCs w:val="32"/>
                <w:highlight w:val="none"/>
                <w:lang w:val="en-US" w:eastAsia="zh-CN"/>
              </w:rPr>
              <w:t>图2.1  模具零件、从动轴生产工艺及产排污节点</w:t>
            </w:r>
          </w:p>
          <w:p w14:paraId="083A7567">
            <w:pPr>
              <w:pStyle w:val="32"/>
              <w:rPr>
                <w:rFonts w:hint="default"/>
                <w:color w:val="auto"/>
                <w:sz w:val="24"/>
                <w:szCs w:val="32"/>
                <w:highlight w:val="none"/>
                <w:lang w:val="en-US" w:eastAsia="zh-CN"/>
              </w:rPr>
            </w:pPr>
            <w:r>
              <w:rPr>
                <w:rFonts w:hint="eastAsia"/>
                <w:color w:val="auto"/>
                <w:sz w:val="24"/>
                <w:szCs w:val="32"/>
                <w:highlight w:val="none"/>
                <w:lang w:val="en-US" w:eastAsia="zh-CN"/>
              </w:rPr>
              <w:t>2.7.芯子、车门密封条生产工艺</w:t>
            </w:r>
          </w:p>
          <w:p w14:paraId="5E554C9B">
            <w:pPr>
              <w:pStyle w:val="32"/>
              <w:keepNext w:val="0"/>
              <w:keepLines w:val="0"/>
              <w:pageBreakBefore w:val="0"/>
              <w:kinsoku/>
              <w:wordWrap/>
              <w:overflowPunct/>
              <w:topLinePunct w:val="0"/>
              <w:autoSpaceDE/>
              <w:autoSpaceDN/>
              <w:bidi w:val="0"/>
              <w:adjustRightInd w:val="0"/>
              <w:snapToGrid w:val="0"/>
              <w:spacing w:before="0" w:after="0" w:line="360" w:lineRule="auto"/>
              <w:ind w:right="0"/>
              <w:textAlignment w:val="auto"/>
              <w:rPr>
                <w:rFonts w:hint="default"/>
                <w:color w:val="auto"/>
                <w:sz w:val="24"/>
                <w:szCs w:val="32"/>
                <w:highlight w:val="none"/>
                <w:lang w:val="en-US" w:eastAsia="zh-CN"/>
              </w:rPr>
            </w:pPr>
            <w:r>
              <w:rPr>
                <w:rFonts w:hint="eastAsia"/>
                <w:color w:val="auto"/>
                <w:sz w:val="24"/>
                <w:szCs w:val="32"/>
                <w:highlight w:val="none"/>
                <w:lang w:val="en-US" w:eastAsia="zh-CN"/>
              </w:rPr>
              <w:t>企业外购高分子密度板，根据订单要求设置加工中心程序，原料进入加工中心加工，完成后即为成品，整个过程不加热。</w:t>
            </w:r>
          </w:p>
          <w:p w14:paraId="0F2EC20E">
            <w:pPr>
              <w:pStyle w:val="32"/>
              <w:keepNext w:val="0"/>
              <w:keepLines w:val="0"/>
              <w:pageBreakBefore w:val="0"/>
              <w:kinsoku/>
              <w:wordWrap/>
              <w:overflowPunct/>
              <w:topLinePunct w:val="0"/>
              <w:autoSpaceDE/>
              <w:autoSpaceDN/>
              <w:bidi w:val="0"/>
              <w:adjustRightInd w:val="0"/>
              <w:snapToGrid w:val="0"/>
              <w:spacing w:before="0" w:after="0" w:line="360" w:lineRule="auto"/>
              <w:ind w:right="0"/>
              <w:jc w:val="center"/>
              <w:textAlignment w:val="auto"/>
              <w:rPr>
                <w:rFonts w:hint="eastAsia"/>
                <w:color w:val="auto"/>
                <w:sz w:val="24"/>
                <w:szCs w:val="32"/>
                <w:highlight w:val="none"/>
                <w:lang w:val="en-US" w:eastAsia="zh-CN"/>
              </w:rPr>
            </w:pPr>
            <w:r>
              <w:rPr>
                <w:rFonts w:hint="eastAsia"/>
                <w:color w:val="auto"/>
                <w:sz w:val="24"/>
                <w:szCs w:val="32"/>
                <w:highlight w:val="none"/>
                <w:lang w:val="en-US" w:eastAsia="zh-CN"/>
              </w:rPr>
              <w:drawing>
                <wp:inline distT="0" distB="0" distL="114300" distR="114300">
                  <wp:extent cx="4184650" cy="1258570"/>
                  <wp:effectExtent l="0" t="0" r="0" b="0"/>
                  <wp:docPr id="18" name="ECB019B1-382A-4266-B25C-5B523AA43C14-2" descr="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ECB019B1-382A-4266-B25C-5B523AA43C14-2" descr="wps"/>
                          <pic:cNvPicPr>
                            <a:picLocks noChangeAspect="1"/>
                          </pic:cNvPicPr>
                        </pic:nvPicPr>
                        <pic:blipFill>
                          <a:blip r:embed="rId17"/>
                          <a:stretch>
                            <a:fillRect/>
                          </a:stretch>
                        </pic:blipFill>
                        <pic:spPr>
                          <a:xfrm>
                            <a:off x="0" y="0"/>
                            <a:ext cx="4184650" cy="1258570"/>
                          </a:xfrm>
                          <a:prstGeom prst="rect">
                            <a:avLst/>
                          </a:prstGeom>
                        </pic:spPr>
                      </pic:pic>
                    </a:graphicData>
                  </a:graphic>
                </wp:inline>
              </w:drawing>
            </w:r>
          </w:p>
          <w:p w14:paraId="740793C8">
            <w:pPr>
              <w:pStyle w:val="32"/>
              <w:keepNext w:val="0"/>
              <w:keepLines w:val="0"/>
              <w:pageBreakBefore w:val="0"/>
              <w:kinsoku/>
              <w:wordWrap/>
              <w:overflowPunct/>
              <w:topLinePunct w:val="0"/>
              <w:autoSpaceDE/>
              <w:autoSpaceDN/>
              <w:bidi w:val="0"/>
              <w:adjustRightInd w:val="0"/>
              <w:snapToGrid w:val="0"/>
              <w:spacing w:before="0" w:after="0" w:line="360" w:lineRule="auto"/>
              <w:ind w:left="0" w:leftChars="0" w:right="0" w:firstLine="0" w:firstLineChars="0"/>
              <w:jc w:val="center"/>
              <w:textAlignment w:val="auto"/>
              <w:rPr>
                <w:rFonts w:hint="eastAsia"/>
                <w:color w:val="auto"/>
                <w:sz w:val="24"/>
                <w:szCs w:val="32"/>
                <w:highlight w:val="none"/>
                <w:lang w:val="en-US" w:eastAsia="zh-CN"/>
              </w:rPr>
            </w:pPr>
            <w:r>
              <w:rPr>
                <w:rFonts w:hint="eastAsia"/>
                <w:b/>
                <w:bCs/>
                <w:color w:val="auto"/>
                <w:sz w:val="24"/>
                <w:szCs w:val="32"/>
                <w:highlight w:val="none"/>
                <w:lang w:val="en-US" w:eastAsia="zh-CN"/>
              </w:rPr>
              <w:t>图2.2  芯子、车门密封条生产工艺及产排污节点</w:t>
            </w:r>
          </w:p>
          <w:p w14:paraId="07E0DD38">
            <w:pPr>
              <w:pStyle w:val="32"/>
              <w:keepNext w:val="0"/>
              <w:keepLines w:val="0"/>
              <w:pageBreakBefore w:val="0"/>
              <w:kinsoku/>
              <w:wordWrap/>
              <w:overflowPunct/>
              <w:topLinePunct w:val="0"/>
              <w:autoSpaceDE/>
              <w:autoSpaceDN/>
              <w:bidi w:val="0"/>
              <w:adjustRightInd w:val="0"/>
              <w:snapToGrid w:val="0"/>
              <w:spacing w:before="0" w:after="0" w:line="240" w:lineRule="auto"/>
              <w:ind w:left="0" w:leftChars="0" w:right="0" w:firstLine="0" w:firstLineChars="0"/>
              <w:jc w:val="center"/>
              <w:textAlignment w:val="auto"/>
              <w:rPr>
                <w:rFonts w:hint="default"/>
                <w:b/>
                <w:bCs/>
                <w:color w:val="auto"/>
                <w:sz w:val="24"/>
                <w:szCs w:val="32"/>
                <w:highlight w:val="none"/>
                <w:lang w:val="en-US" w:eastAsia="zh-CN"/>
              </w:rPr>
            </w:pPr>
            <w:r>
              <w:rPr>
                <w:rFonts w:hint="eastAsia"/>
                <w:b/>
                <w:bCs/>
                <w:color w:val="auto"/>
                <w:sz w:val="24"/>
                <w:szCs w:val="32"/>
                <w:highlight w:val="none"/>
                <w:lang w:val="en-US" w:eastAsia="zh-CN"/>
              </w:rPr>
              <w:t>表2.5  现有工程污染物排放一览表</w:t>
            </w:r>
          </w:p>
          <w:tbl>
            <w:tblPr>
              <w:tblStyle w:val="34"/>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1"/>
              <w:gridCol w:w="1057"/>
              <w:gridCol w:w="697"/>
              <w:gridCol w:w="1914"/>
              <w:gridCol w:w="3989"/>
            </w:tblGrid>
            <w:tr w14:paraId="4FBED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67" w:hRule="atLeast"/>
                <w:jc w:val="center"/>
              </w:trPr>
              <w:tc>
                <w:tcPr>
                  <w:tcW w:w="397" w:type="pct"/>
                  <w:tcBorders>
                    <w:bottom w:val="single" w:color="auto" w:sz="4" w:space="0"/>
                  </w:tcBorders>
                  <w:noWrap w:val="0"/>
                  <w:vAlign w:val="center"/>
                </w:tcPr>
                <w:p w14:paraId="4769B520">
                  <w:pPr>
                    <w:adjustRightInd w:val="0"/>
                    <w:snapToGrid w:val="0"/>
                    <w:spacing w:line="240" w:lineRule="auto"/>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类别</w:t>
                  </w:r>
                </w:p>
              </w:tc>
              <w:tc>
                <w:tcPr>
                  <w:tcW w:w="1054" w:type="pct"/>
                  <w:gridSpan w:val="2"/>
                  <w:tcBorders>
                    <w:bottom w:val="single" w:color="auto" w:sz="4" w:space="0"/>
                  </w:tcBorders>
                  <w:noWrap w:val="0"/>
                  <w:vAlign w:val="center"/>
                </w:tcPr>
                <w:p w14:paraId="57321AD3">
                  <w:pPr>
                    <w:adjustRightInd w:val="0"/>
                    <w:snapToGrid w:val="0"/>
                    <w:spacing w:line="240" w:lineRule="auto"/>
                    <w:jc w:val="center"/>
                    <w:rPr>
                      <w:rFonts w:ascii="宋体" w:hAnsi="宋体" w:eastAsia="宋体" w:cs="等线"/>
                      <w:color w:val="auto"/>
                      <w:sz w:val="21"/>
                      <w:szCs w:val="21"/>
                      <w:highlight w:val="none"/>
                    </w:rPr>
                  </w:pPr>
                  <w:r>
                    <w:rPr>
                      <w:rFonts w:hint="eastAsia" w:ascii="宋体" w:hAnsi="宋体" w:eastAsia="宋体" w:cs="等线"/>
                      <w:color w:val="auto"/>
                      <w:sz w:val="21"/>
                      <w:szCs w:val="21"/>
                      <w:highlight w:val="none"/>
                    </w:rPr>
                    <w:t>污染源名称</w:t>
                  </w:r>
                </w:p>
              </w:tc>
              <w:tc>
                <w:tcPr>
                  <w:tcW w:w="1150" w:type="pct"/>
                  <w:tcBorders>
                    <w:bottom w:val="single" w:color="auto" w:sz="4" w:space="0"/>
                  </w:tcBorders>
                  <w:noWrap w:val="0"/>
                  <w:vAlign w:val="center"/>
                </w:tcPr>
                <w:p w14:paraId="0FBDE809">
                  <w:pPr>
                    <w:adjustRightInd w:val="0"/>
                    <w:snapToGrid w:val="0"/>
                    <w:spacing w:line="240" w:lineRule="auto"/>
                    <w:jc w:val="center"/>
                    <w:rPr>
                      <w:rFonts w:ascii="宋体" w:hAnsi="宋体" w:eastAsia="宋体" w:cs="等线"/>
                      <w:color w:val="auto"/>
                      <w:sz w:val="21"/>
                      <w:szCs w:val="21"/>
                      <w:highlight w:val="none"/>
                    </w:rPr>
                  </w:pPr>
                  <w:r>
                    <w:rPr>
                      <w:rFonts w:hint="eastAsia" w:ascii="宋体" w:hAnsi="宋体" w:eastAsia="宋体" w:cs="等线"/>
                      <w:color w:val="auto"/>
                      <w:sz w:val="21"/>
                      <w:szCs w:val="21"/>
                      <w:highlight w:val="none"/>
                    </w:rPr>
                    <w:t>污染物</w:t>
                  </w:r>
                </w:p>
              </w:tc>
              <w:tc>
                <w:tcPr>
                  <w:tcW w:w="2397" w:type="pct"/>
                  <w:tcBorders>
                    <w:bottom w:val="single" w:color="auto" w:sz="4" w:space="0"/>
                  </w:tcBorders>
                  <w:noWrap w:val="0"/>
                  <w:vAlign w:val="center"/>
                </w:tcPr>
                <w:p w14:paraId="4860F0D5">
                  <w:pPr>
                    <w:adjustRightInd w:val="0"/>
                    <w:snapToGrid w:val="0"/>
                    <w:spacing w:line="240" w:lineRule="auto"/>
                    <w:jc w:val="center"/>
                    <w:rPr>
                      <w:rFonts w:ascii="宋体" w:hAnsi="宋体" w:eastAsia="宋体" w:cs="等线"/>
                      <w:color w:val="auto"/>
                      <w:sz w:val="21"/>
                      <w:szCs w:val="21"/>
                      <w:highlight w:val="none"/>
                    </w:rPr>
                  </w:pPr>
                  <w:r>
                    <w:rPr>
                      <w:rFonts w:hint="eastAsia" w:ascii="宋体" w:hAnsi="宋体" w:eastAsia="宋体" w:cs="等线"/>
                      <w:color w:val="auto"/>
                      <w:sz w:val="21"/>
                      <w:szCs w:val="21"/>
                      <w:highlight w:val="none"/>
                    </w:rPr>
                    <w:t>治理措施</w:t>
                  </w:r>
                </w:p>
              </w:tc>
            </w:tr>
            <w:tr w14:paraId="02809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397" w:type="pct"/>
                  <w:tcBorders>
                    <w:top w:val="nil"/>
                  </w:tcBorders>
                  <w:noWrap w:val="0"/>
                  <w:vAlign w:val="center"/>
                </w:tcPr>
                <w:p w14:paraId="3C952DDC">
                  <w:pPr>
                    <w:adjustRightInd w:val="0"/>
                    <w:snapToGrid w:val="0"/>
                    <w:spacing w:line="240" w:lineRule="auto"/>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废气</w:t>
                  </w:r>
                </w:p>
              </w:tc>
              <w:tc>
                <w:tcPr>
                  <w:tcW w:w="1054" w:type="pct"/>
                  <w:gridSpan w:val="2"/>
                  <w:tcBorders>
                    <w:top w:val="nil"/>
                    <w:bottom w:val="single" w:color="auto" w:sz="4" w:space="0"/>
                  </w:tcBorders>
                  <w:noWrap w:val="0"/>
                  <w:vAlign w:val="center"/>
                </w:tcPr>
                <w:p w14:paraId="237A0FD6">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铣床、切割</w:t>
                  </w:r>
                </w:p>
              </w:tc>
              <w:tc>
                <w:tcPr>
                  <w:tcW w:w="1150" w:type="pct"/>
                  <w:tcBorders>
                    <w:top w:val="nil"/>
                    <w:bottom w:val="single" w:color="auto" w:sz="4" w:space="0"/>
                  </w:tcBorders>
                  <w:noWrap w:val="0"/>
                  <w:vAlign w:val="center"/>
                </w:tcPr>
                <w:p w14:paraId="1244CF87">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颗粒物</w:t>
                  </w:r>
                </w:p>
              </w:tc>
              <w:tc>
                <w:tcPr>
                  <w:tcW w:w="2397" w:type="pct"/>
                  <w:tcBorders>
                    <w:top w:val="nil"/>
                    <w:bottom w:val="single" w:color="auto" w:sz="4" w:space="0"/>
                  </w:tcBorders>
                  <w:noWrap w:val="0"/>
                  <w:vAlign w:val="center"/>
                </w:tcPr>
                <w:p w14:paraId="0671772C">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在封闭车间内无组织排放</w:t>
                  </w:r>
                </w:p>
              </w:tc>
            </w:tr>
            <w:tr w14:paraId="6AACB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397" w:type="pct"/>
                  <w:noWrap w:val="0"/>
                  <w:vAlign w:val="center"/>
                </w:tcPr>
                <w:p w14:paraId="074D5C4F">
                  <w:pPr>
                    <w:adjustRightInd w:val="0"/>
                    <w:snapToGrid w:val="0"/>
                    <w:spacing w:line="240" w:lineRule="auto"/>
                    <w:jc w:val="center"/>
                    <w:rPr>
                      <w:rFonts w:ascii="Times New Roman" w:hAnsi="Times New Roman" w:eastAsia="宋体" w:cs="Times New Roman"/>
                      <w:color w:val="auto"/>
                      <w:kern w:val="2"/>
                      <w:sz w:val="21"/>
                      <w:szCs w:val="21"/>
                      <w:highlight w:val="none"/>
                      <w:lang w:val="en-US" w:eastAsia="zh-CN" w:bidi="ar-SA"/>
                    </w:rPr>
                  </w:pPr>
                  <w:r>
                    <w:rPr>
                      <w:rFonts w:ascii="Times New Roman" w:hAnsi="Times New Roman" w:eastAsia="宋体" w:cs="Times New Roman"/>
                      <w:color w:val="auto"/>
                      <w:sz w:val="21"/>
                      <w:szCs w:val="21"/>
                      <w:highlight w:val="none"/>
                    </w:rPr>
                    <w:t>废水</w:t>
                  </w:r>
                </w:p>
              </w:tc>
              <w:tc>
                <w:tcPr>
                  <w:tcW w:w="1054" w:type="pct"/>
                  <w:gridSpan w:val="2"/>
                  <w:noWrap w:val="0"/>
                  <w:vAlign w:val="center"/>
                </w:tcPr>
                <w:p w14:paraId="3A6E8E77">
                  <w:pPr>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职工生活</w:t>
                  </w:r>
                </w:p>
              </w:tc>
              <w:tc>
                <w:tcPr>
                  <w:tcW w:w="1150" w:type="pct"/>
                  <w:noWrap w:val="0"/>
                  <w:vAlign w:val="center"/>
                </w:tcPr>
                <w:p w14:paraId="5C701AD8">
                  <w:pPr>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COD、氨氮、SS</w:t>
                  </w:r>
                </w:p>
              </w:tc>
              <w:tc>
                <w:tcPr>
                  <w:tcW w:w="2397" w:type="pct"/>
                  <w:noWrap w:val="0"/>
                  <w:vAlign w:val="center"/>
                </w:tcPr>
                <w:p w14:paraId="49422E8E">
                  <w:pPr>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生活污水进入进入化粪池后定期清掏</w:t>
                  </w:r>
                </w:p>
              </w:tc>
            </w:tr>
            <w:tr w14:paraId="6CE29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 w:hRule="atLeast"/>
                <w:jc w:val="center"/>
              </w:trPr>
              <w:tc>
                <w:tcPr>
                  <w:tcW w:w="397" w:type="pct"/>
                  <w:tcBorders>
                    <w:bottom w:val="nil"/>
                  </w:tcBorders>
                  <w:noWrap w:val="0"/>
                  <w:vAlign w:val="center"/>
                </w:tcPr>
                <w:p w14:paraId="14B7C7B3">
                  <w:pPr>
                    <w:adjustRightInd w:val="0"/>
                    <w:snapToGrid w:val="0"/>
                    <w:spacing w:line="240" w:lineRule="auto"/>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噪声</w:t>
                  </w:r>
                </w:p>
              </w:tc>
              <w:tc>
                <w:tcPr>
                  <w:tcW w:w="1054" w:type="pct"/>
                  <w:gridSpan w:val="2"/>
                  <w:tcBorders>
                    <w:bottom w:val="nil"/>
                  </w:tcBorders>
                  <w:noWrap w:val="0"/>
                  <w:vAlign w:val="center"/>
                </w:tcPr>
                <w:p w14:paraId="1141531E">
                  <w:pPr>
                    <w:adjustRightInd w:val="0"/>
                    <w:snapToGrid w:val="0"/>
                    <w:spacing w:line="240" w:lineRule="auto"/>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生产设备</w:t>
                  </w:r>
                </w:p>
              </w:tc>
              <w:tc>
                <w:tcPr>
                  <w:tcW w:w="1150" w:type="pct"/>
                  <w:tcBorders>
                    <w:bottom w:val="nil"/>
                  </w:tcBorders>
                  <w:noWrap w:val="0"/>
                  <w:vAlign w:val="center"/>
                </w:tcPr>
                <w:p w14:paraId="5D4DF2DE">
                  <w:pPr>
                    <w:adjustRightInd w:val="0"/>
                    <w:snapToGrid w:val="0"/>
                    <w:spacing w:line="240" w:lineRule="auto"/>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L</w:t>
                  </w:r>
                  <w:r>
                    <w:rPr>
                      <w:rFonts w:hint="default" w:ascii="Times New Roman" w:hAnsi="Times New Roman" w:eastAsia="宋体" w:cs="Times New Roman"/>
                      <w:color w:val="auto"/>
                      <w:sz w:val="21"/>
                      <w:szCs w:val="21"/>
                      <w:highlight w:val="none"/>
                      <w:vertAlign w:val="subscript"/>
                    </w:rPr>
                    <w:t>eq</w:t>
                  </w:r>
                </w:p>
              </w:tc>
              <w:tc>
                <w:tcPr>
                  <w:tcW w:w="2397" w:type="pct"/>
                  <w:tcBorders>
                    <w:bottom w:val="nil"/>
                  </w:tcBorders>
                  <w:noWrap w:val="0"/>
                  <w:vAlign w:val="center"/>
                </w:tcPr>
                <w:p w14:paraId="1B7F757D">
                  <w:pPr>
                    <w:adjustRightInd w:val="0"/>
                    <w:snapToGrid w:val="0"/>
                    <w:spacing w:line="240" w:lineRule="auto"/>
                    <w:jc w:val="center"/>
                    <w:rPr>
                      <w:rFonts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减震基础+</w:t>
                  </w:r>
                  <w:r>
                    <w:rPr>
                      <w:rFonts w:ascii="Times New Roman" w:hAnsi="Times New Roman" w:eastAsia="宋体" w:cs="Times New Roman"/>
                      <w:color w:val="auto"/>
                      <w:sz w:val="21"/>
                      <w:szCs w:val="21"/>
                      <w:highlight w:val="none"/>
                    </w:rPr>
                    <w:t>厂房隔声</w:t>
                  </w:r>
                </w:p>
              </w:tc>
            </w:tr>
            <w:tr w14:paraId="707FE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jc w:val="center"/>
              </w:trPr>
              <w:tc>
                <w:tcPr>
                  <w:tcW w:w="397" w:type="pct"/>
                  <w:vMerge w:val="restart"/>
                  <w:noWrap w:val="0"/>
                  <w:vAlign w:val="center"/>
                </w:tcPr>
                <w:p w14:paraId="4D00B7B9">
                  <w:pPr>
                    <w:adjustRightInd w:val="0"/>
                    <w:snapToGrid w:val="0"/>
                    <w:spacing w:line="240" w:lineRule="auto"/>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固体废物</w:t>
                  </w:r>
                </w:p>
              </w:tc>
              <w:tc>
                <w:tcPr>
                  <w:tcW w:w="635" w:type="pct"/>
                  <w:noWrap w:val="0"/>
                  <w:vAlign w:val="center"/>
                </w:tcPr>
                <w:p w14:paraId="5182C112">
                  <w:pPr>
                    <w:pStyle w:val="58"/>
                    <w:ind w:firstLine="0" w:firstLineChars="0"/>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一般工业固体废物</w:t>
                  </w:r>
                </w:p>
              </w:tc>
              <w:tc>
                <w:tcPr>
                  <w:tcW w:w="418" w:type="pct"/>
                  <w:noWrap w:val="0"/>
                  <w:vAlign w:val="center"/>
                </w:tcPr>
                <w:p w14:paraId="37BF4C9C">
                  <w:pPr>
                    <w:pStyle w:val="58"/>
                    <w:ind w:firstLine="0" w:firstLineChars="0"/>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加工</w:t>
                  </w:r>
                </w:p>
              </w:tc>
              <w:tc>
                <w:tcPr>
                  <w:tcW w:w="1150" w:type="pct"/>
                  <w:noWrap w:val="0"/>
                  <w:vAlign w:val="center"/>
                </w:tcPr>
                <w:p w14:paraId="753358CD">
                  <w:pPr>
                    <w:pStyle w:val="58"/>
                    <w:ind w:firstLine="0"/>
                    <w:rPr>
                      <w:rFonts w:hint="default" w:ascii="Times New Roman" w:hAnsi="Times New Roman"/>
                      <w:color w:val="auto"/>
                      <w:szCs w:val="21"/>
                      <w:highlight w:val="none"/>
                      <w:lang w:val="en-US" w:eastAsia="zh-CN"/>
                    </w:rPr>
                  </w:pPr>
                  <w:r>
                    <w:rPr>
                      <w:rFonts w:hint="eastAsia" w:ascii="Times New Roman" w:hAnsi="Times New Roman" w:cs="Times New Roman"/>
                      <w:color w:val="auto"/>
                      <w:sz w:val="21"/>
                      <w:szCs w:val="21"/>
                      <w:highlight w:val="none"/>
                      <w:lang w:val="en-US" w:eastAsia="zh-CN"/>
                    </w:rPr>
                    <w:t>不含切削液金属屑</w:t>
                  </w:r>
                </w:p>
              </w:tc>
              <w:tc>
                <w:tcPr>
                  <w:tcW w:w="2397" w:type="pct"/>
                  <w:noWrap w:val="0"/>
                  <w:vAlign w:val="center"/>
                </w:tcPr>
                <w:p w14:paraId="4742C63D">
                  <w:pPr>
                    <w:pStyle w:val="58"/>
                    <w:ind w:firstLine="0"/>
                    <w:rPr>
                      <w:rFonts w:hint="default" w:ascii="Times New Roman" w:hAnsi="Times New Roman"/>
                      <w:color w:val="auto"/>
                      <w:szCs w:val="21"/>
                      <w:highlight w:val="none"/>
                      <w:lang w:val="en-US" w:eastAsia="zh-CN"/>
                    </w:rPr>
                  </w:pPr>
                  <w:r>
                    <w:rPr>
                      <w:rFonts w:hint="eastAsia"/>
                      <w:color w:val="auto"/>
                      <w:highlight w:val="none"/>
                    </w:rPr>
                    <w:t>收集后外售</w:t>
                  </w:r>
                </w:p>
              </w:tc>
            </w:tr>
            <w:tr w14:paraId="171F4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397" w:type="pct"/>
                  <w:vMerge w:val="continue"/>
                  <w:noWrap w:val="0"/>
                  <w:vAlign w:val="center"/>
                </w:tcPr>
                <w:p w14:paraId="4BEFE800">
                  <w:pPr>
                    <w:adjustRightInd w:val="0"/>
                    <w:snapToGrid w:val="0"/>
                    <w:spacing w:line="240" w:lineRule="auto"/>
                    <w:jc w:val="center"/>
                    <w:rPr>
                      <w:rFonts w:ascii="Times New Roman" w:hAnsi="Times New Roman" w:eastAsia="宋体" w:cs="Times New Roman"/>
                      <w:color w:val="auto"/>
                      <w:sz w:val="21"/>
                      <w:szCs w:val="21"/>
                      <w:highlight w:val="none"/>
                    </w:rPr>
                  </w:pPr>
                </w:p>
              </w:tc>
              <w:tc>
                <w:tcPr>
                  <w:tcW w:w="635" w:type="pct"/>
                  <w:noWrap w:val="0"/>
                  <w:vAlign w:val="center"/>
                </w:tcPr>
                <w:p w14:paraId="77733C55">
                  <w:pPr>
                    <w:pStyle w:val="58"/>
                    <w:ind w:firstLine="0" w:firstLineChars="0"/>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危险废物</w:t>
                  </w:r>
                </w:p>
              </w:tc>
              <w:tc>
                <w:tcPr>
                  <w:tcW w:w="418" w:type="pct"/>
                  <w:noWrap w:val="0"/>
                  <w:vAlign w:val="center"/>
                </w:tcPr>
                <w:p w14:paraId="1B0D4463">
                  <w:pPr>
                    <w:pStyle w:val="58"/>
                    <w:ind w:firstLine="0" w:firstLineChars="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加工</w:t>
                  </w:r>
                </w:p>
              </w:tc>
              <w:tc>
                <w:tcPr>
                  <w:tcW w:w="1150" w:type="pct"/>
                  <w:noWrap w:val="0"/>
                  <w:vAlign w:val="center"/>
                </w:tcPr>
                <w:p w14:paraId="2D95AA52">
                  <w:pPr>
                    <w:pStyle w:val="58"/>
                    <w:ind w:firstLine="0" w:firstLineChars="0"/>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olor w:val="auto"/>
                      <w:highlight w:val="none"/>
                      <w:lang w:val="en-US" w:eastAsia="zh-CN"/>
                    </w:rPr>
                    <w:t>废切削液、含切削液金属屑、切削液废包装桶</w:t>
                  </w:r>
                </w:p>
              </w:tc>
              <w:tc>
                <w:tcPr>
                  <w:tcW w:w="2397" w:type="pct"/>
                  <w:noWrap w:val="0"/>
                  <w:vAlign w:val="center"/>
                </w:tcPr>
                <w:p w14:paraId="5BFDB43A">
                  <w:pPr>
                    <w:pStyle w:val="58"/>
                    <w:ind w:firstLine="0" w:firstLineChars="0"/>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收集后暂存危废暂存间内，定期交由有资质单位进行处理</w:t>
                  </w:r>
                </w:p>
              </w:tc>
            </w:tr>
            <w:tr w14:paraId="03E47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4" w:hRule="atLeast"/>
                <w:jc w:val="center"/>
              </w:trPr>
              <w:tc>
                <w:tcPr>
                  <w:tcW w:w="397" w:type="pct"/>
                  <w:vMerge w:val="continue"/>
                  <w:noWrap w:val="0"/>
                  <w:vAlign w:val="center"/>
                </w:tcPr>
                <w:p w14:paraId="3D9B799B">
                  <w:pPr>
                    <w:adjustRightInd w:val="0"/>
                    <w:snapToGrid w:val="0"/>
                    <w:spacing w:line="240" w:lineRule="auto"/>
                    <w:jc w:val="center"/>
                    <w:rPr>
                      <w:rFonts w:ascii="Times New Roman" w:hAnsi="Times New Roman" w:eastAsia="宋体" w:cs="Times New Roman"/>
                      <w:color w:val="auto"/>
                      <w:sz w:val="21"/>
                      <w:szCs w:val="21"/>
                      <w:highlight w:val="none"/>
                    </w:rPr>
                  </w:pPr>
                </w:p>
              </w:tc>
              <w:tc>
                <w:tcPr>
                  <w:tcW w:w="635" w:type="pct"/>
                  <w:noWrap w:val="0"/>
                  <w:vAlign w:val="center"/>
                </w:tcPr>
                <w:p w14:paraId="17AF9B51">
                  <w:pPr>
                    <w:pStyle w:val="58"/>
                    <w:ind w:firstLine="0" w:firstLineChars="0"/>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生活垃圾</w:t>
                  </w:r>
                </w:p>
              </w:tc>
              <w:tc>
                <w:tcPr>
                  <w:tcW w:w="418" w:type="pct"/>
                  <w:noWrap w:val="0"/>
                  <w:vAlign w:val="center"/>
                </w:tcPr>
                <w:p w14:paraId="6DA4F528">
                  <w:pPr>
                    <w:pStyle w:val="58"/>
                    <w:ind w:firstLine="0" w:firstLineChars="0"/>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职工生活</w:t>
                  </w:r>
                </w:p>
              </w:tc>
              <w:tc>
                <w:tcPr>
                  <w:tcW w:w="1150" w:type="pct"/>
                  <w:noWrap w:val="0"/>
                  <w:vAlign w:val="center"/>
                </w:tcPr>
                <w:p w14:paraId="310170F7">
                  <w:pPr>
                    <w:pStyle w:val="58"/>
                    <w:ind w:firstLine="0"/>
                    <w:rPr>
                      <w:rFonts w:ascii="Times New Roman" w:hAnsi="Times New Roman" w:eastAsia="宋体" w:cs="Times New Roman"/>
                      <w:color w:val="auto"/>
                      <w:kern w:val="0"/>
                      <w:sz w:val="21"/>
                      <w:szCs w:val="21"/>
                      <w:highlight w:val="none"/>
                      <w:lang w:val="en-US" w:eastAsia="zh-CN" w:bidi="ar-SA"/>
                    </w:rPr>
                  </w:pPr>
                  <w:r>
                    <w:rPr>
                      <w:rFonts w:ascii="Times New Roman" w:hAnsi="Times New Roman"/>
                      <w:color w:val="auto"/>
                      <w:szCs w:val="21"/>
                      <w:highlight w:val="none"/>
                    </w:rPr>
                    <w:t>生活垃圾</w:t>
                  </w:r>
                </w:p>
              </w:tc>
              <w:tc>
                <w:tcPr>
                  <w:tcW w:w="2397" w:type="pct"/>
                  <w:noWrap w:val="0"/>
                  <w:vAlign w:val="center"/>
                </w:tcPr>
                <w:p w14:paraId="76E1A58F">
                  <w:pPr>
                    <w:pStyle w:val="58"/>
                    <w:ind w:firstLine="0"/>
                    <w:rPr>
                      <w:rFonts w:ascii="Times New Roman" w:hAnsi="Times New Roman" w:eastAsia="宋体" w:cs="Times New Roman"/>
                      <w:color w:val="auto"/>
                      <w:kern w:val="0"/>
                      <w:sz w:val="21"/>
                      <w:szCs w:val="21"/>
                      <w:highlight w:val="none"/>
                      <w:lang w:val="en-US" w:eastAsia="zh-CN" w:bidi="ar-SA"/>
                    </w:rPr>
                  </w:pPr>
                  <w:r>
                    <w:rPr>
                      <w:rFonts w:ascii="Times New Roman" w:hAnsi="Times New Roman"/>
                      <w:color w:val="auto"/>
                      <w:szCs w:val="21"/>
                      <w:highlight w:val="none"/>
                    </w:rPr>
                    <w:t>集中存放，由环卫部门统一处理</w:t>
                  </w:r>
                </w:p>
              </w:tc>
            </w:tr>
          </w:tbl>
          <w:p w14:paraId="48703E89">
            <w:pPr>
              <w:pStyle w:val="8"/>
              <w:keepNext/>
              <w:keepLines/>
              <w:pageBreakBefore w:val="0"/>
              <w:widowControl w:val="0"/>
              <w:kinsoku/>
              <w:wordWrap/>
              <w:overflowPunct/>
              <w:topLinePunct w:val="0"/>
              <w:autoSpaceDE/>
              <w:autoSpaceDN/>
              <w:bidi w:val="0"/>
              <w:adjustRightInd w:val="0"/>
              <w:snapToGrid w:val="0"/>
              <w:textAlignment w:val="auto"/>
              <w:rPr>
                <w:rFonts w:hint="eastAsia" w:eastAsia="宋体"/>
                <w:color w:val="auto"/>
                <w:highlight w:val="none"/>
                <w:lang w:val="en-US" w:eastAsia="zh-CN"/>
              </w:rPr>
            </w:pPr>
            <w:r>
              <w:rPr>
                <w:rFonts w:hint="eastAsia"/>
                <w:color w:val="auto"/>
                <w:highlight w:val="none"/>
                <w:lang w:val="en-US" w:eastAsia="zh-CN"/>
              </w:rPr>
              <w:t>3 扩建</w:t>
            </w:r>
            <w:r>
              <w:rPr>
                <w:rFonts w:hint="eastAsia"/>
                <w:color w:val="auto"/>
                <w:highlight w:val="none"/>
              </w:rPr>
              <w:t>项目</w:t>
            </w:r>
            <w:r>
              <w:rPr>
                <w:rFonts w:hint="eastAsia"/>
                <w:color w:val="auto"/>
                <w:highlight w:val="none"/>
                <w:lang w:val="en-US" w:eastAsia="zh-CN"/>
              </w:rPr>
              <w:t>概况</w:t>
            </w:r>
          </w:p>
          <w:p w14:paraId="07DCEB1B">
            <w:pPr>
              <w:pStyle w:val="9"/>
              <w:keepNext/>
              <w:keepLines/>
              <w:pageBreakBefore w:val="0"/>
              <w:widowControl w:val="0"/>
              <w:kinsoku/>
              <w:wordWrap/>
              <w:overflowPunct/>
              <w:topLinePunct w:val="0"/>
              <w:autoSpaceDE/>
              <w:autoSpaceDN/>
              <w:bidi w:val="0"/>
              <w:adjustRightInd w:val="0"/>
              <w:snapToGrid w:val="0"/>
              <w:textAlignment w:val="auto"/>
              <w:rPr>
                <w:rFonts w:hint="eastAsia" w:eastAsia="宋体"/>
                <w:color w:val="auto"/>
                <w:highlight w:val="none"/>
                <w:lang w:val="en-US" w:eastAsia="zh-CN"/>
              </w:rPr>
            </w:pPr>
            <w:r>
              <w:rPr>
                <w:rFonts w:hint="eastAsia"/>
                <w:color w:val="auto"/>
                <w:highlight w:val="none"/>
                <w:lang w:val="en-US" w:eastAsia="zh-CN"/>
              </w:rPr>
              <w:t>3</w:t>
            </w:r>
            <w:r>
              <w:rPr>
                <w:rFonts w:hint="eastAsia"/>
                <w:color w:val="auto"/>
                <w:highlight w:val="none"/>
              </w:rPr>
              <w:t xml:space="preserve">.1 </w:t>
            </w:r>
            <w:r>
              <w:rPr>
                <w:rFonts w:hint="eastAsia"/>
                <w:color w:val="auto"/>
                <w:highlight w:val="none"/>
                <w:lang w:val="en-US" w:eastAsia="zh-CN"/>
              </w:rPr>
              <w:t>扩建</w:t>
            </w:r>
            <w:r>
              <w:rPr>
                <w:rFonts w:hint="eastAsia"/>
                <w:color w:val="auto"/>
                <w:highlight w:val="none"/>
              </w:rPr>
              <w:t>项目概况</w:t>
            </w:r>
            <w:r>
              <w:rPr>
                <w:rFonts w:hint="eastAsia"/>
                <w:color w:val="auto"/>
                <w:highlight w:val="none"/>
                <w:lang w:val="en-US" w:eastAsia="zh-CN"/>
              </w:rPr>
              <w:t xml:space="preserve"> </w:t>
            </w:r>
          </w:p>
          <w:p w14:paraId="2DA514D0">
            <w:pPr>
              <w:keepNext w:val="0"/>
              <w:keepLines w:val="0"/>
              <w:pageBreakBefore w:val="0"/>
              <w:widowControl w:val="0"/>
              <w:kinsoku/>
              <w:wordWrap/>
              <w:overflowPunct/>
              <w:topLinePunct w:val="0"/>
              <w:autoSpaceDE/>
              <w:autoSpaceDN/>
              <w:bidi w:val="0"/>
              <w:adjustRightInd w:val="0"/>
              <w:snapToGrid/>
              <w:ind w:firstLine="480" w:firstLineChars="200"/>
              <w:jc w:val="both"/>
              <w:textAlignment w:val="auto"/>
              <w:rPr>
                <w:rFonts w:hint="default" w:ascii="Times New Roman" w:hAnsi="Times New Roman" w:eastAsia="宋体" w:cs="Times New Roman"/>
                <w:color w:val="auto"/>
                <w:highlight w:val="none"/>
                <w:lang w:val="en-US" w:eastAsia="zh-CN"/>
              </w:rPr>
            </w:pPr>
            <w:r>
              <w:rPr>
                <w:rFonts w:hint="default"/>
                <w:color w:val="auto"/>
                <w:highlight w:val="none"/>
              </w:rPr>
              <w:t>（1）项目名称</w:t>
            </w:r>
            <w:r>
              <w:rPr>
                <w:rFonts w:hint="default" w:ascii="Times New Roman" w:hAnsi="Times New Roman" w:eastAsia="宋体" w:cs="Times New Roman"/>
                <w:color w:val="auto"/>
                <w:highlight w:val="none"/>
                <w:lang w:val="en-US" w:eastAsia="zh-CN"/>
              </w:rPr>
              <w:t>：</w:t>
            </w:r>
            <w:r>
              <w:rPr>
                <w:rFonts w:hint="eastAsia" w:cs="Times New Roman"/>
                <w:color w:val="auto"/>
                <w:highlight w:val="none"/>
                <w:lang w:val="en-US" w:eastAsia="zh-CN"/>
              </w:rPr>
              <w:t xml:space="preserve">汽车零部件加工扩建项目 </w:t>
            </w:r>
          </w:p>
          <w:p w14:paraId="38F00E9F">
            <w:pPr>
              <w:keepNext w:val="0"/>
              <w:keepLines w:val="0"/>
              <w:pageBreakBefore w:val="0"/>
              <w:widowControl w:val="0"/>
              <w:kinsoku/>
              <w:wordWrap/>
              <w:overflowPunct/>
              <w:topLinePunct w:val="0"/>
              <w:autoSpaceDE/>
              <w:autoSpaceDN/>
              <w:bidi w:val="0"/>
              <w:adjustRightInd w:val="0"/>
              <w:snapToGrid/>
              <w:ind w:firstLine="480" w:firstLineChars="200"/>
              <w:jc w:val="both"/>
              <w:textAlignment w:val="auto"/>
              <w:rPr>
                <w:rFonts w:hint="eastAsia" w:eastAsia="宋体"/>
                <w:color w:val="auto"/>
                <w:highlight w:val="none"/>
                <w:lang w:val="en-US" w:eastAsia="zh-CN"/>
              </w:rPr>
            </w:pPr>
            <w:r>
              <w:rPr>
                <w:rFonts w:hint="default"/>
                <w:color w:val="auto"/>
                <w:highlight w:val="none"/>
              </w:rPr>
              <w:t>（2）建设单位：</w:t>
            </w:r>
            <w:r>
              <w:rPr>
                <w:rFonts w:hint="eastAsia"/>
                <w:color w:val="auto"/>
                <w:highlight w:val="none"/>
                <w:lang w:eastAsia="zh-CN"/>
              </w:rPr>
              <w:t>秦皇岛市日昌升农产品有限公司</w:t>
            </w:r>
          </w:p>
          <w:p w14:paraId="0651BD26">
            <w:pPr>
              <w:keepNext w:val="0"/>
              <w:keepLines w:val="0"/>
              <w:pageBreakBefore w:val="0"/>
              <w:widowControl w:val="0"/>
              <w:kinsoku/>
              <w:wordWrap/>
              <w:overflowPunct/>
              <w:topLinePunct w:val="0"/>
              <w:autoSpaceDE/>
              <w:autoSpaceDN/>
              <w:bidi w:val="0"/>
              <w:adjustRightInd w:val="0"/>
              <w:snapToGrid/>
              <w:ind w:firstLine="480" w:firstLineChars="200"/>
              <w:jc w:val="both"/>
              <w:textAlignment w:val="auto"/>
              <w:rPr>
                <w:rFonts w:hint="eastAsia" w:ascii="Times New Roman" w:hAnsi="Times New Roman" w:eastAsia="宋体" w:cs="Times New Roman"/>
                <w:color w:val="auto"/>
                <w:highlight w:val="none"/>
                <w:lang w:val="en-US" w:eastAsia="zh-CN"/>
              </w:rPr>
            </w:pPr>
            <w:r>
              <w:rPr>
                <w:rFonts w:hint="default"/>
                <w:color w:val="auto"/>
                <w:highlight w:val="none"/>
              </w:rPr>
              <w:t>（</w:t>
            </w:r>
            <w:r>
              <w:rPr>
                <w:rFonts w:hint="default" w:ascii="Times New Roman" w:hAnsi="Times New Roman" w:cs="Times New Roman"/>
                <w:color w:val="auto"/>
                <w:highlight w:val="none"/>
              </w:rPr>
              <w:t>3）建设性质：</w:t>
            </w:r>
            <w:r>
              <w:rPr>
                <w:rFonts w:hint="eastAsia" w:cs="Times New Roman"/>
                <w:color w:val="auto"/>
                <w:highlight w:val="none"/>
                <w:lang w:val="en-US" w:eastAsia="zh-CN"/>
              </w:rPr>
              <w:t>扩建</w:t>
            </w:r>
          </w:p>
          <w:p w14:paraId="0383608A">
            <w:pPr>
              <w:keepNext w:val="0"/>
              <w:keepLines w:val="0"/>
              <w:pageBreakBefore w:val="0"/>
              <w:widowControl w:val="0"/>
              <w:kinsoku/>
              <w:wordWrap/>
              <w:overflowPunct/>
              <w:topLinePunct w:val="0"/>
              <w:autoSpaceDE/>
              <w:autoSpaceDN/>
              <w:bidi w:val="0"/>
              <w:adjustRightInd w:val="0"/>
              <w:snapToGrid/>
              <w:ind w:firstLine="480" w:firstLineChars="200"/>
              <w:jc w:val="both"/>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（4）建设地点：</w:t>
            </w:r>
            <w:r>
              <w:rPr>
                <w:rFonts w:hint="default" w:ascii="Times New Roman" w:hAnsi="Times New Roman" w:cs="Times New Roman"/>
                <w:color w:val="auto"/>
                <w:highlight w:val="none"/>
                <w:lang w:val="en-US" w:eastAsia="zh-CN"/>
              </w:rPr>
              <w:t>本项目位于秦皇岛市抚宁区日昌升农产品有限公司院内</w:t>
            </w:r>
            <w:r>
              <w:rPr>
                <w:rFonts w:hint="default" w:ascii="Times New Roman" w:hAnsi="Times New Roman" w:cs="Times New Roman"/>
                <w:color w:val="auto"/>
                <w:highlight w:val="none"/>
              </w:rPr>
              <w:t>，</w:t>
            </w:r>
            <w:r>
              <w:rPr>
                <w:rFonts w:hint="default" w:ascii="Times New Roman" w:hAnsi="Times New Roman" w:cs="Times New Roman"/>
                <w:color w:val="auto"/>
                <w:highlight w:val="none"/>
                <w:lang w:val="en-US" w:eastAsia="zh-CN"/>
              </w:rPr>
              <w:t>本项目</w:t>
            </w:r>
            <w:r>
              <w:rPr>
                <w:rFonts w:hint="default" w:ascii="Times New Roman" w:hAnsi="Times New Roman" w:cs="Times New Roman"/>
                <w:color w:val="auto"/>
                <w:highlight w:val="none"/>
              </w:rPr>
              <w:t>中心位置坐标：北纬</w:t>
            </w:r>
            <w:r>
              <w:rPr>
                <w:rFonts w:hint="default" w:ascii="Times New Roman" w:hAnsi="Times New Roman" w:cs="Times New Roman"/>
                <w:color w:val="auto"/>
                <w:highlight w:val="none"/>
                <w:lang w:eastAsia="zh-CN"/>
              </w:rPr>
              <w:t>119°18′9.263″</w:t>
            </w:r>
            <w:r>
              <w:rPr>
                <w:rFonts w:hint="default" w:ascii="Times New Roman" w:hAnsi="Times New Roman" w:cs="Times New Roman"/>
                <w:color w:val="auto"/>
                <w:highlight w:val="none"/>
              </w:rPr>
              <w:t>，东经</w:t>
            </w:r>
            <w:r>
              <w:rPr>
                <w:rFonts w:hint="default" w:ascii="Times New Roman" w:hAnsi="Times New Roman" w:cs="Times New Roman"/>
                <w:color w:val="auto"/>
                <w:highlight w:val="none"/>
                <w:lang w:eastAsia="zh-CN"/>
              </w:rPr>
              <w:t>39°52′42.825″</w:t>
            </w:r>
            <w:r>
              <w:rPr>
                <w:rFonts w:hint="default" w:ascii="Times New Roman" w:hAnsi="Times New Roman" w:cs="Times New Roman"/>
                <w:color w:val="auto"/>
                <w:highlight w:val="none"/>
              </w:rPr>
              <w:t>。</w:t>
            </w:r>
          </w:p>
          <w:p w14:paraId="34C550AC">
            <w:pPr>
              <w:pStyle w:val="81"/>
              <w:keepNext w:val="0"/>
              <w:keepLines w:val="0"/>
              <w:pageBreakBefore w:val="0"/>
              <w:widowControl w:val="0"/>
              <w:kinsoku/>
              <w:wordWrap/>
              <w:overflowPunct/>
              <w:topLinePunct w:val="0"/>
              <w:autoSpaceDE/>
              <w:autoSpaceDN/>
              <w:bidi w:val="0"/>
              <w:adjustRightInd w:val="0"/>
              <w:snapToGrid/>
              <w:ind w:firstLine="480" w:firstLineChars="200"/>
              <w:jc w:val="both"/>
              <w:textAlignment w:val="auto"/>
              <w:rPr>
                <w:rFonts w:hint="default" w:ascii="Times New Roman" w:hAnsi="Times New Roman" w:cs="Times New Roman"/>
                <w:color w:val="auto"/>
                <w:highlight w:val="none"/>
                <w:lang w:val="en-US" w:eastAsia="zh-CN"/>
              </w:rPr>
            </w:pPr>
            <w:r>
              <w:rPr>
                <w:rFonts w:hint="eastAsia" w:ascii="Times New Roman" w:hAnsi="Times New Roman" w:cs="Times New Roman"/>
                <w:bCs/>
                <w:color w:val="auto"/>
                <w:sz w:val="24"/>
                <w:highlight w:val="none"/>
                <w:lang w:val="en-US" w:eastAsia="zh-CN"/>
              </w:rPr>
              <w:t>厂界北侧为骊城大街，西侧为乡村道路，南侧、东侧均为空地</w:t>
            </w:r>
            <w:r>
              <w:rPr>
                <w:rFonts w:hint="eastAsia" w:ascii="Times New Roman" w:hAnsi="Times New Roman" w:cs="Times New Roman"/>
                <w:color w:val="auto"/>
                <w:highlight w:val="none"/>
                <w:lang w:val="en-US" w:eastAsia="zh-CN"/>
              </w:rPr>
              <w:t>。</w:t>
            </w:r>
            <w:r>
              <w:rPr>
                <w:rFonts w:hint="default" w:ascii="Times New Roman" w:hAnsi="Times New Roman" w:cs="Times New Roman"/>
                <w:color w:val="auto"/>
                <w:highlight w:val="none"/>
                <w:lang w:val="en-US" w:eastAsia="zh-CN"/>
              </w:rPr>
              <w:t>项目所在厂址周边关系示意图见附图2所示。</w:t>
            </w:r>
          </w:p>
          <w:p w14:paraId="4A3F2AE6">
            <w:pPr>
              <w:keepNext w:val="0"/>
              <w:keepLines w:val="0"/>
              <w:pageBreakBefore w:val="0"/>
              <w:widowControl w:val="0"/>
              <w:numPr>
                <w:ilvl w:val="0"/>
                <w:numId w:val="0"/>
              </w:numPr>
              <w:kinsoku/>
              <w:wordWrap/>
              <w:overflowPunct/>
              <w:topLinePunct w:val="0"/>
              <w:autoSpaceDE/>
              <w:autoSpaceDN/>
              <w:bidi w:val="0"/>
              <w:adjustRightInd w:val="0"/>
              <w:snapToGrid w:val="0"/>
              <w:ind w:firstLine="480" w:firstLineChars="200"/>
              <w:jc w:val="both"/>
              <w:textAlignment w:val="auto"/>
              <w:rPr>
                <w:rFonts w:hint="eastAsia"/>
                <w:color w:val="auto"/>
                <w:highlight w:val="none"/>
                <w:lang w:val="en-US" w:eastAsia="zh-CN"/>
              </w:rPr>
            </w:pPr>
            <w:r>
              <w:rPr>
                <w:rFonts w:hint="eastAsia" w:ascii="Times New Roman" w:hAnsi="Times New Roman" w:eastAsia="宋体" w:cs="Times New Roman"/>
                <w:color w:val="auto"/>
                <w:kern w:val="2"/>
                <w:sz w:val="24"/>
                <w:szCs w:val="24"/>
                <w:highlight w:val="none"/>
                <w:lang w:val="en-US" w:eastAsia="zh-CN" w:bidi="ar-SA"/>
              </w:rPr>
              <w:t>（5）</w:t>
            </w:r>
            <w:r>
              <w:rPr>
                <w:rFonts w:hint="eastAsia"/>
                <w:color w:val="auto"/>
                <w:highlight w:val="none"/>
                <w:lang w:val="en-US" w:eastAsia="zh-CN"/>
              </w:rPr>
              <w:t>建设内容：在厂区原有生产线的基础上增加发黑处理工艺，购置酸洗槽、碱洗槽、水洗槽、油洗槽，并增加汽车零部件来料加工业务，年来料加工20万件，总产能达到120万件。</w:t>
            </w:r>
          </w:p>
          <w:p w14:paraId="4402A467">
            <w:pPr>
              <w:keepNext w:val="0"/>
              <w:keepLines w:val="0"/>
              <w:pageBreakBefore w:val="0"/>
              <w:widowControl w:val="0"/>
              <w:kinsoku/>
              <w:wordWrap/>
              <w:overflowPunct/>
              <w:topLinePunct w:val="0"/>
              <w:autoSpaceDE/>
              <w:autoSpaceDN/>
              <w:bidi w:val="0"/>
              <w:adjustRightInd w:val="0"/>
              <w:snapToGrid w:val="0"/>
              <w:ind w:firstLine="480" w:firstLineChars="200"/>
              <w:jc w:val="both"/>
              <w:textAlignment w:val="auto"/>
              <w:rPr>
                <w:rFonts w:hint="default"/>
                <w:color w:val="auto"/>
                <w:highlight w:val="none"/>
              </w:rPr>
            </w:pPr>
            <w:r>
              <w:rPr>
                <w:rFonts w:hint="default"/>
                <w:color w:val="auto"/>
                <w:highlight w:val="none"/>
              </w:rPr>
              <w:t>（</w:t>
            </w:r>
            <w:r>
              <w:rPr>
                <w:rFonts w:hint="eastAsia"/>
                <w:color w:val="auto"/>
                <w:highlight w:val="none"/>
                <w:lang w:val="en-US" w:eastAsia="zh-CN"/>
              </w:rPr>
              <w:t>6</w:t>
            </w:r>
            <w:r>
              <w:rPr>
                <w:rFonts w:hint="default"/>
                <w:color w:val="auto"/>
                <w:highlight w:val="none"/>
              </w:rPr>
              <w:t>）工程投资：总投</w:t>
            </w:r>
            <w:r>
              <w:rPr>
                <w:rFonts w:hint="default" w:ascii="Times New Roman" w:hAnsi="Times New Roman" w:eastAsia="宋体" w:cs="Times New Roman"/>
                <w:color w:val="auto"/>
                <w:highlight w:val="none"/>
              </w:rPr>
              <w:t>资</w:t>
            </w:r>
            <w:r>
              <w:rPr>
                <w:rFonts w:hint="eastAsia" w:cs="Times New Roman"/>
                <w:color w:val="auto"/>
                <w:highlight w:val="none"/>
                <w:lang w:val="en-US" w:eastAsia="zh-CN"/>
              </w:rPr>
              <w:t>200万</w:t>
            </w:r>
            <w:r>
              <w:rPr>
                <w:rFonts w:hint="default" w:ascii="Times New Roman" w:hAnsi="Times New Roman" w:eastAsia="宋体" w:cs="Times New Roman"/>
                <w:color w:val="auto"/>
                <w:highlight w:val="none"/>
              </w:rPr>
              <w:t>元，其中环保投资</w:t>
            </w:r>
            <w:r>
              <w:rPr>
                <w:rFonts w:hint="eastAsia" w:cs="Times New Roman"/>
                <w:color w:val="auto"/>
                <w:highlight w:val="none"/>
                <w:lang w:val="en-US" w:eastAsia="zh-CN"/>
              </w:rPr>
              <w:t>10</w:t>
            </w:r>
            <w:r>
              <w:rPr>
                <w:rFonts w:hint="default" w:ascii="Times New Roman" w:hAnsi="Times New Roman" w:eastAsia="宋体" w:cs="Times New Roman"/>
                <w:color w:val="auto"/>
                <w:highlight w:val="none"/>
              </w:rPr>
              <w:t>万元，占总投资的</w:t>
            </w:r>
            <w:r>
              <w:rPr>
                <w:rFonts w:hint="eastAsia" w:cs="Times New Roman"/>
                <w:color w:val="auto"/>
                <w:highlight w:val="none"/>
                <w:lang w:val="en-US" w:eastAsia="zh-CN"/>
              </w:rPr>
              <w:t>5</w:t>
            </w:r>
            <w:r>
              <w:rPr>
                <w:rFonts w:hint="default" w:ascii="Times New Roman" w:hAnsi="Times New Roman" w:eastAsia="宋体" w:cs="Times New Roman"/>
                <w:color w:val="auto"/>
                <w:highlight w:val="none"/>
              </w:rPr>
              <w:t>%。</w:t>
            </w:r>
          </w:p>
          <w:p w14:paraId="1F7F8CBE">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color w:val="auto"/>
                <w:highlight w:val="none"/>
              </w:rPr>
            </w:pPr>
            <w:r>
              <w:rPr>
                <w:rFonts w:hint="default"/>
                <w:color w:val="auto"/>
                <w:highlight w:val="none"/>
              </w:rPr>
              <w:t>（</w:t>
            </w:r>
            <w:r>
              <w:rPr>
                <w:rFonts w:hint="eastAsia"/>
                <w:color w:val="auto"/>
                <w:highlight w:val="none"/>
                <w:lang w:val="en-US" w:eastAsia="zh-CN"/>
              </w:rPr>
              <w:t>7</w:t>
            </w:r>
            <w:r>
              <w:rPr>
                <w:rFonts w:hint="default"/>
                <w:color w:val="auto"/>
                <w:highlight w:val="none"/>
              </w:rPr>
              <w:t>）劳动</w:t>
            </w:r>
            <w:r>
              <w:rPr>
                <w:rFonts w:hint="default" w:ascii="Times New Roman" w:hAnsi="Times New Roman" w:eastAsia="宋体" w:cs="Times New Roman"/>
                <w:color w:val="auto"/>
                <w:highlight w:val="none"/>
              </w:rPr>
              <w:t>定员</w:t>
            </w:r>
            <w:r>
              <w:rPr>
                <w:rFonts w:hint="default"/>
                <w:color w:val="auto"/>
                <w:highlight w:val="none"/>
              </w:rPr>
              <w:t>及工作制度：</w:t>
            </w:r>
            <w:r>
              <w:rPr>
                <w:rFonts w:hint="eastAsia"/>
                <w:color w:val="auto"/>
                <w:highlight w:val="none"/>
                <w:lang w:val="en-US" w:eastAsia="zh-CN"/>
              </w:rPr>
              <w:t>本次扩建项目不新增劳动定员，年生产300天，每天3班制，每班8小时</w:t>
            </w:r>
            <w:r>
              <w:rPr>
                <w:color w:val="auto"/>
                <w:highlight w:val="none"/>
              </w:rPr>
              <w:t>。</w:t>
            </w:r>
          </w:p>
          <w:p w14:paraId="2EB16A54">
            <w:pPr>
              <w:pStyle w:val="9"/>
              <w:rPr>
                <w:color w:val="auto"/>
                <w:highlight w:val="none"/>
              </w:rPr>
            </w:pPr>
            <w:r>
              <w:rPr>
                <w:rFonts w:hint="eastAsia"/>
                <w:color w:val="auto"/>
                <w:highlight w:val="none"/>
                <w:lang w:val="en-US" w:eastAsia="zh-CN"/>
              </w:rPr>
              <w:t>3</w:t>
            </w:r>
            <w:r>
              <w:rPr>
                <w:rFonts w:hint="eastAsia"/>
                <w:color w:val="auto"/>
                <w:highlight w:val="none"/>
              </w:rPr>
              <w:t xml:space="preserve">.2 </w:t>
            </w:r>
            <w:r>
              <w:rPr>
                <w:color w:val="auto"/>
                <w:highlight w:val="none"/>
              </w:rPr>
              <w:t>工程规模及工程内容</w:t>
            </w:r>
          </w:p>
          <w:p w14:paraId="23064674">
            <w:pPr>
              <w:spacing w:line="240" w:lineRule="auto"/>
              <w:ind w:firstLine="480" w:firstLineChars="200"/>
              <w:rPr>
                <w:color w:val="auto"/>
                <w:highlight w:val="none"/>
              </w:rPr>
            </w:pPr>
            <w:r>
              <w:rPr>
                <w:rFonts w:hint="eastAsia"/>
                <w:color w:val="auto"/>
                <w:highlight w:val="none"/>
                <w:lang w:val="en-US" w:eastAsia="zh-CN"/>
              </w:rPr>
              <w:t>本次扩建</w:t>
            </w:r>
            <w:r>
              <w:rPr>
                <w:rFonts w:hint="eastAsia"/>
                <w:color w:val="auto"/>
                <w:highlight w:val="none"/>
              </w:rPr>
              <w:t>项目组成见下表：</w:t>
            </w:r>
          </w:p>
          <w:p w14:paraId="247BE357">
            <w:pPr>
              <w:pStyle w:val="47"/>
              <w:ind w:left="482" w:hanging="482"/>
              <w:rPr>
                <w:color w:val="auto"/>
                <w:highlight w:val="none"/>
              </w:rPr>
            </w:pPr>
          </w:p>
          <w:p w14:paraId="2E1AED04">
            <w:pPr>
              <w:pStyle w:val="47"/>
              <w:ind w:left="482" w:hanging="482"/>
              <w:rPr>
                <w:color w:val="auto"/>
                <w:highlight w:val="none"/>
              </w:rPr>
            </w:pPr>
          </w:p>
          <w:p w14:paraId="32AE0378">
            <w:pPr>
              <w:pStyle w:val="47"/>
              <w:ind w:left="482" w:hanging="482"/>
              <w:rPr>
                <w:color w:val="auto"/>
                <w:highlight w:val="none"/>
              </w:rPr>
            </w:pPr>
          </w:p>
          <w:p w14:paraId="1A29B65D">
            <w:pPr>
              <w:pStyle w:val="47"/>
              <w:ind w:left="482" w:hanging="482"/>
              <w:rPr>
                <w:color w:val="auto"/>
                <w:highlight w:val="none"/>
              </w:rPr>
            </w:pPr>
          </w:p>
          <w:p w14:paraId="2C5B21AD"/>
          <w:p w14:paraId="156E553B">
            <w:pPr>
              <w:pStyle w:val="47"/>
              <w:ind w:left="482" w:hanging="482"/>
              <w:rPr>
                <w:color w:val="auto"/>
                <w:highlight w:val="none"/>
              </w:rPr>
            </w:pPr>
          </w:p>
          <w:p w14:paraId="185FE56F">
            <w:pPr>
              <w:pStyle w:val="47"/>
              <w:ind w:left="482" w:hanging="482"/>
              <w:rPr>
                <w:color w:val="auto"/>
                <w:highlight w:val="none"/>
              </w:rPr>
            </w:pPr>
            <w:r>
              <w:rPr>
                <w:color w:val="auto"/>
                <w:highlight w:val="none"/>
              </w:rPr>
              <w:t>表</w:t>
            </w:r>
            <w:r>
              <w:rPr>
                <w:rFonts w:hint="eastAsia"/>
                <w:color w:val="auto"/>
                <w:highlight w:val="none"/>
                <w:lang w:val="en-US" w:eastAsia="zh-CN"/>
              </w:rPr>
              <w:t xml:space="preserve">2-6 </w:t>
            </w:r>
            <w:r>
              <w:rPr>
                <w:color w:val="auto"/>
                <w:highlight w:val="none"/>
              </w:rPr>
              <w:t xml:space="preserve"> </w:t>
            </w:r>
            <w:r>
              <w:rPr>
                <w:rFonts w:hint="eastAsia"/>
                <w:color w:val="auto"/>
                <w:highlight w:val="none"/>
                <w:lang w:val="en-US" w:eastAsia="zh-CN"/>
              </w:rPr>
              <w:t>扩建项目项目</w:t>
            </w:r>
            <w:r>
              <w:rPr>
                <w:color w:val="auto"/>
                <w:highlight w:val="none"/>
              </w:rPr>
              <w:t>组成一览表</w:t>
            </w:r>
          </w:p>
          <w:tbl>
            <w:tblPr>
              <w:tblStyle w:val="34"/>
              <w:tblW w:w="83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2"/>
              <w:gridCol w:w="426"/>
              <w:gridCol w:w="842"/>
              <w:gridCol w:w="5145"/>
              <w:gridCol w:w="1191"/>
            </w:tblGrid>
            <w:tr w14:paraId="4BA71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444" w:type="pct"/>
                  <w:vAlign w:val="center"/>
                </w:tcPr>
                <w:p w14:paraId="43A0E9EE">
                  <w:pPr>
                    <w:pStyle w:val="58"/>
                    <w:ind w:firstLine="0"/>
                    <w:rPr>
                      <w:rFonts w:ascii="Times New Roman" w:hAnsi="Times New Roman"/>
                      <w:color w:val="auto"/>
                      <w:highlight w:val="none"/>
                    </w:rPr>
                  </w:pPr>
                  <w:r>
                    <w:rPr>
                      <w:rFonts w:ascii="Times New Roman" w:hAnsi="Times New Roman"/>
                      <w:color w:val="auto"/>
                      <w:highlight w:val="none"/>
                    </w:rPr>
                    <w:t>项目</w:t>
                  </w:r>
                </w:p>
              </w:tc>
              <w:tc>
                <w:tcPr>
                  <w:tcW w:w="730" w:type="pct"/>
                  <w:gridSpan w:val="2"/>
                  <w:vAlign w:val="center"/>
                </w:tcPr>
                <w:p w14:paraId="21CE3A8F">
                  <w:pPr>
                    <w:pStyle w:val="58"/>
                    <w:ind w:firstLine="0"/>
                    <w:rPr>
                      <w:rFonts w:ascii="Times New Roman" w:hAnsi="Times New Roman"/>
                      <w:color w:val="auto"/>
                      <w:highlight w:val="none"/>
                    </w:rPr>
                  </w:pPr>
                  <w:r>
                    <w:rPr>
                      <w:rFonts w:ascii="Times New Roman" w:hAnsi="Times New Roman"/>
                      <w:color w:val="auto"/>
                      <w:highlight w:val="none"/>
                    </w:rPr>
                    <w:t>项目组成</w:t>
                  </w:r>
                </w:p>
              </w:tc>
              <w:tc>
                <w:tcPr>
                  <w:tcW w:w="3099" w:type="pct"/>
                  <w:vAlign w:val="center"/>
                </w:tcPr>
                <w:p w14:paraId="40B9F002">
                  <w:pPr>
                    <w:pStyle w:val="58"/>
                    <w:ind w:firstLine="0"/>
                    <w:rPr>
                      <w:rFonts w:ascii="Times New Roman" w:hAnsi="Times New Roman"/>
                      <w:color w:val="auto"/>
                      <w:highlight w:val="none"/>
                    </w:rPr>
                  </w:pPr>
                  <w:r>
                    <w:rPr>
                      <w:rFonts w:ascii="Times New Roman" w:hAnsi="Times New Roman"/>
                      <w:color w:val="auto"/>
                      <w:highlight w:val="none"/>
                    </w:rPr>
                    <w:t>项目工程内容</w:t>
                  </w:r>
                </w:p>
              </w:tc>
              <w:tc>
                <w:tcPr>
                  <w:tcW w:w="725" w:type="pct"/>
                  <w:vAlign w:val="center"/>
                </w:tcPr>
                <w:p w14:paraId="1DD8A66A">
                  <w:pPr>
                    <w:pStyle w:val="58"/>
                    <w:ind w:firstLine="0"/>
                    <w:rPr>
                      <w:rFonts w:hint="eastAsia" w:ascii="Times New Roman" w:hAnsi="Times New Roman" w:eastAsia="宋体"/>
                      <w:color w:val="auto"/>
                      <w:highlight w:val="none"/>
                      <w:lang w:val="en-US" w:eastAsia="zh-CN"/>
                    </w:rPr>
                  </w:pPr>
                  <w:r>
                    <w:rPr>
                      <w:rFonts w:hint="eastAsia" w:ascii="Times New Roman" w:hAnsi="Times New Roman"/>
                      <w:color w:val="auto"/>
                      <w:highlight w:val="none"/>
                      <w:lang w:val="en-US" w:eastAsia="zh-CN"/>
                    </w:rPr>
                    <w:t>备注</w:t>
                  </w:r>
                </w:p>
              </w:tc>
            </w:tr>
            <w:tr w14:paraId="730E5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444" w:type="pct"/>
                  <w:vMerge w:val="restart"/>
                  <w:vAlign w:val="center"/>
                </w:tcPr>
                <w:p w14:paraId="543D1ACE">
                  <w:pPr>
                    <w:pStyle w:val="58"/>
                    <w:ind w:firstLine="0"/>
                    <w:rPr>
                      <w:rFonts w:ascii="Times New Roman" w:hAnsi="Times New Roman"/>
                      <w:color w:val="auto"/>
                      <w:highlight w:val="none"/>
                    </w:rPr>
                  </w:pPr>
                  <w:r>
                    <w:rPr>
                      <w:rFonts w:ascii="Times New Roman" w:hAnsi="Times New Roman"/>
                      <w:color w:val="auto"/>
                      <w:highlight w:val="none"/>
                    </w:rPr>
                    <w:t>主体工程</w:t>
                  </w:r>
                </w:p>
              </w:tc>
              <w:tc>
                <w:tcPr>
                  <w:tcW w:w="730" w:type="pct"/>
                  <w:gridSpan w:val="2"/>
                  <w:vAlign w:val="center"/>
                </w:tcPr>
                <w:p w14:paraId="5E15571C">
                  <w:pPr>
                    <w:pStyle w:val="58"/>
                    <w:ind w:firstLine="0"/>
                    <w:rPr>
                      <w:rFonts w:hint="eastAsia" w:ascii="Times New Roman" w:hAnsi="Times New Roman" w:eastAsia="宋体"/>
                      <w:color w:val="auto"/>
                      <w:highlight w:val="none"/>
                      <w:lang w:eastAsia="zh-CN"/>
                    </w:rPr>
                  </w:pPr>
                  <w:r>
                    <w:rPr>
                      <w:rFonts w:hint="eastAsia" w:ascii="Times New Roman" w:hAnsi="Times New Roman"/>
                      <w:color w:val="auto"/>
                      <w:highlight w:val="none"/>
                      <w:lang w:val="en-US" w:eastAsia="zh-CN"/>
                    </w:rPr>
                    <w:t>机加工车间</w:t>
                  </w:r>
                </w:p>
              </w:tc>
              <w:tc>
                <w:tcPr>
                  <w:tcW w:w="3099" w:type="pct"/>
                  <w:tcBorders>
                    <w:bottom w:val="single" w:color="auto" w:sz="4" w:space="0"/>
                  </w:tcBorders>
                  <w:vAlign w:val="center"/>
                </w:tcPr>
                <w:p w14:paraId="3DF334B0">
                  <w:pPr>
                    <w:pStyle w:val="58"/>
                    <w:ind w:firstLine="0"/>
                    <w:rPr>
                      <w:rFonts w:hint="default" w:ascii="Times New Roman" w:hAnsi="Times New Roman" w:eastAsia="宋体"/>
                      <w:color w:val="auto"/>
                      <w:highlight w:val="none"/>
                      <w:lang w:val="en-US" w:eastAsia="zh-CN"/>
                    </w:rPr>
                  </w:pPr>
                  <w:r>
                    <w:rPr>
                      <w:rFonts w:hint="eastAsia" w:ascii="Times New Roman" w:hAnsi="Times New Roman"/>
                      <w:color w:val="auto"/>
                      <w:highlight w:val="none"/>
                      <w:lang w:val="en-US" w:eastAsia="zh-CN"/>
                    </w:rPr>
                    <w:t>建筑面积为900m</w:t>
                  </w:r>
                  <w:r>
                    <w:rPr>
                      <w:rFonts w:hint="eastAsia" w:ascii="Times New Roman" w:hAnsi="Times New Roman"/>
                      <w:color w:val="auto"/>
                      <w:highlight w:val="none"/>
                      <w:vertAlign w:val="superscript"/>
                      <w:lang w:val="en-US" w:eastAsia="zh-CN"/>
                    </w:rPr>
                    <w:t>2</w:t>
                  </w:r>
                  <w:r>
                    <w:rPr>
                      <w:rFonts w:hint="eastAsia" w:ascii="Times New Roman" w:hAnsi="Times New Roman"/>
                      <w:color w:val="auto"/>
                      <w:highlight w:val="none"/>
                      <w:lang w:val="en-US" w:eastAsia="zh-CN"/>
                    </w:rPr>
                    <w:t>，内设普通车床、立式加工中心等生产设备，年生产汽车零部件120万件</w:t>
                  </w:r>
                </w:p>
              </w:tc>
              <w:tc>
                <w:tcPr>
                  <w:tcW w:w="725" w:type="pct"/>
                  <w:tcBorders>
                    <w:bottom w:val="single" w:color="auto" w:sz="4" w:space="0"/>
                  </w:tcBorders>
                  <w:vAlign w:val="center"/>
                </w:tcPr>
                <w:p w14:paraId="4435F337">
                  <w:pPr>
                    <w:pStyle w:val="58"/>
                    <w:ind w:firstLine="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依托现有</w:t>
                  </w:r>
                </w:p>
              </w:tc>
            </w:tr>
            <w:tr w14:paraId="5AF9A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 w:hRule="atLeast"/>
                <w:jc w:val="center"/>
              </w:trPr>
              <w:tc>
                <w:tcPr>
                  <w:tcW w:w="444" w:type="pct"/>
                  <w:vMerge w:val="continue"/>
                  <w:vAlign w:val="center"/>
                </w:tcPr>
                <w:p w14:paraId="25CF3DC8">
                  <w:pPr>
                    <w:pStyle w:val="58"/>
                    <w:ind w:firstLine="0"/>
                    <w:rPr>
                      <w:rFonts w:ascii="Times New Roman" w:hAnsi="Times New Roman"/>
                      <w:color w:val="auto"/>
                      <w:highlight w:val="none"/>
                    </w:rPr>
                  </w:pPr>
                </w:p>
              </w:tc>
              <w:tc>
                <w:tcPr>
                  <w:tcW w:w="730" w:type="pct"/>
                  <w:gridSpan w:val="2"/>
                  <w:vAlign w:val="center"/>
                </w:tcPr>
                <w:p w14:paraId="774C65DB">
                  <w:pPr>
                    <w:pStyle w:val="58"/>
                    <w:ind w:firstLine="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发黑车间</w:t>
                  </w:r>
                </w:p>
              </w:tc>
              <w:tc>
                <w:tcPr>
                  <w:tcW w:w="3099" w:type="pct"/>
                  <w:tcBorders>
                    <w:bottom w:val="nil"/>
                  </w:tcBorders>
                  <w:vAlign w:val="center"/>
                </w:tcPr>
                <w:p w14:paraId="1F3607F4">
                  <w:pPr>
                    <w:pStyle w:val="58"/>
                    <w:ind w:firstLine="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内设6座洗槽</w:t>
                  </w:r>
                </w:p>
              </w:tc>
              <w:tc>
                <w:tcPr>
                  <w:tcW w:w="725" w:type="pct"/>
                  <w:tcBorders>
                    <w:bottom w:val="nil"/>
                  </w:tcBorders>
                  <w:vAlign w:val="center"/>
                </w:tcPr>
                <w:p w14:paraId="583A169A">
                  <w:pPr>
                    <w:pStyle w:val="58"/>
                    <w:ind w:firstLine="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新增</w:t>
                  </w:r>
                </w:p>
              </w:tc>
            </w:tr>
            <w:tr w14:paraId="3FC7A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444" w:type="pct"/>
                  <w:vMerge w:val="restart"/>
                  <w:vAlign w:val="center"/>
                </w:tcPr>
                <w:p w14:paraId="34E37DB2">
                  <w:pPr>
                    <w:pStyle w:val="58"/>
                    <w:ind w:firstLine="0"/>
                    <w:rPr>
                      <w:rFonts w:hint="eastAsia" w:ascii="Times New Roman" w:hAnsi="Times New Roman" w:eastAsia="宋体"/>
                      <w:color w:val="auto"/>
                      <w:highlight w:val="none"/>
                      <w:lang w:val="en-US" w:eastAsia="zh-CN"/>
                    </w:rPr>
                  </w:pPr>
                  <w:r>
                    <w:rPr>
                      <w:rFonts w:hint="eastAsia" w:ascii="Times New Roman" w:hAnsi="Times New Roman"/>
                      <w:color w:val="auto"/>
                      <w:highlight w:val="none"/>
                      <w:lang w:val="en-US" w:eastAsia="zh-CN"/>
                    </w:rPr>
                    <w:t>储运工程</w:t>
                  </w:r>
                </w:p>
              </w:tc>
              <w:tc>
                <w:tcPr>
                  <w:tcW w:w="730" w:type="pct"/>
                  <w:gridSpan w:val="2"/>
                  <w:vAlign w:val="center"/>
                </w:tcPr>
                <w:p w14:paraId="74455F5E">
                  <w:pPr>
                    <w:pStyle w:val="58"/>
                    <w:ind w:firstLine="0"/>
                    <w:rPr>
                      <w:rFonts w:hint="default" w:ascii="Times New Roman" w:hAnsi="Times New Roman" w:eastAsia="宋体"/>
                      <w:color w:val="auto"/>
                      <w:highlight w:val="none"/>
                      <w:lang w:val="en-US" w:eastAsia="zh-CN"/>
                    </w:rPr>
                  </w:pPr>
                  <w:r>
                    <w:rPr>
                      <w:rFonts w:hint="eastAsia" w:ascii="Times New Roman" w:hAnsi="Times New Roman"/>
                      <w:color w:val="auto"/>
                      <w:highlight w:val="none"/>
                      <w:lang w:val="en-US" w:eastAsia="zh-CN"/>
                    </w:rPr>
                    <w:t>机加工库房</w:t>
                  </w:r>
                </w:p>
              </w:tc>
              <w:tc>
                <w:tcPr>
                  <w:tcW w:w="3099" w:type="pct"/>
                  <w:vAlign w:val="center"/>
                </w:tcPr>
                <w:p w14:paraId="597A71F6">
                  <w:pPr>
                    <w:pStyle w:val="58"/>
                    <w:ind w:firstLine="0"/>
                    <w:rPr>
                      <w:rFonts w:hint="default" w:ascii="Times New Roman" w:hAnsi="Times New Roman"/>
                      <w:color w:val="auto"/>
                      <w:highlight w:val="none"/>
                      <w:vertAlign w:val="baseline"/>
                      <w:lang w:val="en-US" w:eastAsia="zh-CN"/>
                    </w:rPr>
                  </w:pPr>
                  <w:r>
                    <w:rPr>
                      <w:rFonts w:hint="eastAsia" w:ascii="Times New Roman" w:hAnsi="Times New Roman"/>
                      <w:color w:val="auto"/>
                      <w:highlight w:val="none"/>
                      <w:lang w:val="en-US" w:eastAsia="zh-CN"/>
                    </w:rPr>
                    <w:t>建筑面积680m</w:t>
                  </w:r>
                  <w:r>
                    <w:rPr>
                      <w:rFonts w:hint="eastAsia" w:ascii="Times New Roman" w:hAnsi="Times New Roman"/>
                      <w:color w:val="auto"/>
                      <w:highlight w:val="none"/>
                      <w:vertAlign w:val="superscript"/>
                      <w:lang w:val="en-US" w:eastAsia="zh-CN"/>
                    </w:rPr>
                    <w:t>2</w:t>
                  </w:r>
                  <w:r>
                    <w:rPr>
                      <w:rFonts w:hint="eastAsia" w:ascii="Times New Roman" w:hAnsi="Times New Roman"/>
                      <w:color w:val="auto"/>
                      <w:highlight w:val="none"/>
                      <w:vertAlign w:val="baseline"/>
                      <w:lang w:val="en-US" w:eastAsia="zh-CN"/>
                    </w:rPr>
                    <w:t>，用于存放原辅料及产品</w:t>
                  </w:r>
                </w:p>
              </w:tc>
              <w:tc>
                <w:tcPr>
                  <w:tcW w:w="725" w:type="pct"/>
                  <w:vAlign w:val="center"/>
                </w:tcPr>
                <w:p w14:paraId="0E473643">
                  <w:pPr>
                    <w:pStyle w:val="58"/>
                    <w:ind w:firstLine="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取消</w:t>
                  </w:r>
                </w:p>
              </w:tc>
            </w:tr>
            <w:tr w14:paraId="2F0F4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 w:hRule="atLeast"/>
                <w:jc w:val="center"/>
              </w:trPr>
              <w:tc>
                <w:tcPr>
                  <w:tcW w:w="444" w:type="pct"/>
                  <w:vMerge w:val="continue"/>
                  <w:vAlign w:val="center"/>
                </w:tcPr>
                <w:p w14:paraId="32A045EA">
                  <w:pPr>
                    <w:pStyle w:val="58"/>
                    <w:ind w:firstLine="0"/>
                    <w:rPr>
                      <w:rFonts w:hint="eastAsia" w:ascii="Times New Roman" w:hAnsi="Times New Roman"/>
                      <w:color w:val="auto"/>
                      <w:highlight w:val="none"/>
                      <w:lang w:val="en-US" w:eastAsia="zh-CN"/>
                    </w:rPr>
                  </w:pPr>
                </w:p>
              </w:tc>
              <w:tc>
                <w:tcPr>
                  <w:tcW w:w="730" w:type="pct"/>
                  <w:gridSpan w:val="2"/>
                  <w:vAlign w:val="center"/>
                </w:tcPr>
                <w:p w14:paraId="45D7A641">
                  <w:pPr>
                    <w:pStyle w:val="58"/>
                    <w:ind w:firstLine="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盐酸库</w:t>
                  </w:r>
                </w:p>
              </w:tc>
              <w:tc>
                <w:tcPr>
                  <w:tcW w:w="3099" w:type="pct"/>
                  <w:vAlign w:val="center"/>
                </w:tcPr>
                <w:p w14:paraId="43730DBB">
                  <w:pPr>
                    <w:pStyle w:val="58"/>
                    <w:ind w:firstLine="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建筑面积45.5m</w:t>
                  </w:r>
                  <w:r>
                    <w:rPr>
                      <w:rFonts w:hint="eastAsia" w:ascii="Times New Roman" w:hAnsi="Times New Roman"/>
                      <w:color w:val="auto"/>
                      <w:highlight w:val="none"/>
                      <w:vertAlign w:val="superscript"/>
                      <w:lang w:val="en-US" w:eastAsia="zh-CN"/>
                    </w:rPr>
                    <w:t>2</w:t>
                  </w:r>
                  <w:r>
                    <w:rPr>
                      <w:rFonts w:hint="eastAsia" w:ascii="Times New Roman" w:hAnsi="Times New Roman"/>
                      <w:color w:val="auto"/>
                      <w:highlight w:val="none"/>
                      <w:vertAlign w:val="baseline"/>
                      <w:lang w:val="en-US" w:eastAsia="zh-CN"/>
                    </w:rPr>
                    <w:t>，</w:t>
                  </w:r>
                  <w:r>
                    <w:rPr>
                      <w:rFonts w:hint="eastAsia" w:ascii="Times New Roman" w:hAnsi="Times New Roman"/>
                      <w:color w:val="auto"/>
                      <w:highlight w:val="none"/>
                      <w:lang w:val="en-US" w:eastAsia="zh-CN"/>
                    </w:rPr>
                    <w:t>位于机加工车间南侧，内置吨桶，最大盐酸储存量为1吨，配备24小时监控</w:t>
                  </w:r>
                </w:p>
              </w:tc>
              <w:tc>
                <w:tcPr>
                  <w:tcW w:w="725" w:type="pct"/>
                  <w:vAlign w:val="center"/>
                </w:tcPr>
                <w:p w14:paraId="7915F67E">
                  <w:pPr>
                    <w:pStyle w:val="58"/>
                    <w:ind w:firstLine="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新增</w:t>
                  </w:r>
                </w:p>
              </w:tc>
            </w:tr>
            <w:tr w14:paraId="7F59C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 w:hRule="atLeast"/>
                <w:jc w:val="center"/>
              </w:trPr>
              <w:tc>
                <w:tcPr>
                  <w:tcW w:w="444" w:type="pct"/>
                  <w:vMerge w:val="continue"/>
                  <w:vAlign w:val="center"/>
                </w:tcPr>
                <w:p w14:paraId="4FBCCD7B">
                  <w:pPr>
                    <w:pStyle w:val="58"/>
                    <w:ind w:firstLine="0"/>
                    <w:rPr>
                      <w:rFonts w:hint="eastAsia" w:ascii="Times New Roman" w:hAnsi="Times New Roman"/>
                      <w:color w:val="auto"/>
                      <w:highlight w:val="none"/>
                      <w:lang w:val="en-US" w:eastAsia="zh-CN"/>
                    </w:rPr>
                  </w:pPr>
                </w:p>
              </w:tc>
              <w:tc>
                <w:tcPr>
                  <w:tcW w:w="1268" w:type="dxa"/>
                  <w:gridSpan w:val="2"/>
                  <w:vAlign w:val="center"/>
                </w:tcPr>
                <w:p w14:paraId="371F4F1C">
                  <w:pPr>
                    <w:pStyle w:val="58"/>
                    <w:ind w:firstLine="0" w:firstLineChars="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暂存区</w:t>
                  </w:r>
                </w:p>
              </w:tc>
              <w:tc>
                <w:tcPr>
                  <w:tcW w:w="5145" w:type="dxa"/>
                  <w:vAlign w:val="center"/>
                </w:tcPr>
                <w:p w14:paraId="6A9DBFA8">
                  <w:pPr>
                    <w:pStyle w:val="58"/>
                    <w:ind w:firstLine="0" w:firstLineChars="0"/>
                    <w:rPr>
                      <w:rFonts w:hint="eastAsia" w:ascii="Times New Roman" w:hAnsi="Times New Roman"/>
                      <w:color w:val="auto"/>
                      <w:highlight w:val="none"/>
                      <w:lang w:val="en-US" w:eastAsia="zh-CN"/>
                    </w:rPr>
                  </w:pPr>
                  <w:r>
                    <w:rPr>
                      <w:rFonts w:hint="eastAsia" w:ascii="Times New Roman" w:hAnsi="Times New Roman"/>
                      <w:color w:val="auto"/>
                      <w:highlight w:val="none"/>
                      <w:vertAlign w:val="baseline"/>
                      <w:lang w:val="en-US" w:eastAsia="zh-CN"/>
                    </w:rPr>
                    <w:t>位于发黑车间内东侧，用于暂存成品</w:t>
                  </w:r>
                </w:p>
              </w:tc>
              <w:tc>
                <w:tcPr>
                  <w:tcW w:w="1191" w:type="dxa"/>
                  <w:vAlign w:val="center"/>
                </w:tcPr>
                <w:p w14:paraId="7189ACCE">
                  <w:pPr>
                    <w:pStyle w:val="58"/>
                    <w:ind w:firstLine="0" w:firstLineChars="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新增</w:t>
                  </w:r>
                </w:p>
              </w:tc>
            </w:tr>
            <w:tr w14:paraId="55E7E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 w:hRule="atLeast"/>
                <w:jc w:val="center"/>
              </w:trPr>
              <w:tc>
                <w:tcPr>
                  <w:tcW w:w="444" w:type="pct"/>
                  <w:vMerge w:val="continue"/>
                  <w:vAlign w:val="center"/>
                </w:tcPr>
                <w:p w14:paraId="5B312A94">
                  <w:pPr>
                    <w:pStyle w:val="58"/>
                    <w:ind w:firstLine="0"/>
                    <w:rPr>
                      <w:rFonts w:hint="eastAsia" w:ascii="Times New Roman" w:hAnsi="Times New Roman"/>
                      <w:color w:val="auto"/>
                      <w:highlight w:val="none"/>
                      <w:lang w:val="en-US" w:eastAsia="zh-CN"/>
                    </w:rPr>
                  </w:pPr>
                </w:p>
              </w:tc>
              <w:tc>
                <w:tcPr>
                  <w:tcW w:w="1268" w:type="dxa"/>
                  <w:gridSpan w:val="2"/>
                  <w:vAlign w:val="center"/>
                </w:tcPr>
                <w:p w14:paraId="40EE8EC4">
                  <w:pPr>
                    <w:pStyle w:val="58"/>
                    <w:ind w:firstLine="0" w:firstLineChars="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废水池</w:t>
                  </w:r>
                </w:p>
              </w:tc>
              <w:tc>
                <w:tcPr>
                  <w:tcW w:w="5145" w:type="dxa"/>
                  <w:vAlign w:val="center"/>
                </w:tcPr>
                <w:p w14:paraId="4B589626">
                  <w:pPr>
                    <w:pStyle w:val="58"/>
                    <w:ind w:firstLine="0" w:firstLineChars="0"/>
                    <w:rPr>
                      <w:rFonts w:hint="eastAsia" w:ascii="Times New Roman" w:hAnsi="Times New Roman"/>
                      <w:color w:val="auto"/>
                      <w:highlight w:val="none"/>
                      <w:vertAlign w:val="baseline"/>
                      <w:lang w:val="en-US" w:eastAsia="zh-CN"/>
                    </w:rPr>
                  </w:pPr>
                  <w:r>
                    <w:rPr>
                      <w:rFonts w:hint="eastAsia" w:ascii="Times New Roman" w:hAnsi="Times New Roman"/>
                      <w:color w:val="auto"/>
                      <w:highlight w:val="none"/>
                      <w:lang w:val="en-US" w:eastAsia="zh-CN"/>
                    </w:rPr>
                    <w:t>废水池容积为6m</w:t>
                  </w:r>
                  <w:r>
                    <w:rPr>
                      <w:rFonts w:hint="eastAsia" w:ascii="Times New Roman" w:hAnsi="Times New Roman"/>
                      <w:color w:val="auto"/>
                      <w:highlight w:val="none"/>
                      <w:vertAlign w:val="superscript"/>
                      <w:lang w:val="en-US" w:eastAsia="zh-CN"/>
                    </w:rPr>
                    <w:t>3</w:t>
                  </w:r>
                  <w:r>
                    <w:rPr>
                      <w:rFonts w:hint="eastAsia" w:ascii="Times New Roman" w:hAnsi="Times New Roman"/>
                      <w:color w:val="auto"/>
                      <w:highlight w:val="none"/>
                      <w:lang w:val="en-US" w:eastAsia="zh-CN"/>
                    </w:rPr>
                    <w:t>，位于厂区东侧，暂存冲洗废水</w:t>
                  </w:r>
                </w:p>
              </w:tc>
              <w:tc>
                <w:tcPr>
                  <w:tcW w:w="1191" w:type="dxa"/>
                  <w:vAlign w:val="center"/>
                </w:tcPr>
                <w:p w14:paraId="60EDB3AB">
                  <w:pPr>
                    <w:pStyle w:val="58"/>
                    <w:ind w:firstLine="0" w:firstLineChars="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新增</w:t>
                  </w:r>
                </w:p>
              </w:tc>
            </w:tr>
            <w:tr w14:paraId="6C0BB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jc w:val="center"/>
              </w:trPr>
              <w:tc>
                <w:tcPr>
                  <w:tcW w:w="444" w:type="pct"/>
                  <w:vAlign w:val="center"/>
                </w:tcPr>
                <w:p w14:paraId="5E67D7A5">
                  <w:pPr>
                    <w:pStyle w:val="58"/>
                    <w:ind w:firstLine="0" w:firstLineChars="0"/>
                    <w:rPr>
                      <w:rFonts w:hint="eastAsia" w:ascii="Times New Roman" w:hAnsi="Times New Roman"/>
                      <w:color w:val="auto"/>
                      <w:highlight w:val="none"/>
                      <w:lang w:val="en-US" w:eastAsia="zh-CN"/>
                    </w:rPr>
                  </w:pPr>
                  <w:r>
                    <w:rPr>
                      <w:rFonts w:ascii="Times New Roman" w:hAnsi="Times New Roman"/>
                      <w:color w:val="auto"/>
                      <w:highlight w:val="none"/>
                    </w:rPr>
                    <w:t>辅助工程</w:t>
                  </w:r>
                </w:p>
              </w:tc>
              <w:tc>
                <w:tcPr>
                  <w:tcW w:w="730" w:type="pct"/>
                  <w:gridSpan w:val="2"/>
                  <w:vAlign w:val="center"/>
                </w:tcPr>
                <w:p w14:paraId="01C1C0DC">
                  <w:pPr>
                    <w:spacing w:line="240" w:lineRule="auto"/>
                    <w:jc w:val="center"/>
                    <w:rPr>
                      <w:rFonts w:hint="eastAsia" w:ascii="Times New Roman" w:hAnsi="Times New Roman"/>
                      <w:color w:val="auto"/>
                      <w:highlight w:val="none"/>
                      <w:lang w:val="en-US" w:eastAsia="zh-CN"/>
                    </w:rPr>
                  </w:pPr>
                  <w:r>
                    <w:rPr>
                      <w:color w:val="auto"/>
                      <w:kern w:val="0"/>
                      <w:sz w:val="21"/>
                      <w:szCs w:val="20"/>
                      <w:highlight w:val="none"/>
                    </w:rPr>
                    <w:t>办公区</w:t>
                  </w:r>
                </w:p>
              </w:tc>
              <w:tc>
                <w:tcPr>
                  <w:tcW w:w="3099" w:type="pct"/>
                  <w:vAlign w:val="center"/>
                </w:tcPr>
                <w:p w14:paraId="233C2AD4">
                  <w:pPr>
                    <w:pStyle w:val="58"/>
                    <w:ind w:firstLine="0" w:firstLineChars="0"/>
                    <w:rPr>
                      <w:rFonts w:hint="default" w:ascii="Times New Roman" w:hAnsi="Times New Roman" w:eastAsia="宋体"/>
                      <w:color w:val="auto"/>
                      <w:highlight w:val="none"/>
                      <w:vertAlign w:val="baseline"/>
                      <w:lang w:val="en-US" w:eastAsia="zh-CN"/>
                    </w:rPr>
                  </w:pPr>
                  <w:r>
                    <w:rPr>
                      <w:rFonts w:hint="eastAsia" w:ascii="Times New Roman" w:hAnsi="Times New Roman"/>
                      <w:color w:val="auto"/>
                      <w:highlight w:val="none"/>
                      <w:lang w:val="en-US" w:eastAsia="zh-CN"/>
                    </w:rPr>
                    <w:t>建筑面积为634.04m</w:t>
                  </w:r>
                  <w:r>
                    <w:rPr>
                      <w:rFonts w:hint="eastAsia" w:ascii="Times New Roman" w:hAnsi="Times New Roman"/>
                      <w:color w:val="auto"/>
                      <w:highlight w:val="none"/>
                      <w:vertAlign w:val="superscript"/>
                      <w:lang w:val="en-US" w:eastAsia="zh-CN"/>
                    </w:rPr>
                    <w:t>2</w:t>
                  </w:r>
                  <w:r>
                    <w:rPr>
                      <w:rFonts w:hint="eastAsia" w:ascii="Times New Roman" w:hAnsi="Times New Roman"/>
                      <w:color w:val="auto"/>
                      <w:highlight w:val="none"/>
                      <w:vertAlign w:val="baseline"/>
                      <w:lang w:val="en-US" w:eastAsia="zh-CN"/>
                    </w:rPr>
                    <w:t>，共2层，用于职工办公</w:t>
                  </w:r>
                </w:p>
              </w:tc>
              <w:tc>
                <w:tcPr>
                  <w:tcW w:w="725" w:type="pct"/>
                  <w:vAlign w:val="center"/>
                </w:tcPr>
                <w:p w14:paraId="3F9E0758">
                  <w:pPr>
                    <w:pStyle w:val="58"/>
                    <w:ind w:firstLine="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依托现有</w:t>
                  </w:r>
                </w:p>
              </w:tc>
            </w:tr>
            <w:tr w14:paraId="65FA3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 w:hRule="atLeast"/>
                <w:jc w:val="center"/>
              </w:trPr>
              <w:tc>
                <w:tcPr>
                  <w:tcW w:w="444" w:type="pct"/>
                  <w:vMerge w:val="restart"/>
                  <w:vAlign w:val="center"/>
                </w:tcPr>
                <w:p w14:paraId="6A3A3C74">
                  <w:pPr>
                    <w:pStyle w:val="58"/>
                    <w:ind w:firstLine="0"/>
                    <w:rPr>
                      <w:rFonts w:ascii="Times New Roman" w:hAnsi="Times New Roman"/>
                      <w:color w:val="auto"/>
                      <w:highlight w:val="none"/>
                    </w:rPr>
                  </w:pPr>
                  <w:r>
                    <w:rPr>
                      <w:rFonts w:ascii="Times New Roman" w:hAnsi="Times New Roman"/>
                      <w:color w:val="auto"/>
                      <w:highlight w:val="none"/>
                    </w:rPr>
                    <w:t>公用工程</w:t>
                  </w:r>
                </w:p>
              </w:tc>
              <w:tc>
                <w:tcPr>
                  <w:tcW w:w="730" w:type="pct"/>
                  <w:gridSpan w:val="2"/>
                  <w:vAlign w:val="center"/>
                </w:tcPr>
                <w:p w14:paraId="35FC6489">
                  <w:pPr>
                    <w:pStyle w:val="58"/>
                    <w:ind w:firstLine="0"/>
                    <w:rPr>
                      <w:rFonts w:ascii="Times New Roman" w:hAnsi="Times New Roman"/>
                      <w:color w:val="auto"/>
                      <w:highlight w:val="none"/>
                    </w:rPr>
                  </w:pPr>
                  <w:r>
                    <w:rPr>
                      <w:rFonts w:ascii="Times New Roman" w:hAnsi="Times New Roman"/>
                      <w:color w:val="auto"/>
                      <w:highlight w:val="none"/>
                    </w:rPr>
                    <w:t>供水</w:t>
                  </w:r>
                </w:p>
              </w:tc>
              <w:tc>
                <w:tcPr>
                  <w:tcW w:w="3099" w:type="pct"/>
                  <w:vAlign w:val="center"/>
                </w:tcPr>
                <w:p w14:paraId="092E8969">
                  <w:pPr>
                    <w:pStyle w:val="58"/>
                    <w:ind w:firstLine="0"/>
                    <w:rPr>
                      <w:rFonts w:hint="default" w:ascii="Times New Roman" w:hAnsi="Times New Roman" w:eastAsia="宋体"/>
                      <w:color w:val="auto"/>
                      <w:highlight w:val="none"/>
                      <w:lang w:val="en-US" w:eastAsia="zh-CN"/>
                    </w:rPr>
                  </w:pPr>
                  <w:r>
                    <w:rPr>
                      <w:rFonts w:hint="eastAsia" w:ascii="Times New Roman" w:hAnsi="Times New Roman"/>
                      <w:color w:val="auto"/>
                      <w:highlight w:val="none"/>
                      <w:lang w:val="en-US" w:eastAsia="zh-CN"/>
                    </w:rPr>
                    <w:t>市政供水管网</w:t>
                  </w:r>
                </w:p>
              </w:tc>
              <w:tc>
                <w:tcPr>
                  <w:tcW w:w="725" w:type="pct"/>
                  <w:vAlign w:val="center"/>
                </w:tcPr>
                <w:p w14:paraId="5355E2EC">
                  <w:pPr>
                    <w:pStyle w:val="58"/>
                    <w:ind w:firstLine="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依托现有</w:t>
                  </w:r>
                </w:p>
              </w:tc>
            </w:tr>
            <w:tr w14:paraId="72598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44" w:type="pct"/>
                  <w:vMerge w:val="continue"/>
                  <w:vAlign w:val="center"/>
                </w:tcPr>
                <w:p w14:paraId="2387701B">
                  <w:pPr>
                    <w:pStyle w:val="58"/>
                    <w:ind w:firstLine="0"/>
                    <w:rPr>
                      <w:rFonts w:ascii="Times New Roman" w:hAnsi="Times New Roman"/>
                      <w:color w:val="auto"/>
                      <w:highlight w:val="none"/>
                    </w:rPr>
                  </w:pPr>
                </w:p>
              </w:tc>
              <w:tc>
                <w:tcPr>
                  <w:tcW w:w="730" w:type="pct"/>
                  <w:gridSpan w:val="2"/>
                  <w:vAlign w:val="center"/>
                </w:tcPr>
                <w:p w14:paraId="30BE58E5">
                  <w:pPr>
                    <w:pStyle w:val="58"/>
                    <w:ind w:firstLine="0"/>
                    <w:rPr>
                      <w:rFonts w:ascii="Times New Roman" w:hAnsi="Times New Roman"/>
                      <w:color w:val="auto"/>
                      <w:highlight w:val="none"/>
                    </w:rPr>
                  </w:pPr>
                  <w:r>
                    <w:rPr>
                      <w:rFonts w:ascii="Times New Roman" w:hAnsi="Times New Roman"/>
                      <w:color w:val="auto"/>
                      <w:highlight w:val="none"/>
                    </w:rPr>
                    <w:t>供电</w:t>
                  </w:r>
                </w:p>
              </w:tc>
              <w:tc>
                <w:tcPr>
                  <w:tcW w:w="3099" w:type="pct"/>
                  <w:vAlign w:val="center"/>
                </w:tcPr>
                <w:p w14:paraId="383C8E87">
                  <w:pPr>
                    <w:pStyle w:val="58"/>
                    <w:ind w:firstLine="0"/>
                    <w:rPr>
                      <w:rFonts w:ascii="Times New Roman" w:hAnsi="Times New Roman"/>
                      <w:color w:val="auto"/>
                      <w:highlight w:val="none"/>
                    </w:rPr>
                  </w:pPr>
                  <w:r>
                    <w:rPr>
                      <w:rFonts w:ascii="Times New Roman" w:hAnsi="Times New Roman"/>
                      <w:color w:val="auto"/>
                      <w:highlight w:val="none"/>
                    </w:rPr>
                    <w:t>供电由当地电网供给</w:t>
                  </w:r>
                </w:p>
              </w:tc>
              <w:tc>
                <w:tcPr>
                  <w:tcW w:w="725" w:type="pct"/>
                  <w:vAlign w:val="center"/>
                </w:tcPr>
                <w:p w14:paraId="44882C0D">
                  <w:pPr>
                    <w:pStyle w:val="58"/>
                    <w:ind w:firstLine="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依托现有</w:t>
                  </w:r>
                </w:p>
              </w:tc>
            </w:tr>
            <w:tr w14:paraId="6D0BF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4" w:type="pct"/>
                  <w:vMerge w:val="continue"/>
                  <w:vAlign w:val="center"/>
                </w:tcPr>
                <w:p w14:paraId="67DB7E82">
                  <w:pPr>
                    <w:pStyle w:val="58"/>
                    <w:ind w:firstLine="0"/>
                    <w:rPr>
                      <w:rFonts w:ascii="Times New Roman" w:hAnsi="Times New Roman"/>
                      <w:color w:val="auto"/>
                      <w:highlight w:val="none"/>
                    </w:rPr>
                  </w:pPr>
                </w:p>
              </w:tc>
              <w:tc>
                <w:tcPr>
                  <w:tcW w:w="730" w:type="pct"/>
                  <w:gridSpan w:val="2"/>
                  <w:vAlign w:val="center"/>
                </w:tcPr>
                <w:p w14:paraId="4097D668">
                  <w:pPr>
                    <w:pStyle w:val="58"/>
                    <w:ind w:firstLine="0"/>
                    <w:rPr>
                      <w:rFonts w:ascii="Times New Roman" w:hAnsi="Times New Roman"/>
                      <w:color w:val="auto"/>
                      <w:highlight w:val="none"/>
                    </w:rPr>
                  </w:pPr>
                  <w:r>
                    <w:rPr>
                      <w:rFonts w:ascii="Times New Roman" w:hAnsi="Times New Roman"/>
                      <w:color w:val="auto"/>
                      <w:highlight w:val="none"/>
                    </w:rPr>
                    <w:t>供热</w:t>
                  </w:r>
                </w:p>
              </w:tc>
              <w:tc>
                <w:tcPr>
                  <w:tcW w:w="3099" w:type="pct"/>
                  <w:vAlign w:val="center"/>
                </w:tcPr>
                <w:p w14:paraId="242FD177">
                  <w:pPr>
                    <w:pStyle w:val="58"/>
                    <w:ind w:firstLine="0"/>
                    <w:rPr>
                      <w:rFonts w:hint="default" w:ascii="Times New Roman" w:hAnsi="Times New Roman" w:eastAsia="宋体"/>
                      <w:color w:val="auto"/>
                      <w:highlight w:val="none"/>
                      <w:lang w:val="en-US" w:eastAsia="zh-CN"/>
                    </w:rPr>
                  </w:pPr>
                  <w:r>
                    <w:rPr>
                      <w:rFonts w:ascii="Times New Roman" w:hAnsi="Times New Roman"/>
                      <w:color w:val="auto"/>
                      <w:highlight w:val="none"/>
                    </w:rPr>
                    <w:t>冬季办公室使用空调供暖</w:t>
                  </w:r>
                  <w:r>
                    <w:rPr>
                      <w:rFonts w:hint="eastAsia" w:ascii="Times New Roman" w:hAnsi="Times New Roman"/>
                      <w:color w:val="auto"/>
                      <w:highlight w:val="none"/>
                      <w:lang w:eastAsia="zh-CN"/>
                    </w:rPr>
                    <w:t>；</w:t>
                  </w:r>
                  <w:r>
                    <w:rPr>
                      <w:rFonts w:hint="eastAsia" w:ascii="Times New Roman" w:hAnsi="Times New Roman"/>
                      <w:color w:val="auto"/>
                      <w:highlight w:val="none"/>
                      <w:lang w:val="en-US" w:eastAsia="zh-CN"/>
                    </w:rPr>
                    <w:t>碱洗槽采取电加热</w:t>
                  </w:r>
                </w:p>
              </w:tc>
              <w:tc>
                <w:tcPr>
                  <w:tcW w:w="725" w:type="pct"/>
                  <w:vAlign w:val="center"/>
                </w:tcPr>
                <w:p w14:paraId="784AE568">
                  <w:pPr>
                    <w:pStyle w:val="58"/>
                    <w:ind w:firstLine="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依托现有</w:t>
                  </w:r>
                </w:p>
              </w:tc>
            </w:tr>
            <w:tr w14:paraId="13B65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 w:hRule="atLeast"/>
                <w:jc w:val="center"/>
              </w:trPr>
              <w:tc>
                <w:tcPr>
                  <w:tcW w:w="444" w:type="pct"/>
                  <w:vMerge w:val="restart"/>
                  <w:vAlign w:val="center"/>
                </w:tcPr>
                <w:p w14:paraId="3B07B1E2">
                  <w:pPr>
                    <w:pStyle w:val="58"/>
                    <w:ind w:firstLine="0"/>
                    <w:rPr>
                      <w:rFonts w:ascii="Times New Roman" w:hAnsi="Times New Roman"/>
                      <w:color w:val="auto"/>
                      <w:highlight w:val="none"/>
                    </w:rPr>
                  </w:pPr>
                  <w:r>
                    <w:rPr>
                      <w:rFonts w:ascii="Times New Roman" w:hAnsi="Times New Roman"/>
                      <w:color w:val="auto"/>
                      <w:highlight w:val="none"/>
                    </w:rPr>
                    <w:t>环保工程</w:t>
                  </w:r>
                </w:p>
              </w:tc>
              <w:tc>
                <w:tcPr>
                  <w:tcW w:w="730" w:type="pct"/>
                  <w:gridSpan w:val="2"/>
                  <w:vAlign w:val="center"/>
                </w:tcPr>
                <w:p w14:paraId="7ACAE80A">
                  <w:pPr>
                    <w:pStyle w:val="58"/>
                    <w:ind w:firstLine="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废气</w:t>
                  </w:r>
                </w:p>
              </w:tc>
              <w:tc>
                <w:tcPr>
                  <w:tcW w:w="3099" w:type="pct"/>
                  <w:vAlign w:val="center"/>
                </w:tcPr>
                <w:p w14:paraId="26E46E8D">
                  <w:pPr>
                    <w:pStyle w:val="58"/>
                    <w:ind w:firstLine="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酸洗过程中产生的氯化氢经集气罩收集后进入碱喷淋塔进行治理，治理后的废气通过1根15m高排气筒排放；未被收集的废气在封闭车间内无组织排放</w:t>
                  </w:r>
                </w:p>
              </w:tc>
              <w:tc>
                <w:tcPr>
                  <w:tcW w:w="725" w:type="pct"/>
                  <w:vAlign w:val="center"/>
                </w:tcPr>
                <w:p w14:paraId="7A778CDB">
                  <w:pPr>
                    <w:pStyle w:val="58"/>
                    <w:ind w:firstLine="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新增</w:t>
                  </w:r>
                </w:p>
              </w:tc>
            </w:tr>
            <w:tr w14:paraId="6B15C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444" w:type="pct"/>
                  <w:vMerge w:val="continue"/>
                  <w:vAlign w:val="center"/>
                </w:tcPr>
                <w:p w14:paraId="1DC8C5AA">
                  <w:pPr>
                    <w:pStyle w:val="58"/>
                    <w:ind w:firstLine="0"/>
                    <w:rPr>
                      <w:rFonts w:ascii="Times New Roman" w:hAnsi="Times New Roman"/>
                      <w:color w:val="auto"/>
                      <w:highlight w:val="none"/>
                    </w:rPr>
                  </w:pPr>
                </w:p>
              </w:tc>
              <w:tc>
                <w:tcPr>
                  <w:tcW w:w="730" w:type="pct"/>
                  <w:gridSpan w:val="2"/>
                  <w:vAlign w:val="center"/>
                </w:tcPr>
                <w:p w14:paraId="297F3D29">
                  <w:pPr>
                    <w:pStyle w:val="58"/>
                    <w:ind w:firstLine="0"/>
                    <w:rPr>
                      <w:rFonts w:hint="eastAsia" w:ascii="Times New Roman" w:hAnsi="Times New Roman" w:eastAsia="宋体"/>
                      <w:color w:val="auto"/>
                      <w:highlight w:val="none"/>
                      <w:lang w:val="en-US" w:eastAsia="zh-CN"/>
                    </w:rPr>
                  </w:pPr>
                  <w:r>
                    <w:rPr>
                      <w:rFonts w:hint="eastAsia" w:ascii="Times New Roman" w:hAnsi="Times New Roman"/>
                      <w:color w:val="auto"/>
                      <w:highlight w:val="none"/>
                      <w:lang w:val="en-US" w:eastAsia="zh-CN"/>
                    </w:rPr>
                    <w:t>废水</w:t>
                  </w:r>
                </w:p>
              </w:tc>
              <w:tc>
                <w:tcPr>
                  <w:tcW w:w="3099" w:type="pct"/>
                  <w:vAlign w:val="center"/>
                </w:tcPr>
                <w:p w14:paraId="77A01FB9">
                  <w:pPr>
                    <w:pStyle w:val="58"/>
                    <w:ind w:firstLine="0"/>
                    <w:jc w:val="both"/>
                    <w:rPr>
                      <w:rFonts w:hint="default" w:ascii="Times New Roman" w:hAnsi="Times New Roman" w:cs="Times New Roman"/>
                      <w:b w:val="0"/>
                      <w:bCs w:val="0"/>
                      <w:color w:val="auto"/>
                      <w:highlight w:val="none"/>
                      <w:lang w:val="en-US" w:eastAsia="zh-CN"/>
                    </w:rPr>
                  </w:pPr>
                  <w:r>
                    <w:rPr>
                      <w:rFonts w:hint="default" w:ascii="Times New Roman" w:hAnsi="Times New Roman" w:cs="Times New Roman"/>
                      <w:b w:val="0"/>
                      <w:bCs w:val="0"/>
                      <w:color w:val="auto"/>
                      <w:highlight w:val="none"/>
                      <w:lang w:val="en-US" w:eastAsia="zh-CN"/>
                    </w:rPr>
                    <w:t>生活污水进入厂区化粪池后</w:t>
                  </w:r>
                  <w:r>
                    <w:rPr>
                      <w:rFonts w:hint="eastAsia" w:ascii="Times New Roman" w:hAnsi="Times New Roman" w:cs="Times New Roman"/>
                      <w:b w:val="0"/>
                      <w:bCs w:val="0"/>
                      <w:color w:val="auto"/>
                      <w:highlight w:val="none"/>
                      <w:lang w:val="en-US" w:eastAsia="zh-CN"/>
                    </w:rPr>
                    <w:t>定期清掏；冲洗废水进入废水池暂存定期使用密闭罐车运至秦皇岛市抚宁区中冶水务有限公司</w:t>
                  </w:r>
                </w:p>
              </w:tc>
              <w:tc>
                <w:tcPr>
                  <w:tcW w:w="725" w:type="pct"/>
                  <w:vAlign w:val="center"/>
                </w:tcPr>
                <w:p w14:paraId="2C1B8DAF">
                  <w:pPr>
                    <w:pStyle w:val="58"/>
                    <w:ind w:firstLine="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依托现有</w:t>
                  </w:r>
                </w:p>
              </w:tc>
            </w:tr>
            <w:tr w14:paraId="4C7C3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4" w:type="pct"/>
                  <w:vMerge w:val="continue"/>
                  <w:vAlign w:val="center"/>
                </w:tcPr>
                <w:p w14:paraId="56067E53">
                  <w:pPr>
                    <w:pStyle w:val="58"/>
                    <w:ind w:firstLine="0"/>
                    <w:rPr>
                      <w:rFonts w:ascii="Times New Roman" w:hAnsi="Times New Roman"/>
                      <w:color w:val="auto"/>
                      <w:highlight w:val="none"/>
                    </w:rPr>
                  </w:pPr>
                </w:p>
              </w:tc>
              <w:tc>
                <w:tcPr>
                  <w:tcW w:w="730" w:type="pct"/>
                  <w:gridSpan w:val="2"/>
                  <w:tcBorders>
                    <w:bottom w:val="nil"/>
                  </w:tcBorders>
                  <w:vAlign w:val="center"/>
                </w:tcPr>
                <w:p w14:paraId="72D85370">
                  <w:pPr>
                    <w:pStyle w:val="58"/>
                    <w:ind w:firstLine="0"/>
                    <w:rPr>
                      <w:rFonts w:ascii="Times New Roman" w:hAnsi="Times New Roman"/>
                      <w:color w:val="auto"/>
                      <w:highlight w:val="none"/>
                    </w:rPr>
                  </w:pPr>
                  <w:r>
                    <w:rPr>
                      <w:rFonts w:ascii="Times New Roman" w:hAnsi="Times New Roman"/>
                      <w:color w:val="auto"/>
                      <w:highlight w:val="none"/>
                    </w:rPr>
                    <w:t>噪声防治</w:t>
                  </w:r>
                </w:p>
              </w:tc>
              <w:tc>
                <w:tcPr>
                  <w:tcW w:w="3099" w:type="pct"/>
                  <w:tcBorders>
                    <w:bottom w:val="nil"/>
                  </w:tcBorders>
                  <w:vAlign w:val="center"/>
                </w:tcPr>
                <w:p w14:paraId="11A0DE4B">
                  <w:pPr>
                    <w:pStyle w:val="58"/>
                    <w:ind w:firstLine="0"/>
                    <w:rPr>
                      <w:rFonts w:ascii="Times New Roman" w:hAnsi="Times New Roman"/>
                      <w:color w:val="auto"/>
                      <w:highlight w:val="none"/>
                    </w:rPr>
                  </w:pPr>
                  <w:r>
                    <w:rPr>
                      <w:rFonts w:ascii="Times New Roman" w:hAnsi="Times New Roman"/>
                      <w:color w:val="auto"/>
                      <w:highlight w:val="none"/>
                    </w:rPr>
                    <w:t>采取将产噪设备布置于厂房内并加隔声门窗，振动设备加减震垫的隔声降噪措施</w:t>
                  </w:r>
                </w:p>
              </w:tc>
              <w:tc>
                <w:tcPr>
                  <w:tcW w:w="725" w:type="pct"/>
                  <w:tcBorders>
                    <w:bottom w:val="nil"/>
                  </w:tcBorders>
                  <w:vAlign w:val="center"/>
                </w:tcPr>
                <w:p w14:paraId="097C3254">
                  <w:pPr>
                    <w:pStyle w:val="58"/>
                    <w:ind w:firstLine="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依托现有</w:t>
                  </w:r>
                </w:p>
              </w:tc>
            </w:tr>
            <w:tr w14:paraId="0B762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jc w:val="center"/>
              </w:trPr>
              <w:tc>
                <w:tcPr>
                  <w:tcW w:w="444" w:type="pct"/>
                  <w:vMerge w:val="continue"/>
                  <w:vAlign w:val="center"/>
                </w:tcPr>
                <w:p w14:paraId="14E2D0AD">
                  <w:pPr>
                    <w:pStyle w:val="58"/>
                    <w:ind w:firstLine="0"/>
                    <w:rPr>
                      <w:rFonts w:ascii="Times New Roman" w:hAnsi="Times New Roman"/>
                      <w:color w:val="auto"/>
                      <w:highlight w:val="none"/>
                    </w:rPr>
                  </w:pPr>
                </w:p>
              </w:tc>
              <w:tc>
                <w:tcPr>
                  <w:tcW w:w="214" w:type="pct"/>
                  <w:vMerge w:val="restart"/>
                  <w:vAlign w:val="center"/>
                </w:tcPr>
                <w:p w14:paraId="2905E953">
                  <w:pPr>
                    <w:pStyle w:val="58"/>
                    <w:ind w:firstLine="0" w:firstLineChars="0"/>
                    <w:rPr>
                      <w:rFonts w:ascii="Times New Roman" w:hAnsi="Times New Roman"/>
                      <w:color w:val="auto"/>
                      <w:highlight w:val="none"/>
                    </w:rPr>
                  </w:pPr>
                  <w:r>
                    <w:rPr>
                      <w:rFonts w:ascii="Times New Roman" w:hAnsi="Times New Roman"/>
                      <w:color w:val="auto"/>
                      <w:highlight w:val="none"/>
                    </w:rPr>
                    <w:t>固体废物</w:t>
                  </w:r>
                </w:p>
                <w:p w14:paraId="16839446">
                  <w:pPr>
                    <w:pStyle w:val="58"/>
                    <w:ind w:firstLine="0" w:firstLineChars="0"/>
                    <w:rPr>
                      <w:rFonts w:hint="eastAsia" w:ascii="Times New Roman" w:hAnsi="Times New Roman"/>
                      <w:color w:val="auto"/>
                      <w:highlight w:val="none"/>
                    </w:rPr>
                  </w:pPr>
                </w:p>
              </w:tc>
              <w:tc>
                <w:tcPr>
                  <w:tcW w:w="515" w:type="pct"/>
                  <w:vAlign w:val="center"/>
                </w:tcPr>
                <w:p w14:paraId="43EB4993">
                  <w:pPr>
                    <w:pStyle w:val="58"/>
                    <w:ind w:firstLine="0" w:firstLineChars="0"/>
                    <w:rPr>
                      <w:rFonts w:hint="default" w:ascii="Times New Roman" w:hAnsi="Times New Roman" w:eastAsia="宋体" w:cs="Times New Roman"/>
                      <w:color w:val="auto"/>
                      <w:kern w:val="0"/>
                      <w:sz w:val="21"/>
                      <w:szCs w:val="20"/>
                      <w:highlight w:val="none"/>
                      <w:lang w:val="en-US" w:eastAsia="zh-CN" w:bidi="ar-SA"/>
                    </w:rPr>
                  </w:pPr>
                  <w:r>
                    <w:rPr>
                      <w:rFonts w:hint="eastAsia" w:ascii="Times New Roman" w:hAnsi="Times New Roman" w:cs="Times New Roman"/>
                      <w:color w:val="auto"/>
                      <w:kern w:val="0"/>
                      <w:sz w:val="21"/>
                      <w:szCs w:val="20"/>
                      <w:highlight w:val="none"/>
                      <w:lang w:val="en-US" w:eastAsia="zh-CN" w:bidi="ar-SA"/>
                    </w:rPr>
                    <w:t>生活垃圾</w:t>
                  </w:r>
                </w:p>
              </w:tc>
              <w:tc>
                <w:tcPr>
                  <w:tcW w:w="3099" w:type="pct"/>
                  <w:vAlign w:val="center"/>
                </w:tcPr>
                <w:p w14:paraId="03DE712E">
                  <w:pPr>
                    <w:pStyle w:val="58"/>
                    <w:ind w:firstLine="0" w:firstLineChars="0"/>
                    <w:rPr>
                      <w:rFonts w:hint="eastAsia" w:ascii="Times New Roman" w:hAnsi="Times New Roman" w:eastAsia="宋体" w:cs="Times New Roman"/>
                      <w:color w:val="auto"/>
                      <w:kern w:val="0"/>
                      <w:sz w:val="21"/>
                      <w:szCs w:val="20"/>
                      <w:highlight w:val="none"/>
                      <w:lang w:val="en-US" w:eastAsia="zh-CN" w:bidi="ar-SA"/>
                    </w:rPr>
                  </w:pPr>
                  <w:r>
                    <w:rPr>
                      <w:rFonts w:hint="eastAsia" w:ascii="Times New Roman" w:hAnsi="Times New Roman"/>
                      <w:color w:val="auto"/>
                      <w:highlight w:val="none"/>
                    </w:rPr>
                    <w:t>生活垃圾收集后交由环卫部门统一处理</w:t>
                  </w:r>
                </w:p>
              </w:tc>
              <w:tc>
                <w:tcPr>
                  <w:tcW w:w="725" w:type="pct"/>
                  <w:vAlign w:val="center"/>
                </w:tcPr>
                <w:p w14:paraId="28FF2415">
                  <w:pPr>
                    <w:pStyle w:val="58"/>
                    <w:ind w:firstLine="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依托现有</w:t>
                  </w:r>
                </w:p>
              </w:tc>
            </w:tr>
            <w:tr w14:paraId="0836B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jc w:val="center"/>
              </w:trPr>
              <w:tc>
                <w:tcPr>
                  <w:tcW w:w="444" w:type="pct"/>
                  <w:vMerge w:val="continue"/>
                  <w:vAlign w:val="center"/>
                </w:tcPr>
                <w:p w14:paraId="6AF0ABFD">
                  <w:pPr>
                    <w:pStyle w:val="58"/>
                    <w:ind w:firstLine="0"/>
                    <w:rPr>
                      <w:rFonts w:ascii="Times New Roman" w:hAnsi="Times New Roman"/>
                      <w:color w:val="auto"/>
                      <w:highlight w:val="none"/>
                    </w:rPr>
                  </w:pPr>
                </w:p>
              </w:tc>
              <w:tc>
                <w:tcPr>
                  <w:tcW w:w="214" w:type="pct"/>
                  <w:vMerge w:val="continue"/>
                  <w:vAlign w:val="center"/>
                </w:tcPr>
                <w:p w14:paraId="7173650A">
                  <w:pPr>
                    <w:pStyle w:val="58"/>
                    <w:ind w:firstLine="0"/>
                    <w:rPr>
                      <w:rFonts w:ascii="Times New Roman" w:hAnsi="Times New Roman"/>
                      <w:color w:val="auto"/>
                      <w:highlight w:val="none"/>
                    </w:rPr>
                  </w:pPr>
                </w:p>
              </w:tc>
              <w:tc>
                <w:tcPr>
                  <w:tcW w:w="515" w:type="pct"/>
                  <w:vAlign w:val="center"/>
                </w:tcPr>
                <w:p w14:paraId="799CCA18">
                  <w:pPr>
                    <w:pStyle w:val="58"/>
                    <w:ind w:firstLine="0" w:firstLineChars="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一般工业固体废物</w:t>
                  </w:r>
                </w:p>
              </w:tc>
              <w:tc>
                <w:tcPr>
                  <w:tcW w:w="3099" w:type="pct"/>
                  <w:vAlign w:val="center"/>
                </w:tcPr>
                <w:p w14:paraId="31FB44C5">
                  <w:pPr>
                    <w:pStyle w:val="58"/>
                    <w:ind w:firstLine="0" w:firstLineChars="0"/>
                    <w:rPr>
                      <w:rFonts w:hint="default" w:ascii="Times New Roman" w:hAnsi="Times New Roman"/>
                      <w:color w:val="auto"/>
                      <w:highlight w:val="none"/>
                      <w:lang w:val="en-US" w:eastAsia="zh-CN"/>
                    </w:rPr>
                  </w:pPr>
                  <w:r>
                    <w:rPr>
                      <w:rFonts w:hint="eastAsia"/>
                      <w:color w:val="auto"/>
                      <w:highlight w:val="none"/>
                      <w:lang w:val="en-US" w:eastAsia="zh-CN"/>
                    </w:rPr>
                    <w:t>不含切削液金属屑、</w:t>
                  </w:r>
                  <w:r>
                    <w:rPr>
                      <w:rFonts w:hint="eastAsia" w:ascii="Times New Roman" w:hAnsi="Times New Roman" w:cs="Times New Roman"/>
                      <w:color w:val="auto"/>
                      <w:sz w:val="21"/>
                      <w:szCs w:val="21"/>
                      <w:highlight w:val="none"/>
                      <w:lang w:val="en-US" w:eastAsia="zh-CN"/>
                    </w:rPr>
                    <w:t>不合格品、边角料</w:t>
                  </w:r>
                  <w:r>
                    <w:rPr>
                      <w:rFonts w:hint="eastAsia"/>
                      <w:color w:val="auto"/>
                      <w:highlight w:val="none"/>
                      <w:lang w:val="en-US" w:eastAsia="zh-CN"/>
                    </w:rPr>
                    <w:t>收集后外售</w:t>
                  </w:r>
                </w:p>
              </w:tc>
              <w:tc>
                <w:tcPr>
                  <w:tcW w:w="725" w:type="pct"/>
                  <w:vAlign w:val="center"/>
                </w:tcPr>
                <w:p w14:paraId="549D62C2">
                  <w:pPr>
                    <w:pStyle w:val="58"/>
                    <w:ind w:firstLine="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依托现有</w:t>
                  </w:r>
                </w:p>
              </w:tc>
            </w:tr>
            <w:tr w14:paraId="6BB9F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444" w:type="pct"/>
                  <w:vMerge w:val="continue"/>
                  <w:vAlign w:val="center"/>
                </w:tcPr>
                <w:p w14:paraId="4D0D4A34">
                  <w:pPr>
                    <w:pStyle w:val="58"/>
                    <w:ind w:firstLine="0"/>
                    <w:rPr>
                      <w:rFonts w:ascii="Times New Roman" w:hAnsi="Times New Roman"/>
                      <w:color w:val="auto"/>
                      <w:highlight w:val="none"/>
                    </w:rPr>
                  </w:pPr>
                </w:p>
              </w:tc>
              <w:tc>
                <w:tcPr>
                  <w:tcW w:w="214" w:type="pct"/>
                  <w:vMerge w:val="continue"/>
                  <w:vAlign w:val="center"/>
                </w:tcPr>
                <w:p w14:paraId="1BFA7F9F">
                  <w:pPr>
                    <w:pStyle w:val="58"/>
                    <w:ind w:firstLine="0"/>
                    <w:rPr>
                      <w:rFonts w:ascii="Times New Roman" w:hAnsi="Times New Roman"/>
                      <w:color w:val="auto"/>
                      <w:highlight w:val="none"/>
                    </w:rPr>
                  </w:pPr>
                </w:p>
              </w:tc>
              <w:tc>
                <w:tcPr>
                  <w:tcW w:w="515" w:type="pct"/>
                  <w:vAlign w:val="center"/>
                </w:tcPr>
                <w:p w14:paraId="6FDE2EF3">
                  <w:pPr>
                    <w:pStyle w:val="58"/>
                    <w:ind w:firstLine="0" w:firstLineChars="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危险废物</w:t>
                  </w:r>
                </w:p>
              </w:tc>
              <w:tc>
                <w:tcPr>
                  <w:tcW w:w="3099" w:type="pct"/>
                  <w:vAlign w:val="center"/>
                </w:tcPr>
                <w:p w14:paraId="404AC5A2">
                  <w:pPr>
                    <w:pStyle w:val="58"/>
                    <w:ind w:firstLine="0" w:firstLineChars="0"/>
                    <w:rPr>
                      <w:rFonts w:hint="default" w:ascii="Times New Roman" w:hAnsi="Times New Roman"/>
                      <w:color w:val="auto"/>
                      <w:highlight w:val="none"/>
                      <w:lang w:val="en-US" w:eastAsia="zh-CN"/>
                    </w:rPr>
                  </w:pPr>
                  <w:r>
                    <w:rPr>
                      <w:rFonts w:hint="eastAsia" w:ascii="Times New Roman" w:hAnsi="Times New Roman" w:cs="Times New Roman"/>
                      <w:color w:val="auto"/>
                      <w:highlight w:val="none"/>
                      <w:lang w:val="en-US" w:eastAsia="zh-CN"/>
                    </w:rPr>
                    <w:t>油泥、废渣、片碱包装袋、盐酸废包装瓶、废油桶、废切削液桶、废切削液、含切削液金属屑</w:t>
                  </w:r>
                  <w:r>
                    <w:rPr>
                      <w:rFonts w:hint="eastAsia" w:ascii="Times New Roman" w:hAnsi="Times New Roman"/>
                      <w:color w:val="auto"/>
                      <w:highlight w:val="none"/>
                      <w:lang w:val="en-US" w:eastAsia="zh-CN"/>
                    </w:rPr>
                    <w:t>收集后暂存危废暂存间，定期交由有资质单位进行处置</w:t>
                  </w:r>
                </w:p>
              </w:tc>
              <w:tc>
                <w:tcPr>
                  <w:tcW w:w="725" w:type="pct"/>
                  <w:vAlign w:val="center"/>
                </w:tcPr>
                <w:p w14:paraId="10AFD373">
                  <w:pPr>
                    <w:pStyle w:val="58"/>
                    <w:ind w:firstLine="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依托现有</w:t>
                  </w:r>
                </w:p>
              </w:tc>
            </w:tr>
            <w:tr w14:paraId="08E21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 w:hRule="atLeast"/>
                <w:jc w:val="center"/>
              </w:trPr>
              <w:tc>
                <w:tcPr>
                  <w:tcW w:w="444" w:type="pct"/>
                  <w:vMerge w:val="continue"/>
                  <w:vAlign w:val="center"/>
                </w:tcPr>
                <w:p w14:paraId="56417793">
                  <w:pPr>
                    <w:pStyle w:val="58"/>
                    <w:ind w:firstLine="0"/>
                    <w:rPr>
                      <w:rFonts w:ascii="Times New Roman" w:hAnsi="Times New Roman"/>
                      <w:color w:val="auto"/>
                      <w:highlight w:val="none"/>
                    </w:rPr>
                  </w:pPr>
                </w:p>
              </w:tc>
              <w:tc>
                <w:tcPr>
                  <w:tcW w:w="214" w:type="pct"/>
                  <w:vMerge w:val="continue"/>
                  <w:vAlign w:val="center"/>
                </w:tcPr>
                <w:p w14:paraId="5104D2D0">
                  <w:pPr>
                    <w:pStyle w:val="58"/>
                    <w:ind w:firstLine="0"/>
                    <w:rPr>
                      <w:rFonts w:ascii="Times New Roman" w:hAnsi="Times New Roman"/>
                      <w:color w:val="auto"/>
                      <w:highlight w:val="none"/>
                    </w:rPr>
                  </w:pPr>
                </w:p>
              </w:tc>
              <w:tc>
                <w:tcPr>
                  <w:tcW w:w="515" w:type="pct"/>
                  <w:vAlign w:val="center"/>
                </w:tcPr>
                <w:p w14:paraId="771AA4EE">
                  <w:pPr>
                    <w:adjustRightInd w:val="0"/>
                    <w:snapToGrid w:val="0"/>
                    <w:jc w:val="center"/>
                    <w:rPr>
                      <w:color w:val="auto"/>
                      <w:sz w:val="21"/>
                      <w:szCs w:val="18"/>
                      <w:highlight w:val="none"/>
                    </w:rPr>
                  </w:pPr>
                  <w:r>
                    <w:rPr>
                      <w:color w:val="auto"/>
                      <w:sz w:val="21"/>
                      <w:szCs w:val="18"/>
                      <w:highlight w:val="none"/>
                    </w:rPr>
                    <w:t>危废</w:t>
                  </w:r>
                </w:p>
                <w:p w14:paraId="172FAFFB">
                  <w:pPr>
                    <w:adjustRightInd w:val="0"/>
                    <w:snapToGrid w:val="0"/>
                    <w:jc w:val="center"/>
                    <w:rPr>
                      <w:rFonts w:hint="eastAsia" w:ascii="Times New Roman" w:hAnsi="Times New Roman"/>
                      <w:color w:val="auto"/>
                      <w:sz w:val="21"/>
                      <w:szCs w:val="21"/>
                      <w:highlight w:val="none"/>
                      <w:lang w:val="en-US" w:eastAsia="zh-CN"/>
                    </w:rPr>
                  </w:pPr>
                  <w:r>
                    <w:rPr>
                      <w:color w:val="auto"/>
                      <w:sz w:val="21"/>
                      <w:szCs w:val="18"/>
                      <w:highlight w:val="none"/>
                    </w:rPr>
                    <w:t>暂存间</w:t>
                  </w:r>
                </w:p>
              </w:tc>
              <w:tc>
                <w:tcPr>
                  <w:tcW w:w="3099" w:type="pct"/>
                  <w:vAlign w:val="center"/>
                </w:tcPr>
                <w:p w14:paraId="65C112F1">
                  <w:pPr>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eastAsia" w:ascii="Times New Roman" w:hAnsi="Times New Roman"/>
                      <w:color w:val="auto"/>
                      <w:sz w:val="21"/>
                      <w:szCs w:val="21"/>
                      <w:highlight w:val="none"/>
                      <w:lang w:val="en-US" w:eastAsia="zh-CN"/>
                    </w:rPr>
                  </w:pPr>
                  <w:r>
                    <w:rPr>
                      <w:color w:val="auto"/>
                      <w:sz w:val="21"/>
                      <w:szCs w:val="18"/>
                      <w:highlight w:val="none"/>
                    </w:rPr>
                    <w:t>建筑面积</w:t>
                  </w:r>
                  <w:r>
                    <w:rPr>
                      <w:rFonts w:hint="eastAsia"/>
                      <w:color w:val="auto"/>
                      <w:sz w:val="21"/>
                      <w:szCs w:val="18"/>
                      <w:highlight w:val="none"/>
                      <w:lang w:val="en-US" w:eastAsia="zh-CN"/>
                    </w:rPr>
                    <w:t>6</w:t>
                  </w:r>
                  <w:r>
                    <w:rPr>
                      <w:color w:val="auto"/>
                      <w:sz w:val="21"/>
                      <w:szCs w:val="18"/>
                      <w:highlight w:val="none"/>
                    </w:rPr>
                    <w:t>m</w:t>
                  </w:r>
                  <w:r>
                    <w:rPr>
                      <w:color w:val="auto"/>
                      <w:sz w:val="21"/>
                      <w:szCs w:val="18"/>
                      <w:highlight w:val="none"/>
                      <w:vertAlign w:val="superscript"/>
                    </w:rPr>
                    <w:t>2</w:t>
                  </w:r>
                  <w:r>
                    <w:rPr>
                      <w:rFonts w:hint="eastAsia"/>
                      <w:color w:val="auto"/>
                      <w:sz w:val="21"/>
                      <w:szCs w:val="18"/>
                      <w:highlight w:val="none"/>
                      <w:lang w:val="en-US" w:eastAsia="zh-CN"/>
                    </w:rPr>
                    <w:t>，</w:t>
                  </w:r>
                  <w:r>
                    <w:rPr>
                      <w:color w:val="auto"/>
                      <w:sz w:val="21"/>
                      <w:szCs w:val="18"/>
                      <w:highlight w:val="none"/>
                    </w:rPr>
                    <w:t>用于暂时</w:t>
                  </w:r>
                  <w:r>
                    <w:rPr>
                      <w:rFonts w:hint="eastAsia"/>
                      <w:color w:val="auto"/>
                      <w:sz w:val="21"/>
                      <w:szCs w:val="18"/>
                      <w:highlight w:val="none"/>
                      <w:lang w:val="en-US" w:eastAsia="zh-CN"/>
                    </w:rPr>
                    <w:t>生产过程产生的危险废物</w:t>
                  </w:r>
                  <w:r>
                    <w:rPr>
                      <w:color w:val="auto"/>
                      <w:sz w:val="21"/>
                      <w:szCs w:val="18"/>
                      <w:highlight w:val="none"/>
                    </w:rPr>
                    <w:t>。危废暂存间为</w:t>
                  </w:r>
                  <w:r>
                    <w:rPr>
                      <w:bCs/>
                      <w:color w:val="auto"/>
                      <w:sz w:val="21"/>
                      <w:szCs w:val="18"/>
                      <w:highlight w:val="none"/>
                    </w:rPr>
                    <w:t>重点防渗区，重点防渗区域地面及裙墙采取防渗措施，室内底部铺设1m</w:t>
                  </w:r>
                  <w:r>
                    <w:rPr>
                      <w:rFonts w:hint="eastAsia"/>
                      <w:bCs/>
                      <w:color w:val="auto"/>
                      <w:sz w:val="21"/>
                      <w:szCs w:val="18"/>
                      <w:highlight w:val="none"/>
                      <w:lang w:eastAsia="zh-CN"/>
                    </w:rPr>
                    <w:t>黏土层</w:t>
                  </w:r>
                  <w:r>
                    <w:rPr>
                      <w:bCs/>
                      <w:color w:val="auto"/>
                      <w:sz w:val="21"/>
                      <w:szCs w:val="18"/>
                      <w:highlight w:val="none"/>
                    </w:rPr>
                    <w:t>(保护层，同时作为辅助防渗层)压实平整，</w:t>
                  </w:r>
                  <w:r>
                    <w:rPr>
                      <w:rFonts w:hint="eastAsia"/>
                      <w:bCs/>
                      <w:color w:val="auto"/>
                      <w:sz w:val="21"/>
                      <w:szCs w:val="18"/>
                      <w:highlight w:val="none"/>
                      <w:lang w:eastAsia="zh-CN"/>
                    </w:rPr>
                    <w:t>黏土层</w:t>
                  </w:r>
                  <w:r>
                    <w:rPr>
                      <w:bCs/>
                      <w:color w:val="auto"/>
                      <w:sz w:val="21"/>
                      <w:szCs w:val="18"/>
                      <w:highlight w:val="none"/>
                    </w:rPr>
                    <w:t>上铺设双层HDPE——GCL复合防渗系统(2×2mm厚的高密度聚乙烯膜、300g/m</w:t>
                  </w:r>
                  <w:r>
                    <w:rPr>
                      <w:bCs/>
                      <w:color w:val="auto"/>
                      <w:sz w:val="21"/>
                      <w:szCs w:val="18"/>
                      <w:highlight w:val="none"/>
                      <w:vertAlign w:val="superscript"/>
                    </w:rPr>
                    <w:t>2</w:t>
                  </w:r>
                  <w:r>
                    <w:rPr>
                      <w:bCs/>
                      <w:color w:val="auto"/>
                      <w:sz w:val="21"/>
                      <w:szCs w:val="18"/>
                      <w:highlight w:val="none"/>
                    </w:rPr>
                    <w:t>土工织物膨润土垫)，上部外加耐腐蚀混凝土15cm(保护层)等防渗，渗透系数≤10</w:t>
                  </w:r>
                  <w:r>
                    <w:rPr>
                      <w:bCs/>
                      <w:color w:val="auto"/>
                      <w:sz w:val="21"/>
                      <w:szCs w:val="18"/>
                      <w:highlight w:val="none"/>
                      <w:vertAlign w:val="superscript"/>
                    </w:rPr>
                    <w:t>-10</w:t>
                  </w:r>
                  <w:r>
                    <w:rPr>
                      <w:bCs/>
                      <w:color w:val="auto"/>
                      <w:sz w:val="21"/>
                      <w:szCs w:val="18"/>
                      <w:highlight w:val="none"/>
                    </w:rPr>
                    <w:t>cm/s（或采取同等有效防渗措施）</w:t>
                  </w:r>
                </w:p>
              </w:tc>
              <w:tc>
                <w:tcPr>
                  <w:tcW w:w="725" w:type="pct"/>
                  <w:vAlign w:val="center"/>
                </w:tcPr>
                <w:p w14:paraId="6E3B2CF0">
                  <w:pPr>
                    <w:pStyle w:val="58"/>
                    <w:ind w:firstLine="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依托现有</w:t>
                  </w:r>
                </w:p>
              </w:tc>
            </w:tr>
            <w:tr w14:paraId="3A8E6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9" w:hRule="atLeast"/>
                <w:jc w:val="center"/>
              </w:trPr>
              <w:tc>
                <w:tcPr>
                  <w:tcW w:w="444" w:type="pct"/>
                  <w:vMerge w:val="continue"/>
                  <w:vAlign w:val="center"/>
                </w:tcPr>
                <w:p w14:paraId="486151E9">
                  <w:pPr>
                    <w:pStyle w:val="58"/>
                    <w:ind w:firstLine="0"/>
                    <w:rPr>
                      <w:rFonts w:ascii="Times New Roman" w:hAnsi="Times New Roman"/>
                      <w:color w:val="auto"/>
                      <w:highlight w:val="none"/>
                    </w:rPr>
                  </w:pPr>
                </w:p>
              </w:tc>
              <w:tc>
                <w:tcPr>
                  <w:tcW w:w="214" w:type="pct"/>
                  <w:vMerge w:val="continue"/>
                  <w:vAlign w:val="center"/>
                </w:tcPr>
                <w:p w14:paraId="73902F0D">
                  <w:pPr>
                    <w:pStyle w:val="58"/>
                    <w:ind w:firstLine="0"/>
                    <w:rPr>
                      <w:rFonts w:ascii="Times New Roman" w:hAnsi="Times New Roman"/>
                      <w:color w:val="auto"/>
                      <w:highlight w:val="none"/>
                    </w:rPr>
                  </w:pPr>
                </w:p>
              </w:tc>
              <w:tc>
                <w:tcPr>
                  <w:tcW w:w="515" w:type="pct"/>
                  <w:vAlign w:val="center"/>
                </w:tcPr>
                <w:p w14:paraId="73C333A3">
                  <w:pPr>
                    <w:pStyle w:val="58"/>
                    <w:ind w:firstLine="0" w:firstLineChars="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一般固体废物暂存区</w:t>
                  </w:r>
                </w:p>
              </w:tc>
              <w:tc>
                <w:tcPr>
                  <w:tcW w:w="3099" w:type="pct"/>
                  <w:vAlign w:val="center"/>
                </w:tcPr>
                <w:p w14:paraId="3F22F6FD">
                  <w:pPr>
                    <w:pStyle w:val="58"/>
                    <w:keepNext w:val="0"/>
                    <w:keepLines w:val="0"/>
                    <w:pageBreakBefore w:val="0"/>
                    <w:widowControl w:val="0"/>
                    <w:kinsoku/>
                    <w:wordWrap/>
                    <w:overflowPunct/>
                    <w:topLinePunct w:val="0"/>
                    <w:autoSpaceDE/>
                    <w:autoSpaceDN/>
                    <w:bidi w:val="0"/>
                    <w:adjustRightInd w:val="0"/>
                    <w:snapToGrid w:val="0"/>
                    <w:ind w:firstLine="0" w:firstLineChars="0"/>
                    <w:jc w:val="left"/>
                    <w:textAlignment w:val="auto"/>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建筑面积为4m</w:t>
                  </w:r>
                  <w:r>
                    <w:rPr>
                      <w:rFonts w:hint="eastAsia" w:ascii="Times New Roman" w:hAnsi="Times New Roman"/>
                      <w:color w:val="auto"/>
                      <w:highlight w:val="none"/>
                      <w:vertAlign w:val="superscript"/>
                      <w:lang w:val="en-US" w:eastAsia="zh-CN"/>
                    </w:rPr>
                    <w:t>2</w:t>
                  </w:r>
                  <w:r>
                    <w:rPr>
                      <w:rFonts w:hint="eastAsia" w:ascii="Times New Roman" w:hAnsi="Times New Roman"/>
                      <w:color w:val="auto"/>
                      <w:highlight w:val="none"/>
                      <w:lang w:val="en-US" w:eastAsia="zh-CN"/>
                    </w:rPr>
                    <w:t>，用于存放一般固体废物，一般固体废物暂存间应满足防流失、防渗漏、防扬尘的要求。</w:t>
                  </w:r>
                </w:p>
              </w:tc>
              <w:tc>
                <w:tcPr>
                  <w:tcW w:w="725" w:type="pct"/>
                  <w:vAlign w:val="center"/>
                </w:tcPr>
                <w:p w14:paraId="695F2516">
                  <w:pPr>
                    <w:pStyle w:val="58"/>
                    <w:ind w:firstLine="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依托现有</w:t>
                  </w:r>
                </w:p>
              </w:tc>
            </w:tr>
          </w:tbl>
          <w:p w14:paraId="57FB2D66">
            <w:pPr>
              <w:pStyle w:val="9"/>
              <w:rPr>
                <w:rFonts w:hint="eastAsia"/>
                <w:color w:val="auto"/>
                <w:highlight w:val="none"/>
                <w:lang w:val="en-US" w:eastAsia="zh-CN"/>
              </w:rPr>
            </w:pPr>
          </w:p>
          <w:p w14:paraId="573ECC49">
            <w:pPr>
              <w:pStyle w:val="9"/>
              <w:rPr>
                <w:color w:val="auto"/>
                <w:highlight w:val="none"/>
              </w:rPr>
            </w:pPr>
            <w:r>
              <w:rPr>
                <w:rFonts w:hint="eastAsia"/>
                <w:color w:val="auto"/>
                <w:highlight w:val="none"/>
                <w:lang w:val="en-US" w:eastAsia="zh-CN"/>
              </w:rPr>
              <w:t>3</w:t>
            </w:r>
            <w:r>
              <w:rPr>
                <w:rFonts w:hint="eastAsia"/>
                <w:color w:val="auto"/>
                <w:highlight w:val="none"/>
              </w:rPr>
              <w:t>.</w:t>
            </w:r>
            <w:r>
              <w:rPr>
                <w:color w:val="auto"/>
                <w:highlight w:val="none"/>
              </w:rPr>
              <w:t>3</w:t>
            </w:r>
            <w:r>
              <w:rPr>
                <w:rFonts w:hint="eastAsia"/>
                <w:color w:val="auto"/>
                <w:highlight w:val="none"/>
              </w:rPr>
              <w:t xml:space="preserve"> </w:t>
            </w:r>
            <w:r>
              <w:rPr>
                <w:rFonts w:hint="eastAsia"/>
                <w:color w:val="auto"/>
                <w:highlight w:val="none"/>
                <w:lang w:val="en-US" w:eastAsia="zh-CN"/>
              </w:rPr>
              <w:t>扩建项目</w:t>
            </w:r>
            <w:r>
              <w:rPr>
                <w:color w:val="auto"/>
                <w:highlight w:val="none"/>
              </w:rPr>
              <w:t>主要生产设备</w:t>
            </w:r>
          </w:p>
          <w:p w14:paraId="4A40C531">
            <w:pPr>
              <w:ind w:firstLine="480" w:firstLineChars="200"/>
              <w:rPr>
                <w:color w:val="auto"/>
                <w:highlight w:val="none"/>
              </w:rPr>
            </w:pPr>
            <w:r>
              <w:rPr>
                <w:rFonts w:hint="eastAsia"/>
                <w:color w:val="auto"/>
                <w:highlight w:val="none"/>
                <w:lang w:val="en-US" w:eastAsia="zh-CN"/>
              </w:rPr>
              <w:t>本次扩建项目不增加主要生产设备，仅增加6座洗槽及环保设施，扩建项目新增设备、设施</w:t>
            </w:r>
            <w:r>
              <w:rPr>
                <w:color w:val="auto"/>
                <w:highlight w:val="none"/>
              </w:rPr>
              <w:t>一览表如下表：</w:t>
            </w:r>
          </w:p>
          <w:p w14:paraId="060DCB12">
            <w:pPr>
              <w:pStyle w:val="47"/>
              <w:ind w:left="482" w:hanging="482"/>
              <w:rPr>
                <w:color w:val="auto"/>
                <w:highlight w:val="none"/>
                <w:vertAlign w:val="baseline"/>
              </w:rPr>
            </w:pPr>
            <w:r>
              <w:rPr>
                <w:color w:val="auto"/>
                <w:highlight w:val="none"/>
              </w:rPr>
              <w:t>表</w:t>
            </w:r>
            <w:r>
              <w:rPr>
                <w:rFonts w:hint="eastAsia"/>
                <w:color w:val="auto"/>
                <w:highlight w:val="none"/>
                <w:lang w:val="en-US" w:eastAsia="zh-CN"/>
              </w:rPr>
              <w:t xml:space="preserve">2-7 </w:t>
            </w:r>
            <w:r>
              <w:rPr>
                <w:color w:val="auto"/>
                <w:highlight w:val="none"/>
              </w:rPr>
              <w:t xml:space="preserve"> </w:t>
            </w:r>
            <w:r>
              <w:rPr>
                <w:rFonts w:hint="eastAsia"/>
                <w:color w:val="auto"/>
                <w:highlight w:val="none"/>
                <w:lang w:val="en-US" w:eastAsia="zh-CN"/>
              </w:rPr>
              <w:t>新增设备、设施</w:t>
            </w:r>
            <w:r>
              <w:rPr>
                <w:color w:val="auto"/>
                <w:highlight w:val="none"/>
              </w:rPr>
              <w:t>一览表</w:t>
            </w:r>
          </w:p>
          <w:tbl>
            <w:tblPr>
              <w:tblStyle w:val="3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97"/>
              <w:gridCol w:w="1242"/>
              <w:gridCol w:w="1216"/>
              <w:gridCol w:w="1692"/>
              <w:gridCol w:w="2676"/>
            </w:tblGrid>
            <w:tr w14:paraId="2941E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9" w:type="pct"/>
                  <w:noWrap w:val="0"/>
                  <w:vAlign w:val="center"/>
                </w:tcPr>
                <w:p w14:paraId="04B87272">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名称</w:t>
                  </w:r>
                </w:p>
              </w:tc>
              <w:tc>
                <w:tcPr>
                  <w:tcW w:w="746" w:type="pct"/>
                  <w:noWrap w:val="0"/>
                  <w:vAlign w:val="center"/>
                </w:tcPr>
                <w:p w14:paraId="7B25D92A">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数量/座</w:t>
                  </w:r>
                </w:p>
              </w:tc>
              <w:tc>
                <w:tcPr>
                  <w:tcW w:w="730" w:type="pct"/>
                  <w:noWrap w:val="0"/>
                  <w:vAlign w:val="center"/>
                </w:tcPr>
                <w:p w14:paraId="3FBA46F1">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容积/m</w:t>
                  </w:r>
                  <w:r>
                    <w:rPr>
                      <w:rFonts w:hint="eastAsia"/>
                      <w:color w:val="auto"/>
                      <w:sz w:val="21"/>
                      <w:szCs w:val="21"/>
                      <w:vertAlign w:val="superscript"/>
                      <w:lang w:val="en-US" w:eastAsia="zh-CN"/>
                    </w:rPr>
                    <w:t>3</w:t>
                  </w:r>
                </w:p>
              </w:tc>
              <w:tc>
                <w:tcPr>
                  <w:tcW w:w="1016" w:type="pct"/>
                  <w:noWrap w:val="0"/>
                  <w:vAlign w:val="center"/>
                </w:tcPr>
                <w:p w14:paraId="3A8A6D58">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尺寸/m</w:t>
                  </w:r>
                </w:p>
              </w:tc>
              <w:tc>
                <w:tcPr>
                  <w:tcW w:w="1607" w:type="pct"/>
                  <w:noWrap w:val="0"/>
                  <w:vAlign w:val="center"/>
                </w:tcPr>
                <w:p w14:paraId="0D414705">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备注</w:t>
                  </w:r>
                </w:p>
              </w:tc>
            </w:tr>
            <w:tr w14:paraId="264FA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9" w:type="pct"/>
                  <w:noWrap w:val="0"/>
                  <w:vAlign w:val="center"/>
                </w:tcPr>
                <w:p w14:paraId="5C3663BB">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碱槽</w:t>
                  </w:r>
                </w:p>
              </w:tc>
              <w:tc>
                <w:tcPr>
                  <w:tcW w:w="746" w:type="pct"/>
                  <w:noWrap w:val="0"/>
                  <w:vAlign w:val="center"/>
                </w:tcPr>
                <w:p w14:paraId="2420C74F">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1</w:t>
                  </w:r>
                </w:p>
              </w:tc>
              <w:tc>
                <w:tcPr>
                  <w:tcW w:w="730" w:type="pct"/>
                  <w:noWrap w:val="0"/>
                  <w:vAlign w:val="center"/>
                </w:tcPr>
                <w:p w14:paraId="259391CE">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5.25</w:t>
                  </w:r>
                </w:p>
              </w:tc>
              <w:tc>
                <w:tcPr>
                  <w:tcW w:w="1016" w:type="pct"/>
                  <w:noWrap w:val="0"/>
                  <w:vAlign w:val="center"/>
                </w:tcPr>
                <w:p w14:paraId="015BEC61">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color w:val="auto"/>
                      <w:sz w:val="21"/>
                      <w:szCs w:val="21"/>
                      <w:vertAlign w:val="baseline"/>
                      <w:lang w:val="en-US" w:eastAsia="zh-CN"/>
                    </w:rPr>
                  </w:pPr>
                  <w:r>
                    <w:rPr>
                      <w:rFonts w:hint="eastAsia"/>
                      <w:color w:val="auto"/>
                      <w:sz w:val="21"/>
                      <w:szCs w:val="21"/>
                      <w:vertAlign w:val="baseline"/>
                      <w:lang w:val="en-US" w:eastAsia="zh-CN"/>
                    </w:rPr>
                    <w:t>3.5</w:t>
                  </w:r>
                  <w:r>
                    <w:rPr>
                      <w:rFonts w:hint="default" w:ascii="Arial" w:hAnsi="Arial" w:cs="Arial"/>
                      <w:color w:val="auto"/>
                      <w:sz w:val="21"/>
                      <w:szCs w:val="21"/>
                      <w:vertAlign w:val="baseline"/>
                      <w:lang w:val="en-US" w:eastAsia="zh-CN"/>
                    </w:rPr>
                    <w:t>×</w:t>
                  </w:r>
                  <w:r>
                    <w:rPr>
                      <w:rFonts w:hint="eastAsia"/>
                      <w:color w:val="auto"/>
                      <w:sz w:val="21"/>
                      <w:szCs w:val="21"/>
                      <w:vertAlign w:val="baseline"/>
                      <w:lang w:val="en-US" w:eastAsia="zh-CN"/>
                    </w:rPr>
                    <w:t>2.5</w:t>
                  </w:r>
                  <w:r>
                    <w:rPr>
                      <w:rFonts w:hint="default" w:ascii="Arial" w:hAnsi="Arial" w:cs="Arial"/>
                      <w:color w:val="auto"/>
                      <w:sz w:val="21"/>
                      <w:szCs w:val="21"/>
                      <w:vertAlign w:val="baseline"/>
                      <w:lang w:val="en-US" w:eastAsia="zh-CN"/>
                    </w:rPr>
                    <w:t>×</w:t>
                  </w:r>
                  <w:r>
                    <w:rPr>
                      <w:rFonts w:hint="eastAsia"/>
                      <w:color w:val="auto"/>
                      <w:sz w:val="21"/>
                      <w:szCs w:val="21"/>
                      <w:vertAlign w:val="baseline"/>
                      <w:lang w:val="en-US" w:eastAsia="zh-CN"/>
                    </w:rPr>
                    <w:t>0.6m</w:t>
                  </w:r>
                </w:p>
              </w:tc>
              <w:tc>
                <w:tcPr>
                  <w:tcW w:w="1607" w:type="pct"/>
                  <w:noWrap w:val="0"/>
                  <w:vAlign w:val="center"/>
                </w:tcPr>
                <w:p w14:paraId="119CB313">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槽内放碱片，铁槽</w:t>
                  </w:r>
                </w:p>
              </w:tc>
            </w:tr>
            <w:tr w14:paraId="366C0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9" w:type="pct"/>
                  <w:noWrap w:val="0"/>
                  <w:vAlign w:val="center"/>
                </w:tcPr>
                <w:p w14:paraId="351E7A8E">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水槽</w:t>
                  </w:r>
                </w:p>
              </w:tc>
              <w:tc>
                <w:tcPr>
                  <w:tcW w:w="746" w:type="pct"/>
                  <w:noWrap w:val="0"/>
                  <w:vAlign w:val="center"/>
                </w:tcPr>
                <w:p w14:paraId="16DBA949">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3</w:t>
                  </w:r>
                </w:p>
              </w:tc>
              <w:tc>
                <w:tcPr>
                  <w:tcW w:w="730" w:type="pct"/>
                  <w:noWrap w:val="0"/>
                  <w:vAlign w:val="center"/>
                </w:tcPr>
                <w:p w14:paraId="4A3D2E0E">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5.25</w:t>
                  </w:r>
                </w:p>
              </w:tc>
              <w:tc>
                <w:tcPr>
                  <w:tcW w:w="1016" w:type="pct"/>
                  <w:noWrap w:val="0"/>
                  <w:vAlign w:val="center"/>
                </w:tcPr>
                <w:p w14:paraId="5DE90FF0">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color w:val="auto"/>
                      <w:sz w:val="21"/>
                      <w:szCs w:val="21"/>
                      <w:vertAlign w:val="baseline"/>
                      <w:lang w:val="en-US" w:eastAsia="zh-CN"/>
                    </w:rPr>
                  </w:pPr>
                  <w:r>
                    <w:rPr>
                      <w:rFonts w:hint="eastAsia"/>
                      <w:color w:val="auto"/>
                      <w:sz w:val="21"/>
                      <w:szCs w:val="21"/>
                      <w:vertAlign w:val="baseline"/>
                      <w:lang w:val="en-US" w:eastAsia="zh-CN"/>
                    </w:rPr>
                    <w:t>3.5</w:t>
                  </w:r>
                  <w:r>
                    <w:rPr>
                      <w:rFonts w:hint="default" w:ascii="Arial" w:hAnsi="Arial" w:cs="Arial"/>
                      <w:color w:val="auto"/>
                      <w:sz w:val="21"/>
                      <w:szCs w:val="21"/>
                      <w:vertAlign w:val="baseline"/>
                      <w:lang w:val="en-US" w:eastAsia="zh-CN"/>
                    </w:rPr>
                    <w:t>×</w:t>
                  </w:r>
                  <w:r>
                    <w:rPr>
                      <w:rFonts w:hint="eastAsia"/>
                      <w:color w:val="auto"/>
                      <w:sz w:val="21"/>
                      <w:szCs w:val="21"/>
                      <w:vertAlign w:val="baseline"/>
                      <w:lang w:val="en-US" w:eastAsia="zh-CN"/>
                    </w:rPr>
                    <w:t>2.5</w:t>
                  </w:r>
                  <w:r>
                    <w:rPr>
                      <w:rFonts w:hint="default" w:ascii="Arial" w:hAnsi="Arial" w:cs="Arial"/>
                      <w:color w:val="auto"/>
                      <w:sz w:val="21"/>
                      <w:szCs w:val="21"/>
                      <w:vertAlign w:val="baseline"/>
                      <w:lang w:val="en-US" w:eastAsia="zh-CN"/>
                    </w:rPr>
                    <w:t>×</w:t>
                  </w:r>
                  <w:r>
                    <w:rPr>
                      <w:rFonts w:hint="eastAsia"/>
                      <w:color w:val="auto"/>
                      <w:sz w:val="21"/>
                      <w:szCs w:val="21"/>
                      <w:vertAlign w:val="baseline"/>
                      <w:lang w:val="en-US" w:eastAsia="zh-CN"/>
                    </w:rPr>
                    <w:t>0.6m</w:t>
                  </w:r>
                </w:p>
              </w:tc>
              <w:tc>
                <w:tcPr>
                  <w:tcW w:w="1607" w:type="pct"/>
                  <w:noWrap w:val="0"/>
                  <w:vAlign w:val="center"/>
                </w:tcPr>
                <w:p w14:paraId="5B2EE451">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槽内为清水，pp材质</w:t>
                  </w:r>
                </w:p>
              </w:tc>
            </w:tr>
            <w:tr w14:paraId="107CF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9" w:type="pct"/>
                  <w:noWrap w:val="0"/>
                  <w:vAlign w:val="center"/>
                </w:tcPr>
                <w:p w14:paraId="6D4730C6">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油槽</w:t>
                  </w:r>
                </w:p>
              </w:tc>
              <w:tc>
                <w:tcPr>
                  <w:tcW w:w="746" w:type="pct"/>
                  <w:noWrap w:val="0"/>
                  <w:vAlign w:val="center"/>
                </w:tcPr>
                <w:p w14:paraId="4A5083C0">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1</w:t>
                  </w:r>
                </w:p>
              </w:tc>
              <w:tc>
                <w:tcPr>
                  <w:tcW w:w="730" w:type="pct"/>
                  <w:noWrap w:val="0"/>
                  <w:vAlign w:val="center"/>
                </w:tcPr>
                <w:p w14:paraId="7418428A">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5.25</w:t>
                  </w:r>
                </w:p>
              </w:tc>
              <w:tc>
                <w:tcPr>
                  <w:tcW w:w="1016" w:type="pct"/>
                  <w:noWrap w:val="0"/>
                  <w:vAlign w:val="center"/>
                </w:tcPr>
                <w:p w14:paraId="47767377">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color w:val="auto"/>
                      <w:sz w:val="21"/>
                      <w:szCs w:val="21"/>
                      <w:vertAlign w:val="baseline"/>
                      <w:lang w:val="en-US" w:eastAsia="zh-CN"/>
                    </w:rPr>
                  </w:pPr>
                  <w:r>
                    <w:rPr>
                      <w:rFonts w:hint="eastAsia"/>
                      <w:color w:val="auto"/>
                      <w:sz w:val="21"/>
                      <w:szCs w:val="21"/>
                      <w:vertAlign w:val="baseline"/>
                      <w:lang w:val="en-US" w:eastAsia="zh-CN"/>
                    </w:rPr>
                    <w:t>3.5</w:t>
                  </w:r>
                  <w:r>
                    <w:rPr>
                      <w:rFonts w:hint="default" w:ascii="Arial" w:hAnsi="Arial" w:cs="Arial"/>
                      <w:color w:val="auto"/>
                      <w:sz w:val="21"/>
                      <w:szCs w:val="21"/>
                      <w:vertAlign w:val="baseline"/>
                      <w:lang w:val="en-US" w:eastAsia="zh-CN"/>
                    </w:rPr>
                    <w:t>×</w:t>
                  </w:r>
                  <w:r>
                    <w:rPr>
                      <w:rFonts w:hint="eastAsia"/>
                      <w:color w:val="auto"/>
                      <w:sz w:val="21"/>
                      <w:szCs w:val="21"/>
                      <w:vertAlign w:val="baseline"/>
                      <w:lang w:val="en-US" w:eastAsia="zh-CN"/>
                    </w:rPr>
                    <w:t>2.5</w:t>
                  </w:r>
                  <w:r>
                    <w:rPr>
                      <w:rFonts w:hint="default" w:ascii="Arial" w:hAnsi="Arial" w:cs="Arial"/>
                      <w:color w:val="auto"/>
                      <w:sz w:val="21"/>
                      <w:szCs w:val="21"/>
                      <w:vertAlign w:val="baseline"/>
                      <w:lang w:val="en-US" w:eastAsia="zh-CN"/>
                    </w:rPr>
                    <w:t>×</w:t>
                  </w:r>
                  <w:r>
                    <w:rPr>
                      <w:rFonts w:hint="eastAsia"/>
                      <w:color w:val="auto"/>
                      <w:sz w:val="21"/>
                      <w:szCs w:val="21"/>
                      <w:vertAlign w:val="baseline"/>
                      <w:lang w:val="en-US" w:eastAsia="zh-CN"/>
                    </w:rPr>
                    <w:t>0.6m</w:t>
                  </w:r>
                </w:p>
              </w:tc>
              <w:tc>
                <w:tcPr>
                  <w:tcW w:w="1607" w:type="pct"/>
                  <w:noWrap w:val="0"/>
                  <w:vAlign w:val="center"/>
                </w:tcPr>
                <w:p w14:paraId="41A9E4E2">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槽内味液压油，pp材质</w:t>
                  </w:r>
                </w:p>
              </w:tc>
            </w:tr>
            <w:tr w14:paraId="45AB9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9" w:type="pct"/>
                  <w:shd w:val="clear" w:color="auto" w:fill="auto"/>
                  <w:noWrap w:val="0"/>
                  <w:vAlign w:val="center"/>
                </w:tcPr>
                <w:p w14:paraId="3D911E5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酸槽</w:t>
                  </w:r>
                </w:p>
              </w:tc>
              <w:tc>
                <w:tcPr>
                  <w:tcW w:w="746" w:type="pct"/>
                  <w:shd w:val="clear" w:color="auto" w:fill="auto"/>
                  <w:noWrap w:val="0"/>
                  <w:vAlign w:val="center"/>
                </w:tcPr>
                <w:p w14:paraId="301B550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1</w:t>
                  </w:r>
                </w:p>
              </w:tc>
              <w:tc>
                <w:tcPr>
                  <w:tcW w:w="730" w:type="pct"/>
                  <w:shd w:val="clear" w:color="auto" w:fill="auto"/>
                  <w:noWrap w:val="0"/>
                  <w:vAlign w:val="center"/>
                </w:tcPr>
                <w:p w14:paraId="3443FFA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5.25</w:t>
                  </w:r>
                </w:p>
              </w:tc>
              <w:tc>
                <w:tcPr>
                  <w:tcW w:w="1016" w:type="pct"/>
                  <w:shd w:val="clear" w:color="auto" w:fill="auto"/>
                  <w:noWrap w:val="0"/>
                  <w:vAlign w:val="center"/>
                </w:tcPr>
                <w:p w14:paraId="46AB863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3.5</w:t>
                  </w:r>
                  <w:r>
                    <w:rPr>
                      <w:rFonts w:hint="default" w:ascii="Arial" w:hAnsi="Arial" w:cs="Arial"/>
                      <w:color w:val="auto"/>
                      <w:sz w:val="21"/>
                      <w:szCs w:val="21"/>
                      <w:highlight w:val="none"/>
                      <w:vertAlign w:val="baseline"/>
                      <w:lang w:val="en-US" w:eastAsia="zh-CN"/>
                    </w:rPr>
                    <w:t>×</w:t>
                  </w:r>
                  <w:r>
                    <w:rPr>
                      <w:rFonts w:hint="eastAsia"/>
                      <w:color w:val="auto"/>
                      <w:sz w:val="21"/>
                      <w:szCs w:val="21"/>
                      <w:highlight w:val="none"/>
                      <w:vertAlign w:val="baseline"/>
                      <w:lang w:val="en-US" w:eastAsia="zh-CN"/>
                    </w:rPr>
                    <w:t>2.5</w:t>
                  </w:r>
                  <w:r>
                    <w:rPr>
                      <w:rFonts w:hint="default" w:ascii="Arial" w:hAnsi="Arial" w:cs="Arial"/>
                      <w:color w:val="auto"/>
                      <w:sz w:val="21"/>
                      <w:szCs w:val="21"/>
                      <w:highlight w:val="none"/>
                      <w:vertAlign w:val="baseline"/>
                      <w:lang w:val="en-US" w:eastAsia="zh-CN"/>
                    </w:rPr>
                    <w:t>×</w:t>
                  </w:r>
                  <w:r>
                    <w:rPr>
                      <w:rFonts w:hint="eastAsia"/>
                      <w:color w:val="auto"/>
                      <w:sz w:val="21"/>
                      <w:szCs w:val="21"/>
                      <w:highlight w:val="none"/>
                      <w:vertAlign w:val="baseline"/>
                      <w:lang w:val="en-US" w:eastAsia="zh-CN"/>
                    </w:rPr>
                    <w:t>0.6m</w:t>
                  </w:r>
                </w:p>
              </w:tc>
              <w:tc>
                <w:tcPr>
                  <w:tcW w:w="1607" w:type="pct"/>
                  <w:shd w:val="clear" w:color="auto" w:fill="auto"/>
                  <w:noWrap w:val="0"/>
                  <w:vAlign w:val="center"/>
                </w:tcPr>
                <w:p w14:paraId="6F8DAC2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槽内为盐酸，pp材质</w:t>
                  </w:r>
                </w:p>
              </w:tc>
            </w:tr>
            <w:tr w14:paraId="6898A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9" w:type="pct"/>
                  <w:shd w:val="clear" w:color="auto" w:fill="auto"/>
                  <w:noWrap w:val="0"/>
                  <w:vAlign w:val="center"/>
                </w:tcPr>
                <w:p w14:paraId="79626D7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叉车</w:t>
                  </w:r>
                </w:p>
              </w:tc>
              <w:tc>
                <w:tcPr>
                  <w:tcW w:w="746" w:type="pct"/>
                  <w:shd w:val="clear" w:color="auto" w:fill="auto"/>
                  <w:noWrap w:val="0"/>
                  <w:vAlign w:val="center"/>
                </w:tcPr>
                <w:p w14:paraId="1A40076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1辆</w:t>
                  </w:r>
                </w:p>
              </w:tc>
              <w:tc>
                <w:tcPr>
                  <w:tcW w:w="730" w:type="pct"/>
                  <w:shd w:val="clear" w:color="auto" w:fill="auto"/>
                  <w:noWrap w:val="0"/>
                  <w:vAlign w:val="center"/>
                </w:tcPr>
                <w:p w14:paraId="6EC6F28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w:t>
                  </w:r>
                </w:p>
              </w:tc>
              <w:tc>
                <w:tcPr>
                  <w:tcW w:w="1016" w:type="pct"/>
                  <w:shd w:val="clear" w:color="auto" w:fill="auto"/>
                  <w:noWrap w:val="0"/>
                  <w:vAlign w:val="center"/>
                </w:tcPr>
                <w:p w14:paraId="56F4185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w:t>
                  </w:r>
                </w:p>
              </w:tc>
              <w:tc>
                <w:tcPr>
                  <w:tcW w:w="1607" w:type="pct"/>
                  <w:shd w:val="clear" w:color="auto" w:fill="auto"/>
                  <w:noWrap w:val="0"/>
                  <w:vAlign w:val="center"/>
                </w:tcPr>
                <w:p w14:paraId="48D9933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物料运输</w:t>
                  </w:r>
                </w:p>
              </w:tc>
            </w:tr>
            <w:tr w14:paraId="1458B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9" w:type="pct"/>
                  <w:shd w:val="clear" w:color="auto" w:fill="auto"/>
                  <w:noWrap w:val="0"/>
                  <w:vAlign w:val="center"/>
                </w:tcPr>
                <w:p w14:paraId="670938A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喷淋塔</w:t>
                  </w:r>
                </w:p>
              </w:tc>
              <w:tc>
                <w:tcPr>
                  <w:tcW w:w="746" w:type="pct"/>
                  <w:shd w:val="clear" w:color="auto" w:fill="auto"/>
                  <w:noWrap w:val="0"/>
                  <w:vAlign w:val="center"/>
                </w:tcPr>
                <w:p w14:paraId="05BAFA8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1</w:t>
                  </w:r>
                </w:p>
              </w:tc>
              <w:tc>
                <w:tcPr>
                  <w:tcW w:w="730" w:type="pct"/>
                  <w:shd w:val="clear" w:color="auto" w:fill="auto"/>
                  <w:noWrap w:val="0"/>
                  <w:vAlign w:val="center"/>
                </w:tcPr>
                <w:p w14:paraId="2EEB6CF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w:t>
                  </w:r>
                </w:p>
              </w:tc>
              <w:tc>
                <w:tcPr>
                  <w:tcW w:w="1016" w:type="pct"/>
                  <w:shd w:val="clear" w:color="auto" w:fill="auto"/>
                  <w:noWrap w:val="0"/>
                  <w:vAlign w:val="center"/>
                </w:tcPr>
                <w:p w14:paraId="69F32C8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w:t>
                  </w:r>
                </w:p>
              </w:tc>
              <w:tc>
                <w:tcPr>
                  <w:tcW w:w="1607" w:type="pct"/>
                  <w:shd w:val="clear" w:color="auto" w:fill="auto"/>
                  <w:noWrap w:val="0"/>
                  <w:vAlign w:val="center"/>
                </w:tcPr>
                <w:p w14:paraId="04404E8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vertAlign w:val="baseline"/>
                      <w:lang w:val="en-US" w:eastAsia="zh-CN"/>
                    </w:rPr>
                    <w:t>用于废气治理</w:t>
                  </w:r>
                </w:p>
              </w:tc>
            </w:tr>
            <w:tr w14:paraId="257F0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9" w:type="pct"/>
                  <w:shd w:val="clear" w:color="auto" w:fill="auto"/>
                  <w:noWrap w:val="0"/>
                  <w:vAlign w:val="center"/>
                </w:tcPr>
                <w:p w14:paraId="616513B7">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废水池</w:t>
                  </w:r>
                </w:p>
              </w:tc>
              <w:tc>
                <w:tcPr>
                  <w:tcW w:w="746" w:type="pct"/>
                  <w:shd w:val="clear" w:color="auto" w:fill="auto"/>
                  <w:noWrap w:val="0"/>
                  <w:vAlign w:val="center"/>
                </w:tcPr>
                <w:p w14:paraId="0EC6C44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1</w:t>
                  </w:r>
                </w:p>
              </w:tc>
              <w:tc>
                <w:tcPr>
                  <w:tcW w:w="730" w:type="pct"/>
                  <w:shd w:val="clear" w:color="auto" w:fill="auto"/>
                  <w:noWrap w:val="0"/>
                  <w:vAlign w:val="center"/>
                </w:tcPr>
                <w:p w14:paraId="7CDFE62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color w:val="auto"/>
                      <w:sz w:val="21"/>
                      <w:szCs w:val="21"/>
                      <w:highlight w:val="none"/>
                      <w:vertAlign w:val="baseline"/>
                      <w:lang w:val="en-US" w:eastAsia="zh-CN"/>
                    </w:rPr>
                  </w:pPr>
                  <w:r>
                    <w:rPr>
                      <w:rFonts w:hint="eastAsia"/>
                      <w:color w:val="auto"/>
                      <w:sz w:val="21"/>
                      <w:szCs w:val="21"/>
                      <w:highlight w:val="none"/>
                      <w:vertAlign w:val="baseline"/>
                      <w:lang w:val="en-US" w:eastAsia="zh-CN"/>
                    </w:rPr>
                    <w:t>6</w:t>
                  </w:r>
                </w:p>
              </w:tc>
              <w:tc>
                <w:tcPr>
                  <w:tcW w:w="1016" w:type="pct"/>
                  <w:shd w:val="clear" w:color="auto" w:fill="auto"/>
                  <w:noWrap w:val="0"/>
                  <w:vAlign w:val="center"/>
                </w:tcPr>
                <w:p w14:paraId="239B320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2</w:t>
                  </w:r>
                  <w:r>
                    <w:rPr>
                      <w:rFonts w:hint="default" w:ascii="Arial" w:hAnsi="Arial" w:cs="Arial"/>
                      <w:color w:val="auto"/>
                      <w:sz w:val="21"/>
                      <w:szCs w:val="21"/>
                      <w:highlight w:val="none"/>
                      <w:vertAlign w:val="baseline"/>
                      <w:lang w:val="en-US" w:eastAsia="zh-CN"/>
                    </w:rPr>
                    <w:t>×</w:t>
                  </w:r>
                  <w:r>
                    <w:rPr>
                      <w:rFonts w:hint="eastAsia"/>
                      <w:color w:val="auto"/>
                      <w:sz w:val="21"/>
                      <w:szCs w:val="21"/>
                      <w:highlight w:val="none"/>
                      <w:vertAlign w:val="baseline"/>
                      <w:lang w:val="en-US" w:eastAsia="zh-CN"/>
                    </w:rPr>
                    <w:t>3</w:t>
                  </w:r>
                  <w:r>
                    <w:rPr>
                      <w:rFonts w:hint="default" w:ascii="Arial" w:hAnsi="Arial" w:cs="Arial"/>
                      <w:color w:val="auto"/>
                      <w:sz w:val="21"/>
                      <w:szCs w:val="21"/>
                      <w:highlight w:val="none"/>
                      <w:vertAlign w:val="baseline"/>
                      <w:lang w:val="en-US" w:eastAsia="zh-CN"/>
                    </w:rPr>
                    <w:t>×</w:t>
                  </w:r>
                  <w:r>
                    <w:rPr>
                      <w:rFonts w:hint="eastAsia"/>
                      <w:color w:val="auto"/>
                      <w:sz w:val="21"/>
                      <w:szCs w:val="21"/>
                      <w:highlight w:val="none"/>
                      <w:vertAlign w:val="baseline"/>
                      <w:lang w:val="en-US" w:eastAsia="zh-CN"/>
                    </w:rPr>
                    <w:t>1m</w:t>
                  </w:r>
                </w:p>
              </w:tc>
              <w:tc>
                <w:tcPr>
                  <w:tcW w:w="1607" w:type="pct"/>
                  <w:shd w:val="clear" w:color="auto" w:fill="auto"/>
                  <w:noWrap w:val="0"/>
                  <w:vAlign w:val="center"/>
                </w:tcPr>
                <w:p w14:paraId="3FC4BAA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暂存冲洗废水</w:t>
                  </w:r>
                </w:p>
              </w:tc>
            </w:tr>
          </w:tbl>
          <w:p w14:paraId="0A8CD1FE">
            <w:pPr>
              <w:pStyle w:val="9"/>
              <w:rPr>
                <w:color w:val="auto"/>
                <w:highlight w:val="none"/>
              </w:rPr>
            </w:pPr>
            <w:r>
              <w:rPr>
                <w:rFonts w:hint="eastAsia"/>
                <w:color w:val="auto"/>
                <w:highlight w:val="none"/>
                <w:lang w:val="en-US" w:eastAsia="zh-CN"/>
              </w:rPr>
              <w:t>3</w:t>
            </w:r>
            <w:r>
              <w:rPr>
                <w:rFonts w:hint="eastAsia"/>
                <w:color w:val="auto"/>
                <w:highlight w:val="none"/>
              </w:rPr>
              <w:t>.</w:t>
            </w:r>
            <w:r>
              <w:rPr>
                <w:color w:val="auto"/>
                <w:highlight w:val="none"/>
              </w:rPr>
              <w:t xml:space="preserve">4 </w:t>
            </w:r>
            <w:r>
              <w:rPr>
                <w:rFonts w:hint="eastAsia"/>
                <w:color w:val="auto"/>
                <w:highlight w:val="none"/>
                <w:lang w:val="en-US" w:eastAsia="zh-CN"/>
              </w:rPr>
              <w:t>扩建项目</w:t>
            </w:r>
            <w:r>
              <w:rPr>
                <w:color w:val="auto"/>
                <w:highlight w:val="none"/>
              </w:rPr>
              <w:t>主要原辅材料消耗</w:t>
            </w:r>
          </w:p>
          <w:p w14:paraId="3BE66171">
            <w:pPr>
              <w:pStyle w:val="47"/>
              <w:ind w:left="482" w:hanging="482"/>
              <w:rPr>
                <w:color w:val="auto"/>
                <w:highlight w:val="none"/>
              </w:rPr>
            </w:pPr>
            <w:r>
              <w:rPr>
                <w:color w:val="auto"/>
                <w:highlight w:val="none"/>
              </w:rPr>
              <w:t>表</w:t>
            </w:r>
            <w:r>
              <w:rPr>
                <w:rFonts w:hint="eastAsia"/>
                <w:color w:val="auto"/>
                <w:highlight w:val="none"/>
                <w:lang w:val="en-US" w:eastAsia="zh-CN"/>
              </w:rPr>
              <w:t xml:space="preserve">2-8 </w:t>
            </w:r>
            <w:r>
              <w:rPr>
                <w:color w:val="auto"/>
                <w:highlight w:val="none"/>
              </w:rPr>
              <w:t xml:space="preserve"> </w:t>
            </w:r>
            <w:r>
              <w:rPr>
                <w:rFonts w:hint="eastAsia"/>
                <w:color w:val="auto"/>
                <w:highlight w:val="none"/>
                <w:lang w:val="en-US" w:eastAsia="zh-CN"/>
              </w:rPr>
              <w:t>扩建项目</w:t>
            </w:r>
            <w:r>
              <w:rPr>
                <w:color w:val="auto"/>
                <w:highlight w:val="none"/>
              </w:rPr>
              <w:t>主要原辅材料</w:t>
            </w:r>
            <w:r>
              <w:rPr>
                <w:rFonts w:hint="eastAsia"/>
                <w:color w:val="auto"/>
                <w:highlight w:val="none"/>
              </w:rPr>
              <w:t>及能源</w:t>
            </w:r>
            <w:r>
              <w:rPr>
                <w:color w:val="auto"/>
                <w:highlight w:val="none"/>
              </w:rPr>
              <w:t>消耗一览表</w:t>
            </w:r>
          </w:p>
          <w:tbl>
            <w:tblPr>
              <w:tblStyle w:val="3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1" w:type="dxa"/>
                <w:bottom w:w="0" w:type="dxa"/>
                <w:right w:w="51" w:type="dxa"/>
              </w:tblCellMar>
            </w:tblPr>
            <w:tblGrid>
              <w:gridCol w:w="809"/>
              <w:gridCol w:w="1619"/>
              <w:gridCol w:w="1797"/>
              <w:gridCol w:w="4098"/>
            </w:tblGrid>
            <w:tr w14:paraId="0BEEF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95" w:hRule="atLeast"/>
                <w:jc w:val="center"/>
              </w:trPr>
              <w:tc>
                <w:tcPr>
                  <w:tcW w:w="486" w:type="pct"/>
                  <w:tcBorders>
                    <w:tl2br w:val="nil"/>
                    <w:tr2bl w:val="nil"/>
                  </w:tcBorders>
                  <w:vAlign w:val="center"/>
                </w:tcPr>
                <w:p w14:paraId="426FF5F3">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项目</w:t>
                  </w:r>
                </w:p>
              </w:tc>
              <w:tc>
                <w:tcPr>
                  <w:tcW w:w="972" w:type="pct"/>
                  <w:tcBorders>
                    <w:tl2br w:val="nil"/>
                    <w:tr2bl w:val="nil"/>
                  </w:tcBorders>
                  <w:vAlign w:val="center"/>
                </w:tcPr>
                <w:p w14:paraId="4764E926">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名称</w:t>
                  </w:r>
                </w:p>
              </w:tc>
              <w:tc>
                <w:tcPr>
                  <w:tcW w:w="1079" w:type="pct"/>
                  <w:tcBorders>
                    <w:tl2br w:val="nil"/>
                    <w:tr2bl w:val="nil"/>
                  </w:tcBorders>
                  <w:vAlign w:val="center"/>
                </w:tcPr>
                <w:p w14:paraId="10028DBC">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ascii="Times New Roman" w:hAnsi="Times New Roman" w:cs="Times New Roman"/>
                      <w:color w:val="auto"/>
                      <w:sz w:val="21"/>
                      <w:szCs w:val="21"/>
                      <w:highlight w:val="none"/>
                    </w:rPr>
                    <w:t>用量</w:t>
                  </w:r>
                  <w:r>
                    <w:rPr>
                      <w:rFonts w:hint="eastAsia" w:cs="Times New Roman"/>
                      <w:color w:val="auto"/>
                      <w:sz w:val="21"/>
                      <w:szCs w:val="21"/>
                      <w:highlight w:val="none"/>
                      <w:lang w:val="en-US" w:eastAsia="zh-CN"/>
                    </w:rPr>
                    <w:t>t/a</w:t>
                  </w:r>
                </w:p>
              </w:tc>
              <w:tc>
                <w:tcPr>
                  <w:tcW w:w="2461" w:type="pct"/>
                  <w:tcBorders>
                    <w:tl2br w:val="nil"/>
                    <w:tr2bl w:val="nil"/>
                  </w:tcBorders>
                  <w:vAlign w:val="center"/>
                </w:tcPr>
                <w:p w14:paraId="08DAF668">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其他说明</w:t>
                  </w:r>
                </w:p>
              </w:tc>
            </w:tr>
            <w:tr w14:paraId="162C5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23" w:hRule="exact"/>
                <w:jc w:val="center"/>
              </w:trPr>
              <w:tc>
                <w:tcPr>
                  <w:tcW w:w="486" w:type="pct"/>
                  <w:vMerge w:val="restart"/>
                  <w:tcBorders>
                    <w:tl2br w:val="nil"/>
                    <w:tr2bl w:val="nil"/>
                  </w:tcBorders>
                  <w:vAlign w:val="center"/>
                </w:tcPr>
                <w:p w14:paraId="43D68365">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原料</w:t>
                  </w:r>
                </w:p>
              </w:tc>
              <w:tc>
                <w:tcPr>
                  <w:tcW w:w="972" w:type="pct"/>
                  <w:tcBorders>
                    <w:tl2br w:val="nil"/>
                    <w:tr2bl w:val="nil"/>
                  </w:tcBorders>
                  <w:vAlign w:val="center"/>
                </w:tcPr>
                <w:p w14:paraId="373CD0E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olor w:val="auto"/>
                      <w:sz w:val="21"/>
                      <w:szCs w:val="21"/>
                      <w:vertAlign w:val="baseline"/>
                      <w:lang w:val="en-US" w:eastAsia="zh-CN"/>
                    </w:rPr>
                    <w:t>铁锭</w:t>
                  </w:r>
                </w:p>
              </w:tc>
              <w:tc>
                <w:tcPr>
                  <w:tcW w:w="1079" w:type="pct"/>
                  <w:tcBorders>
                    <w:tl2br w:val="nil"/>
                    <w:tr2bl w:val="nil"/>
                  </w:tcBorders>
                  <w:vAlign w:val="center"/>
                </w:tcPr>
                <w:p w14:paraId="2B6C7A3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eastAsia"/>
                      <w:color w:val="auto"/>
                      <w:sz w:val="21"/>
                      <w:szCs w:val="21"/>
                      <w:vertAlign w:val="baseline"/>
                      <w:lang w:val="en-US" w:eastAsia="zh-CN"/>
                    </w:rPr>
                    <w:t>560</w:t>
                  </w:r>
                </w:p>
              </w:tc>
              <w:tc>
                <w:tcPr>
                  <w:tcW w:w="2461" w:type="pct"/>
                  <w:tcBorders>
                    <w:tl2br w:val="nil"/>
                    <w:tr2bl w:val="nil"/>
                  </w:tcBorders>
                  <w:vAlign w:val="center"/>
                </w:tcPr>
                <w:p w14:paraId="374040F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olor w:val="auto"/>
                      <w:sz w:val="21"/>
                      <w:szCs w:val="21"/>
                      <w:vertAlign w:val="baseline"/>
                      <w:lang w:val="en-US" w:eastAsia="zh-CN"/>
                    </w:rPr>
                    <w:t>外购，生产模具原料</w:t>
                  </w:r>
                </w:p>
              </w:tc>
            </w:tr>
            <w:tr w14:paraId="06854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57" w:hRule="exact"/>
                <w:jc w:val="center"/>
              </w:trPr>
              <w:tc>
                <w:tcPr>
                  <w:tcW w:w="486" w:type="pct"/>
                  <w:vMerge w:val="continue"/>
                  <w:tcBorders>
                    <w:tl2br w:val="nil"/>
                    <w:tr2bl w:val="nil"/>
                  </w:tcBorders>
                  <w:vAlign w:val="center"/>
                </w:tcPr>
                <w:p w14:paraId="78E53BA0">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p>
              </w:tc>
              <w:tc>
                <w:tcPr>
                  <w:tcW w:w="972" w:type="pct"/>
                  <w:tcBorders>
                    <w:tl2br w:val="nil"/>
                    <w:tr2bl w:val="nil"/>
                  </w:tcBorders>
                  <w:vAlign w:val="center"/>
                </w:tcPr>
                <w:p w14:paraId="552DE5E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olor w:val="auto"/>
                      <w:sz w:val="21"/>
                      <w:szCs w:val="21"/>
                      <w:vertAlign w:val="baseline"/>
                      <w:lang w:val="en-US" w:eastAsia="zh-CN"/>
                    </w:rPr>
                    <w:t>高分子密度板</w:t>
                  </w:r>
                </w:p>
              </w:tc>
              <w:tc>
                <w:tcPr>
                  <w:tcW w:w="1079" w:type="pct"/>
                  <w:tcBorders>
                    <w:tl2br w:val="nil"/>
                    <w:tr2bl w:val="nil"/>
                  </w:tcBorders>
                  <w:vAlign w:val="center"/>
                </w:tcPr>
                <w:p w14:paraId="38331A6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olor w:val="auto"/>
                      <w:sz w:val="21"/>
                      <w:szCs w:val="21"/>
                      <w:vertAlign w:val="baseline"/>
                      <w:lang w:val="en-US" w:eastAsia="zh-CN"/>
                    </w:rPr>
                    <w:t>10</w:t>
                  </w:r>
                </w:p>
              </w:tc>
              <w:tc>
                <w:tcPr>
                  <w:tcW w:w="2461" w:type="pct"/>
                  <w:tcBorders>
                    <w:tl2br w:val="nil"/>
                    <w:tr2bl w:val="nil"/>
                  </w:tcBorders>
                  <w:vAlign w:val="center"/>
                </w:tcPr>
                <w:p w14:paraId="5E8285A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olor w:val="auto"/>
                      <w:sz w:val="21"/>
                      <w:szCs w:val="21"/>
                      <w:vertAlign w:val="baseline"/>
                      <w:lang w:val="en-US" w:eastAsia="zh-CN"/>
                    </w:rPr>
                    <w:t>生产芯子、汽车密封饰条原料</w:t>
                  </w:r>
                </w:p>
              </w:tc>
            </w:tr>
            <w:tr w14:paraId="3AB9C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68" w:hRule="exact"/>
                <w:jc w:val="center"/>
              </w:trPr>
              <w:tc>
                <w:tcPr>
                  <w:tcW w:w="486" w:type="pct"/>
                  <w:vMerge w:val="continue"/>
                  <w:tcBorders>
                    <w:tl2br w:val="nil"/>
                    <w:tr2bl w:val="nil"/>
                  </w:tcBorders>
                  <w:vAlign w:val="center"/>
                </w:tcPr>
                <w:p w14:paraId="408CA91B">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p>
              </w:tc>
              <w:tc>
                <w:tcPr>
                  <w:tcW w:w="972" w:type="pct"/>
                  <w:tcBorders>
                    <w:tl2br w:val="nil"/>
                    <w:tr2bl w:val="nil"/>
                  </w:tcBorders>
                  <w:vAlign w:val="center"/>
                </w:tcPr>
                <w:p w14:paraId="06EC81A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olor w:val="auto"/>
                      <w:sz w:val="21"/>
                      <w:szCs w:val="21"/>
                      <w:vertAlign w:val="baseline"/>
                      <w:lang w:val="en-US" w:eastAsia="zh-CN"/>
                    </w:rPr>
                    <w:t>半成品</w:t>
                  </w:r>
                </w:p>
              </w:tc>
              <w:tc>
                <w:tcPr>
                  <w:tcW w:w="1079" w:type="pct"/>
                  <w:tcBorders>
                    <w:tl2br w:val="nil"/>
                    <w:tr2bl w:val="nil"/>
                  </w:tcBorders>
                  <w:vAlign w:val="center"/>
                </w:tcPr>
                <w:p w14:paraId="04F65A9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eastAsia"/>
                      <w:color w:val="auto"/>
                      <w:sz w:val="21"/>
                      <w:szCs w:val="21"/>
                      <w:vertAlign w:val="baseline"/>
                      <w:lang w:val="en-US" w:eastAsia="zh-CN"/>
                    </w:rPr>
                    <w:t>270</w:t>
                  </w:r>
                </w:p>
              </w:tc>
              <w:tc>
                <w:tcPr>
                  <w:tcW w:w="2461" w:type="pct"/>
                  <w:tcBorders>
                    <w:tl2br w:val="nil"/>
                    <w:tr2bl w:val="nil"/>
                  </w:tcBorders>
                  <w:vAlign w:val="center"/>
                </w:tcPr>
                <w:p w14:paraId="51EB375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olor w:val="auto"/>
                      <w:sz w:val="21"/>
                      <w:szCs w:val="21"/>
                      <w:vertAlign w:val="baseline"/>
                      <w:lang w:val="en-US" w:eastAsia="zh-CN"/>
                    </w:rPr>
                    <w:t>协议单位委托加工的半成品</w:t>
                  </w:r>
                </w:p>
              </w:tc>
            </w:tr>
            <w:tr w14:paraId="124B9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46" w:hRule="exact"/>
                <w:jc w:val="center"/>
              </w:trPr>
              <w:tc>
                <w:tcPr>
                  <w:tcW w:w="486" w:type="pct"/>
                  <w:vMerge w:val="restart"/>
                  <w:tcBorders>
                    <w:tl2br w:val="nil"/>
                    <w:tr2bl w:val="nil"/>
                  </w:tcBorders>
                  <w:vAlign w:val="center"/>
                </w:tcPr>
                <w:p w14:paraId="2F85A22B">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eastAsia"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val="en-US" w:eastAsia="zh-CN"/>
                    </w:rPr>
                    <w:t>辅料</w:t>
                  </w:r>
                </w:p>
              </w:tc>
              <w:tc>
                <w:tcPr>
                  <w:tcW w:w="972" w:type="pct"/>
                  <w:tcBorders>
                    <w:tl2br w:val="nil"/>
                    <w:tr2bl w:val="nil"/>
                  </w:tcBorders>
                  <w:vAlign w:val="center"/>
                </w:tcPr>
                <w:p w14:paraId="1D7824D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olor w:val="auto"/>
                      <w:sz w:val="21"/>
                      <w:szCs w:val="21"/>
                      <w:vertAlign w:val="baseline"/>
                      <w:lang w:val="en-US" w:eastAsia="zh-CN"/>
                    </w:rPr>
                    <w:t>切削液</w:t>
                  </w:r>
                </w:p>
              </w:tc>
              <w:tc>
                <w:tcPr>
                  <w:tcW w:w="1079" w:type="pct"/>
                  <w:tcBorders>
                    <w:tl2br w:val="nil"/>
                    <w:tr2bl w:val="nil"/>
                  </w:tcBorders>
                  <w:vAlign w:val="center"/>
                </w:tcPr>
                <w:p w14:paraId="30FF837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olor w:val="auto"/>
                      <w:sz w:val="21"/>
                      <w:szCs w:val="21"/>
                      <w:vertAlign w:val="baseline"/>
                      <w:lang w:val="en-US" w:eastAsia="zh-CN"/>
                    </w:rPr>
                    <w:t>0.3</w:t>
                  </w:r>
                </w:p>
              </w:tc>
              <w:tc>
                <w:tcPr>
                  <w:tcW w:w="2461" w:type="pct"/>
                  <w:tcBorders>
                    <w:tl2br w:val="nil"/>
                    <w:tr2bl w:val="nil"/>
                  </w:tcBorders>
                  <w:vAlign w:val="center"/>
                </w:tcPr>
                <w:p w14:paraId="25341E7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加工使用</w:t>
                  </w:r>
                </w:p>
              </w:tc>
            </w:tr>
            <w:tr w14:paraId="421A1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13" w:hRule="exact"/>
                <w:jc w:val="center"/>
              </w:trPr>
              <w:tc>
                <w:tcPr>
                  <w:tcW w:w="486" w:type="pct"/>
                  <w:vMerge w:val="continue"/>
                  <w:tcBorders>
                    <w:tl2br w:val="nil"/>
                    <w:tr2bl w:val="nil"/>
                  </w:tcBorders>
                  <w:vAlign w:val="center"/>
                </w:tcPr>
                <w:p w14:paraId="011915BE">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eastAsia" w:ascii="Times New Roman" w:hAnsi="Times New Roman" w:cs="Times New Roman"/>
                      <w:color w:val="auto"/>
                      <w:sz w:val="21"/>
                      <w:szCs w:val="21"/>
                      <w:highlight w:val="none"/>
                      <w:lang w:val="en-US" w:eastAsia="zh-CN"/>
                    </w:rPr>
                  </w:pPr>
                </w:p>
              </w:tc>
              <w:tc>
                <w:tcPr>
                  <w:tcW w:w="972" w:type="pct"/>
                  <w:tcBorders>
                    <w:tl2br w:val="nil"/>
                    <w:tr2bl w:val="nil"/>
                  </w:tcBorders>
                  <w:vAlign w:val="center"/>
                </w:tcPr>
                <w:p w14:paraId="70F8AD9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cs="Times New Roman"/>
                      <w:color w:val="auto"/>
                      <w:sz w:val="21"/>
                      <w:szCs w:val="21"/>
                      <w:highlight w:val="none"/>
                      <w:lang w:val="en-US" w:eastAsia="zh-CN"/>
                    </w:rPr>
                  </w:pPr>
                  <w:r>
                    <w:rPr>
                      <w:rFonts w:hint="eastAsia"/>
                      <w:color w:val="auto"/>
                      <w:sz w:val="21"/>
                      <w:szCs w:val="21"/>
                      <w:vertAlign w:val="baseline"/>
                      <w:lang w:val="en-US" w:eastAsia="zh-CN"/>
                    </w:rPr>
                    <w:t>机油</w:t>
                  </w:r>
                </w:p>
              </w:tc>
              <w:tc>
                <w:tcPr>
                  <w:tcW w:w="1079" w:type="pct"/>
                  <w:tcBorders>
                    <w:tl2br w:val="nil"/>
                    <w:tr2bl w:val="nil"/>
                  </w:tcBorders>
                  <w:vAlign w:val="center"/>
                </w:tcPr>
                <w:p w14:paraId="08707EE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cs="Times New Roman"/>
                      <w:color w:val="auto"/>
                      <w:sz w:val="21"/>
                      <w:szCs w:val="21"/>
                      <w:highlight w:val="none"/>
                      <w:lang w:val="en-US" w:eastAsia="zh-CN"/>
                    </w:rPr>
                  </w:pPr>
                  <w:r>
                    <w:rPr>
                      <w:rFonts w:hint="eastAsia"/>
                      <w:color w:val="auto"/>
                      <w:sz w:val="21"/>
                      <w:szCs w:val="21"/>
                      <w:vertAlign w:val="baseline"/>
                      <w:lang w:val="en-US" w:eastAsia="zh-CN"/>
                    </w:rPr>
                    <w:t>0.3</w:t>
                  </w:r>
                </w:p>
              </w:tc>
              <w:tc>
                <w:tcPr>
                  <w:tcW w:w="2461" w:type="pct"/>
                  <w:tcBorders>
                    <w:tl2br w:val="nil"/>
                    <w:tr2bl w:val="nil"/>
                  </w:tcBorders>
                  <w:vAlign w:val="center"/>
                </w:tcPr>
                <w:p w14:paraId="5A4D248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设备使用</w:t>
                  </w:r>
                </w:p>
              </w:tc>
            </w:tr>
            <w:tr w14:paraId="06839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10" w:hRule="atLeast"/>
                <w:jc w:val="center"/>
              </w:trPr>
              <w:tc>
                <w:tcPr>
                  <w:tcW w:w="486" w:type="pct"/>
                  <w:vMerge w:val="continue"/>
                  <w:tcBorders>
                    <w:tl2br w:val="nil"/>
                    <w:tr2bl w:val="nil"/>
                  </w:tcBorders>
                  <w:vAlign w:val="center"/>
                </w:tcPr>
                <w:p w14:paraId="0F7386B0">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eastAsia" w:ascii="Times New Roman" w:hAnsi="Times New Roman" w:cs="Times New Roman"/>
                      <w:color w:val="auto"/>
                      <w:sz w:val="21"/>
                      <w:szCs w:val="21"/>
                      <w:highlight w:val="none"/>
                      <w:lang w:val="en-US" w:eastAsia="zh-CN"/>
                    </w:rPr>
                  </w:pPr>
                </w:p>
              </w:tc>
              <w:tc>
                <w:tcPr>
                  <w:tcW w:w="972" w:type="pct"/>
                  <w:tcBorders>
                    <w:tl2br w:val="nil"/>
                    <w:tr2bl w:val="nil"/>
                  </w:tcBorders>
                  <w:vAlign w:val="center"/>
                </w:tcPr>
                <w:p w14:paraId="13146C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cs="Times New Roman"/>
                      <w:color w:val="auto"/>
                      <w:sz w:val="21"/>
                      <w:szCs w:val="21"/>
                      <w:highlight w:val="none"/>
                      <w:lang w:val="en-US" w:eastAsia="zh-CN"/>
                    </w:rPr>
                  </w:pPr>
                  <w:r>
                    <w:rPr>
                      <w:rFonts w:hint="eastAsia"/>
                      <w:color w:val="auto"/>
                      <w:sz w:val="21"/>
                      <w:szCs w:val="21"/>
                      <w:vertAlign w:val="baseline"/>
                      <w:lang w:val="en-US" w:eastAsia="zh-CN"/>
                    </w:rPr>
                    <w:t>片碱</w:t>
                  </w:r>
                </w:p>
              </w:tc>
              <w:tc>
                <w:tcPr>
                  <w:tcW w:w="1079" w:type="pct"/>
                  <w:tcBorders>
                    <w:tl2br w:val="nil"/>
                    <w:tr2bl w:val="nil"/>
                  </w:tcBorders>
                  <w:vAlign w:val="center"/>
                </w:tcPr>
                <w:p w14:paraId="3BD8996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cs="Times New Roman"/>
                      <w:color w:val="auto"/>
                      <w:sz w:val="21"/>
                      <w:szCs w:val="21"/>
                      <w:highlight w:val="none"/>
                      <w:lang w:val="en-US" w:eastAsia="zh-CN"/>
                    </w:rPr>
                  </w:pPr>
                  <w:r>
                    <w:rPr>
                      <w:rFonts w:hint="eastAsia"/>
                      <w:color w:val="auto"/>
                      <w:sz w:val="21"/>
                      <w:szCs w:val="21"/>
                      <w:vertAlign w:val="baseline"/>
                      <w:lang w:val="en-US" w:eastAsia="zh-CN"/>
                    </w:rPr>
                    <w:t>10</w:t>
                  </w:r>
                </w:p>
              </w:tc>
              <w:tc>
                <w:tcPr>
                  <w:tcW w:w="2461" w:type="pct"/>
                  <w:tcBorders>
                    <w:tl2br w:val="nil"/>
                    <w:tr2bl w:val="nil"/>
                  </w:tcBorders>
                  <w:vAlign w:val="center"/>
                </w:tcPr>
                <w:p w14:paraId="3FC8039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cs="Times New Roman" w:eastAsiaTheme="minorEastAsia"/>
                      <w:color w:val="auto"/>
                      <w:sz w:val="21"/>
                      <w:szCs w:val="21"/>
                      <w:highlight w:val="none"/>
                      <w:lang w:val="en-US" w:eastAsia="zh-CN"/>
                    </w:rPr>
                  </w:pPr>
                  <w:r>
                    <w:rPr>
                      <w:rFonts w:hint="eastAsia"/>
                      <w:color w:val="auto"/>
                      <w:sz w:val="21"/>
                      <w:szCs w:val="21"/>
                      <w:vertAlign w:val="baseline"/>
                      <w:lang w:val="en-US" w:eastAsia="zh-CN"/>
                    </w:rPr>
                    <w:t>用于碱洗、碱喷淋</w:t>
                  </w:r>
                </w:p>
              </w:tc>
            </w:tr>
            <w:tr w14:paraId="622A7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52" w:hRule="exact"/>
                <w:jc w:val="center"/>
              </w:trPr>
              <w:tc>
                <w:tcPr>
                  <w:tcW w:w="486" w:type="pct"/>
                  <w:vMerge w:val="continue"/>
                  <w:tcBorders>
                    <w:tl2br w:val="nil"/>
                    <w:tr2bl w:val="nil"/>
                  </w:tcBorders>
                  <w:vAlign w:val="center"/>
                </w:tcPr>
                <w:p w14:paraId="68260F74">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p>
              </w:tc>
              <w:tc>
                <w:tcPr>
                  <w:tcW w:w="972" w:type="pct"/>
                  <w:tcBorders>
                    <w:tl2br w:val="nil"/>
                    <w:tr2bl w:val="nil"/>
                  </w:tcBorders>
                  <w:vAlign w:val="center"/>
                </w:tcPr>
                <w:p w14:paraId="56C50F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color w:val="auto"/>
                      <w:sz w:val="21"/>
                      <w:szCs w:val="21"/>
                      <w:vertAlign w:val="baseline"/>
                      <w:lang w:val="en-US" w:eastAsia="zh-CN"/>
                    </w:rPr>
                    <w:t>盐酸（30%）</w:t>
                  </w:r>
                </w:p>
              </w:tc>
              <w:tc>
                <w:tcPr>
                  <w:tcW w:w="1079" w:type="pct"/>
                  <w:tcBorders>
                    <w:tl2br w:val="nil"/>
                    <w:tr2bl w:val="nil"/>
                  </w:tcBorders>
                  <w:vAlign w:val="center"/>
                </w:tcPr>
                <w:p w14:paraId="48A31A3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ascii="Times New Roman" w:hAnsi="Times New Roman" w:cs="Times New Roman"/>
                      <w:color w:val="auto"/>
                      <w:sz w:val="21"/>
                      <w:szCs w:val="21"/>
                      <w:highlight w:val="none"/>
                    </w:rPr>
                  </w:pPr>
                  <w:r>
                    <w:rPr>
                      <w:rFonts w:hint="eastAsia"/>
                      <w:color w:val="auto"/>
                      <w:sz w:val="21"/>
                      <w:szCs w:val="21"/>
                      <w:vertAlign w:val="baseline"/>
                      <w:lang w:val="en-US" w:eastAsia="zh-CN"/>
                    </w:rPr>
                    <w:t>6</w:t>
                  </w:r>
                </w:p>
              </w:tc>
              <w:tc>
                <w:tcPr>
                  <w:tcW w:w="2461" w:type="pct"/>
                  <w:tcBorders>
                    <w:tl2br w:val="nil"/>
                    <w:tr2bl w:val="nil"/>
                  </w:tcBorders>
                  <w:vAlign w:val="center"/>
                </w:tcPr>
                <w:p w14:paraId="1A8DB34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highlight w:val="none"/>
                      <w:lang w:val="en-US"/>
                    </w:rPr>
                  </w:pPr>
                  <w:r>
                    <w:rPr>
                      <w:rFonts w:hint="eastAsia"/>
                      <w:color w:val="auto"/>
                      <w:sz w:val="21"/>
                      <w:szCs w:val="21"/>
                      <w:vertAlign w:val="baseline"/>
                      <w:lang w:val="en-US" w:eastAsia="zh-CN"/>
                    </w:rPr>
                    <w:t>用于酸洗，备用盐酸存放于盐酸库内</w:t>
                  </w:r>
                </w:p>
              </w:tc>
            </w:tr>
            <w:tr w14:paraId="029BA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43" w:hRule="exact"/>
                <w:jc w:val="center"/>
              </w:trPr>
              <w:tc>
                <w:tcPr>
                  <w:tcW w:w="486" w:type="pct"/>
                  <w:vMerge w:val="continue"/>
                  <w:tcBorders>
                    <w:tl2br w:val="nil"/>
                    <w:tr2bl w:val="nil"/>
                  </w:tcBorders>
                  <w:vAlign w:val="center"/>
                </w:tcPr>
                <w:p w14:paraId="6EA9C1CD">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p>
              </w:tc>
              <w:tc>
                <w:tcPr>
                  <w:tcW w:w="972" w:type="pct"/>
                  <w:tcBorders>
                    <w:tl2br w:val="nil"/>
                    <w:tr2bl w:val="nil"/>
                  </w:tcBorders>
                  <w:vAlign w:val="center"/>
                </w:tcPr>
                <w:p w14:paraId="7A5222D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olor w:val="auto"/>
                      <w:sz w:val="21"/>
                      <w:szCs w:val="21"/>
                      <w:vertAlign w:val="baseline"/>
                      <w:lang w:val="en-US" w:eastAsia="zh-CN"/>
                    </w:rPr>
                    <w:t>液压油</w:t>
                  </w:r>
                </w:p>
              </w:tc>
              <w:tc>
                <w:tcPr>
                  <w:tcW w:w="1079" w:type="pct"/>
                  <w:tcBorders>
                    <w:tl2br w:val="nil"/>
                    <w:tr2bl w:val="nil"/>
                  </w:tcBorders>
                  <w:vAlign w:val="center"/>
                </w:tcPr>
                <w:p w14:paraId="03CC0FE7">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cs="Times New Roman"/>
                      <w:color w:val="auto"/>
                      <w:sz w:val="21"/>
                      <w:szCs w:val="21"/>
                      <w:highlight w:val="none"/>
                      <w:lang w:val="en-US" w:eastAsia="zh-CN"/>
                    </w:rPr>
                  </w:pPr>
                  <w:r>
                    <w:rPr>
                      <w:rFonts w:hint="eastAsia"/>
                      <w:color w:val="auto"/>
                      <w:sz w:val="21"/>
                      <w:szCs w:val="21"/>
                      <w:vertAlign w:val="baseline"/>
                      <w:lang w:val="en-US" w:eastAsia="zh-CN"/>
                    </w:rPr>
                    <w:t>2</w:t>
                  </w:r>
                </w:p>
              </w:tc>
              <w:tc>
                <w:tcPr>
                  <w:tcW w:w="2461" w:type="pct"/>
                  <w:tcBorders>
                    <w:tl2br w:val="nil"/>
                    <w:tr2bl w:val="nil"/>
                  </w:tcBorders>
                  <w:vAlign w:val="center"/>
                </w:tcPr>
                <w:p w14:paraId="2C6215F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olor w:val="auto"/>
                      <w:sz w:val="21"/>
                      <w:szCs w:val="21"/>
                      <w:vertAlign w:val="baseline"/>
                      <w:lang w:val="en-US" w:eastAsia="zh-CN"/>
                    </w:rPr>
                    <w:t>用于油洗</w:t>
                  </w:r>
                </w:p>
              </w:tc>
            </w:tr>
            <w:tr w14:paraId="6DA14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57" w:hRule="exact"/>
                <w:jc w:val="center"/>
              </w:trPr>
              <w:tc>
                <w:tcPr>
                  <w:tcW w:w="486" w:type="pct"/>
                  <w:vMerge w:val="continue"/>
                  <w:tcBorders>
                    <w:tl2br w:val="nil"/>
                    <w:tr2bl w:val="nil"/>
                  </w:tcBorders>
                  <w:vAlign w:val="center"/>
                </w:tcPr>
                <w:p w14:paraId="0888732A">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p>
              </w:tc>
              <w:tc>
                <w:tcPr>
                  <w:tcW w:w="972" w:type="pct"/>
                  <w:tcBorders>
                    <w:tl2br w:val="nil"/>
                    <w:tr2bl w:val="nil"/>
                  </w:tcBorders>
                  <w:vAlign w:val="center"/>
                </w:tcPr>
                <w:p w14:paraId="4556D78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柴油</w:t>
                  </w:r>
                </w:p>
              </w:tc>
              <w:tc>
                <w:tcPr>
                  <w:tcW w:w="1079" w:type="pct"/>
                  <w:tcBorders>
                    <w:tl2br w:val="nil"/>
                    <w:tr2bl w:val="nil"/>
                  </w:tcBorders>
                  <w:vAlign w:val="center"/>
                </w:tcPr>
                <w:p w14:paraId="196AFD9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2</w:t>
                  </w:r>
                </w:p>
              </w:tc>
              <w:tc>
                <w:tcPr>
                  <w:tcW w:w="2461" w:type="pct"/>
                  <w:tcBorders>
                    <w:tl2br w:val="nil"/>
                    <w:tr2bl w:val="nil"/>
                  </w:tcBorders>
                  <w:vAlign w:val="center"/>
                </w:tcPr>
                <w:p w14:paraId="6592A0F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叉车使用，厂区内不存放</w:t>
                  </w:r>
                </w:p>
              </w:tc>
            </w:tr>
            <w:tr w14:paraId="4BF4E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65" w:hRule="exact"/>
                <w:jc w:val="center"/>
              </w:trPr>
              <w:tc>
                <w:tcPr>
                  <w:tcW w:w="486" w:type="pct"/>
                  <w:vMerge w:val="restart"/>
                  <w:tcBorders>
                    <w:tl2br w:val="nil"/>
                    <w:tr2bl w:val="nil"/>
                  </w:tcBorders>
                  <w:vAlign w:val="center"/>
                </w:tcPr>
                <w:p w14:paraId="44992FD5">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能源</w:t>
                  </w:r>
                </w:p>
              </w:tc>
              <w:tc>
                <w:tcPr>
                  <w:tcW w:w="972" w:type="pct"/>
                  <w:tcBorders>
                    <w:tl2br w:val="nil"/>
                    <w:tr2bl w:val="nil"/>
                  </w:tcBorders>
                  <w:shd w:val="clear" w:color="auto" w:fill="auto"/>
                  <w:vAlign w:val="center"/>
                </w:tcPr>
                <w:p w14:paraId="2AEBB667">
                  <w:pPr>
                    <w:pStyle w:val="32"/>
                    <w:adjustRightInd w:val="0"/>
                    <w:snapToGrid w:val="0"/>
                    <w:spacing w:after="0"/>
                    <w:ind w:right="113" w:rightChars="0" w:firstLine="0" w:firstLineChars="0"/>
                    <w:jc w:val="center"/>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电</w:t>
                  </w:r>
                </w:p>
              </w:tc>
              <w:tc>
                <w:tcPr>
                  <w:tcW w:w="1079" w:type="pct"/>
                  <w:tcBorders>
                    <w:tl2br w:val="nil"/>
                    <w:tr2bl w:val="nil"/>
                  </w:tcBorders>
                  <w:shd w:val="clear" w:color="auto" w:fill="auto"/>
                  <w:vAlign w:val="center"/>
                </w:tcPr>
                <w:p w14:paraId="0FA857D5">
                  <w:pPr>
                    <w:pStyle w:val="32"/>
                    <w:keepNext w:val="0"/>
                    <w:keepLines w:val="0"/>
                    <w:pageBreakBefore w:val="0"/>
                    <w:widowControl/>
                    <w:kinsoku/>
                    <w:wordWrap/>
                    <w:overflowPunct/>
                    <w:topLinePunct w:val="0"/>
                    <w:autoSpaceDE/>
                    <w:autoSpaceDN/>
                    <w:bidi w:val="0"/>
                    <w:adjustRightInd w:val="0"/>
                    <w:snapToGrid w:val="0"/>
                    <w:spacing w:after="0" w:line="240" w:lineRule="auto"/>
                    <w:ind w:right="0" w:rightChars="0"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sz w:val="21"/>
                      <w:szCs w:val="21"/>
                      <w:highlight w:val="none"/>
                      <w:lang w:val="en-US" w:eastAsia="zh-CN"/>
                    </w:rPr>
                    <w:t>3万</w:t>
                  </w:r>
                  <w:r>
                    <w:rPr>
                      <w:rFonts w:hint="eastAsia" w:ascii="Times New Roman" w:hAnsi="Times New Roman" w:cs="Times New Roman"/>
                      <w:color w:val="auto"/>
                      <w:sz w:val="21"/>
                      <w:szCs w:val="21"/>
                      <w:highlight w:val="none"/>
                    </w:rPr>
                    <w:t>Kwh/a</w:t>
                  </w:r>
                </w:p>
              </w:tc>
              <w:tc>
                <w:tcPr>
                  <w:tcW w:w="2461" w:type="pct"/>
                  <w:tcBorders>
                    <w:tl2br w:val="nil"/>
                    <w:tr2bl w:val="nil"/>
                  </w:tcBorders>
                  <w:shd w:val="clear" w:color="auto" w:fill="auto"/>
                  <w:vAlign w:val="center"/>
                </w:tcPr>
                <w:p w14:paraId="502CC41E">
                  <w:pPr>
                    <w:pStyle w:val="58"/>
                    <w:ind w:firstLine="0" w:firstLineChars="0"/>
                    <w:rPr>
                      <w:rFonts w:hint="eastAsia" w:ascii="Times New Roman" w:hAnsi="Times New Roman" w:eastAsia="宋体" w:cs="Times New Roman"/>
                      <w:color w:val="auto"/>
                      <w:kern w:val="0"/>
                      <w:sz w:val="21"/>
                      <w:szCs w:val="21"/>
                      <w:highlight w:val="none"/>
                      <w:lang w:val="en-US" w:eastAsia="zh-CN" w:bidi="ar-SA"/>
                    </w:rPr>
                  </w:pPr>
                  <w:r>
                    <w:rPr>
                      <w:rFonts w:ascii="Times New Roman" w:hAnsi="Times New Roman"/>
                      <w:color w:val="auto"/>
                      <w:highlight w:val="none"/>
                    </w:rPr>
                    <w:t>供电由当地电网供给</w:t>
                  </w:r>
                </w:p>
              </w:tc>
            </w:tr>
            <w:tr w14:paraId="65C7D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65" w:hRule="exact"/>
                <w:jc w:val="center"/>
              </w:trPr>
              <w:tc>
                <w:tcPr>
                  <w:tcW w:w="486" w:type="pct"/>
                  <w:vMerge w:val="continue"/>
                </w:tcPr>
                <w:p w14:paraId="12AD0C7B">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p>
              </w:tc>
              <w:tc>
                <w:tcPr>
                  <w:tcW w:w="0" w:type="auto"/>
                  <w:shd w:val="clear" w:color="auto" w:fill="auto"/>
                  <w:vAlign w:val="center"/>
                </w:tcPr>
                <w:p w14:paraId="602F5CED">
                  <w:pPr>
                    <w:pStyle w:val="32"/>
                    <w:adjustRightInd w:val="0"/>
                    <w:snapToGrid w:val="0"/>
                    <w:spacing w:after="0"/>
                    <w:ind w:right="113" w:rightChars="0" w:firstLine="0" w:firstLineChars="0"/>
                    <w:jc w:val="center"/>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sz w:val="21"/>
                      <w:szCs w:val="21"/>
                      <w:highlight w:val="none"/>
                      <w:lang w:val="en-US" w:eastAsia="zh-CN"/>
                    </w:rPr>
                    <w:t>水</w:t>
                  </w:r>
                </w:p>
              </w:tc>
              <w:tc>
                <w:tcPr>
                  <w:tcW w:w="1079" w:type="pct"/>
                  <w:shd w:val="clear" w:color="auto" w:fill="auto"/>
                  <w:vAlign w:val="center"/>
                </w:tcPr>
                <w:p w14:paraId="45B95A54">
                  <w:pPr>
                    <w:pStyle w:val="32"/>
                    <w:keepNext w:val="0"/>
                    <w:keepLines w:val="0"/>
                    <w:pageBreakBefore w:val="0"/>
                    <w:widowControl/>
                    <w:kinsoku/>
                    <w:wordWrap/>
                    <w:overflowPunct/>
                    <w:topLinePunct w:val="0"/>
                    <w:autoSpaceDE/>
                    <w:autoSpaceDN/>
                    <w:bidi w:val="0"/>
                    <w:adjustRightInd w:val="0"/>
                    <w:snapToGrid w:val="0"/>
                    <w:spacing w:after="0" w:line="240" w:lineRule="auto"/>
                    <w:ind w:right="0" w:rightChars="0"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sz w:val="21"/>
                      <w:szCs w:val="21"/>
                      <w:highlight w:val="none"/>
                      <w:lang w:val="en-US" w:eastAsia="zh-CN"/>
                    </w:rPr>
                    <w:t>337.2m</w:t>
                  </w:r>
                  <w:r>
                    <w:rPr>
                      <w:rFonts w:hint="eastAsia"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/a</w:t>
                  </w:r>
                </w:p>
              </w:tc>
              <w:tc>
                <w:tcPr>
                  <w:tcW w:w="2461" w:type="pct"/>
                  <w:shd w:val="clear" w:color="auto" w:fill="auto"/>
                  <w:vAlign w:val="center"/>
                </w:tcPr>
                <w:p w14:paraId="44CAF14B">
                  <w:pPr>
                    <w:pStyle w:val="58"/>
                    <w:ind w:firstLine="0" w:firstLineChars="0"/>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color w:val="auto"/>
                      <w:highlight w:val="none"/>
                      <w:lang w:val="en-US" w:eastAsia="zh-CN"/>
                    </w:rPr>
                    <w:t>市政供水管网</w:t>
                  </w:r>
                </w:p>
              </w:tc>
            </w:tr>
          </w:tbl>
          <w:p w14:paraId="2D2227EA">
            <w:pPr>
              <w:adjustRightInd w:val="0"/>
              <w:snapToGrid w:val="0"/>
              <w:spacing w:line="400" w:lineRule="exact"/>
              <w:rPr>
                <w:b/>
                <w:color w:val="auto"/>
                <w:highlight w:val="none"/>
              </w:rPr>
            </w:pPr>
            <w:r>
              <w:rPr>
                <w:rFonts w:hint="eastAsia"/>
                <w:b/>
                <w:color w:val="auto"/>
                <w:highlight w:val="none"/>
                <w:lang w:val="en-US" w:eastAsia="zh-CN"/>
              </w:rPr>
              <w:t>3</w:t>
            </w:r>
            <w:r>
              <w:rPr>
                <w:rFonts w:hint="eastAsia"/>
                <w:b/>
                <w:color w:val="auto"/>
                <w:highlight w:val="none"/>
              </w:rPr>
              <w:t>.5 产品方案</w:t>
            </w:r>
          </w:p>
          <w:p w14:paraId="520254D7">
            <w:pPr>
              <w:adjustRightInd w:val="0"/>
              <w:snapToGrid w:val="0"/>
              <w:spacing w:line="400" w:lineRule="exact"/>
              <w:ind w:firstLine="480" w:firstLineChars="200"/>
              <w:rPr>
                <w:bCs/>
                <w:color w:val="auto"/>
                <w:szCs w:val="21"/>
                <w:highlight w:val="none"/>
              </w:rPr>
            </w:pPr>
            <w:r>
              <w:rPr>
                <w:rFonts w:hint="eastAsia"/>
                <w:bCs/>
                <w:color w:val="auto"/>
                <w:szCs w:val="21"/>
                <w:highlight w:val="none"/>
                <w:lang w:val="en-US" w:eastAsia="zh-CN"/>
              </w:rPr>
              <w:t>本项目主要产品方案详见下表</w:t>
            </w:r>
            <w:r>
              <w:rPr>
                <w:rFonts w:hint="eastAsia"/>
                <w:bCs/>
                <w:color w:val="auto"/>
                <w:szCs w:val="21"/>
                <w:highlight w:val="none"/>
              </w:rPr>
              <w:t>。</w:t>
            </w:r>
          </w:p>
          <w:p w14:paraId="6F0E9813">
            <w:pPr>
              <w:spacing w:line="240" w:lineRule="auto"/>
              <w:jc w:val="center"/>
              <w:rPr>
                <w:b/>
                <w:color w:val="auto"/>
                <w:highlight w:val="none"/>
              </w:rPr>
            </w:pPr>
            <w:r>
              <w:rPr>
                <w:rFonts w:hint="eastAsia"/>
                <w:b/>
                <w:color w:val="auto"/>
                <w:highlight w:val="none"/>
              </w:rPr>
              <w:t>表</w:t>
            </w:r>
            <w:r>
              <w:rPr>
                <w:rFonts w:hint="eastAsia"/>
                <w:b/>
                <w:color w:val="auto"/>
                <w:highlight w:val="none"/>
                <w:lang w:val="en-US" w:eastAsia="zh-CN"/>
              </w:rPr>
              <w:t xml:space="preserve">2-9 </w:t>
            </w:r>
            <w:r>
              <w:rPr>
                <w:rFonts w:hint="eastAsia"/>
                <w:b/>
                <w:color w:val="auto"/>
                <w:highlight w:val="none"/>
              </w:rPr>
              <w:t xml:space="preserve"> </w:t>
            </w:r>
            <w:r>
              <w:rPr>
                <w:rFonts w:hint="eastAsia"/>
                <w:b/>
                <w:color w:val="auto"/>
                <w:highlight w:val="none"/>
                <w:lang w:val="en-US" w:eastAsia="zh-CN"/>
              </w:rPr>
              <w:t>扩建项目</w:t>
            </w:r>
            <w:r>
              <w:rPr>
                <w:rFonts w:hint="eastAsia"/>
                <w:b/>
                <w:color w:val="auto"/>
                <w:highlight w:val="none"/>
              </w:rPr>
              <w:t>产品方案一览表</w:t>
            </w:r>
          </w:p>
          <w:tbl>
            <w:tblPr>
              <w:tblStyle w:val="3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8"/>
              <w:gridCol w:w="1788"/>
              <w:gridCol w:w="1675"/>
              <w:gridCol w:w="1552"/>
              <w:gridCol w:w="2610"/>
            </w:tblGrid>
            <w:tr w14:paraId="39514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19" w:type="pct"/>
                  <w:tcBorders>
                    <w:tl2br w:val="nil"/>
                    <w:tr2bl w:val="nil"/>
                  </w:tcBorders>
                  <w:vAlign w:val="center"/>
                </w:tcPr>
                <w:p w14:paraId="4E77AEF8">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序号</w:t>
                  </w:r>
                </w:p>
              </w:tc>
              <w:tc>
                <w:tcPr>
                  <w:tcW w:w="1074" w:type="pct"/>
                  <w:tcBorders>
                    <w:tl2br w:val="nil"/>
                    <w:tr2bl w:val="nil"/>
                  </w:tcBorders>
                  <w:vAlign w:val="center"/>
                </w:tcPr>
                <w:p w14:paraId="323C3923">
                  <w:pPr>
                    <w:pStyle w:val="8"/>
                    <w:pageBreakBefore w:val="0"/>
                    <w:kinsoku/>
                    <w:wordWrap/>
                    <w:overflowPunct/>
                    <w:topLinePunct w:val="0"/>
                    <w:autoSpaceDE/>
                    <w:autoSpaceDN/>
                    <w:bidi w:val="0"/>
                    <w:adjustRightInd w:val="0"/>
                    <w:snapToGrid w:val="0"/>
                    <w:spacing w:line="240" w:lineRule="auto"/>
                    <w:ind w:right="0" w:firstLine="0" w:firstLineChars="0"/>
                    <w:jc w:val="center"/>
                    <w:textAlignment w:val="baseline"/>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lang w:val="en-US" w:eastAsia="zh-CN"/>
                    </w:rPr>
                    <w:t>名称</w:t>
                  </w:r>
                </w:p>
              </w:tc>
              <w:tc>
                <w:tcPr>
                  <w:tcW w:w="1006" w:type="pct"/>
                  <w:tcBorders>
                    <w:tl2br w:val="nil"/>
                    <w:tr2bl w:val="nil"/>
                  </w:tcBorders>
                  <w:vAlign w:val="center"/>
                </w:tcPr>
                <w:p w14:paraId="0A85F986">
                  <w:pPr>
                    <w:pStyle w:val="8"/>
                    <w:pageBreakBefore w:val="0"/>
                    <w:kinsoku/>
                    <w:wordWrap/>
                    <w:overflowPunct/>
                    <w:topLinePunct w:val="0"/>
                    <w:autoSpaceDE/>
                    <w:autoSpaceDN/>
                    <w:bidi w:val="0"/>
                    <w:adjustRightInd w:val="0"/>
                    <w:snapToGrid w:val="0"/>
                    <w:spacing w:line="240" w:lineRule="auto"/>
                    <w:ind w:right="0" w:firstLine="0" w:firstLineChars="0"/>
                    <w:jc w:val="center"/>
                    <w:textAlignment w:val="baseline"/>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kern w:val="0"/>
                      <w:sz w:val="21"/>
                      <w:szCs w:val="21"/>
                      <w:highlight w:val="none"/>
                    </w:rPr>
                    <w:t>规格型号</w:t>
                  </w:r>
                </w:p>
              </w:tc>
              <w:tc>
                <w:tcPr>
                  <w:tcW w:w="932" w:type="pct"/>
                  <w:tcBorders>
                    <w:tl2br w:val="nil"/>
                    <w:tr2bl w:val="nil"/>
                  </w:tcBorders>
                  <w:vAlign w:val="center"/>
                </w:tcPr>
                <w:p w14:paraId="3798284C">
                  <w:pPr>
                    <w:pStyle w:val="8"/>
                    <w:pageBreakBefore w:val="0"/>
                    <w:kinsoku/>
                    <w:wordWrap/>
                    <w:overflowPunct/>
                    <w:topLinePunct w:val="0"/>
                    <w:autoSpaceDE/>
                    <w:autoSpaceDN/>
                    <w:bidi w:val="0"/>
                    <w:adjustRightInd w:val="0"/>
                    <w:snapToGrid w:val="0"/>
                    <w:spacing w:line="240" w:lineRule="auto"/>
                    <w:ind w:right="0" w:firstLine="0" w:firstLineChars="0"/>
                    <w:jc w:val="center"/>
                    <w:textAlignment w:val="baseline"/>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lang w:val="en-US" w:eastAsia="zh-CN"/>
                    </w:rPr>
                    <w:t>产量</w:t>
                  </w:r>
                </w:p>
              </w:tc>
              <w:tc>
                <w:tcPr>
                  <w:tcW w:w="1567" w:type="pct"/>
                  <w:tcBorders>
                    <w:tl2br w:val="nil"/>
                    <w:tr2bl w:val="nil"/>
                  </w:tcBorders>
                  <w:vAlign w:val="center"/>
                </w:tcPr>
                <w:p w14:paraId="0313A89D">
                  <w:pPr>
                    <w:pStyle w:val="8"/>
                    <w:pageBreakBefore w:val="0"/>
                    <w:kinsoku/>
                    <w:wordWrap/>
                    <w:overflowPunct/>
                    <w:topLinePunct w:val="0"/>
                    <w:autoSpaceDE/>
                    <w:autoSpaceDN/>
                    <w:bidi w:val="0"/>
                    <w:adjustRightInd w:val="0"/>
                    <w:snapToGrid w:val="0"/>
                    <w:spacing w:line="240" w:lineRule="auto"/>
                    <w:ind w:right="0" w:firstLine="0" w:firstLineChars="0"/>
                    <w:jc w:val="center"/>
                    <w:textAlignment w:val="baseline"/>
                    <w:rPr>
                      <w:rFonts w:hint="default" w:ascii="Times New Roman" w:hAnsi="Times New Roman"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备注</w:t>
                  </w:r>
                </w:p>
              </w:tc>
            </w:tr>
            <w:tr w14:paraId="083D5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419" w:type="pct"/>
                  <w:tcBorders>
                    <w:tl2br w:val="nil"/>
                    <w:tr2bl w:val="nil"/>
                  </w:tcBorders>
                  <w:vAlign w:val="center"/>
                </w:tcPr>
                <w:p w14:paraId="39EED3A1">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1</w:t>
                  </w:r>
                </w:p>
              </w:tc>
              <w:tc>
                <w:tcPr>
                  <w:tcW w:w="1074" w:type="pct"/>
                  <w:tcBorders>
                    <w:tl2br w:val="nil"/>
                    <w:tr2bl w:val="nil"/>
                  </w:tcBorders>
                  <w:vAlign w:val="center"/>
                </w:tcPr>
                <w:p w14:paraId="3C64CC27">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芯子</w:t>
                  </w:r>
                </w:p>
              </w:tc>
              <w:tc>
                <w:tcPr>
                  <w:tcW w:w="1006" w:type="pct"/>
                  <w:tcBorders>
                    <w:tl2br w:val="nil"/>
                    <w:tr2bl w:val="nil"/>
                  </w:tcBorders>
                  <w:vAlign w:val="center"/>
                </w:tcPr>
                <w:p w14:paraId="0868BA06">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w:t>
                  </w:r>
                </w:p>
              </w:tc>
              <w:tc>
                <w:tcPr>
                  <w:tcW w:w="932" w:type="pct"/>
                  <w:tcBorders>
                    <w:tl2br w:val="nil"/>
                    <w:tr2bl w:val="nil"/>
                  </w:tcBorders>
                  <w:vAlign w:val="center"/>
                </w:tcPr>
                <w:p w14:paraId="380E23DF">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30万件</w:t>
                  </w:r>
                  <w:r>
                    <w:rPr>
                      <w:rFonts w:hint="eastAsia" w:cs="Times New Roman"/>
                      <w:i w:val="0"/>
                      <w:iCs w:val="0"/>
                      <w:color w:val="auto"/>
                      <w:kern w:val="0"/>
                      <w:sz w:val="21"/>
                      <w:szCs w:val="21"/>
                      <w:highlight w:val="none"/>
                      <w:u w:val="none"/>
                      <w:lang w:val="en-US" w:eastAsia="zh-CN" w:bidi="ar"/>
                    </w:rPr>
                    <w:t>/a</w:t>
                  </w:r>
                </w:p>
              </w:tc>
              <w:tc>
                <w:tcPr>
                  <w:tcW w:w="1567" w:type="pct"/>
                  <w:vMerge w:val="restart"/>
                  <w:tcBorders>
                    <w:tl2br w:val="nil"/>
                    <w:tr2bl w:val="nil"/>
                  </w:tcBorders>
                  <w:vAlign w:val="center"/>
                </w:tcPr>
                <w:p w14:paraId="704EAE20">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ascii="Times New Roman" w:hAnsi="Times New Roman"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120万件/a（约900t/a）</w:t>
                  </w:r>
                </w:p>
              </w:tc>
            </w:tr>
            <w:tr w14:paraId="64DAC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419" w:type="pct"/>
                  <w:tcBorders>
                    <w:tl2br w:val="nil"/>
                    <w:tr2bl w:val="nil"/>
                  </w:tcBorders>
                  <w:vAlign w:val="center"/>
                </w:tcPr>
                <w:p w14:paraId="139E2863">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w:t>
                  </w:r>
                </w:p>
              </w:tc>
              <w:tc>
                <w:tcPr>
                  <w:tcW w:w="1074" w:type="pct"/>
                  <w:tcBorders>
                    <w:tl2br w:val="nil"/>
                    <w:tr2bl w:val="nil"/>
                  </w:tcBorders>
                  <w:vAlign w:val="center"/>
                </w:tcPr>
                <w:p w14:paraId="4D880064">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cs="Times New Roman"/>
                      <w:b w:val="0"/>
                      <w:bCs w:val="0"/>
                      <w:color w:val="auto"/>
                      <w:sz w:val="21"/>
                      <w:szCs w:val="21"/>
                      <w:highlight w:val="none"/>
                      <w:lang w:val="en-US" w:eastAsia="zh-CN"/>
                    </w:rPr>
                  </w:pPr>
                  <w:r>
                    <w:rPr>
                      <w:rFonts w:hint="default" w:cs="Times New Roman"/>
                      <w:b w:val="0"/>
                      <w:bCs w:val="0"/>
                      <w:color w:val="auto"/>
                      <w:sz w:val="21"/>
                      <w:szCs w:val="21"/>
                      <w:highlight w:val="none"/>
                      <w:lang w:val="en-US" w:eastAsia="zh-CN"/>
                    </w:rPr>
                    <w:t>模具零件</w:t>
                  </w:r>
                </w:p>
              </w:tc>
              <w:tc>
                <w:tcPr>
                  <w:tcW w:w="1006" w:type="pct"/>
                  <w:tcBorders>
                    <w:tl2br w:val="nil"/>
                    <w:tr2bl w:val="nil"/>
                  </w:tcBorders>
                  <w:vAlign w:val="center"/>
                </w:tcPr>
                <w:p w14:paraId="55B2B87F">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ascii="Times New Roman" w:hAnsi="Times New Roman"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2kg-500kg</w:t>
                  </w:r>
                </w:p>
              </w:tc>
              <w:tc>
                <w:tcPr>
                  <w:tcW w:w="932" w:type="pct"/>
                  <w:tcBorders>
                    <w:tl2br w:val="nil"/>
                    <w:tr2bl w:val="nil"/>
                  </w:tcBorders>
                  <w:vAlign w:val="center"/>
                </w:tcPr>
                <w:p w14:paraId="37B077D8">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30万件</w:t>
                  </w:r>
                  <w:r>
                    <w:rPr>
                      <w:rFonts w:hint="eastAsia" w:cs="Times New Roman"/>
                      <w:i w:val="0"/>
                      <w:iCs w:val="0"/>
                      <w:color w:val="auto"/>
                      <w:kern w:val="0"/>
                      <w:sz w:val="21"/>
                      <w:szCs w:val="21"/>
                      <w:highlight w:val="none"/>
                      <w:u w:val="none"/>
                      <w:lang w:val="en-US" w:eastAsia="zh-CN" w:bidi="ar"/>
                    </w:rPr>
                    <w:t>/a</w:t>
                  </w:r>
                </w:p>
              </w:tc>
              <w:tc>
                <w:tcPr>
                  <w:tcW w:w="1567" w:type="pct"/>
                  <w:vMerge w:val="continue"/>
                  <w:tcBorders>
                    <w:tl2br w:val="nil"/>
                    <w:tr2bl w:val="nil"/>
                  </w:tcBorders>
                  <w:vAlign w:val="center"/>
                </w:tcPr>
                <w:p w14:paraId="1359B387">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eastAsia" w:cs="Times New Roman"/>
                      <w:b w:val="0"/>
                      <w:bCs w:val="0"/>
                      <w:color w:val="auto"/>
                      <w:sz w:val="21"/>
                      <w:szCs w:val="21"/>
                      <w:highlight w:val="none"/>
                      <w:lang w:val="en-US" w:eastAsia="zh-CN"/>
                    </w:rPr>
                  </w:pPr>
                </w:p>
              </w:tc>
            </w:tr>
            <w:tr w14:paraId="69986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419" w:type="pct"/>
                  <w:tcBorders>
                    <w:tl2br w:val="nil"/>
                    <w:tr2bl w:val="nil"/>
                  </w:tcBorders>
                  <w:vAlign w:val="center"/>
                </w:tcPr>
                <w:p w14:paraId="762EED08">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w:t>
                  </w:r>
                </w:p>
              </w:tc>
              <w:tc>
                <w:tcPr>
                  <w:tcW w:w="1074" w:type="pct"/>
                  <w:tcBorders>
                    <w:tl2br w:val="nil"/>
                    <w:tr2bl w:val="nil"/>
                  </w:tcBorders>
                  <w:vAlign w:val="center"/>
                </w:tcPr>
                <w:p w14:paraId="0CE61973">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eastAsia" w:cs="Times New Roman"/>
                      <w:b w:val="0"/>
                      <w:bCs w:val="0"/>
                      <w:color w:val="auto"/>
                      <w:sz w:val="21"/>
                      <w:szCs w:val="21"/>
                      <w:highlight w:val="none"/>
                      <w:lang w:val="en-US" w:eastAsia="zh-CN"/>
                    </w:rPr>
                  </w:pPr>
                  <w:r>
                    <w:rPr>
                      <w:rFonts w:hint="eastAsia"/>
                      <w:color w:val="auto"/>
                      <w:sz w:val="21"/>
                      <w:szCs w:val="21"/>
                      <w:highlight w:val="none"/>
                      <w:lang w:val="en-US" w:eastAsia="zh-CN"/>
                    </w:rPr>
                    <w:t>车门密封饰条</w:t>
                  </w:r>
                </w:p>
              </w:tc>
              <w:tc>
                <w:tcPr>
                  <w:tcW w:w="1006" w:type="pct"/>
                  <w:tcBorders>
                    <w:tl2br w:val="nil"/>
                    <w:tr2bl w:val="nil"/>
                  </w:tcBorders>
                  <w:vAlign w:val="center"/>
                </w:tcPr>
                <w:p w14:paraId="0C6755A3">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w:t>
                  </w:r>
                </w:p>
              </w:tc>
              <w:tc>
                <w:tcPr>
                  <w:tcW w:w="932" w:type="pct"/>
                  <w:tcBorders>
                    <w:tl2br w:val="nil"/>
                    <w:tr2bl w:val="nil"/>
                  </w:tcBorders>
                  <w:vAlign w:val="center"/>
                </w:tcPr>
                <w:p w14:paraId="5EA0A677">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30万件/a</w:t>
                  </w:r>
                </w:p>
              </w:tc>
              <w:tc>
                <w:tcPr>
                  <w:tcW w:w="1567" w:type="pct"/>
                  <w:vMerge w:val="continue"/>
                  <w:tcBorders>
                    <w:tl2br w:val="nil"/>
                    <w:tr2bl w:val="nil"/>
                  </w:tcBorders>
                  <w:vAlign w:val="center"/>
                </w:tcPr>
                <w:p w14:paraId="243FEC61">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eastAsia" w:cs="Times New Roman"/>
                      <w:b w:val="0"/>
                      <w:bCs w:val="0"/>
                      <w:color w:val="auto"/>
                      <w:sz w:val="21"/>
                      <w:szCs w:val="21"/>
                      <w:highlight w:val="none"/>
                      <w:lang w:val="en-US" w:eastAsia="zh-CN"/>
                    </w:rPr>
                  </w:pPr>
                </w:p>
              </w:tc>
            </w:tr>
            <w:tr w14:paraId="34C73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419" w:type="pct"/>
                  <w:tcBorders>
                    <w:tl2br w:val="nil"/>
                    <w:tr2bl w:val="nil"/>
                  </w:tcBorders>
                  <w:vAlign w:val="center"/>
                </w:tcPr>
                <w:p w14:paraId="0CADFEF5">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4</w:t>
                  </w:r>
                </w:p>
              </w:tc>
              <w:tc>
                <w:tcPr>
                  <w:tcW w:w="1074" w:type="pct"/>
                  <w:tcBorders>
                    <w:tl2br w:val="nil"/>
                    <w:tr2bl w:val="nil"/>
                  </w:tcBorders>
                  <w:vAlign w:val="center"/>
                </w:tcPr>
                <w:p w14:paraId="7E4BF346">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color w:val="auto"/>
                      <w:sz w:val="21"/>
                      <w:szCs w:val="21"/>
                      <w:highlight w:val="none"/>
                      <w:lang w:val="en-US" w:eastAsia="zh-CN"/>
                    </w:rPr>
                  </w:pPr>
                  <w:r>
                    <w:rPr>
                      <w:rFonts w:hint="eastAsia"/>
                      <w:color w:val="auto"/>
                      <w:sz w:val="21"/>
                      <w:szCs w:val="21"/>
                      <w:highlight w:val="none"/>
                      <w:lang w:val="en-US" w:eastAsia="zh-CN"/>
                    </w:rPr>
                    <w:t>从动轴</w:t>
                  </w:r>
                </w:p>
              </w:tc>
              <w:tc>
                <w:tcPr>
                  <w:tcW w:w="1006" w:type="pct"/>
                  <w:tcBorders>
                    <w:tl2br w:val="nil"/>
                    <w:tr2bl w:val="nil"/>
                  </w:tcBorders>
                  <w:vAlign w:val="center"/>
                </w:tcPr>
                <w:p w14:paraId="02159405">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2kg-50kg</w:t>
                  </w:r>
                </w:p>
              </w:tc>
              <w:tc>
                <w:tcPr>
                  <w:tcW w:w="932" w:type="pct"/>
                  <w:tcBorders>
                    <w:tl2br w:val="nil"/>
                    <w:tr2bl w:val="nil"/>
                  </w:tcBorders>
                  <w:vAlign w:val="center"/>
                </w:tcPr>
                <w:p w14:paraId="14DA99FE">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10万件/a</w:t>
                  </w:r>
                </w:p>
              </w:tc>
              <w:tc>
                <w:tcPr>
                  <w:tcW w:w="1567" w:type="pct"/>
                  <w:vMerge w:val="continue"/>
                  <w:tcBorders>
                    <w:tl2br w:val="nil"/>
                    <w:tr2bl w:val="nil"/>
                  </w:tcBorders>
                  <w:vAlign w:val="center"/>
                </w:tcPr>
                <w:p w14:paraId="77F6858D">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eastAsia" w:cs="Times New Roman"/>
                      <w:b w:val="0"/>
                      <w:bCs w:val="0"/>
                      <w:color w:val="auto"/>
                      <w:sz w:val="21"/>
                      <w:szCs w:val="21"/>
                      <w:highlight w:val="none"/>
                      <w:lang w:val="en-US" w:eastAsia="zh-CN"/>
                    </w:rPr>
                  </w:pPr>
                </w:p>
              </w:tc>
            </w:tr>
            <w:tr w14:paraId="0F546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419" w:type="pct"/>
                  <w:tcBorders>
                    <w:tl2br w:val="nil"/>
                    <w:tr2bl w:val="nil"/>
                  </w:tcBorders>
                  <w:vAlign w:val="center"/>
                </w:tcPr>
                <w:p w14:paraId="21C6A208">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w:t>
                  </w:r>
                </w:p>
              </w:tc>
              <w:tc>
                <w:tcPr>
                  <w:tcW w:w="1074" w:type="pct"/>
                  <w:tcBorders>
                    <w:tl2br w:val="nil"/>
                    <w:tr2bl w:val="nil"/>
                  </w:tcBorders>
                  <w:vAlign w:val="center"/>
                </w:tcPr>
                <w:p w14:paraId="54F05C9E">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color w:val="auto"/>
                      <w:sz w:val="21"/>
                      <w:szCs w:val="21"/>
                      <w:highlight w:val="none"/>
                      <w:lang w:val="en-US" w:eastAsia="zh-CN"/>
                    </w:rPr>
                  </w:pPr>
                  <w:r>
                    <w:rPr>
                      <w:rFonts w:hint="eastAsia"/>
                      <w:color w:val="auto"/>
                      <w:sz w:val="21"/>
                      <w:szCs w:val="21"/>
                      <w:highlight w:val="none"/>
                      <w:lang w:val="en-US" w:eastAsia="zh-CN"/>
                    </w:rPr>
                    <w:t>加工后半成品</w:t>
                  </w:r>
                </w:p>
              </w:tc>
              <w:tc>
                <w:tcPr>
                  <w:tcW w:w="1006" w:type="pct"/>
                  <w:tcBorders>
                    <w:tl2br w:val="nil"/>
                    <w:tr2bl w:val="nil"/>
                  </w:tcBorders>
                  <w:vAlign w:val="center"/>
                </w:tcPr>
                <w:p w14:paraId="148C8EEB">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2kg-100kg</w:t>
                  </w:r>
                </w:p>
              </w:tc>
              <w:tc>
                <w:tcPr>
                  <w:tcW w:w="932" w:type="pct"/>
                  <w:tcBorders>
                    <w:tl2br w:val="nil"/>
                    <w:tr2bl w:val="nil"/>
                  </w:tcBorders>
                  <w:vAlign w:val="center"/>
                </w:tcPr>
                <w:p w14:paraId="656C31C3">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20万件/a</w:t>
                  </w:r>
                </w:p>
              </w:tc>
              <w:tc>
                <w:tcPr>
                  <w:tcW w:w="1567" w:type="pct"/>
                  <w:vMerge w:val="continue"/>
                  <w:tcBorders>
                    <w:tl2br w:val="nil"/>
                    <w:tr2bl w:val="nil"/>
                  </w:tcBorders>
                  <w:vAlign w:val="center"/>
                </w:tcPr>
                <w:p w14:paraId="71DB6C28">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eastAsia" w:cs="Times New Roman"/>
                      <w:b w:val="0"/>
                      <w:bCs w:val="0"/>
                      <w:color w:val="auto"/>
                      <w:sz w:val="21"/>
                      <w:szCs w:val="21"/>
                      <w:highlight w:val="none"/>
                      <w:lang w:val="en-US" w:eastAsia="zh-CN"/>
                    </w:rPr>
                  </w:pPr>
                </w:p>
              </w:tc>
            </w:tr>
          </w:tbl>
          <w:p w14:paraId="2A7DEFD5">
            <w:pPr>
              <w:pStyle w:val="9"/>
              <w:rPr>
                <w:color w:val="auto"/>
                <w:highlight w:val="none"/>
              </w:rPr>
            </w:pPr>
            <w:r>
              <w:rPr>
                <w:rFonts w:hint="eastAsia"/>
                <w:color w:val="auto"/>
                <w:highlight w:val="none"/>
                <w:lang w:val="en-US" w:eastAsia="zh-CN"/>
              </w:rPr>
              <w:t>3.</w:t>
            </w:r>
            <w:r>
              <w:rPr>
                <w:rFonts w:hint="eastAsia"/>
                <w:color w:val="auto"/>
                <w:highlight w:val="none"/>
              </w:rPr>
              <w:t>6</w:t>
            </w:r>
            <w:r>
              <w:rPr>
                <w:color w:val="auto"/>
                <w:highlight w:val="none"/>
              </w:rPr>
              <w:t xml:space="preserve"> 水资源及能源消耗情况</w:t>
            </w:r>
          </w:p>
          <w:p w14:paraId="4EA982FD">
            <w:pPr>
              <w:pStyle w:val="10"/>
              <w:rPr>
                <w:rFonts w:hint="default" w:eastAsia="宋体"/>
                <w:color w:val="auto"/>
                <w:highlight w:val="none"/>
                <w:lang w:val="en-US" w:eastAsia="zh-CN"/>
              </w:rPr>
            </w:pPr>
            <w:r>
              <w:rPr>
                <w:rFonts w:hint="eastAsia"/>
                <w:color w:val="auto"/>
                <w:highlight w:val="none"/>
                <w:lang w:val="en-US" w:eastAsia="zh-CN"/>
              </w:rPr>
              <w:t>3</w:t>
            </w:r>
            <w:r>
              <w:rPr>
                <w:color w:val="auto"/>
                <w:highlight w:val="none"/>
              </w:rPr>
              <w:t>.6.1 给排水</w:t>
            </w:r>
            <w:r>
              <w:rPr>
                <w:rFonts w:hint="eastAsia"/>
                <w:color w:val="auto"/>
                <w:highlight w:val="none"/>
                <w:lang w:val="en-US" w:eastAsia="zh-CN"/>
              </w:rPr>
              <w:t xml:space="preserve">  </w:t>
            </w:r>
          </w:p>
          <w:p w14:paraId="7E811FF3">
            <w:pPr>
              <w:ind w:firstLine="480" w:firstLineChars="200"/>
              <w:rPr>
                <w:rFonts w:hint="eastAsia"/>
                <w:color w:val="auto"/>
                <w:highlight w:val="none"/>
              </w:rPr>
            </w:pPr>
            <w:r>
              <w:rPr>
                <w:rFonts w:hint="eastAsia"/>
                <w:color w:val="auto"/>
                <w:highlight w:val="none"/>
              </w:rPr>
              <w:t>（1）给水：</w:t>
            </w:r>
          </w:p>
          <w:p w14:paraId="54FDD126">
            <w:pPr>
              <w:ind w:firstLine="480" w:firstLineChars="200"/>
              <w:rPr>
                <w:rFonts w:hint="eastAsia" w:eastAsia="宋体"/>
                <w:color w:val="auto"/>
                <w:highlight w:val="none"/>
                <w:lang w:eastAsia="zh-CN"/>
              </w:rPr>
            </w:pPr>
            <w:r>
              <w:rPr>
                <w:rFonts w:hint="eastAsia"/>
                <w:color w:val="auto"/>
                <w:highlight w:val="none"/>
                <w:lang w:val="en-US" w:eastAsia="zh-CN"/>
              </w:rPr>
              <w:t>本</w:t>
            </w:r>
            <w:r>
              <w:rPr>
                <w:rFonts w:hint="eastAsia"/>
                <w:color w:val="auto"/>
                <w:highlight w:val="none"/>
              </w:rPr>
              <w:t>项目水源由</w:t>
            </w:r>
            <w:r>
              <w:rPr>
                <w:rFonts w:hint="eastAsia"/>
                <w:color w:val="auto"/>
                <w:highlight w:val="none"/>
                <w:lang w:val="en-US" w:eastAsia="zh-CN"/>
              </w:rPr>
              <w:t>市政</w:t>
            </w:r>
            <w:r>
              <w:rPr>
                <w:rFonts w:hint="eastAsia"/>
                <w:color w:val="auto"/>
                <w:highlight w:val="none"/>
              </w:rPr>
              <w:t>统一供给</w:t>
            </w:r>
            <w:r>
              <w:rPr>
                <w:rFonts w:hint="eastAsia"/>
                <w:color w:val="auto"/>
                <w:highlight w:val="none"/>
                <w:lang w:eastAsia="zh-CN"/>
              </w:rPr>
              <w:t>。</w:t>
            </w:r>
          </w:p>
          <w:p w14:paraId="12DE52AC">
            <w:pPr>
              <w:ind w:firstLine="480" w:firstLineChars="200"/>
              <w:rPr>
                <w:color w:val="auto"/>
                <w:highlight w:val="none"/>
              </w:rPr>
            </w:pPr>
            <w:r>
              <w:rPr>
                <w:rFonts w:hint="eastAsia"/>
                <w:color w:val="auto"/>
                <w:highlight w:val="none"/>
              </w:rPr>
              <w:t>生活用水：</w:t>
            </w:r>
            <w:r>
              <w:rPr>
                <w:rFonts w:hint="eastAsia"/>
                <w:color w:val="auto"/>
                <w:highlight w:val="none"/>
                <w:lang w:val="en-US" w:eastAsia="zh-CN"/>
              </w:rPr>
              <w:t>本次扩建项目不增加劳动定员，不新增生活用水</w:t>
            </w:r>
            <w:r>
              <w:rPr>
                <w:rFonts w:hint="eastAsia"/>
                <w:color w:val="auto"/>
                <w:highlight w:val="none"/>
              </w:rPr>
              <w:t>。</w:t>
            </w:r>
          </w:p>
          <w:p w14:paraId="0B610097">
            <w:pPr>
              <w:keepNext w:val="0"/>
              <w:keepLines w:val="0"/>
              <w:pageBreakBefore w:val="0"/>
              <w:widowControl w:val="0"/>
              <w:kinsoku/>
              <w:wordWrap/>
              <w:overflowPunct/>
              <w:topLinePunct w:val="0"/>
              <w:autoSpaceDE/>
              <w:autoSpaceDN/>
              <w:bidi w:val="0"/>
              <w:adjustRightInd w:val="0"/>
              <w:snapToGrid w:val="0"/>
              <w:ind w:firstLine="480" w:firstLineChars="200"/>
              <w:textAlignment w:val="auto"/>
              <w:rPr>
                <w:rFonts w:hint="eastAsia"/>
                <w:color w:val="auto"/>
                <w:highlight w:val="none"/>
                <w:vertAlign w:val="baseline"/>
                <w:lang w:val="en-US" w:eastAsia="zh-CN"/>
              </w:rPr>
            </w:pPr>
            <w:r>
              <w:rPr>
                <w:rFonts w:hint="eastAsia"/>
                <w:color w:val="auto"/>
                <w:highlight w:val="none"/>
                <w:lang w:val="en-US" w:eastAsia="zh-CN"/>
              </w:rPr>
              <w:t>切削液调配用水：扩建项目年增加切削液使用量为120kg，切削液调配用水为1.2m</w:t>
            </w:r>
            <w:r>
              <w:rPr>
                <w:rFonts w:hint="eastAsia"/>
                <w:color w:val="auto"/>
                <w:highlight w:val="none"/>
                <w:vertAlign w:val="superscript"/>
                <w:lang w:val="en-US" w:eastAsia="zh-CN"/>
              </w:rPr>
              <w:t>3</w:t>
            </w:r>
            <w:r>
              <w:rPr>
                <w:rFonts w:hint="eastAsia"/>
                <w:color w:val="auto"/>
                <w:highlight w:val="none"/>
                <w:vertAlign w:val="baseline"/>
                <w:lang w:val="en-US" w:eastAsia="zh-CN"/>
              </w:rPr>
              <w:t>/a。</w:t>
            </w:r>
          </w:p>
          <w:p w14:paraId="53E4404B">
            <w:pPr>
              <w:keepNext w:val="0"/>
              <w:keepLines w:val="0"/>
              <w:pageBreakBefore w:val="0"/>
              <w:widowControl w:val="0"/>
              <w:kinsoku/>
              <w:wordWrap/>
              <w:overflowPunct/>
              <w:topLinePunct w:val="0"/>
              <w:autoSpaceDE/>
              <w:autoSpaceDN/>
              <w:bidi w:val="0"/>
              <w:adjustRightInd w:val="0"/>
              <w:snapToGrid w:val="0"/>
              <w:ind w:firstLine="480" w:firstLineChars="200"/>
              <w:textAlignment w:val="auto"/>
              <w:rPr>
                <w:rFonts w:hint="default"/>
                <w:color w:val="auto"/>
                <w:highlight w:val="none"/>
                <w:vertAlign w:val="baseline"/>
                <w:lang w:val="en-US" w:eastAsia="zh-CN"/>
              </w:rPr>
            </w:pPr>
            <w:r>
              <w:rPr>
                <w:rFonts w:hint="eastAsia"/>
                <w:color w:val="auto"/>
                <w:highlight w:val="none"/>
                <w:vertAlign w:val="baseline"/>
                <w:lang w:val="en-US" w:eastAsia="zh-CN"/>
              </w:rPr>
              <w:t>发黑工艺新增三个水槽，每天需补充消耗水，单个水槽内存水量约3.5m</w:t>
            </w:r>
            <w:r>
              <w:rPr>
                <w:rFonts w:hint="eastAsia"/>
                <w:color w:val="auto"/>
                <w:highlight w:val="none"/>
                <w:vertAlign w:val="superscript"/>
                <w:lang w:val="en-US" w:eastAsia="zh-CN"/>
              </w:rPr>
              <w:t>3</w:t>
            </w:r>
            <w:r>
              <w:rPr>
                <w:rFonts w:hint="eastAsia"/>
                <w:color w:val="auto"/>
                <w:highlight w:val="none"/>
                <w:vertAlign w:val="baseline"/>
                <w:lang w:val="en-US" w:eastAsia="zh-CN"/>
              </w:rPr>
              <w:t>，根据生产经验补水量约为水槽存水量的4%，则单个水槽补水量为0.14m</w:t>
            </w:r>
            <w:r>
              <w:rPr>
                <w:rFonts w:hint="eastAsia"/>
                <w:color w:val="auto"/>
                <w:highlight w:val="none"/>
                <w:vertAlign w:val="superscript"/>
                <w:lang w:val="en-US" w:eastAsia="zh-CN"/>
              </w:rPr>
              <w:t>3</w:t>
            </w:r>
            <w:r>
              <w:rPr>
                <w:rFonts w:hint="eastAsia"/>
                <w:color w:val="auto"/>
                <w:highlight w:val="none"/>
                <w:vertAlign w:val="baseline"/>
                <w:lang w:val="en-US" w:eastAsia="zh-CN"/>
              </w:rPr>
              <w:t>/d，则三个水槽每天需补水</w:t>
            </w:r>
            <w:r>
              <w:rPr>
                <w:rFonts w:hint="eastAsia"/>
                <w:color w:val="auto"/>
                <w:highlight w:val="none"/>
                <w:lang w:val="en-US" w:eastAsia="zh-CN"/>
              </w:rPr>
              <w:t>0.42</w:t>
            </w:r>
            <w:r>
              <w:rPr>
                <w:rFonts w:hint="eastAsia"/>
                <w:color w:val="auto"/>
                <w:highlight w:val="none"/>
                <w:vertAlign w:val="baseline"/>
                <w:lang w:val="en-US" w:eastAsia="zh-CN"/>
              </w:rPr>
              <w:t>m</w:t>
            </w:r>
            <w:r>
              <w:rPr>
                <w:rFonts w:hint="eastAsia"/>
                <w:color w:val="auto"/>
                <w:highlight w:val="none"/>
                <w:vertAlign w:val="superscript"/>
                <w:lang w:val="en-US" w:eastAsia="zh-CN"/>
              </w:rPr>
              <w:t>3</w:t>
            </w:r>
            <w:r>
              <w:rPr>
                <w:rFonts w:hint="eastAsia"/>
                <w:color w:val="auto"/>
                <w:highlight w:val="none"/>
                <w:vertAlign w:val="baseline"/>
                <w:lang w:val="en-US" w:eastAsia="zh-CN"/>
              </w:rPr>
              <w:t>/d（126</w:t>
            </w:r>
            <w:r>
              <w:rPr>
                <w:rFonts w:hint="eastAsia"/>
                <w:color w:val="auto"/>
                <w:highlight w:val="none"/>
                <w:lang w:val="en-US" w:eastAsia="zh-CN"/>
              </w:rPr>
              <w:t>m</w:t>
            </w:r>
            <w:r>
              <w:rPr>
                <w:rFonts w:hint="eastAsia"/>
                <w:color w:val="auto"/>
                <w:highlight w:val="none"/>
                <w:vertAlign w:val="superscript"/>
                <w:lang w:val="en-US" w:eastAsia="zh-CN"/>
              </w:rPr>
              <w:t>3</w:t>
            </w:r>
            <w:r>
              <w:rPr>
                <w:rFonts w:hint="eastAsia"/>
                <w:color w:val="auto"/>
                <w:highlight w:val="none"/>
                <w:lang w:val="en-US" w:eastAsia="zh-CN"/>
              </w:rPr>
              <w:t>/a</w:t>
            </w:r>
            <w:r>
              <w:rPr>
                <w:rFonts w:hint="eastAsia"/>
                <w:color w:val="auto"/>
                <w:highlight w:val="none"/>
                <w:vertAlign w:val="baseline"/>
                <w:lang w:val="en-US" w:eastAsia="zh-CN"/>
              </w:rPr>
              <w:t>）。</w:t>
            </w:r>
          </w:p>
          <w:p w14:paraId="46973335">
            <w:pPr>
              <w:keepNext w:val="0"/>
              <w:keepLines w:val="0"/>
              <w:pageBreakBefore w:val="0"/>
              <w:widowControl w:val="0"/>
              <w:kinsoku/>
              <w:wordWrap/>
              <w:overflowPunct/>
              <w:topLinePunct w:val="0"/>
              <w:autoSpaceDE/>
              <w:autoSpaceDN/>
              <w:bidi w:val="0"/>
              <w:adjustRightInd w:val="0"/>
              <w:snapToGrid w:val="0"/>
              <w:ind w:firstLine="480" w:firstLineChars="200"/>
              <w:textAlignment w:val="auto"/>
              <w:rPr>
                <w:rFonts w:hint="default"/>
                <w:color w:val="auto"/>
                <w:highlight w:val="none"/>
                <w:lang w:val="en-US" w:eastAsia="zh-CN"/>
              </w:rPr>
            </w:pPr>
            <w:r>
              <w:rPr>
                <w:rFonts w:hint="eastAsia"/>
                <w:color w:val="auto"/>
                <w:highlight w:val="none"/>
                <w:lang w:val="en-US" w:eastAsia="zh-CN"/>
              </w:rPr>
              <w:t>碱喷淋塔每日需补充消耗水，每日补水量约为0.2m</w:t>
            </w:r>
            <w:r>
              <w:rPr>
                <w:rFonts w:hint="eastAsia"/>
                <w:color w:val="auto"/>
                <w:highlight w:val="none"/>
                <w:vertAlign w:val="superscript"/>
                <w:lang w:val="en-US" w:eastAsia="zh-CN"/>
              </w:rPr>
              <w:t>3</w:t>
            </w:r>
            <w:r>
              <w:rPr>
                <w:rFonts w:hint="eastAsia"/>
                <w:color w:val="auto"/>
                <w:highlight w:val="none"/>
                <w:lang w:val="en-US" w:eastAsia="zh-CN"/>
              </w:rPr>
              <w:t>（60m</w:t>
            </w:r>
            <w:r>
              <w:rPr>
                <w:rFonts w:hint="eastAsia"/>
                <w:color w:val="auto"/>
                <w:highlight w:val="none"/>
                <w:vertAlign w:val="superscript"/>
                <w:lang w:val="en-US" w:eastAsia="zh-CN"/>
              </w:rPr>
              <w:t>3</w:t>
            </w:r>
            <w:r>
              <w:rPr>
                <w:rFonts w:hint="eastAsia"/>
                <w:color w:val="auto"/>
                <w:highlight w:val="none"/>
                <w:lang w:val="en-US" w:eastAsia="zh-CN"/>
              </w:rPr>
              <w:t>/a）；</w:t>
            </w:r>
          </w:p>
          <w:p w14:paraId="165A9088">
            <w:pPr>
              <w:keepNext w:val="0"/>
              <w:keepLines w:val="0"/>
              <w:pageBreakBefore w:val="0"/>
              <w:widowControl w:val="0"/>
              <w:kinsoku/>
              <w:wordWrap/>
              <w:overflowPunct/>
              <w:topLinePunct w:val="0"/>
              <w:autoSpaceDE/>
              <w:autoSpaceDN/>
              <w:bidi w:val="0"/>
              <w:adjustRightInd w:val="0"/>
              <w:snapToGrid w:val="0"/>
              <w:ind w:firstLine="480" w:firstLineChars="200"/>
              <w:textAlignment w:val="auto"/>
              <w:rPr>
                <w:rFonts w:hint="default"/>
                <w:color w:val="auto"/>
                <w:highlight w:val="none"/>
                <w:lang w:val="en-US" w:eastAsia="zh-CN"/>
              </w:rPr>
            </w:pPr>
            <w:r>
              <w:rPr>
                <w:rFonts w:hint="eastAsia"/>
                <w:color w:val="auto"/>
                <w:highlight w:val="none"/>
                <w:lang w:val="en-US" w:eastAsia="zh-CN"/>
              </w:rPr>
              <w:t>零部件冲洗用水量约为0.5</w:t>
            </w:r>
            <w:r>
              <w:rPr>
                <w:rFonts w:hint="eastAsia"/>
                <w:color w:val="auto"/>
                <w:highlight w:val="none"/>
                <w:vertAlign w:val="baseline"/>
                <w:lang w:val="en-US" w:eastAsia="zh-CN"/>
              </w:rPr>
              <w:t>m</w:t>
            </w:r>
            <w:r>
              <w:rPr>
                <w:rFonts w:hint="eastAsia"/>
                <w:color w:val="auto"/>
                <w:highlight w:val="none"/>
                <w:vertAlign w:val="superscript"/>
                <w:lang w:val="en-US" w:eastAsia="zh-CN"/>
              </w:rPr>
              <w:t>3</w:t>
            </w:r>
            <w:r>
              <w:rPr>
                <w:rFonts w:hint="eastAsia"/>
                <w:color w:val="auto"/>
                <w:highlight w:val="none"/>
                <w:vertAlign w:val="baseline"/>
                <w:lang w:val="en-US" w:eastAsia="zh-CN"/>
              </w:rPr>
              <w:t>/d（150m</w:t>
            </w:r>
            <w:r>
              <w:rPr>
                <w:rFonts w:hint="eastAsia"/>
                <w:color w:val="auto"/>
                <w:highlight w:val="none"/>
                <w:vertAlign w:val="superscript"/>
                <w:lang w:val="en-US" w:eastAsia="zh-CN"/>
              </w:rPr>
              <w:t>3</w:t>
            </w:r>
            <w:r>
              <w:rPr>
                <w:rFonts w:hint="eastAsia"/>
                <w:color w:val="auto"/>
                <w:highlight w:val="none"/>
                <w:vertAlign w:val="baseline"/>
                <w:lang w:val="en-US" w:eastAsia="zh-CN"/>
              </w:rPr>
              <w:t>/a）。</w:t>
            </w:r>
          </w:p>
          <w:p w14:paraId="76004DBE">
            <w:pPr>
              <w:keepNext w:val="0"/>
              <w:keepLines w:val="0"/>
              <w:pageBreakBefore w:val="0"/>
              <w:widowControl w:val="0"/>
              <w:kinsoku/>
              <w:wordWrap/>
              <w:overflowPunct/>
              <w:topLinePunct w:val="0"/>
              <w:autoSpaceDE/>
              <w:autoSpaceDN/>
              <w:bidi w:val="0"/>
              <w:adjustRightInd w:val="0"/>
              <w:snapToGrid w:val="0"/>
              <w:ind w:firstLine="480" w:firstLineChars="200"/>
              <w:textAlignment w:val="auto"/>
              <w:rPr>
                <w:rFonts w:hint="eastAsia"/>
                <w:color w:val="auto"/>
                <w:highlight w:val="none"/>
                <w:lang w:eastAsia="zh-CN"/>
              </w:rPr>
            </w:pPr>
            <w:r>
              <w:rPr>
                <w:rFonts w:hint="eastAsia"/>
                <w:color w:val="auto"/>
                <w:highlight w:val="none"/>
                <w:lang w:val="en-US" w:eastAsia="zh-CN"/>
              </w:rPr>
              <w:t>则本项目运营期新鲜水用水量为1.124</w:t>
            </w:r>
            <w:r>
              <w:rPr>
                <w:rFonts w:hint="eastAsia"/>
                <w:color w:val="auto"/>
                <w:highlight w:val="none"/>
                <w:vertAlign w:val="baseline"/>
                <w:lang w:val="en-US" w:eastAsia="zh-CN"/>
              </w:rPr>
              <w:t>m</w:t>
            </w:r>
            <w:r>
              <w:rPr>
                <w:rFonts w:hint="eastAsia"/>
                <w:color w:val="auto"/>
                <w:highlight w:val="none"/>
                <w:vertAlign w:val="superscript"/>
                <w:lang w:val="en-US" w:eastAsia="zh-CN"/>
              </w:rPr>
              <w:t>3</w:t>
            </w:r>
            <w:r>
              <w:rPr>
                <w:rFonts w:hint="eastAsia"/>
                <w:color w:val="auto"/>
                <w:highlight w:val="none"/>
                <w:vertAlign w:val="baseline"/>
                <w:lang w:val="en-US" w:eastAsia="zh-CN"/>
              </w:rPr>
              <w:t>/d（337.2</w:t>
            </w:r>
            <w:r>
              <w:rPr>
                <w:rFonts w:hint="eastAsia"/>
                <w:color w:val="auto"/>
                <w:highlight w:val="none"/>
                <w:lang w:val="en-US" w:eastAsia="zh-CN"/>
              </w:rPr>
              <w:t>m</w:t>
            </w:r>
            <w:r>
              <w:rPr>
                <w:rFonts w:hint="eastAsia"/>
                <w:color w:val="auto"/>
                <w:highlight w:val="none"/>
                <w:vertAlign w:val="superscript"/>
                <w:lang w:val="en-US" w:eastAsia="zh-CN"/>
              </w:rPr>
              <w:t>3</w:t>
            </w:r>
            <w:r>
              <w:rPr>
                <w:rFonts w:hint="eastAsia"/>
                <w:color w:val="auto"/>
                <w:highlight w:val="none"/>
                <w:lang w:val="en-US" w:eastAsia="zh-CN"/>
              </w:rPr>
              <w:t>/a</w:t>
            </w:r>
            <w:r>
              <w:rPr>
                <w:rFonts w:hint="eastAsia"/>
                <w:color w:val="auto"/>
                <w:highlight w:val="none"/>
                <w:vertAlign w:val="baseline"/>
                <w:lang w:val="en-US" w:eastAsia="zh-CN"/>
              </w:rPr>
              <w:t>）</w:t>
            </w:r>
            <w:r>
              <w:rPr>
                <w:rFonts w:hint="eastAsia"/>
                <w:color w:val="auto"/>
                <w:highlight w:val="none"/>
                <w:lang w:val="en-US" w:eastAsia="zh-CN"/>
              </w:rPr>
              <w:t xml:space="preserve">。 </w:t>
            </w:r>
          </w:p>
          <w:p w14:paraId="54E54731">
            <w:pPr>
              <w:keepNext w:val="0"/>
              <w:keepLines w:val="0"/>
              <w:pageBreakBefore w:val="0"/>
              <w:widowControl w:val="0"/>
              <w:kinsoku/>
              <w:wordWrap/>
              <w:overflowPunct/>
              <w:topLinePunct w:val="0"/>
              <w:autoSpaceDE/>
              <w:autoSpaceDN/>
              <w:bidi w:val="0"/>
              <w:adjustRightInd w:val="0"/>
              <w:snapToGrid w:val="0"/>
              <w:ind w:firstLine="480" w:firstLineChars="200"/>
              <w:textAlignment w:val="auto"/>
              <w:rPr>
                <w:rFonts w:hint="default" w:eastAsia="宋体"/>
                <w:color w:val="auto"/>
                <w:highlight w:val="none"/>
                <w:lang w:val="en-US" w:eastAsia="zh-CN"/>
              </w:rPr>
            </w:pPr>
            <w:r>
              <w:rPr>
                <w:rFonts w:hint="eastAsia"/>
                <w:color w:val="auto"/>
                <w:highlight w:val="none"/>
                <w:lang w:eastAsia="zh-CN"/>
              </w:rPr>
              <w:t>（</w:t>
            </w:r>
            <w:r>
              <w:rPr>
                <w:rFonts w:hint="eastAsia"/>
                <w:color w:val="auto"/>
                <w:highlight w:val="none"/>
                <w:lang w:val="en-US" w:eastAsia="zh-CN"/>
              </w:rPr>
              <w:t>2</w:t>
            </w:r>
            <w:r>
              <w:rPr>
                <w:rFonts w:hint="eastAsia"/>
                <w:color w:val="auto"/>
                <w:highlight w:val="none"/>
                <w:lang w:eastAsia="zh-CN"/>
              </w:rPr>
              <w:t>）</w:t>
            </w:r>
            <w:r>
              <w:rPr>
                <w:rFonts w:hint="eastAsia"/>
                <w:color w:val="auto"/>
                <w:highlight w:val="none"/>
                <w:lang w:val="en-US" w:eastAsia="zh-CN"/>
              </w:rPr>
              <w:t>排水</w:t>
            </w:r>
          </w:p>
          <w:p w14:paraId="758EB61A">
            <w:pPr>
              <w:keepNext w:val="0"/>
              <w:keepLines w:val="0"/>
              <w:pageBreakBefore w:val="0"/>
              <w:widowControl w:val="0"/>
              <w:kinsoku/>
              <w:wordWrap/>
              <w:overflowPunct/>
              <w:topLinePunct w:val="0"/>
              <w:autoSpaceDE/>
              <w:autoSpaceDN/>
              <w:bidi w:val="0"/>
              <w:adjustRightInd w:val="0"/>
              <w:snapToGrid w:val="0"/>
              <w:ind w:firstLine="480" w:firstLineChars="200"/>
              <w:jc w:val="both"/>
              <w:textAlignment w:val="auto"/>
              <w:rPr>
                <w:rFonts w:hint="eastAsia" w:ascii="Times New Roman" w:hAnsi="Times New Roman" w:eastAsia="宋体" w:cs="Times New Roman"/>
                <w:color w:val="auto"/>
                <w:sz w:val="24"/>
                <w:szCs w:val="24"/>
                <w:highlight w:val="none"/>
                <w:lang w:val="en-US" w:eastAsia="zh-CN"/>
              </w:rPr>
            </w:pPr>
            <w:r>
              <w:rPr>
                <w:rFonts w:hint="eastAsia"/>
                <w:color w:val="auto"/>
                <w:highlight w:val="none"/>
                <w:lang w:val="en-US" w:eastAsia="zh-CN"/>
              </w:rPr>
              <w:t>扩建项目不新增劳动定员，不新增生活污水；</w:t>
            </w:r>
            <w:r>
              <w:rPr>
                <w:rFonts w:hint="eastAsia" w:cs="Times New Roman"/>
                <w:color w:val="auto"/>
                <w:sz w:val="24"/>
                <w:szCs w:val="24"/>
                <w:highlight w:val="none"/>
                <w:lang w:val="en-US" w:eastAsia="zh-CN"/>
              </w:rPr>
              <w:t>切削液调配水全部消耗；水槽内水循环使用，不外排，</w:t>
            </w:r>
            <w:r>
              <w:rPr>
                <w:rFonts w:hint="eastAsia" w:ascii="Times New Roman" w:hAnsi="Times New Roman" w:cs="Times New Roman"/>
                <w:b w:val="0"/>
                <w:bCs w:val="0"/>
                <w:color w:val="auto"/>
                <w:highlight w:val="none"/>
                <w:lang w:val="en-US" w:eastAsia="zh-CN"/>
              </w:rPr>
              <w:t>冲洗废水进入废水池暂存定期使用密闭罐车运至秦皇岛市抚宁区中冶水务有限公司</w:t>
            </w:r>
            <w:r>
              <w:rPr>
                <w:rFonts w:hint="eastAsia" w:cs="Times New Roman"/>
                <w:color w:val="auto"/>
                <w:sz w:val="24"/>
                <w:szCs w:val="24"/>
                <w:highlight w:val="none"/>
                <w:lang w:eastAsia="zh-CN"/>
              </w:rPr>
              <w:t>。</w:t>
            </w:r>
          </w:p>
          <w:p w14:paraId="09E4773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 w:val="24"/>
                <w:szCs w:val="18"/>
                <w:highlight w:val="none"/>
                <w:lang w:val="en-US" w:eastAsia="zh-CN"/>
              </w:rPr>
            </w:pPr>
            <w:r>
              <w:rPr>
                <w:rFonts w:hint="default" w:ascii="Times New Roman" w:hAnsi="Times New Roman" w:eastAsia="宋体" w:cs="Times New Roman"/>
                <w:b/>
                <w:color w:val="auto"/>
                <w:kern w:val="2"/>
                <w:sz w:val="24"/>
                <w:szCs w:val="24"/>
                <w:highlight w:val="none"/>
                <w:lang w:val="en-US" w:eastAsia="zh-CN" w:bidi="ar-SA"/>
              </w:rPr>
              <w:t>表2-</w:t>
            </w:r>
            <w:r>
              <w:rPr>
                <w:rFonts w:hint="eastAsia" w:cs="Times New Roman"/>
                <w:b/>
                <w:color w:val="auto"/>
                <w:kern w:val="2"/>
                <w:sz w:val="24"/>
                <w:szCs w:val="24"/>
                <w:highlight w:val="none"/>
                <w:lang w:val="en-US" w:eastAsia="zh-CN" w:bidi="ar-SA"/>
              </w:rPr>
              <w:t>10</w:t>
            </w:r>
            <w:r>
              <w:rPr>
                <w:rFonts w:hint="default" w:ascii="Times New Roman" w:hAnsi="Times New Roman" w:eastAsia="宋体" w:cs="Times New Roman"/>
                <w:b/>
                <w:color w:val="auto"/>
                <w:kern w:val="2"/>
                <w:sz w:val="24"/>
                <w:szCs w:val="24"/>
                <w:highlight w:val="none"/>
                <w:lang w:val="en-US" w:eastAsia="zh-CN" w:bidi="ar-SA"/>
              </w:rPr>
              <w:t xml:space="preserve">  </w:t>
            </w:r>
            <w:r>
              <w:rPr>
                <w:rFonts w:hint="eastAsia" w:cs="Times New Roman"/>
                <w:b/>
                <w:color w:val="auto"/>
                <w:kern w:val="2"/>
                <w:sz w:val="24"/>
                <w:szCs w:val="24"/>
                <w:highlight w:val="none"/>
                <w:lang w:val="en-US" w:eastAsia="zh-CN" w:bidi="ar-SA"/>
              </w:rPr>
              <w:t>扩建</w:t>
            </w:r>
            <w:r>
              <w:rPr>
                <w:rFonts w:hint="default" w:ascii="Times New Roman" w:hAnsi="Times New Roman" w:eastAsia="宋体" w:cs="Times New Roman"/>
                <w:b/>
                <w:color w:val="auto"/>
                <w:kern w:val="2"/>
                <w:sz w:val="24"/>
                <w:szCs w:val="24"/>
                <w:highlight w:val="none"/>
                <w:lang w:val="en-US" w:eastAsia="zh-CN" w:bidi="ar-SA"/>
              </w:rPr>
              <w:t>项目水量平衡情况表单位：</w:t>
            </w:r>
            <w:r>
              <w:rPr>
                <w:rFonts w:hint="default" w:ascii="Times New Roman" w:hAnsi="Times New Roman" w:cs="Times New Roman"/>
                <w:b/>
                <w:bCs/>
                <w:color w:val="auto"/>
                <w:sz w:val="24"/>
                <w:szCs w:val="18"/>
                <w:highlight w:val="none"/>
                <w:lang w:val="en-US" w:eastAsia="zh-CN"/>
              </w:rPr>
              <w:t>m³/</w:t>
            </w:r>
            <w:r>
              <w:rPr>
                <w:rFonts w:hint="eastAsia" w:ascii="Times New Roman" w:hAnsi="Times New Roman" w:cs="Times New Roman"/>
                <w:b/>
                <w:bCs/>
                <w:color w:val="auto"/>
                <w:sz w:val="24"/>
                <w:szCs w:val="18"/>
                <w:highlight w:val="none"/>
                <w:lang w:val="en-US" w:eastAsia="zh-CN"/>
              </w:rPr>
              <w:t>d</w:t>
            </w:r>
          </w:p>
          <w:tbl>
            <w:tblPr>
              <w:tblStyle w:val="34"/>
              <w:tblW w:w="4997" w:type="pct"/>
              <w:tblInd w:w="0" w:type="dxa"/>
              <w:tblLayout w:type="autofit"/>
              <w:tblCellMar>
                <w:top w:w="0" w:type="dxa"/>
                <w:left w:w="0" w:type="dxa"/>
                <w:bottom w:w="0" w:type="dxa"/>
                <w:right w:w="0" w:type="dxa"/>
              </w:tblCellMar>
            </w:tblPr>
            <w:tblGrid>
              <w:gridCol w:w="799"/>
              <w:gridCol w:w="2677"/>
              <w:gridCol w:w="7"/>
              <w:gridCol w:w="1089"/>
              <w:gridCol w:w="7"/>
              <w:gridCol w:w="824"/>
              <w:gridCol w:w="7"/>
              <w:gridCol w:w="1089"/>
              <w:gridCol w:w="7"/>
              <w:gridCol w:w="986"/>
              <w:gridCol w:w="7"/>
              <w:gridCol w:w="825"/>
              <w:gridCol w:w="7"/>
            </w:tblGrid>
            <w:tr w14:paraId="24E90D9D">
              <w:trPr>
                <w:gridAfter w:val="1"/>
                <w:wAfter w:w="4" w:type="pct"/>
                <w:trHeight w:val="340" w:hRule="atLeast"/>
              </w:trPr>
              <w:tc>
                <w:tcPr>
                  <w:tcW w:w="48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496FFBA">
                  <w:pPr>
                    <w:pStyle w:val="94"/>
                    <w:spacing w:line="240" w:lineRule="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序号</w:t>
                  </w:r>
                </w:p>
              </w:tc>
              <w:tc>
                <w:tcPr>
                  <w:tcW w:w="1606"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0C9CC34">
                  <w:pPr>
                    <w:pStyle w:val="94"/>
                    <w:spacing w:line="240" w:lineRule="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用水部分</w:t>
                  </w:r>
                </w:p>
              </w:tc>
              <w:tc>
                <w:tcPr>
                  <w:tcW w:w="657"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5E6D8F9">
                  <w:pPr>
                    <w:pStyle w:val="94"/>
                    <w:spacing w:line="240" w:lineRule="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总用水量</w:t>
                  </w:r>
                </w:p>
              </w:tc>
              <w:tc>
                <w:tcPr>
                  <w:tcW w:w="498"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CD596EF">
                  <w:pPr>
                    <w:pStyle w:val="94"/>
                    <w:spacing w:line="240" w:lineRule="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新鲜水</w:t>
                  </w:r>
                </w:p>
              </w:tc>
              <w:tc>
                <w:tcPr>
                  <w:tcW w:w="657"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AC75091">
                  <w:pPr>
                    <w:pStyle w:val="94"/>
                    <w:spacing w:line="240" w:lineRule="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循环水量</w:t>
                  </w:r>
                </w:p>
              </w:tc>
              <w:tc>
                <w:tcPr>
                  <w:tcW w:w="595"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34BDF97">
                  <w:pPr>
                    <w:pStyle w:val="94"/>
                    <w:spacing w:line="240" w:lineRule="auto"/>
                    <w:rPr>
                      <w:rFonts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损耗量</w:t>
                  </w:r>
                </w:p>
              </w:tc>
              <w:tc>
                <w:tcPr>
                  <w:tcW w:w="499"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68FE403">
                  <w:pPr>
                    <w:pStyle w:val="94"/>
                    <w:spacing w:line="240" w:lineRule="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外排量</w:t>
                  </w:r>
                </w:p>
              </w:tc>
            </w:tr>
            <w:tr w14:paraId="19418930">
              <w:tblPrEx>
                <w:tblCellMar>
                  <w:top w:w="0" w:type="dxa"/>
                  <w:left w:w="0" w:type="dxa"/>
                  <w:bottom w:w="0" w:type="dxa"/>
                  <w:right w:w="0" w:type="dxa"/>
                </w:tblCellMar>
              </w:tblPrEx>
              <w:trPr>
                <w:gridAfter w:val="1"/>
                <w:wAfter w:w="4" w:type="pct"/>
                <w:trHeight w:val="300" w:hRule="atLeast"/>
              </w:trPr>
              <w:tc>
                <w:tcPr>
                  <w:tcW w:w="480" w:type="pct"/>
                  <w:tcBorders>
                    <w:top w:val="single" w:color="000000" w:sz="4" w:space="0"/>
                    <w:left w:val="single" w:color="000000" w:sz="4" w:space="0"/>
                    <w:bottom w:val="single" w:color="auto" w:sz="4" w:space="0"/>
                    <w:right w:val="single" w:color="auto" w:sz="4" w:space="0"/>
                  </w:tcBorders>
                  <w:noWrap/>
                  <w:tcMar>
                    <w:top w:w="15" w:type="dxa"/>
                    <w:left w:w="15" w:type="dxa"/>
                    <w:right w:w="15" w:type="dxa"/>
                  </w:tcMar>
                  <w:vAlign w:val="center"/>
                </w:tcPr>
                <w:p w14:paraId="4DD93097">
                  <w:pPr>
                    <w:pStyle w:val="94"/>
                    <w:spacing w:line="240" w:lineRule="auto"/>
                    <w:ind w:firstLine="0" w:firstLineChars="0"/>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sz w:val="21"/>
                      <w:szCs w:val="21"/>
                      <w:highlight w:val="none"/>
                      <w:lang w:val="en-US" w:eastAsia="zh-CN"/>
                    </w:rPr>
                    <w:t>1</w:t>
                  </w:r>
                </w:p>
              </w:tc>
              <w:tc>
                <w:tcPr>
                  <w:tcW w:w="1606" w:type="pct"/>
                  <w:tcBorders>
                    <w:top w:val="single" w:color="000000" w:sz="4" w:space="0"/>
                    <w:left w:val="single" w:color="auto" w:sz="4" w:space="0"/>
                    <w:right w:val="single" w:color="000000" w:sz="4" w:space="0"/>
                  </w:tcBorders>
                  <w:noWrap/>
                  <w:tcMar>
                    <w:top w:w="15" w:type="dxa"/>
                    <w:left w:w="15" w:type="dxa"/>
                    <w:right w:w="15" w:type="dxa"/>
                  </w:tcMar>
                  <w:vAlign w:val="center"/>
                </w:tcPr>
                <w:p w14:paraId="6FB97869">
                  <w:pPr>
                    <w:pStyle w:val="94"/>
                    <w:spacing w:line="240" w:lineRule="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切削液调配</w:t>
                  </w:r>
                </w:p>
              </w:tc>
              <w:tc>
                <w:tcPr>
                  <w:tcW w:w="657"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36FA9853">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0.004</w:t>
                  </w:r>
                </w:p>
              </w:tc>
              <w:tc>
                <w:tcPr>
                  <w:tcW w:w="498"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0AFFA311">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0.004</w:t>
                  </w:r>
                </w:p>
              </w:tc>
              <w:tc>
                <w:tcPr>
                  <w:tcW w:w="657"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147B6471">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c>
                <w:tcPr>
                  <w:tcW w:w="595"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2CDB1A26">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0.004</w:t>
                  </w:r>
                </w:p>
              </w:tc>
              <w:tc>
                <w:tcPr>
                  <w:tcW w:w="499"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29B77350">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r>
            <w:tr w14:paraId="33BEC6B0">
              <w:tblPrEx>
                <w:tblCellMar>
                  <w:top w:w="0" w:type="dxa"/>
                  <w:left w:w="0" w:type="dxa"/>
                  <w:bottom w:w="0" w:type="dxa"/>
                  <w:right w:w="0" w:type="dxa"/>
                </w:tblCellMar>
              </w:tblPrEx>
              <w:trPr>
                <w:gridAfter w:val="1"/>
                <w:wAfter w:w="4" w:type="pct"/>
                <w:trHeight w:val="90" w:hRule="atLeast"/>
              </w:trPr>
              <w:tc>
                <w:tcPr>
                  <w:tcW w:w="480" w:type="pct"/>
                  <w:tcBorders>
                    <w:top w:val="single" w:color="000000" w:sz="4" w:space="0"/>
                    <w:left w:val="single" w:color="000000" w:sz="4" w:space="0"/>
                    <w:bottom w:val="single" w:color="auto" w:sz="4" w:space="0"/>
                    <w:right w:val="single" w:color="auto" w:sz="4" w:space="0"/>
                  </w:tcBorders>
                  <w:noWrap/>
                  <w:tcMar>
                    <w:top w:w="15" w:type="dxa"/>
                    <w:left w:w="15" w:type="dxa"/>
                    <w:right w:w="15" w:type="dxa"/>
                  </w:tcMar>
                  <w:vAlign w:val="center"/>
                </w:tcPr>
                <w:p w14:paraId="28150771">
                  <w:pPr>
                    <w:pStyle w:val="94"/>
                    <w:spacing w:line="240" w:lineRule="auto"/>
                    <w:ind w:firstLine="0" w:firstLineChars="0"/>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2</w:t>
                  </w:r>
                </w:p>
              </w:tc>
              <w:tc>
                <w:tcPr>
                  <w:tcW w:w="1606" w:type="pct"/>
                  <w:tcBorders>
                    <w:top w:val="single" w:color="000000" w:sz="4" w:space="0"/>
                    <w:left w:val="single" w:color="auto" w:sz="4" w:space="0"/>
                    <w:right w:val="single" w:color="000000" w:sz="4" w:space="0"/>
                  </w:tcBorders>
                  <w:noWrap/>
                  <w:tcMar>
                    <w:top w:w="15" w:type="dxa"/>
                    <w:left w:w="15" w:type="dxa"/>
                    <w:right w:w="15" w:type="dxa"/>
                  </w:tcMar>
                  <w:vAlign w:val="center"/>
                </w:tcPr>
                <w:p w14:paraId="16AC8FB3">
                  <w:pPr>
                    <w:pStyle w:val="94"/>
                    <w:spacing w:line="240" w:lineRule="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水槽补水（3个）</w:t>
                  </w:r>
                </w:p>
              </w:tc>
              <w:tc>
                <w:tcPr>
                  <w:tcW w:w="657"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2CB74400">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10.5</w:t>
                  </w:r>
                </w:p>
              </w:tc>
              <w:tc>
                <w:tcPr>
                  <w:tcW w:w="498"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2BCDB9E1">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0.42</w:t>
                  </w:r>
                </w:p>
              </w:tc>
              <w:tc>
                <w:tcPr>
                  <w:tcW w:w="657"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2BB16AAF">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10.08</w:t>
                  </w:r>
                </w:p>
              </w:tc>
              <w:tc>
                <w:tcPr>
                  <w:tcW w:w="595"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2011E1F3">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0.42</w:t>
                  </w:r>
                </w:p>
              </w:tc>
              <w:tc>
                <w:tcPr>
                  <w:tcW w:w="499"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0163C1DC">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r>
            <w:tr w14:paraId="2C238313">
              <w:tblPrEx>
                <w:tblCellMar>
                  <w:top w:w="0" w:type="dxa"/>
                  <w:left w:w="0" w:type="dxa"/>
                  <w:bottom w:w="0" w:type="dxa"/>
                  <w:right w:w="0" w:type="dxa"/>
                </w:tblCellMar>
              </w:tblPrEx>
              <w:trPr>
                <w:gridAfter w:val="1"/>
                <w:wAfter w:w="4" w:type="pct"/>
                <w:trHeight w:val="90" w:hRule="atLeast"/>
              </w:trPr>
              <w:tc>
                <w:tcPr>
                  <w:tcW w:w="480" w:type="pct"/>
                  <w:tcBorders>
                    <w:top w:val="single" w:color="000000" w:sz="4" w:space="0"/>
                    <w:left w:val="single" w:color="000000" w:sz="4" w:space="0"/>
                    <w:bottom w:val="single" w:color="auto" w:sz="4" w:space="0"/>
                    <w:right w:val="single" w:color="auto" w:sz="4" w:space="0"/>
                  </w:tcBorders>
                  <w:noWrap/>
                  <w:tcMar>
                    <w:top w:w="15" w:type="dxa"/>
                    <w:left w:w="15" w:type="dxa"/>
                    <w:right w:w="15" w:type="dxa"/>
                  </w:tcMar>
                  <w:vAlign w:val="center"/>
                </w:tcPr>
                <w:p w14:paraId="2367C7FD">
                  <w:pPr>
                    <w:pStyle w:val="94"/>
                    <w:spacing w:line="240" w:lineRule="auto"/>
                    <w:ind w:firstLine="0" w:firstLineChars="0"/>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1606" w:type="pct"/>
                  <w:tcBorders>
                    <w:top w:val="single" w:color="000000" w:sz="4" w:space="0"/>
                    <w:left w:val="single" w:color="auto" w:sz="4" w:space="0"/>
                    <w:right w:val="single" w:color="000000" w:sz="4" w:space="0"/>
                  </w:tcBorders>
                  <w:noWrap/>
                  <w:tcMar>
                    <w:top w:w="15" w:type="dxa"/>
                    <w:left w:w="15" w:type="dxa"/>
                    <w:right w:w="15" w:type="dxa"/>
                  </w:tcMar>
                  <w:vAlign w:val="center"/>
                </w:tcPr>
                <w:p w14:paraId="5E1D0143">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喷淋塔补水</w:t>
                  </w:r>
                </w:p>
              </w:tc>
              <w:tc>
                <w:tcPr>
                  <w:tcW w:w="657"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2EBE6622">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0.2</w:t>
                  </w:r>
                </w:p>
              </w:tc>
              <w:tc>
                <w:tcPr>
                  <w:tcW w:w="498"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75996CBD">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0.2</w:t>
                  </w:r>
                </w:p>
              </w:tc>
              <w:tc>
                <w:tcPr>
                  <w:tcW w:w="657"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369BC11E">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595"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22984B5A">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0.2</w:t>
                  </w:r>
                </w:p>
              </w:tc>
              <w:tc>
                <w:tcPr>
                  <w:tcW w:w="499"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312322C9">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r>
            <w:tr w14:paraId="57E24902">
              <w:tblPrEx>
                <w:tblCellMar>
                  <w:top w:w="0" w:type="dxa"/>
                  <w:left w:w="0" w:type="dxa"/>
                  <w:bottom w:w="0" w:type="dxa"/>
                  <w:right w:w="0" w:type="dxa"/>
                </w:tblCellMar>
              </w:tblPrEx>
              <w:trPr>
                <w:gridAfter w:val="1"/>
                <w:wAfter w:w="4" w:type="pct"/>
                <w:trHeight w:val="90" w:hRule="atLeast"/>
              </w:trPr>
              <w:tc>
                <w:tcPr>
                  <w:tcW w:w="480" w:type="pct"/>
                  <w:tcBorders>
                    <w:top w:val="single" w:color="000000" w:sz="4" w:space="0"/>
                    <w:left w:val="single" w:color="000000" w:sz="4" w:space="0"/>
                    <w:bottom w:val="single" w:color="auto" w:sz="4" w:space="0"/>
                    <w:right w:val="single" w:color="auto" w:sz="4" w:space="0"/>
                  </w:tcBorders>
                  <w:noWrap/>
                  <w:tcMar>
                    <w:top w:w="15" w:type="dxa"/>
                    <w:left w:w="15" w:type="dxa"/>
                    <w:right w:w="15" w:type="dxa"/>
                  </w:tcMar>
                  <w:vAlign w:val="center"/>
                </w:tcPr>
                <w:p w14:paraId="3914CED7">
                  <w:pPr>
                    <w:pStyle w:val="94"/>
                    <w:spacing w:line="240" w:lineRule="auto"/>
                    <w:ind w:firstLine="0" w:firstLineChars="0"/>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4</w:t>
                  </w:r>
                </w:p>
              </w:tc>
              <w:tc>
                <w:tcPr>
                  <w:tcW w:w="1606" w:type="pct"/>
                  <w:tcBorders>
                    <w:top w:val="single" w:color="000000" w:sz="4" w:space="0"/>
                    <w:left w:val="single" w:color="auto" w:sz="4" w:space="0"/>
                    <w:right w:val="single" w:color="000000" w:sz="4" w:space="0"/>
                  </w:tcBorders>
                  <w:noWrap/>
                  <w:tcMar>
                    <w:top w:w="15" w:type="dxa"/>
                    <w:left w:w="15" w:type="dxa"/>
                    <w:right w:w="15" w:type="dxa"/>
                  </w:tcMar>
                  <w:vAlign w:val="center"/>
                </w:tcPr>
                <w:p w14:paraId="70DE2BE0">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冲洗用水</w:t>
                  </w:r>
                </w:p>
              </w:tc>
              <w:tc>
                <w:tcPr>
                  <w:tcW w:w="657"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5DCF309D">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0.5</w:t>
                  </w:r>
                </w:p>
              </w:tc>
              <w:tc>
                <w:tcPr>
                  <w:tcW w:w="498"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74C077BC">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0.5</w:t>
                  </w:r>
                </w:p>
              </w:tc>
              <w:tc>
                <w:tcPr>
                  <w:tcW w:w="657"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54455DA6">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c>
                <w:tcPr>
                  <w:tcW w:w="595"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0EFC399D">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0.1</w:t>
                  </w:r>
                </w:p>
              </w:tc>
              <w:tc>
                <w:tcPr>
                  <w:tcW w:w="499"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05B0912F">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0.4</w:t>
                  </w:r>
                </w:p>
              </w:tc>
            </w:tr>
            <w:tr w14:paraId="136F2126">
              <w:tblPrEx>
                <w:tblCellMar>
                  <w:top w:w="0" w:type="dxa"/>
                  <w:left w:w="0" w:type="dxa"/>
                  <w:bottom w:w="0" w:type="dxa"/>
                  <w:right w:w="0" w:type="dxa"/>
                </w:tblCellMar>
              </w:tblPrEx>
              <w:trPr>
                <w:trHeight w:val="280" w:hRule="atLeast"/>
              </w:trPr>
              <w:tc>
                <w:tcPr>
                  <w:tcW w:w="2090" w:type="pct"/>
                  <w:gridSpan w:val="3"/>
                  <w:tcBorders>
                    <w:top w:val="single" w:color="auto" w:sz="4" w:space="0"/>
                    <w:left w:val="single" w:color="000000" w:sz="4" w:space="0"/>
                    <w:bottom w:val="single" w:color="000000" w:sz="4" w:space="0"/>
                    <w:right w:val="single" w:color="auto" w:sz="4" w:space="0"/>
                  </w:tcBorders>
                  <w:noWrap/>
                  <w:tcMar>
                    <w:top w:w="15" w:type="dxa"/>
                    <w:left w:w="15" w:type="dxa"/>
                    <w:right w:w="15" w:type="dxa"/>
                  </w:tcMar>
                  <w:vAlign w:val="center"/>
                </w:tcPr>
                <w:p w14:paraId="2F3BBF18">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合计</w:t>
                  </w:r>
                </w:p>
              </w:tc>
              <w:tc>
                <w:tcPr>
                  <w:tcW w:w="657" w:type="pct"/>
                  <w:gridSpan w:val="2"/>
                  <w:tcBorders>
                    <w:top w:val="single" w:color="auto" w:sz="4" w:space="0"/>
                    <w:left w:val="single" w:color="000000" w:sz="4" w:space="0"/>
                    <w:bottom w:val="single" w:color="000000" w:sz="4" w:space="0"/>
                    <w:right w:val="single" w:color="000000" w:sz="4" w:space="0"/>
                  </w:tcBorders>
                  <w:noWrap/>
                  <w:tcMar>
                    <w:top w:w="15" w:type="dxa"/>
                    <w:left w:w="15" w:type="dxa"/>
                    <w:right w:w="15" w:type="dxa"/>
                  </w:tcMar>
                  <w:vAlign w:val="center"/>
                </w:tcPr>
                <w:p w14:paraId="4C046529">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11.204</w:t>
                  </w:r>
                </w:p>
              </w:tc>
              <w:tc>
                <w:tcPr>
                  <w:tcW w:w="498" w:type="pct"/>
                  <w:gridSpan w:val="2"/>
                  <w:tcBorders>
                    <w:top w:val="single" w:color="auto" w:sz="4" w:space="0"/>
                    <w:left w:val="single" w:color="000000" w:sz="4" w:space="0"/>
                    <w:bottom w:val="single" w:color="000000" w:sz="4" w:space="0"/>
                    <w:right w:val="single" w:color="000000" w:sz="4" w:space="0"/>
                  </w:tcBorders>
                  <w:noWrap/>
                  <w:tcMar>
                    <w:top w:w="15" w:type="dxa"/>
                    <w:left w:w="15" w:type="dxa"/>
                    <w:right w:w="15" w:type="dxa"/>
                  </w:tcMar>
                  <w:vAlign w:val="center"/>
                </w:tcPr>
                <w:p w14:paraId="47C503DE">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1.124</w:t>
                  </w:r>
                </w:p>
              </w:tc>
              <w:tc>
                <w:tcPr>
                  <w:tcW w:w="657" w:type="pct"/>
                  <w:gridSpan w:val="2"/>
                  <w:tcBorders>
                    <w:top w:val="single" w:color="auto" w:sz="4" w:space="0"/>
                    <w:left w:val="single" w:color="000000" w:sz="4" w:space="0"/>
                    <w:bottom w:val="single" w:color="000000" w:sz="4" w:space="0"/>
                    <w:right w:val="single" w:color="000000" w:sz="4" w:space="0"/>
                  </w:tcBorders>
                  <w:noWrap/>
                  <w:tcMar>
                    <w:top w:w="15" w:type="dxa"/>
                    <w:left w:w="15" w:type="dxa"/>
                    <w:right w:w="15" w:type="dxa"/>
                  </w:tcMar>
                  <w:vAlign w:val="center"/>
                </w:tcPr>
                <w:p w14:paraId="1D3C4828">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11.08</w:t>
                  </w:r>
                </w:p>
              </w:tc>
              <w:tc>
                <w:tcPr>
                  <w:tcW w:w="595" w:type="pct"/>
                  <w:gridSpan w:val="2"/>
                  <w:tcBorders>
                    <w:top w:val="single" w:color="auto" w:sz="4" w:space="0"/>
                    <w:left w:val="single" w:color="000000" w:sz="4" w:space="0"/>
                    <w:bottom w:val="single" w:color="000000" w:sz="4" w:space="0"/>
                    <w:right w:val="single" w:color="auto" w:sz="4" w:space="0"/>
                  </w:tcBorders>
                  <w:noWrap/>
                  <w:tcMar>
                    <w:top w:w="15" w:type="dxa"/>
                    <w:left w:w="15" w:type="dxa"/>
                    <w:right w:w="15" w:type="dxa"/>
                  </w:tcMar>
                  <w:vAlign w:val="center"/>
                </w:tcPr>
                <w:p w14:paraId="61FFF569">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0.724</w:t>
                  </w:r>
                </w:p>
              </w:tc>
              <w:tc>
                <w:tcPr>
                  <w:tcW w:w="499" w:type="pct"/>
                  <w:gridSpan w:val="2"/>
                  <w:tcBorders>
                    <w:top w:val="single" w:color="auto" w:sz="4" w:space="0"/>
                    <w:left w:val="single" w:color="000000" w:sz="4" w:space="0"/>
                    <w:bottom w:val="single" w:color="000000" w:sz="4" w:space="0"/>
                    <w:right w:val="single" w:color="000000" w:sz="4" w:space="0"/>
                  </w:tcBorders>
                  <w:noWrap/>
                  <w:tcMar>
                    <w:top w:w="15" w:type="dxa"/>
                    <w:left w:w="15" w:type="dxa"/>
                    <w:right w:w="15" w:type="dxa"/>
                  </w:tcMar>
                  <w:vAlign w:val="center"/>
                </w:tcPr>
                <w:p w14:paraId="0C94C3A6">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0.4</w:t>
                  </w:r>
                </w:p>
              </w:tc>
            </w:tr>
          </w:tbl>
          <w:p w14:paraId="35D07A16">
            <w:pPr>
              <w:pStyle w:val="32"/>
              <w:jc w:val="center"/>
              <w:rPr>
                <w:rFonts w:hint="eastAsia"/>
                <w:color w:val="auto"/>
                <w:sz w:val="21"/>
                <w:szCs w:val="16"/>
                <w:highlight w:val="none"/>
                <w:lang w:val="en-US" w:eastAsia="zh-CN"/>
              </w:rPr>
            </w:pPr>
            <w:r>
              <w:rPr>
                <w:rFonts w:hint="eastAsia"/>
                <w:color w:val="auto"/>
                <w:sz w:val="21"/>
                <w:szCs w:val="16"/>
                <w:highlight w:val="none"/>
                <w:lang w:val="en-US" w:eastAsia="zh-CN"/>
              </w:rPr>
              <w:drawing>
                <wp:inline distT="0" distB="0" distL="114300" distR="114300">
                  <wp:extent cx="3613150" cy="2213610"/>
                  <wp:effectExtent l="0" t="0" r="0" b="0"/>
                  <wp:docPr id="19" name="ECB019B1-382A-4266-B25C-5B523AA43C14-3" descr="C:/Users/86133/AppData/Local/Temp/wps.FjnOdF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ECB019B1-382A-4266-B25C-5B523AA43C14-3" descr="C:/Users/86133/AppData/Local/Temp/wps.FjnOdFwps"/>
                          <pic:cNvPicPr>
                            <a:picLocks noChangeAspect="1"/>
                          </pic:cNvPicPr>
                        </pic:nvPicPr>
                        <pic:blipFill>
                          <a:blip r:embed="rId18"/>
                          <a:stretch>
                            <a:fillRect/>
                          </a:stretch>
                        </pic:blipFill>
                        <pic:spPr>
                          <a:xfrm>
                            <a:off x="0" y="0"/>
                            <a:ext cx="3613150" cy="2213610"/>
                          </a:xfrm>
                          <a:prstGeom prst="rect">
                            <a:avLst/>
                          </a:prstGeom>
                        </pic:spPr>
                      </pic:pic>
                    </a:graphicData>
                  </a:graphic>
                </wp:inline>
              </w:drawing>
            </w:r>
          </w:p>
          <w:p w14:paraId="4DDF40C8">
            <w:pPr>
              <w:pStyle w:val="32"/>
              <w:spacing w:line="240" w:lineRule="auto"/>
              <w:ind w:left="0" w:leftChars="0" w:firstLine="0" w:firstLineChars="0"/>
              <w:jc w:val="center"/>
              <w:rPr>
                <w:rFonts w:hint="default"/>
                <w:color w:val="auto"/>
                <w:sz w:val="21"/>
                <w:szCs w:val="16"/>
                <w:highlight w:val="none"/>
                <w:lang w:val="en-US" w:eastAsia="zh-CN"/>
              </w:rPr>
            </w:pPr>
            <w:r>
              <w:rPr>
                <w:rFonts w:hint="eastAsia"/>
                <w:b/>
                <w:bCs/>
                <w:color w:val="auto"/>
                <w:sz w:val="24"/>
                <w:szCs w:val="20"/>
                <w:highlight w:val="none"/>
                <w:lang w:val="en-US" w:eastAsia="zh-CN"/>
              </w:rPr>
              <w:t>图2.3  扩建项目水平衡图 m</w:t>
            </w:r>
            <w:r>
              <w:rPr>
                <w:rFonts w:hint="eastAsia"/>
                <w:b/>
                <w:bCs/>
                <w:color w:val="auto"/>
                <w:sz w:val="24"/>
                <w:szCs w:val="20"/>
                <w:highlight w:val="none"/>
                <w:vertAlign w:val="superscript"/>
                <w:lang w:val="en-US" w:eastAsia="zh-CN"/>
              </w:rPr>
              <w:t>3</w:t>
            </w:r>
            <w:r>
              <w:rPr>
                <w:rFonts w:hint="eastAsia"/>
                <w:b/>
                <w:bCs/>
                <w:color w:val="auto"/>
                <w:sz w:val="24"/>
                <w:szCs w:val="20"/>
                <w:highlight w:val="none"/>
                <w:lang w:val="en-US" w:eastAsia="zh-CN"/>
              </w:rPr>
              <w:t>/d</w:t>
            </w:r>
          </w:p>
          <w:p w14:paraId="7D8793CB">
            <w:pPr>
              <w:pStyle w:val="10"/>
              <w:keepNext w:val="0"/>
              <w:keepLines w:val="0"/>
              <w:pageBreakBefore w:val="0"/>
              <w:widowControl w:val="0"/>
              <w:kinsoku/>
              <w:wordWrap/>
              <w:overflowPunct/>
              <w:topLinePunct w:val="0"/>
              <w:autoSpaceDE/>
              <w:autoSpaceDN/>
              <w:bidi w:val="0"/>
              <w:adjustRightInd w:val="0"/>
              <w:snapToGrid/>
              <w:textAlignment w:val="auto"/>
              <w:rPr>
                <w:rFonts w:hint="default"/>
                <w:color w:val="auto"/>
                <w:highlight w:val="none"/>
              </w:rPr>
            </w:pPr>
            <w:r>
              <w:rPr>
                <w:rFonts w:hint="eastAsia"/>
                <w:color w:val="auto"/>
                <w:highlight w:val="none"/>
                <w:lang w:val="en-US" w:eastAsia="zh-CN"/>
              </w:rPr>
              <w:t>3</w:t>
            </w:r>
            <w:r>
              <w:rPr>
                <w:color w:val="auto"/>
                <w:highlight w:val="none"/>
              </w:rPr>
              <w:t>.6</w:t>
            </w:r>
            <w:r>
              <w:rPr>
                <w:rFonts w:hint="default"/>
                <w:color w:val="auto"/>
                <w:highlight w:val="none"/>
              </w:rPr>
              <w:t>.2 供电</w:t>
            </w:r>
          </w:p>
          <w:p w14:paraId="7B84EFB2">
            <w:pPr>
              <w:keepNext w:val="0"/>
              <w:keepLines w:val="0"/>
              <w:pageBreakBefore w:val="0"/>
              <w:widowControl w:val="0"/>
              <w:kinsoku/>
              <w:wordWrap/>
              <w:overflowPunct/>
              <w:topLinePunct w:val="0"/>
              <w:autoSpaceDE/>
              <w:autoSpaceDN/>
              <w:bidi w:val="0"/>
              <w:adjustRightInd w:val="0"/>
              <w:snapToGrid/>
              <w:ind w:firstLine="480" w:firstLineChars="200"/>
              <w:textAlignment w:val="auto"/>
              <w:rPr>
                <w:color w:val="auto"/>
                <w:highlight w:val="none"/>
              </w:rPr>
            </w:pPr>
            <w:r>
              <w:rPr>
                <w:rFonts w:hint="eastAsia"/>
                <w:color w:val="auto"/>
                <w:highlight w:val="none"/>
              </w:rPr>
              <w:t>企业供电由当地电网统一供给，</w:t>
            </w:r>
            <w:r>
              <w:rPr>
                <w:rFonts w:hint="eastAsia"/>
                <w:color w:val="auto"/>
                <w:highlight w:val="none"/>
                <w:lang w:val="en-US" w:eastAsia="zh-CN"/>
              </w:rPr>
              <w:t>扩建项目用电量为3万kw</w:t>
            </w:r>
            <w:r>
              <w:rPr>
                <w:rFonts w:hint="default" w:ascii="Times New Roman" w:hAnsi="Times New Roman" w:cs="Times New Roman"/>
                <w:color w:val="auto"/>
                <w:highlight w:val="none"/>
                <w:lang w:val="en-US" w:eastAsia="zh-CN"/>
              </w:rPr>
              <w:t>·</w:t>
            </w:r>
            <w:r>
              <w:rPr>
                <w:rFonts w:hint="eastAsia"/>
                <w:color w:val="auto"/>
                <w:highlight w:val="none"/>
                <w:lang w:val="en-US" w:eastAsia="zh-CN"/>
              </w:rPr>
              <w:t>h/a，</w:t>
            </w:r>
            <w:r>
              <w:rPr>
                <w:rFonts w:hint="eastAsia"/>
                <w:color w:val="auto"/>
                <w:highlight w:val="none"/>
              </w:rPr>
              <w:t>能够满足日常生产及生活用电。</w:t>
            </w:r>
          </w:p>
          <w:p w14:paraId="4F597763">
            <w:pPr>
              <w:pStyle w:val="10"/>
              <w:keepNext w:val="0"/>
              <w:keepLines w:val="0"/>
              <w:pageBreakBefore w:val="0"/>
              <w:widowControl w:val="0"/>
              <w:kinsoku/>
              <w:wordWrap/>
              <w:overflowPunct/>
              <w:topLinePunct w:val="0"/>
              <w:autoSpaceDE/>
              <w:autoSpaceDN/>
              <w:bidi w:val="0"/>
              <w:adjustRightInd w:val="0"/>
              <w:snapToGrid/>
              <w:textAlignment w:val="auto"/>
              <w:rPr>
                <w:rFonts w:hint="default"/>
                <w:color w:val="auto"/>
                <w:highlight w:val="none"/>
              </w:rPr>
            </w:pPr>
            <w:r>
              <w:rPr>
                <w:rFonts w:hint="eastAsia"/>
                <w:color w:val="auto"/>
                <w:highlight w:val="none"/>
                <w:lang w:val="en-US" w:eastAsia="zh-CN"/>
              </w:rPr>
              <w:t>3</w:t>
            </w:r>
            <w:r>
              <w:rPr>
                <w:color w:val="auto"/>
                <w:highlight w:val="none"/>
              </w:rPr>
              <w:t>.6</w:t>
            </w:r>
            <w:r>
              <w:rPr>
                <w:rFonts w:hint="default"/>
                <w:color w:val="auto"/>
                <w:highlight w:val="none"/>
              </w:rPr>
              <w:t>.3 供热</w:t>
            </w:r>
          </w:p>
          <w:p w14:paraId="2B6199A0">
            <w:pPr>
              <w:pStyle w:val="33"/>
              <w:keepNext w:val="0"/>
              <w:keepLines w:val="0"/>
              <w:pageBreakBefore w:val="0"/>
              <w:widowControl w:val="0"/>
              <w:kinsoku/>
              <w:wordWrap/>
              <w:overflowPunct/>
              <w:topLinePunct w:val="0"/>
              <w:autoSpaceDE/>
              <w:autoSpaceDN/>
              <w:bidi w:val="0"/>
              <w:adjustRightInd w:val="0"/>
              <w:snapToGrid/>
              <w:spacing w:after="0"/>
              <w:ind w:left="0" w:leftChars="0" w:firstLine="480"/>
              <w:textAlignment w:val="auto"/>
              <w:rPr>
                <w:rFonts w:hint="eastAsia"/>
                <w:b/>
                <w:bCs/>
                <w:color w:val="auto"/>
                <w:highlight w:val="none"/>
                <w:lang w:val="en-US" w:eastAsia="zh-CN"/>
              </w:rPr>
            </w:pPr>
            <w:r>
              <w:rPr>
                <w:rFonts w:hint="eastAsia"/>
                <w:color w:val="auto"/>
                <w:highlight w:val="none"/>
              </w:rPr>
              <w:t>本项目办公采用空调供暖</w:t>
            </w:r>
            <w:r>
              <w:rPr>
                <w:rFonts w:hint="eastAsia"/>
                <w:color w:val="auto"/>
                <w:highlight w:val="none"/>
                <w:lang w:eastAsia="zh-CN"/>
              </w:rPr>
              <w:t>；</w:t>
            </w:r>
            <w:r>
              <w:rPr>
                <w:rFonts w:hint="eastAsia" w:ascii="Times New Roman" w:hAnsi="Times New Roman"/>
                <w:color w:val="auto"/>
                <w:highlight w:val="none"/>
                <w:lang w:val="en-US" w:eastAsia="zh-CN"/>
              </w:rPr>
              <w:t>碱洗槽采取电加热</w:t>
            </w:r>
            <w:r>
              <w:rPr>
                <w:rFonts w:hint="eastAsia"/>
                <w:color w:val="auto"/>
                <w:highlight w:val="none"/>
                <w:lang w:val="en-US" w:eastAsia="zh-CN"/>
              </w:rPr>
              <w:t>。</w:t>
            </w:r>
          </w:p>
          <w:p w14:paraId="5BC333AD">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b/>
                <w:bCs/>
                <w:color w:val="auto"/>
                <w:highlight w:val="none"/>
                <w:lang w:val="en-US" w:eastAsia="zh-CN"/>
              </w:rPr>
            </w:pPr>
            <w:r>
              <w:rPr>
                <w:rFonts w:hint="eastAsia"/>
                <w:b/>
                <w:bCs/>
                <w:color w:val="auto"/>
                <w:highlight w:val="none"/>
                <w:lang w:val="en-US" w:eastAsia="zh-CN"/>
              </w:rPr>
              <w:t>4扩建完成后全厂概况</w:t>
            </w:r>
          </w:p>
          <w:p w14:paraId="29ED8CC2">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color w:val="auto"/>
                <w:highlight w:val="none"/>
              </w:rPr>
            </w:pPr>
            <w:r>
              <w:rPr>
                <w:rFonts w:hint="eastAsia"/>
                <w:color w:val="auto"/>
                <w:highlight w:val="none"/>
                <w:lang w:val="en-US" w:eastAsia="zh-CN"/>
              </w:rPr>
              <w:t>4.1全厂</w:t>
            </w:r>
            <w:r>
              <w:rPr>
                <w:rFonts w:hint="eastAsia"/>
                <w:color w:val="auto"/>
                <w:highlight w:val="none"/>
              </w:rPr>
              <w:t>项目组成见下表：</w:t>
            </w:r>
          </w:p>
          <w:p w14:paraId="3D073F14">
            <w:pPr>
              <w:pStyle w:val="47"/>
              <w:ind w:left="482" w:hanging="482"/>
              <w:rPr>
                <w:color w:val="auto"/>
                <w:highlight w:val="none"/>
              </w:rPr>
            </w:pPr>
            <w:r>
              <w:rPr>
                <w:color w:val="auto"/>
                <w:highlight w:val="none"/>
              </w:rPr>
              <w:t>表</w:t>
            </w:r>
            <w:r>
              <w:rPr>
                <w:rFonts w:hint="eastAsia"/>
                <w:color w:val="auto"/>
                <w:highlight w:val="none"/>
                <w:lang w:val="en-US" w:eastAsia="zh-CN"/>
              </w:rPr>
              <w:t xml:space="preserve">2-11 </w:t>
            </w:r>
            <w:r>
              <w:rPr>
                <w:color w:val="auto"/>
                <w:highlight w:val="none"/>
              </w:rPr>
              <w:t xml:space="preserve"> </w:t>
            </w:r>
            <w:r>
              <w:rPr>
                <w:rFonts w:hint="eastAsia"/>
                <w:color w:val="auto"/>
                <w:highlight w:val="none"/>
                <w:lang w:val="en-US" w:eastAsia="zh-CN"/>
              </w:rPr>
              <w:t>扩建项目完成后全厂项目</w:t>
            </w:r>
            <w:r>
              <w:rPr>
                <w:color w:val="auto"/>
                <w:highlight w:val="none"/>
              </w:rPr>
              <w:t>组成一览表</w:t>
            </w:r>
          </w:p>
          <w:tbl>
            <w:tblPr>
              <w:tblStyle w:val="3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1"/>
              <w:gridCol w:w="496"/>
              <w:gridCol w:w="982"/>
              <w:gridCol w:w="6004"/>
            </w:tblGrid>
            <w:tr w14:paraId="72092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70" w:hRule="atLeast"/>
                <w:jc w:val="center"/>
              </w:trPr>
              <w:tc>
                <w:tcPr>
                  <w:tcW w:w="505" w:type="pct"/>
                  <w:vAlign w:val="center"/>
                </w:tcPr>
                <w:p w14:paraId="58B29EDF">
                  <w:pPr>
                    <w:pStyle w:val="58"/>
                    <w:ind w:firstLine="0"/>
                    <w:rPr>
                      <w:rFonts w:ascii="Times New Roman" w:hAnsi="Times New Roman"/>
                      <w:color w:val="auto"/>
                      <w:highlight w:val="none"/>
                    </w:rPr>
                  </w:pPr>
                  <w:r>
                    <w:rPr>
                      <w:rFonts w:ascii="Times New Roman" w:hAnsi="Times New Roman"/>
                      <w:color w:val="auto"/>
                      <w:highlight w:val="none"/>
                    </w:rPr>
                    <w:t>项目</w:t>
                  </w:r>
                </w:p>
              </w:tc>
              <w:tc>
                <w:tcPr>
                  <w:tcW w:w="888" w:type="pct"/>
                  <w:gridSpan w:val="2"/>
                  <w:vAlign w:val="center"/>
                </w:tcPr>
                <w:p w14:paraId="32CDC046">
                  <w:pPr>
                    <w:pStyle w:val="58"/>
                    <w:ind w:firstLine="0"/>
                    <w:rPr>
                      <w:rFonts w:ascii="Times New Roman" w:hAnsi="Times New Roman"/>
                      <w:color w:val="auto"/>
                      <w:highlight w:val="none"/>
                    </w:rPr>
                  </w:pPr>
                  <w:r>
                    <w:rPr>
                      <w:rFonts w:ascii="Times New Roman" w:hAnsi="Times New Roman"/>
                      <w:color w:val="auto"/>
                      <w:highlight w:val="none"/>
                    </w:rPr>
                    <w:t>项目组成</w:t>
                  </w:r>
                </w:p>
              </w:tc>
              <w:tc>
                <w:tcPr>
                  <w:tcW w:w="3606" w:type="pct"/>
                  <w:vAlign w:val="center"/>
                </w:tcPr>
                <w:p w14:paraId="4EDA7190">
                  <w:pPr>
                    <w:pStyle w:val="58"/>
                    <w:ind w:firstLine="0"/>
                    <w:rPr>
                      <w:rFonts w:ascii="Times New Roman" w:hAnsi="Times New Roman"/>
                      <w:color w:val="auto"/>
                      <w:highlight w:val="none"/>
                    </w:rPr>
                  </w:pPr>
                  <w:r>
                    <w:rPr>
                      <w:rFonts w:ascii="Times New Roman" w:hAnsi="Times New Roman"/>
                      <w:color w:val="auto"/>
                      <w:highlight w:val="none"/>
                    </w:rPr>
                    <w:t>项目工程内容</w:t>
                  </w:r>
                </w:p>
              </w:tc>
            </w:tr>
            <w:tr w14:paraId="3C78A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jc w:val="center"/>
              </w:trPr>
              <w:tc>
                <w:tcPr>
                  <w:tcW w:w="505" w:type="pct"/>
                  <w:vMerge w:val="restart"/>
                  <w:vAlign w:val="center"/>
                </w:tcPr>
                <w:p w14:paraId="4F17F598">
                  <w:pPr>
                    <w:pStyle w:val="58"/>
                    <w:ind w:firstLine="0"/>
                    <w:rPr>
                      <w:rFonts w:ascii="Times New Roman" w:hAnsi="Times New Roman"/>
                      <w:color w:val="auto"/>
                      <w:highlight w:val="none"/>
                    </w:rPr>
                  </w:pPr>
                  <w:r>
                    <w:rPr>
                      <w:rFonts w:ascii="Times New Roman" w:hAnsi="Times New Roman"/>
                      <w:color w:val="auto"/>
                      <w:highlight w:val="none"/>
                    </w:rPr>
                    <w:t>主体工程</w:t>
                  </w:r>
                </w:p>
              </w:tc>
              <w:tc>
                <w:tcPr>
                  <w:tcW w:w="888" w:type="pct"/>
                  <w:gridSpan w:val="2"/>
                  <w:vAlign w:val="center"/>
                </w:tcPr>
                <w:p w14:paraId="49D04343">
                  <w:pPr>
                    <w:pStyle w:val="58"/>
                    <w:ind w:firstLine="0"/>
                    <w:rPr>
                      <w:rFonts w:hint="eastAsia" w:ascii="Times New Roman" w:hAnsi="Times New Roman" w:eastAsia="宋体"/>
                      <w:color w:val="auto"/>
                      <w:highlight w:val="none"/>
                      <w:lang w:eastAsia="zh-CN"/>
                    </w:rPr>
                  </w:pPr>
                  <w:r>
                    <w:rPr>
                      <w:rFonts w:hint="eastAsia" w:ascii="Times New Roman" w:hAnsi="Times New Roman"/>
                      <w:color w:val="auto"/>
                      <w:highlight w:val="none"/>
                      <w:lang w:val="en-US" w:eastAsia="zh-CN"/>
                    </w:rPr>
                    <w:t>机加工车间</w:t>
                  </w:r>
                </w:p>
              </w:tc>
              <w:tc>
                <w:tcPr>
                  <w:tcW w:w="3606" w:type="pct"/>
                  <w:tcBorders>
                    <w:bottom w:val="single" w:color="auto" w:sz="4" w:space="0"/>
                  </w:tcBorders>
                  <w:vAlign w:val="center"/>
                </w:tcPr>
                <w:p w14:paraId="1C163969">
                  <w:pPr>
                    <w:pStyle w:val="58"/>
                    <w:ind w:firstLine="0"/>
                    <w:rPr>
                      <w:rFonts w:hint="default" w:ascii="Times New Roman" w:hAnsi="Times New Roman" w:eastAsia="宋体"/>
                      <w:color w:val="auto"/>
                      <w:highlight w:val="none"/>
                      <w:lang w:val="en-US" w:eastAsia="zh-CN"/>
                    </w:rPr>
                  </w:pPr>
                  <w:r>
                    <w:rPr>
                      <w:rFonts w:hint="eastAsia" w:ascii="Times New Roman" w:hAnsi="Times New Roman"/>
                      <w:color w:val="auto"/>
                      <w:highlight w:val="none"/>
                      <w:lang w:val="en-US" w:eastAsia="zh-CN"/>
                    </w:rPr>
                    <w:t>建筑面积为900m</w:t>
                  </w:r>
                  <w:r>
                    <w:rPr>
                      <w:rFonts w:hint="eastAsia" w:ascii="Times New Roman" w:hAnsi="Times New Roman"/>
                      <w:color w:val="auto"/>
                      <w:highlight w:val="none"/>
                      <w:vertAlign w:val="superscript"/>
                      <w:lang w:val="en-US" w:eastAsia="zh-CN"/>
                    </w:rPr>
                    <w:t>2</w:t>
                  </w:r>
                  <w:r>
                    <w:rPr>
                      <w:rFonts w:hint="eastAsia" w:ascii="Times New Roman" w:hAnsi="Times New Roman"/>
                      <w:color w:val="auto"/>
                      <w:highlight w:val="none"/>
                      <w:lang w:val="en-US" w:eastAsia="zh-CN"/>
                    </w:rPr>
                    <w:t>，内设 普通车床、立式加工中心等生产设备、洗槽6座，年生产汽车零部件120万件</w:t>
                  </w:r>
                </w:p>
              </w:tc>
            </w:tr>
            <w:tr w14:paraId="0AF31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 w:hRule="atLeast"/>
                <w:jc w:val="center"/>
              </w:trPr>
              <w:tc>
                <w:tcPr>
                  <w:tcW w:w="505" w:type="pct"/>
                  <w:vMerge w:val="continue"/>
                  <w:vAlign w:val="center"/>
                </w:tcPr>
                <w:p w14:paraId="2E0AF7A9">
                  <w:pPr>
                    <w:pStyle w:val="58"/>
                    <w:ind w:firstLine="0"/>
                    <w:rPr>
                      <w:rFonts w:ascii="Times New Roman" w:hAnsi="Times New Roman"/>
                      <w:color w:val="auto"/>
                      <w:highlight w:val="none"/>
                    </w:rPr>
                  </w:pPr>
                </w:p>
              </w:tc>
              <w:tc>
                <w:tcPr>
                  <w:tcW w:w="1478" w:type="dxa"/>
                  <w:gridSpan w:val="2"/>
                  <w:vAlign w:val="center"/>
                </w:tcPr>
                <w:p w14:paraId="160E4ED8">
                  <w:pPr>
                    <w:pStyle w:val="58"/>
                    <w:ind w:firstLine="0" w:firstLineChars="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发黑车间</w:t>
                  </w:r>
                </w:p>
              </w:tc>
              <w:tc>
                <w:tcPr>
                  <w:tcW w:w="6004" w:type="dxa"/>
                  <w:tcBorders>
                    <w:bottom w:val="nil"/>
                  </w:tcBorders>
                  <w:vAlign w:val="center"/>
                </w:tcPr>
                <w:p w14:paraId="046AD99A">
                  <w:pPr>
                    <w:pStyle w:val="58"/>
                    <w:ind w:firstLine="0" w:firstLineChars="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内设6座洗槽</w:t>
                  </w:r>
                </w:p>
              </w:tc>
            </w:tr>
            <w:tr w14:paraId="5DEB3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505" w:type="pct"/>
                  <w:vMerge w:val="restart"/>
                  <w:vAlign w:val="center"/>
                </w:tcPr>
                <w:p w14:paraId="66372476">
                  <w:pPr>
                    <w:pStyle w:val="58"/>
                    <w:ind w:firstLine="0"/>
                    <w:rPr>
                      <w:rFonts w:hint="eastAsia" w:ascii="Times New Roman" w:hAnsi="Times New Roman" w:eastAsia="宋体"/>
                      <w:color w:val="auto"/>
                      <w:highlight w:val="none"/>
                      <w:lang w:val="en-US" w:eastAsia="zh-CN"/>
                    </w:rPr>
                  </w:pPr>
                  <w:r>
                    <w:rPr>
                      <w:rFonts w:hint="eastAsia" w:ascii="Times New Roman" w:hAnsi="Times New Roman"/>
                      <w:color w:val="auto"/>
                      <w:highlight w:val="none"/>
                      <w:lang w:val="en-US" w:eastAsia="zh-CN"/>
                    </w:rPr>
                    <w:t>储运工程</w:t>
                  </w:r>
                </w:p>
              </w:tc>
              <w:tc>
                <w:tcPr>
                  <w:tcW w:w="888" w:type="pct"/>
                  <w:gridSpan w:val="2"/>
                  <w:vAlign w:val="center"/>
                </w:tcPr>
                <w:p w14:paraId="568DE35F">
                  <w:pPr>
                    <w:pStyle w:val="58"/>
                    <w:ind w:firstLine="0"/>
                    <w:rPr>
                      <w:rFonts w:hint="default" w:ascii="Times New Roman" w:hAnsi="Times New Roman" w:eastAsia="宋体"/>
                      <w:color w:val="auto"/>
                      <w:highlight w:val="none"/>
                      <w:lang w:val="en-US" w:eastAsia="zh-CN"/>
                    </w:rPr>
                  </w:pPr>
                  <w:r>
                    <w:rPr>
                      <w:rFonts w:hint="eastAsia" w:ascii="Times New Roman" w:hAnsi="Times New Roman"/>
                      <w:color w:val="auto"/>
                      <w:highlight w:val="none"/>
                      <w:lang w:val="en-US" w:eastAsia="zh-CN"/>
                    </w:rPr>
                    <w:t>暂存区</w:t>
                  </w:r>
                </w:p>
              </w:tc>
              <w:tc>
                <w:tcPr>
                  <w:tcW w:w="3606" w:type="pct"/>
                  <w:vAlign w:val="center"/>
                </w:tcPr>
                <w:p w14:paraId="398B60BE">
                  <w:pPr>
                    <w:pStyle w:val="58"/>
                    <w:ind w:firstLine="0"/>
                    <w:rPr>
                      <w:rFonts w:hint="default" w:ascii="Times New Roman" w:hAnsi="Times New Roman"/>
                      <w:color w:val="auto"/>
                      <w:highlight w:val="none"/>
                      <w:vertAlign w:val="baseline"/>
                      <w:lang w:val="en-US" w:eastAsia="zh-CN"/>
                    </w:rPr>
                  </w:pPr>
                  <w:r>
                    <w:rPr>
                      <w:rFonts w:hint="eastAsia" w:ascii="Times New Roman" w:hAnsi="Times New Roman"/>
                      <w:color w:val="auto"/>
                      <w:highlight w:val="none"/>
                      <w:vertAlign w:val="baseline"/>
                      <w:lang w:val="en-US" w:eastAsia="zh-CN"/>
                    </w:rPr>
                    <w:t>位于发黑车间内东侧，用于暂存成品</w:t>
                  </w:r>
                </w:p>
              </w:tc>
            </w:tr>
            <w:tr w14:paraId="3C9D0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jc w:val="center"/>
              </w:trPr>
              <w:tc>
                <w:tcPr>
                  <w:tcW w:w="505" w:type="pct"/>
                  <w:vMerge w:val="continue"/>
                  <w:vAlign w:val="center"/>
                </w:tcPr>
                <w:p w14:paraId="0DE5ED8F">
                  <w:pPr>
                    <w:pStyle w:val="58"/>
                    <w:ind w:firstLine="0"/>
                    <w:rPr>
                      <w:rFonts w:hint="eastAsia" w:ascii="Times New Roman" w:hAnsi="Times New Roman"/>
                      <w:color w:val="auto"/>
                      <w:highlight w:val="none"/>
                      <w:lang w:val="en-US" w:eastAsia="zh-CN"/>
                    </w:rPr>
                  </w:pPr>
                </w:p>
              </w:tc>
              <w:tc>
                <w:tcPr>
                  <w:tcW w:w="1478" w:type="dxa"/>
                  <w:gridSpan w:val="2"/>
                  <w:vAlign w:val="center"/>
                </w:tcPr>
                <w:p w14:paraId="2D41836E">
                  <w:pPr>
                    <w:pStyle w:val="58"/>
                    <w:ind w:firstLine="0" w:firstLineChars="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盐酸库</w:t>
                  </w:r>
                </w:p>
              </w:tc>
              <w:tc>
                <w:tcPr>
                  <w:tcW w:w="6004" w:type="dxa"/>
                  <w:vAlign w:val="center"/>
                </w:tcPr>
                <w:p w14:paraId="1B101D57">
                  <w:pPr>
                    <w:pStyle w:val="58"/>
                    <w:ind w:firstLine="0" w:firstLineChars="0"/>
                    <w:rPr>
                      <w:rFonts w:hint="eastAsia" w:ascii="Times New Roman" w:hAnsi="Times New Roman"/>
                      <w:color w:val="auto"/>
                      <w:highlight w:val="none"/>
                      <w:vertAlign w:val="baseline"/>
                      <w:lang w:val="en-US" w:eastAsia="zh-CN"/>
                    </w:rPr>
                  </w:pPr>
                  <w:r>
                    <w:rPr>
                      <w:rFonts w:hint="eastAsia" w:ascii="Times New Roman" w:hAnsi="Times New Roman"/>
                      <w:color w:val="auto"/>
                      <w:highlight w:val="none"/>
                      <w:lang w:val="en-US" w:eastAsia="zh-CN"/>
                    </w:rPr>
                    <w:t>建筑面积45.5m</w:t>
                  </w:r>
                  <w:r>
                    <w:rPr>
                      <w:rFonts w:hint="eastAsia" w:ascii="Times New Roman" w:hAnsi="Times New Roman"/>
                      <w:color w:val="auto"/>
                      <w:highlight w:val="none"/>
                      <w:vertAlign w:val="superscript"/>
                      <w:lang w:val="en-US" w:eastAsia="zh-CN"/>
                    </w:rPr>
                    <w:t>2</w:t>
                  </w:r>
                  <w:r>
                    <w:rPr>
                      <w:rFonts w:hint="eastAsia" w:ascii="Times New Roman" w:hAnsi="Times New Roman"/>
                      <w:color w:val="auto"/>
                      <w:highlight w:val="none"/>
                      <w:vertAlign w:val="baseline"/>
                      <w:lang w:val="en-US" w:eastAsia="zh-CN"/>
                    </w:rPr>
                    <w:t>，</w:t>
                  </w:r>
                  <w:r>
                    <w:rPr>
                      <w:rFonts w:hint="eastAsia" w:ascii="Times New Roman" w:hAnsi="Times New Roman"/>
                      <w:color w:val="auto"/>
                      <w:highlight w:val="none"/>
                      <w:lang w:val="en-US" w:eastAsia="zh-CN"/>
                    </w:rPr>
                    <w:t>位于机加工车间南侧，内置吨桶，最大盐酸储存量为1吨，配备24小时监控</w:t>
                  </w:r>
                </w:p>
              </w:tc>
            </w:tr>
            <w:tr w14:paraId="1E8B6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 w:hRule="atLeast"/>
                <w:jc w:val="center"/>
              </w:trPr>
              <w:tc>
                <w:tcPr>
                  <w:tcW w:w="505" w:type="pct"/>
                  <w:vMerge w:val="continue"/>
                  <w:vAlign w:val="center"/>
                </w:tcPr>
                <w:p w14:paraId="52C30D62">
                  <w:pPr>
                    <w:pStyle w:val="58"/>
                    <w:ind w:firstLine="0"/>
                    <w:rPr>
                      <w:rFonts w:hint="eastAsia" w:ascii="Times New Roman" w:hAnsi="Times New Roman"/>
                      <w:color w:val="auto"/>
                      <w:highlight w:val="none"/>
                      <w:lang w:val="en-US" w:eastAsia="zh-CN"/>
                    </w:rPr>
                  </w:pPr>
                </w:p>
              </w:tc>
              <w:tc>
                <w:tcPr>
                  <w:tcW w:w="1478" w:type="dxa"/>
                  <w:gridSpan w:val="2"/>
                  <w:vAlign w:val="center"/>
                </w:tcPr>
                <w:p w14:paraId="3F69AD91">
                  <w:pPr>
                    <w:pStyle w:val="58"/>
                    <w:ind w:firstLine="0" w:firstLineChars="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废水池</w:t>
                  </w:r>
                </w:p>
              </w:tc>
              <w:tc>
                <w:tcPr>
                  <w:tcW w:w="6004" w:type="dxa"/>
                  <w:vAlign w:val="center"/>
                </w:tcPr>
                <w:p w14:paraId="27152EC6">
                  <w:pPr>
                    <w:pStyle w:val="58"/>
                    <w:ind w:firstLine="0" w:firstLineChars="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废水池容积为6m</w:t>
                  </w:r>
                  <w:r>
                    <w:rPr>
                      <w:rFonts w:hint="eastAsia" w:ascii="Times New Roman" w:hAnsi="Times New Roman"/>
                      <w:color w:val="auto"/>
                      <w:highlight w:val="none"/>
                      <w:vertAlign w:val="superscript"/>
                      <w:lang w:val="en-US" w:eastAsia="zh-CN"/>
                    </w:rPr>
                    <w:t>3</w:t>
                  </w:r>
                  <w:r>
                    <w:rPr>
                      <w:rFonts w:hint="eastAsia" w:ascii="Times New Roman" w:hAnsi="Times New Roman"/>
                      <w:color w:val="auto"/>
                      <w:highlight w:val="none"/>
                      <w:lang w:val="en-US" w:eastAsia="zh-CN"/>
                    </w:rPr>
                    <w:t>，位于厂区东侧，暂存冲洗废水</w:t>
                  </w:r>
                </w:p>
              </w:tc>
            </w:tr>
            <w:tr w14:paraId="7943D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jc w:val="center"/>
              </w:trPr>
              <w:tc>
                <w:tcPr>
                  <w:tcW w:w="505" w:type="pct"/>
                  <w:vAlign w:val="center"/>
                </w:tcPr>
                <w:p w14:paraId="06264197">
                  <w:pPr>
                    <w:pStyle w:val="58"/>
                    <w:ind w:firstLine="0" w:firstLineChars="0"/>
                    <w:rPr>
                      <w:rFonts w:hint="eastAsia" w:ascii="Times New Roman" w:hAnsi="Times New Roman"/>
                      <w:color w:val="auto"/>
                      <w:highlight w:val="none"/>
                      <w:lang w:val="en-US" w:eastAsia="zh-CN"/>
                    </w:rPr>
                  </w:pPr>
                  <w:r>
                    <w:rPr>
                      <w:rFonts w:ascii="Times New Roman" w:hAnsi="Times New Roman"/>
                      <w:color w:val="auto"/>
                      <w:highlight w:val="none"/>
                    </w:rPr>
                    <w:t>辅助工程</w:t>
                  </w:r>
                </w:p>
              </w:tc>
              <w:tc>
                <w:tcPr>
                  <w:tcW w:w="888" w:type="pct"/>
                  <w:gridSpan w:val="2"/>
                  <w:vAlign w:val="center"/>
                </w:tcPr>
                <w:p w14:paraId="5894D696">
                  <w:pPr>
                    <w:spacing w:line="240" w:lineRule="auto"/>
                    <w:jc w:val="center"/>
                    <w:rPr>
                      <w:rFonts w:hint="eastAsia" w:ascii="Times New Roman" w:hAnsi="Times New Roman"/>
                      <w:color w:val="auto"/>
                      <w:highlight w:val="none"/>
                      <w:lang w:val="en-US" w:eastAsia="zh-CN"/>
                    </w:rPr>
                  </w:pPr>
                  <w:r>
                    <w:rPr>
                      <w:color w:val="auto"/>
                      <w:kern w:val="0"/>
                      <w:sz w:val="21"/>
                      <w:szCs w:val="20"/>
                      <w:highlight w:val="none"/>
                    </w:rPr>
                    <w:t>办公区</w:t>
                  </w:r>
                </w:p>
              </w:tc>
              <w:tc>
                <w:tcPr>
                  <w:tcW w:w="3606" w:type="pct"/>
                  <w:vAlign w:val="center"/>
                </w:tcPr>
                <w:p w14:paraId="3AF7E403">
                  <w:pPr>
                    <w:pStyle w:val="58"/>
                    <w:ind w:firstLine="0" w:firstLineChars="0"/>
                    <w:rPr>
                      <w:rFonts w:hint="default" w:ascii="Times New Roman" w:hAnsi="Times New Roman" w:eastAsia="宋体"/>
                      <w:color w:val="auto"/>
                      <w:highlight w:val="none"/>
                      <w:vertAlign w:val="baseline"/>
                      <w:lang w:val="en-US" w:eastAsia="zh-CN"/>
                    </w:rPr>
                  </w:pPr>
                  <w:r>
                    <w:rPr>
                      <w:rFonts w:hint="eastAsia" w:ascii="Times New Roman" w:hAnsi="Times New Roman"/>
                      <w:color w:val="auto"/>
                      <w:highlight w:val="none"/>
                      <w:lang w:val="en-US" w:eastAsia="zh-CN"/>
                    </w:rPr>
                    <w:t>建筑面积为634.04m</w:t>
                  </w:r>
                  <w:r>
                    <w:rPr>
                      <w:rFonts w:hint="eastAsia" w:ascii="Times New Roman" w:hAnsi="Times New Roman"/>
                      <w:color w:val="auto"/>
                      <w:highlight w:val="none"/>
                      <w:vertAlign w:val="superscript"/>
                      <w:lang w:val="en-US" w:eastAsia="zh-CN"/>
                    </w:rPr>
                    <w:t>2</w:t>
                  </w:r>
                  <w:r>
                    <w:rPr>
                      <w:rFonts w:hint="eastAsia" w:ascii="Times New Roman" w:hAnsi="Times New Roman"/>
                      <w:color w:val="auto"/>
                      <w:highlight w:val="none"/>
                      <w:vertAlign w:val="baseline"/>
                      <w:lang w:val="en-US" w:eastAsia="zh-CN"/>
                    </w:rPr>
                    <w:t>，共2层，用于职工办公</w:t>
                  </w:r>
                </w:p>
              </w:tc>
            </w:tr>
            <w:tr w14:paraId="10A6D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 w:hRule="atLeast"/>
                <w:jc w:val="center"/>
              </w:trPr>
              <w:tc>
                <w:tcPr>
                  <w:tcW w:w="505" w:type="pct"/>
                  <w:vMerge w:val="restart"/>
                  <w:vAlign w:val="center"/>
                </w:tcPr>
                <w:p w14:paraId="22535FE4">
                  <w:pPr>
                    <w:pStyle w:val="58"/>
                    <w:ind w:firstLine="0"/>
                    <w:rPr>
                      <w:rFonts w:ascii="Times New Roman" w:hAnsi="Times New Roman"/>
                      <w:color w:val="auto"/>
                      <w:highlight w:val="none"/>
                    </w:rPr>
                  </w:pPr>
                  <w:r>
                    <w:rPr>
                      <w:rFonts w:ascii="Times New Roman" w:hAnsi="Times New Roman"/>
                      <w:color w:val="auto"/>
                      <w:highlight w:val="none"/>
                    </w:rPr>
                    <w:t>公用工程</w:t>
                  </w:r>
                </w:p>
              </w:tc>
              <w:tc>
                <w:tcPr>
                  <w:tcW w:w="888" w:type="pct"/>
                  <w:gridSpan w:val="2"/>
                  <w:vAlign w:val="center"/>
                </w:tcPr>
                <w:p w14:paraId="2DA0032E">
                  <w:pPr>
                    <w:pStyle w:val="58"/>
                    <w:ind w:firstLine="0"/>
                    <w:rPr>
                      <w:rFonts w:ascii="Times New Roman" w:hAnsi="Times New Roman"/>
                      <w:color w:val="auto"/>
                      <w:highlight w:val="none"/>
                    </w:rPr>
                  </w:pPr>
                  <w:r>
                    <w:rPr>
                      <w:rFonts w:ascii="Times New Roman" w:hAnsi="Times New Roman"/>
                      <w:color w:val="auto"/>
                      <w:highlight w:val="none"/>
                    </w:rPr>
                    <w:t>供水</w:t>
                  </w:r>
                </w:p>
              </w:tc>
              <w:tc>
                <w:tcPr>
                  <w:tcW w:w="3606" w:type="pct"/>
                  <w:vAlign w:val="center"/>
                </w:tcPr>
                <w:p w14:paraId="4167F05A">
                  <w:pPr>
                    <w:pStyle w:val="58"/>
                    <w:ind w:firstLine="0"/>
                    <w:rPr>
                      <w:rFonts w:hint="default" w:ascii="Times New Roman" w:hAnsi="Times New Roman" w:eastAsia="宋体"/>
                      <w:color w:val="auto"/>
                      <w:highlight w:val="none"/>
                      <w:lang w:val="en-US" w:eastAsia="zh-CN"/>
                    </w:rPr>
                  </w:pPr>
                  <w:r>
                    <w:rPr>
                      <w:rFonts w:hint="eastAsia" w:ascii="Times New Roman" w:hAnsi="Times New Roman"/>
                      <w:color w:val="auto"/>
                      <w:highlight w:val="none"/>
                      <w:lang w:val="en-US" w:eastAsia="zh-CN"/>
                    </w:rPr>
                    <w:t>市政供水管网</w:t>
                  </w:r>
                </w:p>
              </w:tc>
            </w:tr>
            <w:tr w14:paraId="7DDF8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505" w:type="pct"/>
                  <w:vMerge w:val="continue"/>
                  <w:vAlign w:val="center"/>
                </w:tcPr>
                <w:p w14:paraId="0159F6BD">
                  <w:pPr>
                    <w:pStyle w:val="58"/>
                    <w:ind w:firstLine="0"/>
                    <w:rPr>
                      <w:rFonts w:ascii="Times New Roman" w:hAnsi="Times New Roman"/>
                      <w:color w:val="auto"/>
                      <w:highlight w:val="none"/>
                    </w:rPr>
                  </w:pPr>
                </w:p>
              </w:tc>
              <w:tc>
                <w:tcPr>
                  <w:tcW w:w="888" w:type="pct"/>
                  <w:gridSpan w:val="2"/>
                  <w:vAlign w:val="center"/>
                </w:tcPr>
                <w:p w14:paraId="018BE43D">
                  <w:pPr>
                    <w:pStyle w:val="58"/>
                    <w:ind w:firstLine="0"/>
                    <w:rPr>
                      <w:rFonts w:ascii="Times New Roman" w:hAnsi="Times New Roman"/>
                      <w:color w:val="auto"/>
                      <w:highlight w:val="none"/>
                    </w:rPr>
                  </w:pPr>
                  <w:r>
                    <w:rPr>
                      <w:rFonts w:ascii="Times New Roman" w:hAnsi="Times New Roman"/>
                      <w:color w:val="auto"/>
                      <w:highlight w:val="none"/>
                    </w:rPr>
                    <w:t>供电</w:t>
                  </w:r>
                </w:p>
              </w:tc>
              <w:tc>
                <w:tcPr>
                  <w:tcW w:w="3606" w:type="pct"/>
                  <w:vAlign w:val="center"/>
                </w:tcPr>
                <w:p w14:paraId="5A2088ED">
                  <w:pPr>
                    <w:pStyle w:val="58"/>
                    <w:ind w:firstLine="0"/>
                    <w:rPr>
                      <w:rFonts w:ascii="Times New Roman" w:hAnsi="Times New Roman"/>
                      <w:color w:val="auto"/>
                      <w:highlight w:val="none"/>
                    </w:rPr>
                  </w:pPr>
                  <w:r>
                    <w:rPr>
                      <w:rFonts w:ascii="Times New Roman" w:hAnsi="Times New Roman"/>
                      <w:color w:val="auto"/>
                      <w:highlight w:val="none"/>
                    </w:rPr>
                    <w:t>供电由当地电网供给</w:t>
                  </w:r>
                </w:p>
              </w:tc>
            </w:tr>
            <w:tr w14:paraId="04DF9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5" w:type="pct"/>
                  <w:vMerge w:val="continue"/>
                  <w:vAlign w:val="center"/>
                </w:tcPr>
                <w:p w14:paraId="111C5C5C">
                  <w:pPr>
                    <w:pStyle w:val="58"/>
                    <w:ind w:firstLine="0"/>
                    <w:rPr>
                      <w:rFonts w:ascii="Times New Roman" w:hAnsi="Times New Roman"/>
                      <w:color w:val="auto"/>
                      <w:highlight w:val="none"/>
                    </w:rPr>
                  </w:pPr>
                </w:p>
              </w:tc>
              <w:tc>
                <w:tcPr>
                  <w:tcW w:w="888" w:type="pct"/>
                  <w:gridSpan w:val="2"/>
                  <w:vAlign w:val="center"/>
                </w:tcPr>
                <w:p w14:paraId="1A12F40A">
                  <w:pPr>
                    <w:pStyle w:val="58"/>
                    <w:ind w:firstLine="0"/>
                    <w:rPr>
                      <w:rFonts w:ascii="Times New Roman" w:hAnsi="Times New Roman"/>
                      <w:color w:val="auto"/>
                      <w:highlight w:val="none"/>
                    </w:rPr>
                  </w:pPr>
                  <w:r>
                    <w:rPr>
                      <w:rFonts w:ascii="Times New Roman" w:hAnsi="Times New Roman"/>
                      <w:color w:val="auto"/>
                      <w:highlight w:val="none"/>
                    </w:rPr>
                    <w:t>供热</w:t>
                  </w:r>
                </w:p>
              </w:tc>
              <w:tc>
                <w:tcPr>
                  <w:tcW w:w="3606" w:type="pct"/>
                  <w:vAlign w:val="center"/>
                </w:tcPr>
                <w:p w14:paraId="2579CC63">
                  <w:pPr>
                    <w:pStyle w:val="58"/>
                    <w:ind w:firstLine="0"/>
                    <w:rPr>
                      <w:rFonts w:hint="default" w:ascii="Times New Roman" w:hAnsi="Times New Roman" w:eastAsia="宋体"/>
                      <w:color w:val="auto"/>
                      <w:highlight w:val="none"/>
                      <w:lang w:val="en-US" w:eastAsia="zh-CN"/>
                    </w:rPr>
                  </w:pPr>
                  <w:r>
                    <w:rPr>
                      <w:rFonts w:ascii="Times New Roman" w:hAnsi="Times New Roman"/>
                      <w:color w:val="auto"/>
                      <w:highlight w:val="none"/>
                    </w:rPr>
                    <w:t>冬季办公室使用空调供暖</w:t>
                  </w:r>
                  <w:r>
                    <w:rPr>
                      <w:rFonts w:hint="eastAsia" w:ascii="Times New Roman" w:hAnsi="Times New Roman"/>
                      <w:color w:val="auto"/>
                      <w:highlight w:val="none"/>
                      <w:lang w:eastAsia="zh-CN"/>
                    </w:rPr>
                    <w:t>；</w:t>
                  </w:r>
                  <w:r>
                    <w:rPr>
                      <w:rFonts w:hint="eastAsia" w:ascii="Times New Roman" w:hAnsi="Times New Roman"/>
                      <w:color w:val="auto"/>
                      <w:highlight w:val="none"/>
                      <w:lang w:val="en-US" w:eastAsia="zh-CN"/>
                    </w:rPr>
                    <w:t>碱洗槽采取电加热</w:t>
                  </w:r>
                </w:p>
              </w:tc>
            </w:tr>
            <w:tr w14:paraId="65134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 w:hRule="atLeast"/>
                <w:jc w:val="center"/>
              </w:trPr>
              <w:tc>
                <w:tcPr>
                  <w:tcW w:w="505" w:type="pct"/>
                  <w:vMerge w:val="restart"/>
                  <w:vAlign w:val="center"/>
                </w:tcPr>
                <w:p w14:paraId="73790356">
                  <w:pPr>
                    <w:pStyle w:val="58"/>
                    <w:ind w:firstLine="0"/>
                    <w:rPr>
                      <w:rFonts w:ascii="Times New Roman" w:hAnsi="Times New Roman"/>
                      <w:color w:val="auto"/>
                      <w:highlight w:val="none"/>
                    </w:rPr>
                  </w:pPr>
                  <w:r>
                    <w:rPr>
                      <w:rFonts w:ascii="Times New Roman" w:hAnsi="Times New Roman"/>
                      <w:color w:val="auto"/>
                      <w:highlight w:val="none"/>
                    </w:rPr>
                    <w:t>环保工程</w:t>
                  </w:r>
                </w:p>
              </w:tc>
              <w:tc>
                <w:tcPr>
                  <w:tcW w:w="888" w:type="pct"/>
                  <w:gridSpan w:val="2"/>
                  <w:vAlign w:val="center"/>
                </w:tcPr>
                <w:p w14:paraId="29B36859">
                  <w:pPr>
                    <w:pStyle w:val="58"/>
                    <w:ind w:firstLine="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废气</w:t>
                  </w:r>
                </w:p>
              </w:tc>
              <w:tc>
                <w:tcPr>
                  <w:tcW w:w="3606" w:type="pct"/>
                  <w:vAlign w:val="center"/>
                </w:tcPr>
                <w:p w14:paraId="47E5C533">
                  <w:pPr>
                    <w:pStyle w:val="58"/>
                    <w:ind w:firstLine="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酸洗过程中产生的氯化氢经集气罩收集后进入碱喷淋塔进行治理，治理后的废气通过1根15m高排气筒排放；未被收集的废气在封闭车间内无组织排放</w:t>
                  </w:r>
                </w:p>
              </w:tc>
            </w:tr>
            <w:tr w14:paraId="37F54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505" w:type="pct"/>
                  <w:vMerge w:val="continue"/>
                  <w:vAlign w:val="center"/>
                </w:tcPr>
                <w:p w14:paraId="6D2A90BB">
                  <w:pPr>
                    <w:pStyle w:val="58"/>
                    <w:ind w:firstLine="0"/>
                    <w:rPr>
                      <w:rFonts w:ascii="Times New Roman" w:hAnsi="Times New Roman"/>
                      <w:color w:val="auto"/>
                      <w:highlight w:val="none"/>
                    </w:rPr>
                  </w:pPr>
                </w:p>
              </w:tc>
              <w:tc>
                <w:tcPr>
                  <w:tcW w:w="888" w:type="pct"/>
                  <w:gridSpan w:val="2"/>
                  <w:vAlign w:val="center"/>
                </w:tcPr>
                <w:p w14:paraId="1373BDE1">
                  <w:pPr>
                    <w:pStyle w:val="58"/>
                    <w:ind w:firstLine="0"/>
                    <w:rPr>
                      <w:rFonts w:hint="eastAsia" w:ascii="Times New Roman" w:hAnsi="Times New Roman" w:eastAsia="宋体"/>
                      <w:color w:val="auto"/>
                      <w:highlight w:val="none"/>
                      <w:lang w:val="en-US" w:eastAsia="zh-CN"/>
                    </w:rPr>
                  </w:pPr>
                  <w:r>
                    <w:rPr>
                      <w:rFonts w:hint="eastAsia" w:ascii="Times New Roman" w:hAnsi="Times New Roman"/>
                      <w:color w:val="auto"/>
                      <w:highlight w:val="none"/>
                      <w:lang w:val="en-US" w:eastAsia="zh-CN"/>
                    </w:rPr>
                    <w:t>废水</w:t>
                  </w:r>
                </w:p>
              </w:tc>
              <w:tc>
                <w:tcPr>
                  <w:tcW w:w="3606" w:type="pct"/>
                  <w:vAlign w:val="center"/>
                </w:tcPr>
                <w:p w14:paraId="38584634">
                  <w:pPr>
                    <w:pStyle w:val="58"/>
                    <w:ind w:firstLine="0"/>
                    <w:jc w:val="both"/>
                    <w:rPr>
                      <w:rFonts w:hint="default" w:ascii="Times New Roman" w:hAnsi="Times New Roman" w:cs="Times New Roman"/>
                      <w:b w:val="0"/>
                      <w:bCs w:val="0"/>
                      <w:color w:val="auto"/>
                      <w:highlight w:val="none"/>
                      <w:lang w:val="en-US" w:eastAsia="zh-CN"/>
                    </w:rPr>
                  </w:pPr>
                  <w:r>
                    <w:rPr>
                      <w:rFonts w:hint="default" w:ascii="Times New Roman" w:hAnsi="Times New Roman" w:cs="Times New Roman"/>
                      <w:b w:val="0"/>
                      <w:bCs w:val="0"/>
                      <w:color w:val="auto"/>
                      <w:highlight w:val="none"/>
                      <w:lang w:val="en-US" w:eastAsia="zh-CN"/>
                    </w:rPr>
                    <w:t>生活污水进入厂区化粪池后</w:t>
                  </w:r>
                  <w:r>
                    <w:rPr>
                      <w:rFonts w:hint="eastAsia" w:ascii="Times New Roman" w:hAnsi="Times New Roman" w:cs="Times New Roman"/>
                      <w:b w:val="0"/>
                      <w:bCs w:val="0"/>
                      <w:color w:val="auto"/>
                      <w:highlight w:val="none"/>
                      <w:lang w:val="en-US" w:eastAsia="zh-CN"/>
                    </w:rPr>
                    <w:t>定期清掏；冲洗废水进入废水池暂存定期使用密闭罐车运至秦皇岛市抚宁区中冶水务有限公司</w:t>
                  </w:r>
                </w:p>
              </w:tc>
            </w:tr>
            <w:tr w14:paraId="6369F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5" w:type="pct"/>
                  <w:vMerge w:val="continue"/>
                  <w:vAlign w:val="center"/>
                </w:tcPr>
                <w:p w14:paraId="67CC733D">
                  <w:pPr>
                    <w:pStyle w:val="58"/>
                    <w:ind w:firstLine="0"/>
                    <w:rPr>
                      <w:rFonts w:ascii="Times New Roman" w:hAnsi="Times New Roman"/>
                      <w:color w:val="auto"/>
                      <w:highlight w:val="none"/>
                    </w:rPr>
                  </w:pPr>
                </w:p>
              </w:tc>
              <w:tc>
                <w:tcPr>
                  <w:tcW w:w="888" w:type="pct"/>
                  <w:gridSpan w:val="2"/>
                  <w:tcBorders>
                    <w:bottom w:val="nil"/>
                  </w:tcBorders>
                  <w:vAlign w:val="center"/>
                </w:tcPr>
                <w:p w14:paraId="3A2FAAB2">
                  <w:pPr>
                    <w:pStyle w:val="58"/>
                    <w:ind w:firstLine="0"/>
                    <w:rPr>
                      <w:rFonts w:ascii="Times New Roman" w:hAnsi="Times New Roman"/>
                      <w:color w:val="auto"/>
                      <w:highlight w:val="none"/>
                    </w:rPr>
                  </w:pPr>
                  <w:r>
                    <w:rPr>
                      <w:rFonts w:ascii="Times New Roman" w:hAnsi="Times New Roman"/>
                      <w:color w:val="auto"/>
                      <w:highlight w:val="none"/>
                    </w:rPr>
                    <w:t>噪声防治</w:t>
                  </w:r>
                </w:p>
              </w:tc>
              <w:tc>
                <w:tcPr>
                  <w:tcW w:w="3606" w:type="pct"/>
                  <w:tcBorders>
                    <w:bottom w:val="nil"/>
                  </w:tcBorders>
                  <w:vAlign w:val="center"/>
                </w:tcPr>
                <w:p w14:paraId="14119675">
                  <w:pPr>
                    <w:pStyle w:val="58"/>
                    <w:ind w:firstLine="0"/>
                    <w:rPr>
                      <w:rFonts w:ascii="Times New Roman" w:hAnsi="Times New Roman"/>
                      <w:color w:val="auto"/>
                      <w:highlight w:val="none"/>
                    </w:rPr>
                  </w:pPr>
                  <w:r>
                    <w:rPr>
                      <w:rFonts w:ascii="Times New Roman" w:hAnsi="Times New Roman"/>
                      <w:color w:val="auto"/>
                      <w:highlight w:val="none"/>
                    </w:rPr>
                    <w:t>采取将产噪设备布置于厂房内并加隔声门窗，振动设备加减震垫的隔声降噪措施</w:t>
                  </w:r>
                </w:p>
              </w:tc>
            </w:tr>
            <w:tr w14:paraId="3666B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jc w:val="center"/>
              </w:trPr>
              <w:tc>
                <w:tcPr>
                  <w:tcW w:w="505" w:type="pct"/>
                  <w:vMerge w:val="continue"/>
                  <w:vAlign w:val="center"/>
                </w:tcPr>
                <w:p w14:paraId="75D37DD8">
                  <w:pPr>
                    <w:pStyle w:val="58"/>
                    <w:ind w:firstLine="0"/>
                    <w:rPr>
                      <w:rFonts w:ascii="Times New Roman" w:hAnsi="Times New Roman"/>
                      <w:color w:val="auto"/>
                      <w:highlight w:val="none"/>
                    </w:rPr>
                  </w:pPr>
                </w:p>
              </w:tc>
              <w:tc>
                <w:tcPr>
                  <w:tcW w:w="298" w:type="pct"/>
                  <w:vMerge w:val="restart"/>
                  <w:vAlign w:val="center"/>
                </w:tcPr>
                <w:p w14:paraId="2A5B5222">
                  <w:pPr>
                    <w:pStyle w:val="58"/>
                    <w:ind w:firstLine="0" w:firstLineChars="0"/>
                    <w:rPr>
                      <w:rFonts w:ascii="Times New Roman" w:hAnsi="Times New Roman"/>
                      <w:color w:val="auto"/>
                      <w:highlight w:val="none"/>
                    </w:rPr>
                  </w:pPr>
                  <w:r>
                    <w:rPr>
                      <w:rFonts w:ascii="Times New Roman" w:hAnsi="Times New Roman"/>
                      <w:color w:val="auto"/>
                      <w:highlight w:val="none"/>
                    </w:rPr>
                    <w:t>固体废物</w:t>
                  </w:r>
                </w:p>
                <w:p w14:paraId="62DEBA9E">
                  <w:pPr>
                    <w:pStyle w:val="58"/>
                    <w:ind w:firstLine="0" w:firstLineChars="0"/>
                    <w:rPr>
                      <w:rFonts w:hint="eastAsia" w:ascii="Times New Roman" w:hAnsi="Times New Roman"/>
                      <w:color w:val="auto"/>
                      <w:highlight w:val="none"/>
                    </w:rPr>
                  </w:pPr>
                </w:p>
              </w:tc>
              <w:tc>
                <w:tcPr>
                  <w:tcW w:w="589" w:type="pct"/>
                  <w:vAlign w:val="center"/>
                </w:tcPr>
                <w:p w14:paraId="2F4C2F9E">
                  <w:pPr>
                    <w:pStyle w:val="58"/>
                    <w:ind w:firstLine="0" w:firstLineChars="0"/>
                    <w:rPr>
                      <w:rFonts w:hint="default" w:ascii="Times New Roman" w:hAnsi="Times New Roman" w:eastAsia="宋体" w:cs="Times New Roman"/>
                      <w:color w:val="auto"/>
                      <w:kern w:val="0"/>
                      <w:sz w:val="21"/>
                      <w:szCs w:val="20"/>
                      <w:highlight w:val="none"/>
                      <w:lang w:val="en-US" w:eastAsia="zh-CN" w:bidi="ar-SA"/>
                    </w:rPr>
                  </w:pPr>
                  <w:r>
                    <w:rPr>
                      <w:rFonts w:hint="eastAsia" w:ascii="Times New Roman" w:hAnsi="Times New Roman" w:cs="Times New Roman"/>
                      <w:color w:val="auto"/>
                      <w:kern w:val="0"/>
                      <w:sz w:val="21"/>
                      <w:szCs w:val="20"/>
                      <w:highlight w:val="none"/>
                      <w:lang w:val="en-US" w:eastAsia="zh-CN" w:bidi="ar-SA"/>
                    </w:rPr>
                    <w:t>生活垃圾</w:t>
                  </w:r>
                </w:p>
              </w:tc>
              <w:tc>
                <w:tcPr>
                  <w:tcW w:w="3606" w:type="pct"/>
                  <w:vAlign w:val="center"/>
                </w:tcPr>
                <w:p w14:paraId="7B6BDDAE">
                  <w:pPr>
                    <w:pStyle w:val="58"/>
                    <w:ind w:firstLine="0" w:firstLineChars="0"/>
                    <w:rPr>
                      <w:rFonts w:hint="eastAsia" w:ascii="Times New Roman" w:hAnsi="Times New Roman" w:eastAsia="宋体" w:cs="Times New Roman"/>
                      <w:color w:val="auto"/>
                      <w:kern w:val="0"/>
                      <w:sz w:val="21"/>
                      <w:szCs w:val="20"/>
                      <w:highlight w:val="none"/>
                      <w:lang w:val="en-US" w:eastAsia="zh-CN" w:bidi="ar-SA"/>
                    </w:rPr>
                  </w:pPr>
                  <w:r>
                    <w:rPr>
                      <w:rFonts w:hint="eastAsia" w:ascii="Times New Roman" w:hAnsi="Times New Roman"/>
                      <w:color w:val="auto"/>
                      <w:highlight w:val="none"/>
                    </w:rPr>
                    <w:t>生活垃圾收集后交由环卫部门统一处理</w:t>
                  </w:r>
                </w:p>
              </w:tc>
            </w:tr>
            <w:tr w14:paraId="0B3A7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jc w:val="center"/>
              </w:trPr>
              <w:tc>
                <w:tcPr>
                  <w:tcW w:w="505" w:type="pct"/>
                  <w:vMerge w:val="continue"/>
                  <w:vAlign w:val="center"/>
                </w:tcPr>
                <w:p w14:paraId="1B2B0447">
                  <w:pPr>
                    <w:pStyle w:val="58"/>
                    <w:ind w:firstLine="0"/>
                    <w:rPr>
                      <w:rFonts w:ascii="Times New Roman" w:hAnsi="Times New Roman"/>
                      <w:color w:val="auto"/>
                      <w:highlight w:val="none"/>
                    </w:rPr>
                  </w:pPr>
                </w:p>
              </w:tc>
              <w:tc>
                <w:tcPr>
                  <w:tcW w:w="298" w:type="pct"/>
                  <w:vMerge w:val="continue"/>
                  <w:vAlign w:val="center"/>
                </w:tcPr>
                <w:p w14:paraId="15B0E081">
                  <w:pPr>
                    <w:pStyle w:val="58"/>
                    <w:ind w:firstLine="0"/>
                    <w:rPr>
                      <w:rFonts w:ascii="Times New Roman" w:hAnsi="Times New Roman"/>
                      <w:color w:val="auto"/>
                      <w:highlight w:val="none"/>
                    </w:rPr>
                  </w:pPr>
                </w:p>
              </w:tc>
              <w:tc>
                <w:tcPr>
                  <w:tcW w:w="589" w:type="pct"/>
                  <w:vAlign w:val="center"/>
                </w:tcPr>
                <w:p w14:paraId="63DD71F8">
                  <w:pPr>
                    <w:pStyle w:val="58"/>
                    <w:ind w:firstLine="0" w:firstLineChars="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一般工业固体废物</w:t>
                  </w:r>
                </w:p>
              </w:tc>
              <w:tc>
                <w:tcPr>
                  <w:tcW w:w="3606" w:type="pct"/>
                  <w:vAlign w:val="center"/>
                </w:tcPr>
                <w:p w14:paraId="24806C16">
                  <w:pPr>
                    <w:pStyle w:val="58"/>
                    <w:ind w:firstLine="0" w:firstLineChars="0"/>
                    <w:rPr>
                      <w:rFonts w:hint="default" w:ascii="Times New Roman" w:hAnsi="Times New Roman"/>
                      <w:color w:val="auto"/>
                      <w:highlight w:val="none"/>
                      <w:lang w:val="en-US" w:eastAsia="zh-CN"/>
                    </w:rPr>
                  </w:pPr>
                  <w:r>
                    <w:rPr>
                      <w:rFonts w:hint="eastAsia"/>
                      <w:color w:val="auto"/>
                      <w:highlight w:val="none"/>
                      <w:lang w:val="en-US" w:eastAsia="zh-CN"/>
                    </w:rPr>
                    <w:t>不含切削液金属屑、</w:t>
                  </w:r>
                  <w:r>
                    <w:rPr>
                      <w:rFonts w:hint="eastAsia" w:ascii="Times New Roman" w:hAnsi="Times New Roman" w:cs="Times New Roman"/>
                      <w:color w:val="auto"/>
                      <w:sz w:val="21"/>
                      <w:szCs w:val="21"/>
                      <w:highlight w:val="none"/>
                      <w:lang w:val="en-US" w:eastAsia="zh-CN"/>
                    </w:rPr>
                    <w:t>不合格品、边角料</w:t>
                  </w:r>
                  <w:r>
                    <w:rPr>
                      <w:rFonts w:hint="eastAsia"/>
                      <w:color w:val="auto"/>
                      <w:highlight w:val="none"/>
                      <w:lang w:val="en-US" w:eastAsia="zh-CN"/>
                    </w:rPr>
                    <w:t>收集后外售</w:t>
                  </w:r>
                </w:p>
              </w:tc>
            </w:tr>
            <w:tr w14:paraId="4CD7E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505" w:type="pct"/>
                  <w:vMerge w:val="continue"/>
                  <w:vAlign w:val="center"/>
                </w:tcPr>
                <w:p w14:paraId="7C1AC4CD">
                  <w:pPr>
                    <w:pStyle w:val="58"/>
                    <w:ind w:firstLine="0"/>
                    <w:rPr>
                      <w:rFonts w:ascii="Times New Roman" w:hAnsi="Times New Roman"/>
                      <w:color w:val="auto"/>
                      <w:highlight w:val="none"/>
                    </w:rPr>
                  </w:pPr>
                </w:p>
              </w:tc>
              <w:tc>
                <w:tcPr>
                  <w:tcW w:w="298" w:type="pct"/>
                  <w:vMerge w:val="continue"/>
                  <w:vAlign w:val="center"/>
                </w:tcPr>
                <w:p w14:paraId="06CB073B">
                  <w:pPr>
                    <w:pStyle w:val="58"/>
                    <w:ind w:firstLine="0"/>
                    <w:rPr>
                      <w:rFonts w:ascii="Times New Roman" w:hAnsi="Times New Roman"/>
                      <w:color w:val="auto"/>
                      <w:highlight w:val="none"/>
                    </w:rPr>
                  </w:pPr>
                </w:p>
              </w:tc>
              <w:tc>
                <w:tcPr>
                  <w:tcW w:w="589" w:type="pct"/>
                  <w:vAlign w:val="center"/>
                </w:tcPr>
                <w:p w14:paraId="718196FE">
                  <w:pPr>
                    <w:pStyle w:val="58"/>
                    <w:ind w:firstLine="0" w:firstLineChars="0"/>
                    <w:rPr>
                      <w:rFonts w:hint="eastAsia" w:ascii="Times New Roman" w:hAnsi="Times New Roman"/>
                      <w:color w:val="auto"/>
                      <w:highlight w:val="none"/>
                      <w:lang w:val="en-US" w:eastAsia="zh-CN"/>
                    </w:rPr>
                  </w:pPr>
                  <w:r>
                    <w:rPr>
                      <w:rFonts w:hint="eastAsia" w:ascii="Times New Roman" w:hAnsi="Times New Roman"/>
                      <w:color w:val="auto"/>
                      <w:highlight w:val="none"/>
                      <w:lang w:val="en-US" w:eastAsia="zh-CN"/>
                    </w:rPr>
                    <w:t>危险废物</w:t>
                  </w:r>
                </w:p>
              </w:tc>
              <w:tc>
                <w:tcPr>
                  <w:tcW w:w="3606" w:type="pct"/>
                  <w:vAlign w:val="center"/>
                </w:tcPr>
                <w:p w14:paraId="15A5E911">
                  <w:pPr>
                    <w:pStyle w:val="58"/>
                    <w:ind w:firstLine="0" w:firstLineChars="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油泥、废渣、片碱包装袋、盐酸废包装瓶、废油桶、废切削液桶、废切削液、含切削液金属屑收集后暂存危废暂存间，定期交由有资质单位进行处置</w:t>
                  </w:r>
                </w:p>
              </w:tc>
            </w:tr>
            <w:tr w14:paraId="01F74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 w:hRule="atLeast"/>
                <w:jc w:val="center"/>
              </w:trPr>
              <w:tc>
                <w:tcPr>
                  <w:tcW w:w="505" w:type="pct"/>
                  <w:vMerge w:val="continue"/>
                  <w:vAlign w:val="center"/>
                </w:tcPr>
                <w:p w14:paraId="0747996E">
                  <w:pPr>
                    <w:pStyle w:val="58"/>
                    <w:ind w:firstLine="0"/>
                    <w:rPr>
                      <w:rFonts w:ascii="Times New Roman" w:hAnsi="Times New Roman"/>
                      <w:color w:val="auto"/>
                      <w:highlight w:val="none"/>
                    </w:rPr>
                  </w:pPr>
                </w:p>
              </w:tc>
              <w:tc>
                <w:tcPr>
                  <w:tcW w:w="298" w:type="pct"/>
                  <w:vMerge w:val="continue"/>
                  <w:vAlign w:val="center"/>
                </w:tcPr>
                <w:p w14:paraId="036D2D35">
                  <w:pPr>
                    <w:pStyle w:val="58"/>
                    <w:ind w:firstLine="0"/>
                    <w:rPr>
                      <w:rFonts w:ascii="Times New Roman" w:hAnsi="Times New Roman"/>
                      <w:color w:val="auto"/>
                      <w:highlight w:val="none"/>
                    </w:rPr>
                  </w:pPr>
                </w:p>
              </w:tc>
              <w:tc>
                <w:tcPr>
                  <w:tcW w:w="589" w:type="pct"/>
                  <w:vAlign w:val="center"/>
                </w:tcPr>
                <w:p w14:paraId="336614D8">
                  <w:pPr>
                    <w:adjustRightInd w:val="0"/>
                    <w:snapToGrid w:val="0"/>
                    <w:jc w:val="center"/>
                    <w:rPr>
                      <w:color w:val="auto"/>
                      <w:sz w:val="21"/>
                      <w:szCs w:val="18"/>
                      <w:highlight w:val="none"/>
                    </w:rPr>
                  </w:pPr>
                  <w:r>
                    <w:rPr>
                      <w:color w:val="auto"/>
                      <w:sz w:val="21"/>
                      <w:szCs w:val="18"/>
                      <w:highlight w:val="none"/>
                    </w:rPr>
                    <w:t>危废</w:t>
                  </w:r>
                </w:p>
                <w:p w14:paraId="52C4F9AF">
                  <w:pPr>
                    <w:adjustRightInd w:val="0"/>
                    <w:snapToGrid w:val="0"/>
                    <w:jc w:val="center"/>
                    <w:rPr>
                      <w:rFonts w:hint="eastAsia" w:ascii="Times New Roman" w:hAnsi="Times New Roman"/>
                      <w:color w:val="auto"/>
                      <w:sz w:val="21"/>
                      <w:szCs w:val="21"/>
                      <w:highlight w:val="none"/>
                      <w:lang w:val="en-US" w:eastAsia="zh-CN"/>
                    </w:rPr>
                  </w:pPr>
                  <w:r>
                    <w:rPr>
                      <w:color w:val="auto"/>
                      <w:sz w:val="21"/>
                      <w:szCs w:val="18"/>
                      <w:highlight w:val="none"/>
                    </w:rPr>
                    <w:t>暂存间</w:t>
                  </w:r>
                </w:p>
              </w:tc>
              <w:tc>
                <w:tcPr>
                  <w:tcW w:w="3606" w:type="pct"/>
                  <w:vAlign w:val="center"/>
                </w:tcPr>
                <w:p w14:paraId="61ABA0C8">
                  <w:pPr>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eastAsia" w:ascii="Times New Roman" w:hAnsi="Times New Roman"/>
                      <w:color w:val="auto"/>
                      <w:sz w:val="21"/>
                      <w:szCs w:val="21"/>
                      <w:highlight w:val="none"/>
                      <w:lang w:val="en-US" w:eastAsia="zh-CN"/>
                    </w:rPr>
                  </w:pPr>
                  <w:r>
                    <w:rPr>
                      <w:color w:val="auto"/>
                      <w:sz w:val="21"/>
                      <w:szCs w:val="18"/>
                      <w:highlight w:val="none"/>
                    </w:rPr>
                    <w:t>建筑面积</w:t>
                  </w:r>
                  <w:r>
                    <w:rPr>
                      <w:rFonts w:hint="eastAsia"/>
                      <w:color w:val="auto"/>
                      <w:sz w:val="21"/>
                      <w:szCs w:val="18"/>
                      <w:highlight w:val="none"/>
                      <w:lang w:val="en-US" w:eastAsia="zh-CN"/>
                    </w:rPr>
                    <w:t>6</w:t>
                  </w:r>
                  <w:r>
                    <w:rPr>
                      <w:color w:val="auto"/>
                      <w:sz w:val="21"/>
                      <w:szCs w:val="18"/>
                      <w:highlight w:val="none"/>
                    </w:rPr>
                    <w:t>m</w:t>
                  </w:r>
                  <w:r>
                    <w:rPr>
                      <w:color w:val="auto"/>
                      <w:sz w:val="21"/>
                      <w:szCs w:val="18"/>
                      <w:highlight w:val="none"/>
                      <w:vertAlign w:val="superscript"/>
                    </w:rPr>
                    <w:t>2</w:t>
                  </w:r>
                  <w:r>
                    <w:rPr>
                      <w:rFonts w:hint="eastAsia"/>
                      <w:color w:val="auto"/>
                      <w:sz w:val="21"/>
                      <w:szCs w:val="18"/>
                      <w:highlight w:val="none"/>
                      <w:lang w:val="en-US" w:eastAsia="zh-CN"/>
                    </w:rPr>
                    <w:t>，</w:t>
                  </w:r>
                  <w:r>
                    <w:rPr>
                      <w:color w:val="auto"/>
                      <w:sz w:val="21"/>
                      <w:szCs w:val="18"/>
                      <w:highlight w:val="none"/>
                    </w:rPr>
                    <w:t>用于暂时</w:t>
                  </w:r>
                  <w:r>
                    <w:rPr>
                      <w:rFonts w:hint="eastAsia"/>
                      <w:color w:val="auto"/>
                      <w:sz w:val="21"/>
                      <w:szCs w:val="18"/>
                      <w:highlight w:val="none"/>
                      <w:lang w:val="en-US" w:eastAsia="zh-CN"/>
                    </w:rPr>
                    <w:t>生产过程产生的危险废物</w:t>
                  </w:r>
                  <w:r>
                    <w:rPr>
                      <w:color w:val="auto"/>
                      <w:sz w:val="21"/>
                      <w:szCs w:val="18"/>
                      <w:highlight w:val="none"/>
                    </w:rPr>
                    <w:t>。危废暂存间为</w:t>
                  </w:r>
                  <w:r>
                    <w:rPr>
                      <w:bCs/>
                      <w:color w:val="auto"/>
                      <w:sz w:val="21"/>
                      <w:szCs w:val="18"/>
                      <w:highlight w:val="none"/>
                    </w:rPr>
                    <w:t>重点防渗区，重点防渗区域地面及裙墙采取防渗措施，室内底部铺设1m</w:t>
                  </w:r>
                  <w:r>
                    <w:rPr>
                      <w:rFonts w:hint="eastAsia"/>
                      <w:bCs/>
                      <w:color w:val="auto"/>
                      <w:sz w:val="21"/>
                      <w:szCs w:val="18"/>
                      <w:highlight w:val="none"/>
                      <w:lang w:eastAsia="zh-CN"/>
                    </w:rPr>
                    <w:t>黏土层</w:t>
                  </w:r>
                  <w:r>
                    <w:rPr>
                      <w:bCs/>
                      <w:color w:val="auto"/>
                      <w:sz w:val="21"/>
                      <w:szCs w:val="18"/>
                      <w:highlight w:val="none"/>
                    </w:rPr>
                    <w:t>(保护层，同时作为辅助防渗层)压实平整，</w:t>
                  </w:r>
                  <w:r>
                    <w:rPr>
                      <w:rFonts w:hint="eastAsia"/>
                      <w:bCs/>
                      <w:color w:val="auto"/>
                      <w:sz w:val="21"/>
                      <w:szCs w:val="18"/>
                      <w:highlight w:val="none"/>
                      <w:lang w:eastAsia="zh-CN"/>
                    </w:rPr>
                    <w:t>黏土层</w:t>
                  </w:r>
                  <w:r>
                    <w:rPr>
                      <w:bCs/>
                      <w:color w:val="auto"/>
                      <w:sz w:val="21"/>
                      <w:szCs w:val="18"/>
                      <w:highlight w:val="none"/>
                    </w:rPr>
                    <w:t>上铺设双层HDPE——GCL复合防渗系统(2×2mm厚的高密度聚乙烯膜、300g/m</w:t>
                  </w:r>
                  <w:r>
                    <w:rPr>
                      <w:bCs/>
                      <w:color w:val="auto"/>
                      <w:sz w:val="21"/>
                      <w:szCs w:val="18"/>
                      <w:highlight w:val="none"/>
                      <w:vertAlign w:val="superscript"/>
                    </w:rPr>
                    <w:t>2</w:t>
                  </w:r>
                  <w:r>
                    <w:rPr>
                      <w:bCs/>
                      <w:color w:val="auto"/>
                      <w:sz w:val="21"/>
                      <w:szCs w:val="18"/>
                      <w:highlight w:val="none"/>
                    </w:rPr>
                    <w:t>土工织物膨润土垫)，上部外加耐腐蚀混凝土15cm(保护层)等防渗，渗透系数≤10</w:t>
                  </w:r>
                  <w:r>
                    <w:rPr>
                      <w:bCs/>
                      <w:color w:val="auto"/>
                      <w:sz w:val="21"/>
                      <w:szCs w:val="18"/>
                      <w:highlight w:val="none"/>
                      <w:vertAlign w:val="superscript"/>
                    </w:rPr>
                    <w:t>-10</w:t>
                  </w:r>
                  <w:r>
                    <w:rPr>
                      <w:bCs/>
                      <w:color w:val="auto"/>
                      <w:sz w:val="21"/>
                      <w:szCs w:val="18"/>
                      <w:highlight w:val="none"/>
                    </w:rPr>
                    <w:t>cm/s（或采取同等有效防渗措施）</w:t>
                  </w:r>
                </w:p>
              </w:tc>
            </w:tr>
            <w:tr w14:paraId="02985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9" w:hRule="atLeast"/>
                <w:jc w:val="center"/>
              </w:trPr>
              <w:tc>
                <w:tcPr>
                  <w:tcW w:w="505" w:type="pct"/>
                  <w:vMerge w:val="continue"/>
                  <w:vAlign w:val="center"/>
                </w:tcPr>
                <w:p w14:paraId="4FD46F25">
                  <w:pPr>
                    <w:pStyle w:val="58"/>
                    <w:ind w:firstLine="0"/>
                    <w:rPr>
                      <w:rFonts w:ascii="Times New Roman" w:hAnsi="Times New Roman"/>
                      <w:color w:val="auto"/>
                      <w:highlight w:val="none"/>
                    </w:rPr>
                  </w:pPr>
                </w:p>
              </w:tc>
              <w:tc>
                <w:tcPr>
                  <w:tcW w:w="298" w:type="pct"/>
                  <w:vMerge w:val="continue"/>
                  <w:vAlign w:val="center"/>
                </w:tcPr>
                <w:p w14:paraId="48C0C902">
                  <w:pPr>
                    <w:pStyle w:val="58"/>
                    <w:ind w:firstLine="0"/>
                    <w:rPr>
                      <w:rFonts w:ascii="Times New Roman" w:hAnsi="Times New Roman"/>
                      <w:color w:val="auto"/>
                      <w:highlight w:val="none"/>
                    </w:rPr>
                  </w:pPr>
                </w:p>
              </w:tc>
              <w:tc>
                <w:tcPr>
                  <w:tcW w:w="589" w:type="pct"/>
                  <w:vAlign w:val="center"/>
                </w:tcPr>
                <w:p w14:paraId="7FFB483B">
                  <w:pPr>
                    <w:pStyle w:val="58"/>
                    <w:ind w:firstLine="0" w:firstLineChars="0"/>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一般固体废物暂存区</w:t>
                  </w:r>
                </w:p>
              </w:tc>
              <w:tc>
                <w:tcPr>
                  <w:tcW w:w="3606" w:type="pct"/>
                  <w:vAlign w:val="center"/>
                </w:tcPr>
                <w:p w14:paraId="425D6D61">
                  <w:pPr>
                    <w:pStyle w:val="58"/>
                    <w:keepNext w:val="0"/>
                    <w:keepLines w:val="0"/>
                    <w:pageBreakBefore w:val="0"/>
                    <w:widowControl w:val="0"/>
                    <w:kinsoku/>
                    <w:wordWrap/>
                    <w:overflowPunct/>
                    <w:topLinePunct w:val="0"/>
                    <w:autoSpaceDE/>
                    <w:autoSpaceDN/>
                    <w:bidi w:val="0"/>
                    <w:adjustRightInd w:val="0"/>
                    <w:snapToGrid w:val="0"/>
                    <w:ind w:firstLine="0" w:firstLineChars="0"/>
                    <w:jc w:val="left"/>
                    <w:textAlignment w:val="auto"/>
                    <w:rPr>
                      <w:rFonts w:hint="default" w:ascii="Times New Roman" w:hAnsi="Times New Roman"/>
                      <w:color w:val="auto"/>
                      <w:highlight w:val="none"/>
                      <w:lang w:val="en-US" w:eastAsia="zh-CN"/>
                    </w:rPr>
                  </w:pPr>
                  <w:r>
                    <w:rPr>
                      <w:rFonts w:hint="eastAsia" w:ascii="Times New Roman" w:hAnsi="Times New Roman"/>
                      <w:color w:val="auto"/>
                      <w:highlight w:val="none"/>
                      <w:lang w:val="en-US" w:eastAsia="zh-CN"/>
                    </w:rPr>
                    <w:t>建筑面积为4m</w:t>
                  </w:r>
                  <w:r>
                    <w:rPr>
                      <w:rFonts w:hint="eastAsia" w:ascii="Times New Roman" w:hAnsi="Times New Roman"/>
                      <w:color w:val="auto"/>
                      <w:highlight w:val="none"/>
                      <w:vertAlign w:val="superscript"/>
                      <w:lang w:val="en-US" w:eastAsia="zh-CN"/>
                    </w:rPr>
                    <w:t>2</w:t>
                  </w:r>
                  <w:r>
                    <w:rPr>
                      <w:rFonts w:hint="eastAsia" w:ascii="Times New Roman" w:hAnsi="Times New Roman"/>
                      <w:color w:val="auto"/>
                      <w:highlight w:val="none"/>
                      <w:lang w:val="en-US" w:eastAsia="zh-CN"/>
                    </w:rPr>
                    <w:t>，用于存放一般固体废物，一般固体废物暂存间应满足防流失、防渗漏、防扬尘的要求。</w:t>
                  </w:r>
                </w:p>
              </w:tc>
            </w:tr>
          </w:tbl>
          <w:p w14:paraId="5A457C18">
            <w:pPr>
              <w:pStyle w:val="9"/>
              <w:rPr>
                <w:color w:val="auto"/>
                <w:highlight w:val="none"/>
              </w:rPr>
            </w:pPr>
            <w:r>
              <w:rPr>
                <w:rFonts w:hint="eastAsia"/>
                <w:color w:val="auto"/>
                <w:highlight w:val="none"/>
                <w:lang w:val="en-US" w:eastAsia="zh-CN"/>
              </w:rPr>
              <w:t>4.2</w:t>
            </w:r>
            <w:r>
              <w:rPr>
                <w:rFonts w:hint="eastAsia"/>
                <w:color w:val="auto"/>
                <w:highlight w:val="none"/>
              </w:rPr>
              <w:t xml:space="preserve"> </w:t>
            </w:r>
            <w:r>
              <w:rPr>
                <w:rFonts w:hint="eastAsia"/>
                <w:color w:val="auto"/>
                <w:highlight w:val="none"/>
                <w:lang w:val="en-US" w:eastAsia="zh-CN"/>
              </w:rPr>
              <w:t>全厂项目</w:t>
            </w:r>
            <w:r>
              <w:rPr>
                <w:color w:val="auto"/>
                <w:highlight w:val="none"/>
              </w:rPr>
              <w:t>主要生产设备</w:t>
            </w:r>
          </w:p>
          <w:p w14:paraId="29B1D0BC">
            <w:pPr>
              <w:ind w:firstLine="480" w:firstLineChars="200"/>
              <w:rPr>
                <w:color w:val="auto"/>
                <w:highlight w:val="none"/>
              </w:rPr>
            </w:pPr>
            <w:r>
              <w:rPr>
                <w:rFonts w:hint="eastAsia"/>
                <w:color w:val="auto"/>
                <w:highlight w:val="none"/>
                <w:lang w:val="en-US" w:eastAsia="zh-CN"/>
              </w:rPr>
              <w:t>全厂设备、设施</w:t>
            </w:r>
            <w:r>
              <w:rPr>
                <w:color w:val="auto"/>
                <w:highlight w:val="none"/>
              </w:rPr>
              <w:t>一览表如下表：</w:t>
            </w:r>
          </w:p>
          <w:p w14:paraId="7533F26D">
            <w:pPr>
              <w:pStyle w:val="47"/>
              <w:ind w:left="482" w:hanging="482"/>
              <w:rPr>
                <w:color w:val="auto"/>
                <w:highlight w:val="none"/>
              </w:rPr>
            </w:pPr>
            <w:r>
              <w:rPr>
                <w:color w:val="auto"/>
                <w:highlight w:val="none"/>
              </w:rPr>
              <w:t>表</w:t>
            </w:r>
            <w:r>
              <w:rPr>
                <w:rFonts w:hint="eastAsia"/>
                <w:color w:val="auto"/>
                <w:highlight w:val="none"/>
                <w:lang w:val="en-US" w:eastAsia="zh-CN"/>
              </w:rPr>
              <w:t xml:space="preserve">2-12 </w:t>
            </w:r>
            <w:r>
              <w:rPr>
                <w:color w:val="auto"/>
                <w:highlight w:val="none"/>
              </w:rPr>
              <w:t xml:space="preserve"> </w:t>
            </w:r>
            <w:r>
              <w:rPr>
                <w:rFonts w:hint="eastAsia"/>
                <w:color w:val="auto"/>
                <w:highlight w:val="none"/>
                <w:lang w:val="en-US" w:eastAsia="zh-CN"/>
              </w:rPr>
              <w:t>扩建项目完成后设备、设施</w:t>
            </w:r>
            <w:r>
              <w:rPr>
                <w:color w:val="auto"/>
                <w:highlight w:val="none"/>
              </w:rPr>
              <w:t>一览表</w:t>
            </w:r>
          </w:p>
          <w:tbl>
            <w:tblPr>
              <w:tblStyle w:val="3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951"/>
              <w:gridCol w:w="2502"/>
              <w:gridCol w:w="1144"/>
              <w:gridCol w:w="3726"/>
            </w:tblGrid>
            <w:tr w14:paraId="161D6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49" w:hRule="atLeast"/>
              </w:trPr>
              <w:tc>
                <w:tcPr>
                  <w:tcW w:w="571" w:type="pct"/>
                  <w:tcBorders>
                    <w:tl2br w:val="nil"/>
                    <w:tr2bl w:val="nil"/>
                  </w:tcBorders>
                  <w:tcMar>
                    <w:top w:w="0" w:type="dxa"/>
                    <w:left w:w="108" w:type="dxa"/>
                    <w:bottom w:w="0" w:type="dxa"/>
                    <w:right w:w="108" w:type="dxa"/>
                  </w:tcMar>
                  <w:vAlign w:val="center"/>
                </w:tcPr>
                <w:p w14:paraId="5D58A61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序号</w:t>
                  </w:r>
                </w:p>
              </w:tc>
              <w:tc>
                <w:tcPr>
                  <w:tcW w:w="1503" w:type="pct"/>
                  <w:tcBorders>
                    <w:tl2br w:val="nil"/>
                    <w:tr2bl w:val="nil"/>
                  </w:tcBorders>
                  <w:tcMar>
                    <w:top w:w="0" w:type="dxa"/>
                    <w:left w:w="108" w:type="dxa"/>
                    <w:bottom w:w="0" w:type="dxa"/>
                    <w:right w:w="108" w:type="dxa"/>
                  </w:tcMar>
                  <w:vAlign w:val="center"/>
                </w:tcPr>
                <w:p w14:paraId="65FA4C32">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名称</w:t>
                  </w:r>
                </w:p>
              </w:tc>
              <w:tc>
                <w:tcPr>
                  <w:tcW w:w="687" w:type="pct"/>
                  <w:tcBorders>
                    <w:tl2br w:val="nil"/>
                    <w:tr2bl w:val="nil"/>
                  </w:tcBorders>
                  <w:tcMar>
                    <w:top w:w="0" w:type="dxa"/>
                    <w:left w:w="108" w:type="dxa"/>
                    <w:bottom w:w="0" w:type="dxa"/>
                    <w:right w:w="108" w:type="dxa"/>
                  </w:tcMar>
                  <w:vAlign w:val="center"/>
                </w:tcPr>
                <w:p w14:paraId="0DEEEBF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ascii="Times New Roman" w:hAnsi="Times New Roman" w:cs="Times New Roman"/>
                      <w:color w:val="auto"/>
                      <w:sz w:val="21"/>
                      <w:szCs w:val="21"/>
                      <w:highlight w:val="none"/>
                    </w:rPr>
                    <w:t>数量（台）</w:t>
                  </w:r>
                </w:p>
              </w:tc>
              <w:tc>
                <w:tcPr>
                  <w:tcW w:w="2238" w:type="pct"/>
                  <w:tcBorders>
                    <w:tl2br w:val="nil"/>
                    <w:tr2bl w:val="nil"/>
                  </w:tcBorders>
                  <w:tcMar>
                    <w:top w:w="0" w:type="dxa"/>
                    <w:left w:w="108" w:type="dxa"/>
                    <w:bottom w:w="0" w:type="dxa"/>
                    <w:right w:w="108" w:type="dxa"/>
                  </w:tcMar>
                  <w:vAlign w:val="center"/>
                </w:tcPr>
                <w:p w14:paraId="4BDFDFD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型号</w:t>
                  </w:r>
                </w:p>
              </w:tc>
            </w:tr>
            <w:tr w14:paraId="64EC8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64" w:hRule="atLeast"/>
              </w:trPr>
              <w:tc>
                <w:tcPr>
                  <w:tcW w:w="571" w:type="pct"/>
                  <w:tcBorders>
                    <w:tl2br w:val="nil"/>
                    <w:tr2bl w:val="nil"/>
                  </w:tcBorders>
                  <w:tcMar>
                    <w:top w:w="0" w:type="dxa"/>
                    <w:left w:w="108" w:type="dxa"/>
                    <w:bottom w:w="0" w:type="dxa"/>
                    <w:right w:w="108" w:type="dxa"/>
                  </w:tcMar>
                  <w:vAlign w:val="center"/>
                </w:tcPr>
                <w:p w14:paraId="157D6E5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1</w:t>
                  </w:r>
                </w:p>
              </w:tc>
              <w:tc>
                <w:tcPr>
                  <w:tcW w:w="1503" w:type="pct"/>
                  <w:tcBorders>
                    <w:tl2br w:val="nil"/>
                    <w:tr2bl w:val="nil"/>
                  </w:tcBorders>
                  <w:tcMar>
                    <w:top w:w="0" w:type="dxa"/>
                    <w:left w:w="108" w:type="dxa"/>
                    <w:bottom w:w="0" w:type="dxa"/>
                    <w:right w:w="108" w:type="dxa"/>
                  </w:tcMar>
                  <w:vAlign w:val="center"/>
                </w:tcPr>
                <w:p w14:paraId="31F357B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普通车床</w:t>
                  </w:r>
                </w:p>
              </w:tc>
              <w:tc>
                <w:tcPr>
                  <w:tcW w:w="687" w:type="pct"/>
                  <w:tcBorders>
                    <w:tl2br w:val="nil"/>
                    <w:tr2bl w:val="nil"/>
                  </w:tcBorders>
                  <w:tcMar>
                    <w:top w:w="0" w:type="dxa"/>
                    <w:left w:w="108" w:type="dxa"/>
                    <w:bottom w:w="0" w:type="dxa"/>
                    <w:right w:w="108" w:type="dxa"/>
                  </w:tcMar>
                  <w:vAlign w:val="center"/>
                </w:tcPr>
                <w:p w14:paraId="3B7ACC2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0BE2E89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CV6103*3000</w:t>
                  </w:r>
                </w:p>
              </w:tc>
            </w:tr>
            <w:tr w14:paraId="63FC7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17" w:hRule="atLeast"/>
              </w:trPr>
              <w:tc>
                <w:tcPr>
                  <w:tcW w:w="571" w:type="pct"/>
                  <w:tcBorders>
                    <w:tl2br w:val="nil"/>
                    <w:tr2bl w:val="nil"/>
                  </w:tcBorders>
                  <w:tcMar>
                    <w:top w:w="0" w:type="dxa"/>
                    <w:left w:w="108" w:type="dxa"/>
                    <w:bottom w:w="0" w:type="dxa"/>
                    <w:right w:w="108" w:type="dxa"/>
                  </w:tcMar>
                  <w:vAlign w:val="center"/>
                </w:tcPr>
                <w:p w14:paraId="403A998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2</w:t>
                  </w:r>
                </w:p>
              </w:tc>
              <w:tc>
                <w:tcPr>
                  <w:tcW w:w="1503" w:type="pct"/>
                  <w:tcBorders>
                    <w:tl2br w:val="nil"/>
                    <w:tr2bl w:val="nil"/>
                  </w:tcBorders>
                  <w:tcMar>
                    <w:top w:w="0" w:type="dxa"/>
                    <w:left w:w="108" w:type="dxa"/>
                    <w:bottom w:w="0" w:type="dxa"/>
                    <w:right w:w="108" w:type="dxa"/>
                  </w:tcMar>
                  <w:vAlign w:val="center"/>
                </w:tcPr>
                <w:p w14:paraId="3B2F1E1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立式升降台铣床</w:t>
                  </w:r>
                </w:p>
              </w:tc>
              <w:tc>
                <w:tcPr>
                  <w:tcW w:w="687" w:type="pct"/>
                  <w:tcBorders>
                    <w:tl2br w:val="nil"/>
                    <w:tr2bl w:val="nil"/>
                  </w:tcBorders>
                  <w:tcMar>
                    <w:top w:w="0" w:type="dxa"/>
                    <w:left w:w="108" w:type="dxa"/>
                    <w:bottom w:w="0" w:type="dxa"/>
                    <w:right w:w="108" w:type="dxa"/>
                  </w:tcMar>
                  <w:vAlign w:val="center"/>
                </w:tcPr>
                <w:p w14:paraId="47B8A16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514A51E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X5032</w:t>
                  </w:r>
                </w:p>
              </w:tc>
            </w:tr>
            <w:tr w14:paraId="12575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94" w:hRule="atLeast"/>
              </w:trPr>
              <w:tc>
                <w:tcPr>
                  <w:tcW w:w="571" w:type="pct"/>
                  <w:tcBorders>
                    <w:tl2br w:val="nil"/>
                    <w:tr2bl w:val="nil"/>
                  </w:tcBorders>
                  <w:tcMar>
                    <w:top w:w="0" w:type="dxa"/>
                    <w:left w:w="108" w:type="dxa"/>
                    <w:bottom w:w="0" w:type="dxa"/>
                    <w:right w:w="108" w:type="dxa"/>
                  </w:tcMar>
                  <w:vAlign w:val="center"/>
                </w:tcPr>
                <w:p w14:paraId="2BEF6C3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 w:val="21"/>
                      <w:szCs w:val="21"/>
                      <w:highlight w:val="none"/>
                      <w:lang w:eastAsia="zh-CN"/>
                    </w:rPr>
                  </w:pPr>
                  <w:r>
                    <w:rPr>
                      <w:rFonts w:hint="eastAsia" w:ascii="Times New Roman" w:hAnsi="Times New Roman" w:cs="Times New Roman"/>
                      <w:color w:val="auto"/>
                      <w:sz w:val="21"/>
                      <w:szCs w:val="21"/>
                      <w:highlight w:val="none"/>
                      <w:lang w:val="en-US" w:eastAsia="zh-CN"/>
                    </w:rPr>
                    <w:t>3</w:t>
                  </w:r>
                </w:p>
              </w:tc>
              <w:tc>
                <w:tcPr>
                  <w:tcW w:w="1503" w:type="pct"/>
                  <w:tcBorders>
                    <w:tl2br w:val="nil"/>
                    <w:tr2bl w:val="nil"/>
                  </w:tcBorders>
                  <w:tcMar>
                    <w:top w:w="0" w:type="dxa"/>
                    <w:left w:w="108" w:type="dxa"/>
                    <w:bottom w:w="0" w:type="dxa"/>
                    <w:right w:w="108" w:type="dxa"/>
                  </w:tcMar>
                  <w:vAlign w:val="center"/>
                </w:tcPr>
                <w:p w14:paraId="590788F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立式加工中心</w:t>
                  </w:r>
                </w:p>
              </w:tc>
              <w:tc>
                <w:tcPr>
                  <w:tcW w:w="687" w:type="pct"/>
                  <w:tcBorders>
                    <w:tl2br w:val="nil"/>
                    <w:tr2bl w:val="nil"/>
                  </w:tcBorders>
                  <w:tcMar>
                    <w:top w:w="0" w:type="dxa"/>
                    <w:left w:w="108" w:type="dxa"/>
                    <w:bottom w:w="0" w:type="dxa"/>
                    <w:right w:w="108" w:type="dxa"/>
                  </w:tcMar>
                  <w:vAlign w:val="center"/>
                </w:tcPr>
                <w:p w14:paraId="12FAE01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284C3D43">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VMC850L</w:t>
                  </w:r>
                </w:p>
              </w:tc>
            </w:tr>
            <w:tr w14:paraId="49172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64" w:hRule="atLeast"/>
              </w:trPr>
              <w:tc>
                <w:tcPr>
                  <w:tcW w:w="571" w:type="pct"/>
                  <w:tcBorders>
                    <w:tl2br w:val="nil"/>
                    <w:tr2bl w:val="nil"/>
                  </w:tcBorders>
                  <w:tcMar>
                    <w:top w:w="0" w:type="dxa"/>
                    <w:left w:w="108" w:type="dxa"/>
                    <w:bottom w:w="0" w:type="dxa"/>
                    <w:right w:w="108" w:type="dxa"/>
                  </w:tcMar>
                  <w:vAlign w:val="center"/>
                </w:tcPr>
                <w:p w14:paraId="6F6E7E6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4</w:t>
                  </w:r>
                </w:p>
              </w:tc>
              <w:tc>
                <w:tcPr>
                  <w:tcW w:w="1503" w:type="pct"/>
                  <w:tcBorders>
                    <w:tl2br w:val="nil"/>
                    <w:tr2bl w:val="nil"/>
                  </w:tcBorders>
                  <w:tcMar>
                    <w:top w:w="0" w:type="dxa"/>
                    <w:left w:w="108" w:type="dxa"/>
                    <w:bottom w:w="0" w:type="dxa"/>
                    <w:right w:w="108" w:type="dxa"/>
                  </w:tcMar>
                  <w:vAlign w:val="center"/>
                </w:tcPr>
                <w:p w14:paraId="01FC6033">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立式数控铣床</w:t>
                  </w:r>
                </w:p>
              </w:tc>
              <w:tc>
                <w:tcPr>
                  <w:tcW w:w="687" w:type="pct"/>
                  <w:tcBorders>
                    <w:tl2br w:val="nil"/>
                    <w:tr2bl w:val="nil"/>
                  </w:tcBorders>
                  <w:tcMar>
                    <w:top w:w="0" w:type="dxa"/>
                    <w:left w:w="108" w:type="dxa"/>
                    <w:bottom w:w="0" w:type="dxa"/>
                    <w:right w:w="108" w:type="dxa"/>
                  </w:tcMar>
                  <w:vAlign w:val="center"/>
                </w:tcPr>
                <w:p w14:paraId="1313D323">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59938EF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XK600A</w:t>
                  </w:r>
                </w:p>
              </w:tc>
            </w:tr>
            <w:tr w14:paraId="354DC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79" w:hRule="atLeast"/>
              </w:trPr>
              <w:tc>
                <w:tcPr>
                  <w:tcW w:w="571" w:type="pct"/>
                  <w:tcBorders>
                    <w:tl2br w:val="nil"/>
                    <w:tr2bl w:val="nil"/>
                  </w:tcBorders>
                  <w:tcMar>
                    <w:top w:w="0" w:type="dxa"/>
                    <w:left w:w="108" w:type="dxa"/>
                    <w:bottom w:w="0" w:type="dxa"/>
                    <w:right w:w="108" w:type="dxa"/>
                  </w:tcMar>
                  <w:vAlign w:val="center"/>
                </w:tcPr>
                <w:p w14:paraId="5BDAB12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5</w:t>
                  </w:r>
                </w:p>
              </w:tc>
              <w:tc>
                <w:tcPr>
                  <w:tcW w:w="1503" w:type="pct"/>
                  <w:tcBorders>
                    <w:tl2br w:val="nil"/>
                    <w:tr2bl w:val="nil"/>
                  </w:tcBorders>
                  <w:tcMar>
                    <w:top w:w="0" w:type="dxa"/>
                    <w:left w:w="108" w:type="dxa"/>
                    <w:bottom w:w="0" w:type="dxa"/>
                    <w:right w:w="108" w:type="dxa"/>
                  </w:tcMar>
                  <w:vAlign w:val="center"/>
                </w:tcPr>
                <w:p w14:paraId="0F3CC4B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数控车床</w:t>
                  </w:r>
                </w:p>
              </w:tc>
              <w:tc>
                <w:tcPr>
                  <w:tcW w:w="687" w:type="pct"/>
                  <w:tcBorders>
                    <w:tl2br w:val="nil"/>
                    <w:tr2bl w:val="nil"/>
                  </w:tcBorders>
                  <w:tcMar>
                    <w:top w:w="0" w:type="dxa"/>
                    <w:left w:w="108" w:type="dxa"/>
                    <w:bottom w:w="0" w:type="dxa"/>
                    <w:right w:w="108" w:type="dxa"/>
                  </w:tcMar>
                  <w:vAlign w:val="center"/>
                </w:tcPr>
                <w:p w14:paraId="13ED671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29999EB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SC6136</w:t>
                  </w:r>
                </w:p>
              </w:tc>
            </w:tr>
            <w:tr w14:paraId="247C8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49" w:hRule="atLeast"/>
              </w:trPr>
              <w:tc>
                <w:tcPr>
                  <w:tcW w:w="571" w:type="pct"/>
                  <w:tcBorders>
                    <w:tl2br w:val="nil"/>
                    <w:tr2bl w:val="nil"/>
                  </w:tcBorders>
                  <w:tcMar>
                    <w:top w:w="0" w:type="dxa"/>
                    <w:left w:w="108" w:type="dxa"/>
                    <w:bottom w:w="0" w:type="dxa"/>
                    <w:right w:w="108" w:type="dxa"/>
                  </w:tcMar>
                  <w:vAlign w:val="center"/>
                </w:tcPr>
                <w:p w14:paraId="70593B7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6</w:t>
                  </w:r>
                </w:p>
              </w:tc>
              <w:tc>
                <w:tcPr>
                  <w:tcW w:w="1503" w:type="pct"/>
                  <w:tcBorders>
                    <w:tl2br w:val="nil"/>
                    <w:tr2bl w:val="nil"/>
                  </w:tcBorders>
                  <w:tcMar>
                    <w:top w:w="0" w:type="dxa"/>
                    <w:left w:w="108" w:type="dxa"/>
                    <w:bottom w:w="0" w:type="dxa"/>
                    <w:right w:w="108" w:type="dxa"/>
                  </w:tcMar>
                  <w:vAlign w:val="center"/>
                </w:tcPr>
                <w:p w14:paraId="5134ADD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普通车床</w:t>
                  </w:r>
                </w:p>
              </w:tc>
              <w:tc>
                <w:tcPr>
                  <w:tcW w:w="687" w:type="pct"/>
                  <w:tcBorders>
                    <w:tl2br w:val="nil"/>
                    <w:tr2bl w:val="nil"/>
                  </w:tcBorders>
                  <w:tcMar>
                    <w:top w:w="0" w:type="dxa"/>
                    <w:left w:w="108" w:type="dxa"/>
                    <w:bottom w:w="0" w:type="dxa"/>
                    <w:right w:w="108" w:type="dxa"/>
                  </w:tcMar>
                  <w:vAlign w:val="center"/>
                </w:tcPr>
                <w:p w14:paraId="4BC69CE2">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7420B7C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CY6132B-1000</w:t>
                  </w:r>
                </w:p>
              </w:tc>
            </w:tr>
            <w:tr w14:paraId="30398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79" w:hRule="atLeast"/>
              </w:trPr>
              <w:tc>
                <w:tcPr>
                  <w:tcW w:w="571" w:type="pct"/>
                  <w:tcBorders>
                    <w:tl2br w:val="nil"/>
                    <w:tr2bl w:val="nil"/>
                  </w:tcBorders>
                  <w:tcMar>
                    <w:top w:w="0" w:type="dxa"/>
                    <w:left w:w="108" w:type="dxa"/>
                    <w:bottom w:w="0" w:type="dxa"/>
                    <w:right w:w="108" w:type="dxa"/>
                  </w:tcMar>
                  <w:vAlign w:val="center"/>
                </w:tcPr>
                <w:p w14:paraId="6A0A069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7</w:t>
                  </w:r>
                </w:p>
              </w:tc>
              <w:tc>
                <w:tcPr>
                  <w:tcW w:w="1503" w:type="pct"/>
                  <w:tcBorders>
                    <w:tl2br w:val="nil"/>
                    <w:tr2bl w:val="nil"/>
                  </w:tcBorders>
                  <w:tcMar>
                    <w:top w:w="0" w:type="dxa"/>
                    <w:left w:w="108" w:type="dxa"/>
                    <w:bottom w:w="0" w:type="dxa"/>
                    <w:right w:w="108" w:type="dxa"/>
                  </w:tcMar>
                  <w:vAlign w:val="center"/>
                </w:tcPr>
                <w:p w14:paraId="6B29CD5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普通车床</w:t>
                  </w:r>
                </w:p>
              </w:tc>
              <w:tc>
                <w:tcPr>
                  <w:tcW w:w="687" w:type="pct"/>
                  <w:tcBorders>
                    <w:tl2br w:val="nil"/>
                    <w:tr2bl w:val="nil"/>
                  </w:tcBorders>
                  <w:tcMar>
                    <w:top w:w="0" w:type="dxa"/>
                    <w:left w:w="108" w:type="dxa"/>
                    <w:bottom w:w="0" w:type="dxa"/>
                    <w:right w:w="108" w:type="dxa"/>
                  </w:tcMar>
                  <w:vAlign w:val="center"/>
                </w:tcPr>
                <w:p w14:paraId="41F54F0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2F27236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CY6140B-1000</w:t>
                  </w:r>
                </w:p>
              </w:tc>
            </w:tr>
            <w:tr w14:paraId="60FA1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49" w:hRule="atLeast"/>
              </w:trPr>
              <w:tc>
                <w:tcPr>
                  <w:tcW w:w="571" w:type="pct"/>
                  <w:tcBorders>
                    <w:tl2br w:val="nil"/>
                    <w:tr2bl w:val="nil"/>
                  </w:tcBorders>
                  <w:tcMar>
                    <w:top w:w="0" w:type="dxa"/>
                    <w:left w:w="108" w:type="dxa"/>
                    <w:bottom w:w="0" w:type="dxa"/>
                    <w:right w:w="108" w:type="dxa"/>
                  </w:tcMar>
                  <w:vAlign w:val="center"/>
                </w:tcPr>
                <w:p w14:paraId="5AA2D0A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8</w:t>
                  </w:r>
                </w:p>
              </w:tc>
              <w:tc>
                <w:tcPr>
                  <w:tcW w:w="1503" w:type="pct"/>
                  <w:tcBorders>
                    <w:tl2br w:val="nil"/>
                    <w:tr2bl w:val="nil"/>
                  </w:tcBorders>
                  <w:tcMar>
                    <w:top w:w="0" w:type="dxa"/>
                    <w:left w:w="108" w:type="dxa"/>
                    <w:bottom w:w="0" w:type="dxa"/>
                    <w:right w:w="108" w:type="dxa"/>
                  </w:tcMar>
                  <w:vAlign w:val="center"/>
                </w:tcPr>
                <w:p w14:paraId="0CE58A7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压力机</w:t>
                  </w:r>
                </w:p>
              </w:tc>
              <w:tc>
                <w:tcPr>
                  <w:tcW w:w="687" w:type="pct"/>
                  <w:tcBorders>
                    <w:tl2br w:val="nil"/>
                    <w:tr2bl w:val="nil"/>
                  </w:tcBorders>
                  <w:tcMar>
                    <w:top w:w="0" w:type="dxa"/>
                    <w:left w:w="108" w:type="dxa"/>
                    <w:bottom w:w="0" w:type="dxa"/>
                    <w:right w:w="108" w:type="dxa"/>
                  </w:tcMar>
                  <w:vAlign w:val="center"/>
                </w:tcPr>
                <w:p w14:paraId="1051F22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352B4FE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JH100T</w:t>
                  </w:r>
                </w:p>
              </w:tc>
            </w:tr>
            <w:tr w14:paraId="70526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74" w:hRule="atLeast"/>
              </w:trPr>
              <w:tc>
                <w:tcPr>
                  <w:tcW w:w="571" w:type="pct"/>
                  <w:tcBorders>
                    <w:tl2br w:val="nil"/>
                    <w:tr2bl w:val="nil"/>
                  </w:tcBorders>
                  <w:tcMar>
                    <w:top w:w="0" w:type="dxa"/>
                    <w:left w:w="108" w:type="dxa"/>
                    <w:bottom w:w="0" w:type="dxa"/>
                    <w:right w:w="108" w:type="dxa"/>
                  </w:tcMar>
                  <w:vAlign w:val="center"/>
                </w:tcPr>
                <w:p w14:paraId="34942BD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9</w:t>
                  </w:r>
                </w:p>
              </w:tc>
              <w:tc>
                <w:tcPr>
                  <w:tcW w:w="1503" w:type="pct"/>
                  <w:tcBorders>
                    <w:tl2br w:val="nil"/>
                    <w:tr2bl w:val="nil"/>
                  </w:tcBorders>
                  <w:tcMar>
                    <w:top w:w="0" w:type="dxa"/>
                    <w:left w:w="108" w:type="dxa"/>
                    <w:bottom w:w="0" w:type="dxa"/>
                    <w:right w:w="108" w:type="dxa"/>
                  </w:tcMar>
                  <w:vAlign w:val="center"/>
                </w:tcPr>
                <w:p w14:paraId="21E0458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台式钻床</w:t>
                  </w:r>
                </w:p>
              </w:tc>
              <w:tc>
                <w:tcPr>
                  <w:tcW w:w="687" w:type="pct"/>
                  <w:tcBorders>
                    <w:tl2br w:val="nil"/>
                    <w:tr2bl w:val="nil"/>
                  </w:tcBorders>
                  <w:tcMar>
                    <w:top w:w="0" w:type="dxa"/>
                    <w:left w:w="108" w:type="dxa"/>
                    <w:bottom w:w="0" w:type="dxa"/>
                    <w:right w:w="108" w:type="dxa"/>
                  </w:tcMar>
                  <w:vAlign w:val="center"/>
                </w:tcPr>
                <w:p w14:paraId="3A536AA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0B48168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Z512B</w:t>
                  </w:r>
                </w:p>
              </w:tc>
            </w:tr>
            <w:tr w14:paraId="14220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79" w:hRule="atLeast"/>
              </w:trPr>
              <w:tc>
                <w:tcPr>
                  <w:tcW w:w="571" w:type="pct"/>
                  <w:tcBorders>
                    <w:tl2br w:val="nil"/>
                    <w:tr2bl w:val="nil"/>
                  </w:tcBorders>
                  <w:tcMar>
                    <w:top w:w="0" w:type="dxa"/>
                    <w:left w:w="108" w:type="dxa"/>
                    <w:bottom w:w="0" w:type="dxa"/>
                    <w:right w:w="108" w:type="dxa"/>
                  </w:tcMar>
                  <w:vAlign w:val="center"/>
                </w:tcPr>
                <w:p w14:paraId="198916A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10</w:t>
                  </w:r>
                </w:p>
              </w:tc>
              <w:tc>
                <w:tcPr>
                  <w:tcW w:w="1503" w:type="pct"/>
                  <w:tcBorders>
                    <w:tl2br w:val="nil"/>
                    <w:tr2bl w:val="nil"/>
                  </w:tcBorders>
                  <w:tcMar>
                    <w:top w:w="0" w:type="dxa"/>
                    <w:left w:w="108" w:type="dxa"/>
                    <w:bottom w:w="0" w:type="dxa"/>
                    <w:right w:w="108" w:type="dxa"/>
                  </w:tcMar>
                  <w:vAlign w:val="center"/>
                </w:tcPr>
                <w:p w14:paraId="6BF880F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台式攻丝机</w:t>
                  </w:r>
                </w:p>
              </w:tc>
              <w:tc>
                <w:tcPr>
                  <w:tcW w:w="687" w:type="pct"/>
                  <w:tcBorders>
                    <w:tl2br w:val="nil"/>
                    <w:tr2bl w:val="nil"/>
                  </w:tcBorders>
                  <w:tcMar>
                    <w:top w:w="0" w:type="dxa"/>
                    <w:left w:w="108" w:type="dxa"/>
                    <w:bottom w:w="0" w:type="dxa"/>
                    <w:right w:w="108" w:type="dxa"/>
                  </w:tcMar>
                  <w:vAlign w:val="center"/>
                </w:tcPr>
                <w:p w14:paraId="134A203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3040548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SWJ-12</w:t>
                  </w:r>
                </w:p>
              </w:tc>
            </w:tr>
            <w:tr w14:paraId="06720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41" w:hRule="atLeast"/>
              </w:trPr>
              <w:tc>
                <w:tcPr>
                  <w:tcW w:w="571" w:type="pct"/>
                  <w:tcBorders>
                    <w:tl2br w:val="nil"/>
                    <w:tr2bl w:val="nil"/>
                  </w:tcBorders>
                  <w:tcMar>
                    <w:top w:w="0" w:type="dxa"/>
                    <w:left w:w="108" w:type="dxa"/>
                    <w:bottom w:w="0" w:type="dxa"/>
                    <w:right w:w="108" w:type="dxa"/>
                  </w:tcMar>
                  <w:vAlign w:val="center"/>
                </w:tcPr>
                <w:p w14:paraId="320CBD5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11</w:t>
                  </w:r>
                </w:p>
              </w:tc>
              <w:tc>
                <w:tcPr>
                  <w:tcW w:w="1503" w:type="pct"/>
                  <w:tcBorders>
                    <w:tl2br w:val="nil"/>
                    <w:tr2bl w:val="nil"/>
                  </w:tcBorders>
                  <w:tcMar>
                    <w:top w:w="0" w:type="dxa"/>
                    <w:left w:w="108" w:type="dxa"/>
                    <w:bottom w:w="0" w:type="dxa"/>
                    <w:right w:w="108" w:type="dxa"/>
                  </w:tcMar>
                  <w:vAlign w:val="center"/>
                </w:tcPr>
                <w:p w14:paraId="277BA8E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立式加工中心</w:t>
                  </w:r>
                </w:p>
              </w:tc>
              <w:tc>
                <w:tcPr>
                  <w:tcW w:w="687" w:type="pct"/>
                  <w:tcBorders>
                    <w:tl2br w:val="nil"/>
                    <w:tr2bl w:val="nil"/>
                  </w:tcBorders>
                  <w:tcMar>
                    <w:top w:w="0" w:type="dxa"/>
                    <w:left w:w="108" w:type="dxa"/>
                    <w:bottom w:w="0" w:type="dxa"/>
                    <w:right w:w="108" w:type="dxa"/>
                  </w:tcMar>
                  <w:vAlign w:val="center"/>
                </w:tcPr>
                <w:p w14:paraId="634BF8A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66942CB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VMC1265</w:t>
                  </w:r>
                </w:p>
              </w:tc>
            </w:tr>
            <w:tr w14:paraId="6F5E6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74" w:hRule="atLeast"/>
              </w:trPr>
              <w:tc>
                <w:tcPr>
                  <w:tcW w:w="571" w:type="pct"/>
                  <w:tcBorders>
                    <w:tl2br w:val="nil"/>
                    <w:tr2bl w:val="nil"/>
                  </w:tcBorders>
                  <w:tcMar>
                    <w:top w:w="0" w:type="dxa"/>
                    <w:left w:w="108" w:type="dxa"/>
                    <w:bottom w:w="0" w:type="dxa"/>
                    <w:right w:w="108" w:type="dxa"/>
                  </w:tcMar>
                  <w:vAlign w:val="center"/>
                </w:tcPr>
                <w:p w14:paraId="65187EB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12</w:t>
                  </w:r>
                </w:p>
              </w:tc>
              <w:tc>
                <w:tcPr>
                  <w:tcW w:w="1503" w:type="pct"/>
                  <w:tcBorders>
                    <w:tl2br w:val="nil"/>
                    <w:tr2bl w:val="nil"/>
                  </w:tcBorders>
                  <w:tcMar>
                    <w:top w:w="0" w:type="dxa"/>
                    <w:left w:w="108" w:type="dxa"/>
                    <w:bottom w:w="0" w:type="dxa"/>
                    <w:right w:w="108" w:type="dxa"/>
                  </w:tcMar>
                  <w:vAlign w:val="center"/>
                </w:tcPr>
                <w:p w14:paraId="3FE90D4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台式攻丝机</w:t>
                  </w:r>
                </w:p>
              </w:tc>
              <w:tc>
                <w:tcPr>
                  <w:tcW w:w="687" w:type="pct"/>
                  <w:tcBorders>
                    <w:tl2br w:val="nil"/>
                    <w:tr2bl w:val="nil"/>
                  </w:tcBorders>
                  <w:tcMar>
                    <w:top w:w="0" w:type="dxa"/>
                    <w:left w:w="108" w:type="dxa"/>
                    <w:bottom w:w="0" w:type="dxa"/>
                    <w:right w:w="108" w:type="dxa"/>
                  </w:tcMar>
                  <w:vAlign w:val="center"/>
                </w:tcPr>
                <w:p w14:paraId="11A2E45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2</w:t>
                  </w:r>
                </w:p>
              </w:tc>
              <w:tc>
                <w:tcPr>
                  <w:tcW w:w="2238" w:type="pct"/>
                  <w:tcBorders>
                    <w:tl2br w:val="nil"/>
                    <w:tr2bl w:val="nil"/>
                  </w:tcBorders>
                  <w:tcMar>
                    <w:top w:w="0" w:type="dxa"/>
                    <w:left w:w="108" w:type="dxa"/>
                    <w:bottom w:w="0" w:type="dxa"/>
                    <w:right w:w="108" w:type="dxa"/>
                  </w:tcMar>
                  <w:vAlign w:val="center"/>
                </w:tcPr>
                <w:p w14:paraId="13779D2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SWJ-16</w:t>
                  </w:r>
                </w:p>
              </w:tc>
            </w:tr>
            <w:tr w14:paraId="29AF8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08" w:hRule="atLeast"/>
              </w:trPr>
              <w:tc>
                <w:tcPr>
                  <w:tcW w:w="571" w:type="pct"/>
                  <w:tcBorders>
                    <w:tl2br w:val="nil"/>
                    <w:tr2bl w:val="nil"/>
                  </w:tcBorders>
                  <w:tcMar>
                    <w:top w:w="0" w:type="dxa"/>
                    <w:left w:w="108" w:type="dxa"/>
                    <w:bottom w:w="0" w:type="dxa"/>
                    <w:right w:w="108" w:type="dxa"/>
                  </w:tcMar>
                  <w:vAlign w:val="center"/>
                </w:tcPr>
                <w:p w14:paraId="43D927F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13</w:t>
                  </w:r>
                </w:p>
              </w:tc>
              <w:tc>
                <w:tcPr>
                  <w:tcW w:w="1503" w:type="pct"/>
                  <w:tcBorders>
                    <w:tl2br w:val="nil"/>
                    <w:tr2bl w:val="nil"/>
                  </w:tcBorders>
                  <w:tcMar>
                    <w:top w:w="0" w:type="dxa"/>
                    <w:left w:w="108" w:type="dxa"/>
                    <w:bottom w:w="0" w:type="dxa"/>
                    <w:right w:w="108" w:type="dxa"/>
                  </w:tcMar>
                  <w:vAlign w:val="center"/>
                </w:tcPr>
                <w:p w14:paraId="38F2E95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台式钻床</w:t>
                  </w:r>
                </w:p>
              </w:tc>
              <w:tc>
                <w:tcPr>
                  <w:tcW w:w="687" w:type="pct"/>
                  <w:tcBorders>
                    <w:tl2br w:val="nil"/>
                    <w:tr2bl w:val="nil"/>
                  </w:tcBorders>
                  <w:tcMar>
                    <w:top w:w="0" w:type="dxa"/>
                    <w:left w:w="108" w:type="dxa"/>
                    <w:bottom w:w="0" w:type="dxa"/>
                    <w:right w:w="108" w:type="dxa"/>
                  </w:tcMar>
                  <w:vAlign w:val="center"/>
                </w:tcPr>
                <w:p w14:paraId="5DE639B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2</w:t>
                  </w:r>
                </w:p>
              </w:tc>
              <w:tc>
                <w:tcPr>
                  <w:tcW w:w="2238" w:type="pct"/>
                  <w:tcBorders>
                    <w:tl2br w:val="nil"/>
                    <w:tr2bl w:val="nil"/>
                  </w:tcBorders>
                  <w:tcMar>
                    <w:top w:w="0" w:type="dxa"/>
                    <w:left w:w="108" w:type="dxa"/>
                    <w:bottom w:w="0" w:type="dxa"/>
                    <w:right w:w="108" w:type="dxa"/>
                  </w:tcMar>
                  <w:vAlign w:val="center"/>
                </w:tcPr>
                <w:p w14:paraId="226A13B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Z512B</w:t>
                  </w:r>
                </w:p>
              </w:tc>
            </w:tr>
            <w:tr w14:paraId="49B0E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41" w:hRule="atLeast"/>
              </w:trPr>
              <w:tc>
                <w:tcPr>
                  <w:tcW w:w="571" w:type="pct"/>
                  <w:tcBorders>
                    <w:tl2br w:val="nil"/>
                    <w:tr2bl w:val="nil"/>
                  </w:tcBorders>
                  <w:tcMar>
                    <w:top w:w="0" w:type="dxa"/>
                    <w:left w:w="108" w:type="dxa"/>
                    <w:bottom w:w="0" w:type="dxa"/>
                    <w:right w:w="108" w:type="dxa"/>
                  </w:tcMar>
                  <w:vAlign w:val="center"/>
                </w:tcPr>
                <w:p w14:paraId="1AFE78C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14</w:t>
                  </w:r>
                </w:p>
              </w:tc>
              <w:tc>
                <w:tcPr>
                  <w:tcW w:w="1503" w:type="pct"/>
                  <w:tcBorders>
                    <w:tl2br w:val="nil"/>
                    <w:tr2bl w:val="nil"/>
                  </w:tcBorders>
                  <w:tcMar>
                    <w:top w:w="0" w:type="dxa"/>
                    <w:left w:w="108" w:type="dxa"/>
                    <w:bottom w:w="0" w:type="dxa"/>
                    <w:right w:w="108" w:type="dxa"/>
                  </w:tcMar>
                  <w:vAlign w:val="center"/>
                </w:tcPr>
                <w:p w14:paraId="3308C8E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万能工具铣床</w:t>
                  </w:r>
                </w:p>
              </w:tc>
              <w:tc>
                <w:tcPr>
                  <w:tcW w:w="687" w:type="pct"/>
                  <w:tcBorders>
                    <w:tl2br w:val="nil"/>
                    <w:tr2bl w:val="nil"/>
                  </w:tcBorders>
                  <w:tcMar>
                    <w:top w:w="0" w:type="dxa"/>
                    <w:left w:w="108" w:type="dxa"/>
                    <w:bottom w:w="0" w:type="dxa"/>
                    <w:right w:w="108" w:type="dxa"/>
                  </w:tcMar>
                  <w:vAlign w:val="center"/>
                </w:tcPr>
                <w:p w14:paraId="0FA43CE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68F0267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X8126C</w:t>
                  </w:r>
                </w:p>
              </w:tc>
            </w:tr>
            <w:tr w14:paraId="7CFC3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79" w:hRule="atLeast"/>
              </w:trPr>
              <w:tc>
                <w:tcPr>
                  <w:tcW w:w="571" w:type="pct"/>
                  <w:tcBorders>
                    <w:tl2br w:val="nil"/>
                    <w:tr2bl w:val="nil"/>
                  </w:tcBorders>
                  <w:tcMar>
                    <w:top w:w="0" w:type="dxa"/>
                    <w:left w:w="108" w:type="dxa"/>
                    <w:bottom w:w="0" w:type="dxa"/>
                    <w:right w:w="108" w:type="dxa"/>
                  </w:tcMar>
                  <w:vAlign w:val="center"/>
                </w:tcPr>
                <w:p w14:paraId="56AD63D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15</w:t>
                  </w:r>
                </w:p>
              </w:tc>
              <w:tc>
                <w:tcPr>
                  <w:tcW w:w="1503" w:type="pct"/>
                  <w:tcBorders>
                    <w:tl2br w:val="nil"/>
                    <w:tr2bl w:val="nil"/>
                  </w:tcBorders>
                  <w:tcMar>
                    <w:top w:w="0" w:type="dxa"/>
                    <w:left w:w="108" w:type="dxa"/>
                    <w:bottom w:w="0" w:type="dxa"/>
                    <w:right w:w="108" w:type="dxa"/>
                  </w:tcMar>
                  <w:vAlign w:val="center"/>
                </w:tcPr>
                <w:p w14:paraId="5D76B33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数控车床</w:t>
                  </w:r>
                </w:p>
              </w:tc>
              <w:tc>
                <w:tcPr>
                  <w:tcW w:w="687" w:type="pct"/>
                  <w:tcBorders>
                    <w:tl2br w:val="nil"/>
                    <w:tr2bl w:val="nil"/>
                  </w:tcBorders>
                  <w:tcMar>
                    <w:top w:w="0" w:type="dxa"/>
                    <w:left w:w="108" w:type="dxa"/>
                    <w:bottom w:w="0" w:type="dxa"/>
                    <w:right w:w="108" w:type="dxa"/>
                  </w:tcMar>
                  <w:vAlign w:val="center"/>
                </w:tcPr>
                <w:p w14:paraId="4FB14B5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4D99B932">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CK-6136</w:t>
                  </w:r>
                </w:p>
              </w:tc>
            </w:tr>
            <w:tr w14:paraId="1D211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57" w:hRule="atLeast"/>
              </w:trPr>
              <w:tc>
                <w:tcPr>
                  <w:tcW w:w="571" w:type="pct"/>
                  <w:tcBorders>
                    <w:tl2br w:val="nil"/>
                    <w:tr2bl w:val="nil"/>
                  </w:tcBorders>
                  <w:tcMar>
                    <w:top w:w="0" w:type="dxa"/>
                    <w:left w:w="108" w:type="dxa"/>
                    <w:bottom w:w="0" w:type="dxa"/>
                    <w:right w:w="108" w:type="dxa"/>
                  </w:tcMar>
                  <w:vAlign w:val="center"/>
                </w:tcPr>
                <w:p w14:paraId="534D56A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16</w:t>
                  </w:r>
                </w:p>
              </w:tc>
              <w:tc>
                <w:tcPr>
                  <w:tcW w:w="1503" w:type="pct"/>
                  <w:tcBorders>
                    <w:tl2br w:val="nil"/>
                    <w:tr2bl w:val="nil"/>
                  </w:tcBorders>
                  <w:tcMar>
                    <w:top w:w="0" w:type="dxa"/>
                    <w:left w:w="108" w:type="dxa"/>
                    <w:bottom w:w="0" w:type="dxa"/>
                    <w:right w:w="108" w:type="dxa"/>
                  </w:tcMar>
                  <w:vAlign w:val="center"/>
                </w:tcPr>
                <w:p w14:paraId="68BA779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立式升降台铣床</w:t>
                  </w:r>
                </w:p>
              </w:tc>
              <w:tc>
                <w:tcPr>
                  <w:tcW w:w="687" w:type="pct"/>
                  <w:tcBorders>
                    <w:tl2br w:val="nil"/>
                    <w:tr2bl w:val="nil"/>
                  </w:tcBorders>
                  <w:tcMar>
                    <w:top w:w="0" w:type="dxa"/>
                    <w:left w:w="108" w:type="dxa"/>
                    <w:bottom w:w="0" w:type="dxa"/>
                    <w:right w:w="108" w:type="dxa"/>
                  </w:tcMar>
                  <w:vAlign w:val="center"/>
                </w:tcPr>
                <w:p w14:paraId="4D2E078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2152C41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X5032</w:t>
                  </w:r>
                </w:p>
              </w:tc>
            </w:tr>
            <w:tr w14:paraId="38E03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34" w:hRule="atLeast"/>
              </w:trPr>
              <w:tc>
                <w:tcPr>
                  <w:tcW w:w="571" w:type="pct"/>
                  <w:tcBorders>
                    <w:tl2br w:val="nil"/>
                    <w:tr2bl w:val="nil"/>
                  </w:tcBorders>
                  <w:tcMar>
                    <w:top w:w="0" w:type="dxa"/>
                    <w:left w:w="108" w:type="dxa"/>
                    <w:bottom w:w="0" w:type="dxa"/>
                    <w:right w:w="108" w:type="dxa"/>
                  </w:tcMar>
                  <w:vAlign w:val="center"/>
                </w:tcPr>
                <w:p w14:paraId="3E0FF2F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17</w:t>
                  </w:r>
                </w:p>
              </w:tc>
              <w:tc>
                <w:tcPr>
                  <w:tcW w:w="1503" w:type="pct"/>
                  <w:tcBorders>
                    <w:tl2br w:val="nil"/>
                    <w:tr2bl w:val="nil"/>
                  </w:tcBorders>
                  <w:tcMar>
                    <w:top w:w="0" w:type="dxa"/>
                    <w:left w:w="108" w:type="dxa"/>
                    <w:bottom w:w="0" w:type="dxa"/>
                    <w:right w:w="108" w:type="dxa"/>
                  </w:tcMar>
                  <w:vAlign w:val="center"/>
                </w:tcPr>
                <w:p w14:paraId="4DA6A07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电火花数控线切割机床</w:t>
                  </w:r>
                </w:p>
              </w:tc>
              <w:tc>
                <w:tcPr>
                  <w:tcW w:w="687" w:type="pct"/>
                  <w:tcBorders>
                    <w:tl2br w:val="nil"/>
                    <w:tr2bl w:val="nil"/>
                  </w:tcBorders>
                  <w:tcMar>
                    <w:top w:w="0" w:type="dxa"/>
                    <w:left w:w="108" w:type="dxa"/>
                    <w:bottom w:w="0" w:type="dxa"/>
                    <w:right w:w="108" w:type="dxa"/>
                  </w:tcMar>
                  <w:vAlign w:val="center"/>
                </w:tcPr>
                <w:p w14:paraId="740D8F3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2</w:t>
                  </w:r>
                </w:p>
              </w:tc>
              <w:tc>
                <w:tcPr>
                  <w:tcW w:w="2238" w:type="pct"/>
                  <w:tcBorders>
                    <w:tl2br w:val="nil"/>
                    <w:tr2bl w:val="nil"/>
                  </w:tcBorders>
                  <w:tcMar>
                    <w:top w:w="0" w:type="dxa"/>
                    <w:left w:w="108" w:type="dxa"/>
                    <w:bottom w:w="0" w:type="dxa"/>
                    <w:right w:w="108" w:type="dxa"/>
                  </w:tcMar>
                  <w:vAlign w:val="center"/>
                </w:tcPr>
                <w:p w14:paraId="0E57580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DK7740</w:t>
                  </w:r>
                </w:p>
              </w:tc>
            </w:tr>
            <w:tr w14:paraId="399AB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94" w:hRule="atLeast"/>
              </w:trPr>
              <w:tc>
                <w:tcPr>
                  <w:tcW w:w="571" w:type="pct"/>
                  <w:tcBorders>
                    <w:tl2br w:val="nil"/>
                    <w:tr2bl w:val="nil"/>
                  </w:tcBorders>
                  <w:shd w:val="clear" w:color="auto" w:fill="auto"/>
                  <w:tcMar>
                    <w:top w:w="0" w:type="dxa"/>
                    <w:left w:w="108" w:type="dxa"/>
                    <w:bottom w:w="0" w:type="dxa"/>
                    <w:right w:w="108" w:type="dxa"/>
                  </w:tcMar>
                  <w:vAlign w:val="center"/>
                </w:tcPr>
                <w:p w14:paraId="4064F027">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18</w:t>
                  </w:r>
                </w:p>
              </w:tc>
              <w:tc>
                <w:tcPr>
                  <w:tcW w:w="1503" w:type="pct"/>
                  <w:tcBorders>
                    <w:tl2br w:val="nil"/>
                    <w:tr2bl w:val="nil"/>
                  </w:tcBorders>
                  <w:tcMar>
                    <w:top w:w="0" w:type="dxa"/>
                    <w:left w:w="108" w:type="dxa"/>
                    <w:bottom w:w="0" w:type="dxa"/>
                    <w:right w:w="108" w:type="dxa"/>
                  </w:tcMar>
                  <w:vAlign w:val="center"/>
                </w:tcPr>
                <w:p w14:paraId="71E0F76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碱喷淋塔</w:t>
                  </w:r>
                </w:p>
              </w:tc>
              <w:tc>
                <w:tcPr>
                  <w:tcW w:w="687" w:type="pct"/>
                  <w:tcBorders>
                    <w:tl2br w:val="nil"/>
                    <w:tr2bl w:val="nil"/>
                  </w:tcBorders>
                  <w:tcMar>
                    <w:top w:w="0" w:type="dxa"/>
                    <w:left w:w="108" w:type="dxa"/>
                    <w:bottom w:w="0" w:type="dxa"/>
                    <w:right w:w="108" w:type="dxa"/>
                  </w:tcMar>
                  <w:vAlign w:val="center"/>
                </w:tcPr>
                <w:p w14:paraId="7C0A97E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3D954D2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w:t>
                  </w:r>
                </w:p>
              </w:tc>
            </w:tr>
            <w:tr w14:paraId="3C6AC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64" w:hRule="atLeast"/>
              </w:trPr>
              <w:tc>
                <w:tcPr>
                  <w:tcW w:w="571" w:type="pct"/>
                  <w:tcBorders>
                    <w:tl2br w:val="nil"/>
                    <w:tr2bl w:val="nil"/>
                  </w:tcBorders>
                  <w:shd w:val="clear" w:color="auto" w:fill="auto"/>
                  <w:tcMar>
                    <w:top w:w="0" w:type="dxa"/>
                    <w:left w:w="108" w:type="dxa"/>
                    <w:bottom w:w="0" w:type="dxa"/>
                    <w:right w:w="108" w:type="dxa"/>
                  </w:tcMar>
                  <w:vAlign w:val="center"/>
                </w:tcPr>
                <w:p w14:paraId="34558FF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19</w:t>
                  </w:r>
                </w:p>
              </w:tc>
              <w:tc>
                <w:tcPr>
                  <w:tcW w:w="1503" w:type="pct"/>
                  <w:tcBorders>
                    <w:tl2br w:val="nil"/>
                    <w:tr2bl w:val="nil"/>
                  </w:tcBorders>
                  <w:tcMar>
                    <w:top w:w="0" w:type="dxa"/>
                    <w:left w:w="108" w:type="dxa"/>
                    <w:bottom w:w="0" w:type="dxa"/>
                    <w:right w:w="108" w:type="dxa"/>
                  </w:tcMar>
                  <w:vAlign w:val="center"/>
                </w:tcPr>
                <w:p w14:paraId="72E8DD5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叉车</w:t>
                  </w:r>
                </w:p>
              </w:tc>
              <w:tc>
                <w:tcPr>
                  <w:tcW w:w="687" w:type="pct"/>
                  <w:tcBorders>
                    <w:tl2br w:val="nil"/>
                    <w:tr2bl w:val="nil"/>
                  </w:tcBorders>
                  <w:tcMar>
                    <w:top w:w="0" w:type="dxa"/>
                    <w:left w:w="108" w:type="dxa"/>
                    <w:bottom w:w="0" w:type="dxa"/>
                    <w:right w:w="108" w:type="dxa"/>
                  </w:tcMar>
                  <w:vAlign w:val="center"/>
                </w:tcPr>
                <w:p w14:paraId="12212BB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2238" w:type="pct"/>
                  <w:tcBorders>
                    <w:tl2br w:val="nil"/>
                    <w:tr2bl w:val="nil"/>
                  </w:tcBorders>
                  <w:tcMar>
                    <w:top w:w="0" w:type="dxa"/>
                    <w:left w:w="108" w:type="dxa"/>
                    <w:bottom w:w="0" w:type="dxa"/>
                    <w:right w:w="108" w:type="dxa"/>
                  </w:tcMar>
                  <w:vAlign w:val="center"/>
                </w:tcPr>
                <w:p w14:paraId="5127950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w:t>
                  </w:r>
                </w:p>
              </w:tc>
            </w:tr>
            <w:tr w14:paraId="0BBA3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64" w:hRule="atLeast"/>
              </w:trPr>
              <w:tc>
                <w:tcPr>
                  <w:tcW w:w="571" w:type="pct"/>
                  <w:tcBorders>
                    <w:tl2br w:val="nil"/>
                    <w:tr2bl w:val="nil"/>
                  </w:tcBorders>
                  <w:shd w:val="clear" w:color="auto" w:fill="auto"/>
                  <w:tcMar>
                    <w:top w:w="0" w:type="dxa"/>
                    <w:left w:w="108" w:type="dxa"/>
                    <w:bottom w:w="0" w:type="dxa"/>
                    <w:right w:w="108" w:type="dxa"/>
                  </w:tcMar>
                  <w:vAlign w:val="center"/>
                </w:tcPr>
                <w:p w14:paraId="5AC8BAD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20</w:t>
                  </w:r>
                </w:p>
              </w:tc>
              <w:tc>
                <w:tcPr>
                  <w:tcW w:w="1503" w:type="pct"/>
                  <w:tcBorders>
                    <w:tl2br w:val="nil"/>
                    <w:tr2bl w:val="nil"/>
                  </w:tcBorders>
                  <w:tcMar>
                    <w:top w:w="0" w:type="dxa"/>
                    <w:left w:w="108" w:type="dxa"/>
                    <w:bottom w:w="0" w:type="dxa"/>
                    <w:right w:w="108" w:type="dxa"/>
                  </w:tcMar>
                  <w:vAlign w:val="center"/>
                </w:tcPr>
                <w:p w14:paraId="3C497A0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cs="Times New Roman"/>
                      <w:color w:val="auto"/>
                      <w:kern w:val="0"/>
                      <w:sz w:val="21"/>
                      <w:szCs w:val="21"/>
                      <w:highlight w:val="none"/>
                      <w:lang w:val="en-US" w:eastAsia="zh-CN" w:bidi="ar-SA"/>
                    </w:rPr>
                  </w:pPr>
                  <w:r>
                    <w:rPr>
                      <w:rFonts w:hint="eastAsia"/>
                      <w:color w:val="auto"/>
                      <w:sz w:val="21"/>
                      <w:szCs w:val="21"/>
                      <w:vertAlign w:val="baseline"/>
                      <w:lang w:val="en-US" w:eastAsia="zh-CN"/>
                    </w:rPr>
                    <w:t>碱槽</w:t>
                  </w:r>
                </w:p>
              </w:tc>
              <w:tc>
                <w:tcPr>
                  <w:tcW w:w="687" w:type="pct"/>
                  <w:tcBorders>
                    <w:tl2br w:val="nil"/>
                    <w:tr2bl w:val="nil"/>
                  </w:tcBorders>
                  <w:tcMar>
                    <w:top w:w="0" w:type="dxa"/>
                    <w:left w:w="108" w:type="dxa"/>
                    <w:bottom w:w="0" w:type="dxa"/>
                    <w:right w:w="108" w:type="dxa"/>
                  </w:tcMar>
                  <w:vAlign w:val="center"/>
                </w:tcPr>
                <w:p w14:paraId="609A614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cs="Times New Roman"/>
                      <w:color w:val="auto"/>
                      <w:kern w:val="0"/>
                      <w:sz w:val="21"/>
                      <w:szCs w:val="21"/>
                      <w:highlight w:val="none"/>
                      <w:lang w:val="en-US" w:eastAsia="zh-CN" w:bidi="ar-SA"/>
                    </w:rPr>
                  </w:pPr>
                  <w:r>
                    <w:rPr>
                      <w:rFonts w:hint="eastAsia"/>
                      <w:color w:val="auto"/>
                      <w:sz w:val="21"/>
                      <w:szCs w:val="21"/>
                      <w:vertAlign w:val="baseline"/>
                      <w:lang w:val="en-US" w:eastAsia="zh-CN"/>
                    </w:rPr>
                    <w:t>1</w:t>
                  </w:r>
                </w:p>
              </w:tc>
              <w:tc>
                <w:tcPr>
                  <w:tcW w:w="2238" w:type="pct"/>
                  <w:tcBorders>
                    <w:tl2br w:val="nil"/>
                    <w:tr2bl w:val="nil"/>
                  </w:tcBorders>
                  <w:tcMar>
                    <w:top w:w="0" w:type="dxa"/>
                    <w:left w:w="108" w:type="dxa"/>
                    <w:bottom w:w="0" w:type="dxa"/>
                    <w:right w:w="108" w:type="dxa"/>
                  </w:tcMar>
                  <w:vAlign w:val="center"/>
                </w:tcPr>
                <w:p w14:paraId="5B3F29F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cs="Times New Roman"/>
                      <w:color w:val="auto"/>
                      <w:kern w:val="0"/>
                      <w:sz w:val="21"/>
                      <w:szCs w:val="21"/>
                      <w:highlight w:val="none"/>
                      <w:lang w:val="en-US" w:eastAsia="zh-CN"/>
                    </w:rPr>
                  </w:pPr>
                  <w:r>
                    <w:rPr>
                      <w:rFonts w:hint="eastAsia"/>
                      <w:color w:val="auto"/>
                      <w:sz w:val="21"/>
                      <w:szCs w:val="21"/>
                      <w:vertAlign w:val="baseline"/>
                      <w:lang w:val="en-US" w:eastAsia="zh-CN"/>
                    </w:rPr>
                    <w:t>5.25</w:t>
                  </w:r>
                </w:p>
              </w:tc>
            </w:tr>
            <w:tr w14:paraId="7E839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79" w:hRule="atLeast"/>
              </w:trPr>
              <w:tc>
                <w:tcPr>
                  <w:tcW w:w="571" w:type="pct"/>
                  <w:tcBorders>
                    <w:tl2br w:val="nil"/>
                    <w:tr2bl w:val="nil"/>
                  </w:tcBorders>
                  <w:shd w:val="clear" w:color="auto" w:fill="auto"/>
                  <w:tcMar>
                    <w:top w:w="0" w:type="dxa"/>
                    <w:left w:w="108" w:type="dxa"/>
                    <w:bottom w:w="0" w:type="dxa"/>
                    <w:right w:w="108" w:type="dxa"/>
                  </w:tcMar>
                  <w:vAlign w:val="center"/>
                </w:tcPr>
                <w:p w14:paraId="52B8BB9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21</w:t>
                  </w:r>
                </w:p>
              </w:tc>
              <w:tc>
                <w:tcPr>
                  <w:tcW w:w="1503" w:type="pct"/>
                  <w:tcBorders>
                    <w:tl2br w:val="nil"/>
                    <w:tr2bl w:val="nil"/>
                  </w:tcBorders>
                  <w:tcMar>
                    <w:top w:w="0" w:type="dxa"/>
                    <w:left w:w="108" w:type="dxa"/>
                    <w:bottom w:w="0" w:type="dxa"/>
                    <w:right w:w="108" w:type="dxa"/>
                  </w:tcMar>
                  <w:vAlign w:val="center"/>
                </w:tcPr>
                <w:p w14:paraId="0083643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cs="Times New Roman"/>
                      <w:color w:val="auto"/>
                      <w:kern w:val="0"/>
                      <w:sz w:val="21"/>
                      <w:szCs w:val="21"/>
                      <w:highlight w:val="none"/>
                      <w:lang w:val="en-US" w:eastAsia="zh-CN" w:bidi="ar-SA"/>
                    </w:rPr>
                  </w:pPr>
                  <w:r>
                    <w:rPr>
                      <w:rFonts w:hint="eastAsia"/>
                      <w:color w:val="auto"/>
                      <w:sz w:val="21"/>
                      <w:szCs w:val="21"/>
                      <w:vertAlign w:val="baseline"/>
                      <w:lang w:val="en-US" w:eastAsia="zh-CN"/>
                    </w:rPr>
                    <w:t>水槽</w:t>
                  </w:r>
                </w:p>
              </w:tc>
              <w:tc>
                <w:tcPr>
                  <w:tcW w:w="687" w:type="pct"/>
                  <w:tcBorders>
                    <w:tl2br w:val="nil"/>
                    <w:tr2bl w:val="nil"/>
                  </w:tcBorders>
                  <w:tcMar>
                    <w:top w:w="0" w:type="dxa"/>
                    <w:left w:w="108" w:type="dxa"/>
                    <w:bottom w:w="0" w:type="dxa"/>
                    <w:right w:w="108" w:type="dxa"/>
                  </w:tcMar>
                  <w:vAlign w:val="center"/>
                </w:tcPr>
                <w:p w14:paraId="7C6D9CD7">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cs="Times New Roman"/>
                      <w:color w:val="auto"/>
                      <w:kern w:val="0"/>
                      <w:sz w:val="21"/>
                      <w:szCs w:val="21"/>
                      <w:highlight w:val="none"/>
                      <w:lang w:val="en-US" w:eastAsia="zh-CN" w:bidi="ar-SA"/>
                    </w:rPr>
                  </w:pPr>
                  <w:r>
                    <w:rPr>
                      <w:rFonts w:hint="eastAsia"/>
                      <w:color w:val="auto"/>
                      <w:sz w:val="21"/>
                      <w:szCs w:val="21"/>
                      <w:vertAlign w:val="baseline"/>
                      <w:lang w:val="en-US" w:eastAsia="zh-CN"/>
                    </w:rPr>
                    <w:t>3</w:t>
                  </w:r>
                </w:p>
              </w:tc>
              <w:tc>
                <w:tcPr>
                  <w:tcW w:w="2238" w:type="pct"/>
                  <w:tcBorders>
                    <w:tl2br w:val="nil"/>
                    <w:tr2bl w:val="nil"/>
                  </w:tcBorders>
                  <w:tcMar>
                    <w:top w:w="0" w:type="dxa"/>
                    <w:left w:w="108" w:type="dxa"/>
                    <w:bottom w:w="0" w:type="dxa"/>
                    <w:right w:w="108" w:type="dxa"/>
                  </w:tcMar>
                  <w:vAlign w:val="center"/>
                </w:tcPr>
                <w:p w14:paraId="6B5CAE2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cs="Times New Roman"/>
                      <w:color w:val="auto"/>
                      <w:kern w:val="0"/>
                      <w:sz w:val="21"/>
                      <w:szCs w:val="21"/>
                      <w:highlight w:val="none"/>
                      <w:lang w:val="en-US" w:eastAsia="zh-CN"/>
                    </w:rPr>
                  </w:pPr>
                  <w:r>
                    <w:rPr>
                      <w:rFonts w:hint="eastAsia"/>
                      <w:color w:val="auto"/>
                      <w:sz w:val="21"/>
                      <w:szCs w:val="21"/>
                      <w:vertAlign w:val="baseline"/>
                      <w:lang w:val="en-US" w:eastAsia="zh-CN"/>
                    </w:rPr>
                    <w:t>5.25</w:t>
                  </w:r>
                </w:p>
              </w:tc>
            </w:tr>
            <w:tr w14:paraId="432DF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79" w:hRule="atLeast"/>
              </w:trPr>
              <w:tc>
                <w:tcPr>
                  <w:tcW w:w="571" w:type="pct"/>
                  <w:tcBorders>
                    <w:tl2br w:val="nil"/>
                    <w:tr2bl w:val="nil"/>
                  </w:tcBorders>
                  <w:shd w:val="clear" w:color="auto" w:fill="auto"/>
                  <w:tcMar>
                    <w:top w:w="0" w:type="dxa"/>
                    <w:left w:w="108" w:type="dxa"/>
                    <w:bottom w:w="0" w:type="dxa"/>
                    <w:right w:w="108" w:type="dxa"/>
                  </w:tcMar>
                  <w:vAlign w:val="center"/>
                </w:tcPr>
                <w:p w14:paraId="75387B5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22</w:t>
                  </w:r>
                </w:p>
              </w:tc>
              <w:tc>
                <w:tcPr>
                  <w:tcW w:w="1503" w:type="pct"/>
                  <w:tcBorders>
                    <w:tl2br w:val="nil"/>
                    <w:tr2bl w:val="nil"/>
                  </w:tcBorders>
                  <w:tcMar>
                    <w:top w:w="0" w:type="dxa"/>
                    <w:left w:w="108" w:type="dxa"/>
                    <w:bottom w:w="0" w:type="dxa"/>
                    <w:right w:w="108" w:type="dxa"/>
                  </w:tcMar>
                  <w:vAlign w:val="center"/>
                </w:tcPr>
                <w:p w14:paraId="16972DC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cs="Times New Roman"/>
                      <w:color w:val="auto"/>
                      <w:kern w:val="0"/>
                      <w:sz w:val="21"/>
                      <w:szCs w:val="21"/>
                      <w:highlight w:val="none"/>
                      <w:lang w:val="en-US" w:eastAsia="zh-CN" w:bidi="ar-SA"/>
                    </w:rPr>
                  </w:pPr>
                  <w:r>
                    <w:rPr>
                      <w:rFonts w:hint="eastAsia"/>
                      <w:color w:val="auto"/>
                      <w:sz w:val="21"/>
                      <w:szCs w:val="21"/>
                      <w:vertAlign w:val="baseline"/>
                      <w:lang w:val="en-US" w:eastAsia="zh-CN"/>
                    </w:rPr>
                    <w:t>油槽</w:t>
                  </w:r>
                </w:p>
              </w:tc>
              <w:tc>
                <w:tcPr>
                  <w:tcW w:w="687" w:type="pct"/>
                  <w:tcBorders>
                    <w:tl2br w:val="nil"/>
                    <w:tr2bl w:val="nil"/>
                  </w:tcBorders>
                  <w:tcMar>
                    <w:top w:w="0" w:type="dxa"/>
                    <w:left w:w="108" w:type="dxa"/>
                    <w:bottom w:w="0" w:type="dxa"/>
                    <w:right w:w="108" w:type="dxa"/>
                  </w:tcMar>
                  <w:vAlign w:val="center"/>
                </w:tcPr>
                <w:p w14:paraId="0A56C79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cs="Times New Roman"/>
                      <w:color w:val="auto"/>
                      <w:kern w:val="0"/>
                      <w:sz w:val="21"/>
                      <w:szCs w:val="21"/>
                      <w:highlight w:val="none"/>
                      <w:lang w:val="en-US" w:eastAsia="zh-CN" w:bidi="ar-SA"/>
                    </w:rPr>
                  </w:pPr>
                  <w:r>
                    <w:rPr>
                      <w:rFonts w:hint="eastAsia"/>
                      <w:color w:val="auto"/>
                      <w:sz w:val="21"/>
                      <w:szCs w:val="21"/>
                      <w:vertAlign w:val="baseline"/>
                      <w:lang w:val="en-US" w:eastAsia="zh-CN"/>
                    </w:rPr>
                    <w:t>1</w:t>
                  </w:r>
                </w:p>
              </w:tc>
              <w:tc>
                <w:tcPr>
                  <w:tcW w:w="2238" w:type="pct"/>
                  <w:tcBorders>
                    <w:tl2br w:val="nil"/>
                    <w:tr2bl w:val="nil"/>
                  </w:tcBorders>
                  <w:tcMar>
                    <w:top w:w="0" w:type="dxa"/>
                    <w:left w:w="108" w:type="dxa"/>
                    <w:bottom w:w="0" w:type="dxa"/>
                    <w:right w:w="108" w:type="dxa"/>
                  </w:tcMar>
                  <w:vAlign w:val="center"/>
                </w:tcPr>
                <w:p w14:paraId="5726FA8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cs="Times New Roman"/>
                      <w:color w:val="auto"/>
                      <w:kern w:val="0"/>
                      <w:sz w:val="21"/>
                      <w:szCs w:val="21"/>
                      <w:highlight w:val="none"/>
                      <w:lang w:val="en-US" w:eastAsia="zh-CN"/>
                    </w:rPr>
                  </w:pPr>
                  <w:r>
                    <w:rPr>
                      <w:rFonts w:hint="eastAsia"/>
                      <w:color w:val="auto"/>
                      <w:sz w:val="21"/>
                      <w:szCs w:val="21"/>
                      <w:vertAlign w:val="baseline"/>
                      <w:lang w:val="en-US" w:eastAsia="zh-CN"/>
                    </w:rPr>
                    <w:t>5.25</w:t>
                  </w:r>
                </w:p>
              </w:tc>
            </w:tr>
            <w:tr w14:paraId="248A8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89" w:hRule="atLeast"/>
              </w:trPr>
              <w:tc>
                <w:tcPr>
                  <w:tcW w:w="571" w:type="pct"/>
                  <w:tcBorders>
                    <w:tl2br w:val="nil"/>
                    <w:tr2bl w:val="nil"/>
                  </w:tcBorders>
                  <w:tcMar>
                    <w:top w:w="0" w:type="dxa"/>
                    <w:left w:w="108" w:type="dxa"/>
                    <w:bottom w:w="0" w:type="dxa"/>
                    <w:right w:w="108" w:type="dxa"/>
                  </w:tcMar>
                  <w:vAlign w:val="center"/>
                </w:tcPr>
                <w:p w14:paraId="14A8AD7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23</w:t>
                  </w:r>
                </w:p>
              </w:tc>
              <w:tc>
                <w:tcPr>
                  <w:tcW w:w="1503" w:type="pct"/>
                  <w:tcBorders>
                    <w:tl2br w:val="nil"/>
                    <w:tr2bl w:val="nil"/>
                  </w:tcBorders>
                  <w:tcMar>
                    <w:top w:w="0" w:type="dxa"/>
                    <w:left w:w="108" w:type="dxa"/>
                    <w:bottom w:w="0" w:type="dxa"/>
                    <w:right w:w="108" w:type="dxa"/>
                  </w:tcMar>
                  <w:vAlign w:val="center"/>
                </w:tcPr>
                <w:p w14:paraId="1701722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cs="Times New Roman"/>
                      <w:color w:val="auto"/>
                      <w:kern w:val="0"/>
                      <w:sz w:val="21"/>
                      <w:szCs w:val="21"/>
                      <w:highlight w:val="none"/>
                      <w:lang w:val="en-US" w:eastAsia="zh-CN" w:bidi="ar-SA"/>
                    </w:rPr>
                  </w:pPr>
                  <w:r>
                    <w:rPr>
                      <w:rFonts w:hint="eastAsia"/>
                      <w:color w:val="auto"/>
                      <w:sz w:val="21"/>
                      <w:szCs w:val="21"/>
                      <w:vertAlign w:val="baseline"/>
                      <w:lang w:val="en-US" w:eastAsia="zh-CN"/>
                    </w:rPr>
                    <w:t>酸槽</w:t>
                  </w:r>
                </w:p>
              </w:tc>
              <w:tc>
                <w:tcPr>
                  <w:tcW w:w="687" w:type="pct"/>
                  <w:tcBorders>
                    <w:tl2br w:val="nil"/>
                    <w:tr2bl w:val="nil"/>
                  </w:tcBorders>
                  <w:tcMar>
                    <w:top w:w="0" w:type="dxa"/>
                    <w:left w:w="108" w:type="dxa"/>
                    <w:bottom w:w="0" w:type="dxa"/>
                    <w:right w:w="108" w:type="dxa"/>
                  </w:tcMar>
                  <w:vAlign w:val="center"/>
                </w:tcPr>
                <w:p w14:paraId="1739772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cs="Times New Roman"/>
                      <w:color w:val="auto"/>
                      <w:kern w:val="0"/>
                      <w:sz w:val="21"/>
                      <w:szCs w:val="21"/>
                      <w:highlight w:val="none"/>
                      <w:lang w:val="en-US" w:eastAsia="zh-CN" w:bidi="ar-SA"/>
                    </w:rPr>
                  </w:pPr>
                  <w:r>
                    <w:rPr>
                      <w:rFonts w:hint="eastAsia"/>
                      <w:color w:val="auto"/>
                      <w:sz w:val="21"/>
                      <w:szCs w:val="21"/>
                      <w:vertAlign w:val="baseline"/>
                      <w:lang w:val="en-US" w:eastAsia="zh-CN"/>
                    </w:rPr>
                    <w:t>1</w:t>
                  </w:r>
                </w:p>
              </w:tc>
              <w:tc>
                <w:tcPr>
                  <w:tcW w:w="2238" w:type="pct"/>
                  <w:tcBorders>
                    <w:tl2br w:val="nil"/>
                    <w:tr2bl w:val="nil"/>
                  </w:tcBorders>
                  <w:tcMar>
                    <w:top w:w="0" w:type="dxa"/>
                    <w:left w:w="108" w:type="dxa"/>
                    <w:bottom w:w="0" w:type="dxa"/>
                    <w:right w:w="108" w:type="dxa"/>
                  </w:tcMar>
                  <w:vAlign w:val="center"/>
                </w:tcPr>
                <w:p w14:paraId="40BFC00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cs="Times New Roman"/>
                      <w:color w:val="auto"/>
                      <w:kern w:val="0"/>
                      <w:sz w:val="21"/>
                      <w:szCs w:val="21"/>
                      <w:highlight w:val="none"/>
                      <w:lang w:val="en-US" w:eastAsia="zh-CN"/>
                    </w:rPr>
                  </w:pPr>
                  <w:r>
                    <w:rPr>
                      <w:rFonts w:hint="eastAsia"/>
                      <w:color w:val="auto"/>
                      <w:sz w:val="21"/>
                      <w:szCs w:val="21"/>
                      <w:vertAlign w:val="baseline"/>
                      <w:lang w:val="en-US" w:eastAsia="zh-CN"/>
                    </w:rPr>
                    <w:t>5.25</w:t>
                  </w:r>
                </w:p>
              </w:tc>
            </w:tr>
          </w:tbl>
          <w:p w14:paraId="2ACC2434">
            <w:pPr>
              <w:pStyle w:val="9"/>
              <w:rPr>
                <w:color w:val="auto"/>
                <w:highlight w:val="none"/>
              </w:rPr>
            </w:pPr>
            <w:r>
              <w:rPr>
                <w:rFonts w:hint="eastAsia"/>
                <w:color w:val="auto"/>
                <w:highlight w:val="none"/>
                <w:lang w:val="en-US" w:eastAsia="zh-CN"/>
              </w:rPr>
              <w:t>4</w:t>
            </w:r>
            <w:r>
              <w:rPr>
                <w:rFonts w:hint="eastAsia"/>
                <w:color w:val="auto"/>
                <w:highlight w:val="none"/>
              </w:rPr>
              <w:t>.</w:t>
            </w:r>
            <w:r>
              <w:rPr>
                <w:rFonts w:hint="eastAsia"/>
                <w:color w:val="auto"/>
                <w:highlight w:val="none"/>
                <w:lang w:val="en-US" w:eastAsia="zh-CN"/>
              </w:rPr>
              <w:t>3</w:t>
            </w:r>
            <w:r>
              <w:rPr>
                <w:color w:val="auto"/>
                <w:highlight w:val="none"/>
              </w:rPr>
              <w:t xml:space="preserve"> </w:t>
            </w:r>
            <w:r>
              <w:rPr>
                <w:rFonts w:hint="eastAsia"/>
                <w:color w:val="auto"/>
                <w:highlight w:val="none"/>
                <w:lang w:val="en-US" w:eastAsia="zh-CN"/>
              </w:rPr>
              <w:t>全厂项目</w:t>
            </w:r>
            <w:r>
              <w:rPr>
                <w:color w:val="auto"/>
                <w:highlight w:val="none"/>
              </w:rPr>
              <w:t>主要原辅材料消耗</w:t>
            </w:r>
          </w:p>
          <w:p w14:paraId="71A03AC0">
            <w:pPr>
              <w:pStyle w:val="47"/>
              <w:ind w:left="482" w:hanging="482"/>
              <w:rPr>
                <w:rFonts w:hint="eastAsia" w:eastAsia="宋体"/>
                <w:color w:val="auto"/>
                <w:highlight w:val="none"/>
                <w:lang w:eastAsia="zh-CN"/>
              </w:rPr>
            </w:pPr>
            <w:r>
              <w:rPr>
                <w:color w:val="auto"/>
                <w:highlight w:val="none"/>
              </w:rPr>
              <w:t>表</w:t>
            </w:r>
            <w:r>
              <w:rPr>
                <w:rFonts w:hint="eastAsia"/>
                <w:color w:val="auto"/>
                <w:highlight w:val="none"/>
                <w:lang w:val="en-US" w:eastAsia="zh-CN"/>
              </w:rPr>
              <w:t xml:space="preserve">2-13 </w:t>
            </w:r>
            <w:r>
              <w:rPr>
                <w:color w:val="auto"/>
                <w:highlight w:val="none"/>
              </w:rPr>
              <w:t xml:space="preserve"> </w:t>
            </w:r>
            <w:r>
              <w:rPr>
                <w:rFonts w:hint="eastAsia"/>
                <w:color w:val="auto"/>
                <w:highlight w:val="none"/>
                <w:lang w:val="en-US" w:eastAsia="zh-CN"/>
              </w:rPr>
              <w:t>扩建项目完成后全厂</w:t>
            </w:r>
            <w:r>
              <w:rPr>
                <w:color w:val="auto"/>
                <w:highlight w:val="none"/>
              </w:rPr>
              <w:t>主要原辅材料</w:t>
            </w:r>
            <w:r>
              <w:rPr>
                <w:rFonts w:hint="eastAsia"/>
                <w:color w:val="auto"/>
                <w:highlight w:val="none"/>
              </w:rPr>
              <w:t>及能源</w:t>
            </w:r>
            <w:r>
              <w:rPr>
                <w:color w:val="auto"/>
                <w:highlight w:val="none"/>
              </w:rPr>
              <w:t>消耗一览表</w:t>
            </w:r>
          </w:p>
          <w:tbl>
            <w:tblPr>
              <w:tblStyle w:val="3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1" w:type="dxa"/>
                <w:bottom w:w="0" w:type="dxa"/>
                <w:right w:w="51" w:type="dxa"/>
              </w:tblCellMar>
            </w:tblPr>
            <w:tblGrid>
              <w:gridCol w:w="384"/>
              <w:gridCol w:w="907"/>
              <w:gridCol w:w="1659"/>
              <w:gridCol w:w="1861"/>
              <w:gridCol w:w="1463"/>
              <w:gridCol w:w="2049"/>
            </w:tblGrid>
            <w:tr w14:paraId="4DA5E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95" w:hRule="atLeast"/>
                <w:jc w:val="center"/>
              </w:trPr>
              <w:tc>
                <w:tcPr>
                  <w:tcW w:w="231" w:type="pct"/>
                  <w:tcBorders>
                    <w:tl2br w:val="nil"/>
                    <w:tr2bl w:val="nil"/>
                  </w:tcBorders>
                  <w:vAlign w:val="center"/>
                </w:tcPr>
                <w:p w14:paraId="39F665F8">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项目</w:t>
                  </w:r>
                </w:p>
              </w:tc>
              <w:tc>
                <w:tcPr>
                  <w:tcW w:w="544" w:type="pct"/>
                  <w:tcBorders>
                    <w:tl2br w:val="nil"/>
                    <w:tr2bl w:val="nil"/>
                  </w:tcBorders>
                  <w:vAlign w:val="center"/>
                </w:tcPr>
                <w:p w14:paraId="2795DE11">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名称</w:t>
                  </w:r>
                </w:p>
              </w:tc>
              <w:tc>
                <w:tcPr>
                  <w:tcW w:w="996" w:type="pct"/>
                  <w:tcBorders>
                    <w:tl2br w:val="nil"/>
                    <w:tr2bl w:val="nil"/>
                  </w:tcBorders>
                  <w:vAlign w:val="center"/>
                </w:tcPr>
                <w:p w14:paraId="76DC47BF">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r>
                    <w:rPr>
                      <w:rFonts w:hint="eastAsia" w:cs="Times New Roman"/>
                      <w:color w:val="auto"/>
                      <w:sz w:val="21"/>
                      <w:szCs w:val="21"/>
                      <w:highlight w:val="none"/>
                      <w:lang w:val="en-US" w:eastAsia="zh-CN"/>
                    </w:rPr>
                    <w:t>现有工程</w:t>
                  </w:r>
                  <w:r>
                    <w:rPr>
                      <w:rFonts w:ascii="Times New Roman" w:hAnsi="Times New Roman" w:cs="Times New Roman"/>
                      <w:color w:val="auto"/>
                      <w:sz w:val="21"/>
                      <w:szCs w:val="21"/>
                      <w:highlight w:val="none"/>
                    </w:rPr>
                    <w:t>用量</w:t>
                  </w:r>
                  <w:r>
                    <w:rPr>
                      <w:rFonts w:hint="eastAsia" w:cs="Times New Roman"/>
                      <w:color w:val="auto"/>
                      <w:sz w:val="21"/>
                      <w:szCs w:val="21"/>
                      <w:highlight w:val="none"/>
                      <w:lang w:val="en-US" w:eastAsia="zh-CN"/>
                    </w:rPr>
                    <w:t>t/a</w:t>
                  </w:r>
                </w:p>
              </w:tc>
              <w:tc>
                <w:tcPr>
                  <w:tcW w:w="1117" w:type="pct"/>
                  <w:tcBorders>
                    <w:tl2br w:val="nil"/>
                    <w:tr2bl w:val="nil"/>
                  </w:tcBorders>
                  <w:vAlign w:val="center"/>
                </w:tcPr>
                <w:p w14:paraId="3D7C76C3">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扩建项目用量t/a</w:t>
                  </w:r>
                </w:p>
              </w:tc>
              <w:tc>
                <w:tcPr>
                  <w:tcW w:w="878" w:type="pct"/>
                  <w:tcBorders>
                    <w:tl2br w:val="nil"/>
                    <w:tr2bl w:val="nil"/>
                  </w:tcBorders>
                  <w:vAlign w:val="center"/>
                </w:tcPr>
                <w:p w14:paraId="2ECFB072">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扩建后全厂t/a</w:t>
                  </w:r>
                </w:p>
              </w:tc>
              <w:tc>
                <w:tcPr>
                  <w:tcW w:w="1230" w:type="pct"/>
                  <w:tcBorders>
                    <w:tl2br w:val="nil"/>
                    <w:tr2bl w:val="nil"/>
                  </w:tcBorders>
                  <w:vAlign w:val="center"/>
                </w:tcPr>
                <w:p w14:paraId="17A9F06D">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其他说明</w:t>
                  </w:r>
                </w:p>
              </w:tc>
            </w:tr>
            <w:tr w14:paraId="741D6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81" w:hRule="atLeast"/>
                <w:jc w:val="center"/>
              </w:trPr>
              <w:tc>
                <w:tcPr>
                  <w:tcW w:w="231" w:type="pct"/>
                  <w:vMerge w:val="restart"/>
                  <w:tcBorders>
                    <w:tl2br w:val="nil"/>
                    <w:tr2bl w:val="nil"/>
                  </w:tcBorders>
                  <w:vAlign w:val="center"/>
                </w:tcPr>
                <w:p w14:paraId="629724CC">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原料</w:t>
                  </w:r>
                </w:p>
              </w:tc>
              <w:tc>
                <w:tcPr>
                  <w:tcW w:w="544" w:type="pct"/>
                  <w:tcBorders>
                    <w:tl2br w:val="nil"/>
                    <w:tr2bl w:val="nil"/>
                  </w:tcBorders>
                  <w:vAlign w:val="center"/>
                </w:tcPr>
                <w:p w14:paraId="31C0CDD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color w:val="auto"/>
                      <w:sz w:val="21"/>
                      <w:szCs w:val="21"/>
                      <w:vertAlign w:val="baseline"/>
                      <w:lang w:val="en-US" w:eastAsia="zh-CN"/>
                    </w:rPr>
                    <w:t>不锈钢</w:t>
                  </w:r>
                </w:p>
              </w:tc>
              <w:tc>
                <w:tcPr>
                  <w:tcW w:w="1659" w:type="dxa"/>
                  <w:tcBorders>
                    <w:tl2br w:val="nil"/>
                    <w:tr2bl w:val="nil"/>
                  </w:tcBorders>
                  <w:vAlign w:val="center"/>
                </w:tcPr>
                <w:p w14:paraId="1A928DF8">
                  <w:pPr>
                    <w:pStyle w:val="32"/>
                    <w:adjustRightInd w:val="0"/>
                    <w:snapToGrid w:val="0"/>
                    <w:spacing w:after="0"/>
                    <w:ind w:right="113"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10</w:t>
                  </w:r>
                </w:p>
              </w:tc>
              <w:tc>
                <w:tcPr>
                  <w:tcW w:w="1117" w:type="pct"/>
                  <w:tcBorders>
                    <w:tl2br w:val="nil"/>
                    <w:tr2bl w:val="nil"/>
                  </w:tcBorders>
                  <w:vAlign w:val="center"/>
                </w:tcPr>
                <w:p w14:paraId="04BB388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0</w:t>
                  </w:r>
                </w:p>
              </w:tc>
              <w:tc>
                <w:tcPr>
                  <w:tcW w:w="1463" w:type="dxa"/>
                  <w:tcBorders>
                    <w:tl2br w:val="nil"/>
                    <w:tr2bl w:val="nil"/>
                  </w:tcBorders>
                  <w:vAlign w:val="center"/>
                </w:tcPr>
                <w:p w14:paraId="5A0D2B6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color w:val="auto"/>
                      <w:sz w:val="21"/>
                      <w:szCs w:val="21"/>
                      <w:vertAlign w:val="baseline"/>
                      <w:lang w:val="en-US" w:eastAsia="zh-CN"/>
                    </w:rPr>
                  </w:pPr>
                  <w:r>
                    <w:rPr>
                      <w:rFonts w:hint="eastAsia"/>
                      <w:color w:val="auto"/>
                      <w:sz w:val="21"/>
                      <w:szCs w:val="21"/>
                      <w:vertAlign w:val="baseline"/>
                      <w:lang w:val="en-US" w:eastAsia="zh-CN"/>
                    </w:rPr>
                    <w:t>10</w:t>
                  </w:r>
                </w:p>
              </w:tc>
              <w:tc>
                <w:tcPr>
                  <w:tcW w:w="1230" w:type="pct"/>
                  <w:tcBorders>
                    <w:tl2br w:val="nil"/>
                    <w:tr2bl w:val="nil"/>
                  </w:tcBorders>
                  <w:vAlign w:val="center"/>
                </w:tcPr>
                <w:p w14:paraId="1C1752E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olor w:val="auto"/>
                      <w:sz w:val="21"/>
                      <w:szCs w:val="21"/>
                      <w:vertAlign w:val="baseline"/>
                      <w:lang w:val="en-US" w:eastAsia="zh-CN"/>
                    </w:rPr>
                    <w:t>外购，生产从动轴原料</w:t>
                  </w:r>
                </w:p>
              </w:tc>
            </w:tr>
            <w:tr w14:paraId="38919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23" w:hRule="exact"/>
                <w:jc w:val="center"/>
              </w:trPr>
              <w:tc>
                <w:tcPr>
                  <w:tcW w:w="231" w:type="pct"/>
                  <w:vMerge w:val="continue"/>
                  <w:tcBorders>
                    <w:tl2br w:val="nil"/>
                    <w:tr2bl w:val="nil"/>
                  </w:tcBorders>
                  <w:vAlign w:val="center"/>
                </w:tcPr>
                <w:p w14:paraId="143F5706">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ascii="Times New Roman" w:hAnsi="Times New Roman" w:cs="Times New Roman"/>
                      <w:color w:val="auto"/>
                      <w:sz w:val="21"/>
                      <w:szCs w:val="21"/>
                      <w:highlight w:val="none"/>
                    </w:rPr>
                  </w:pPr>
                </w:p>
              </w:tc>
              <w:tc>
                <w:tcPr>
                  <w:tcW w:w="544" w:type="pct"/>
                  <w:tcBorders>
                    <w:tl2br w:val="nil"/>
                    <w:tr2bl w:val="nil"/>
                  </w:tcBorders>
                  <w:vAlign w:val="center"/>
                </w:tcPr>
                <w:p w14:paraId="7BC5A5D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olor w:val="auto"/>
                      <w:sz w:val="21"/>
                      <w:szCs w:val="21"/>
                      <w:vertAlign w:val="baseline"/>
                      <w:lang w:val="en-US" w:eastAsia="zh-CN"/>
                    </w:rPr>
                    <w:t>铁锭</w:t>
                  </w:r>
                </w:p>
              </w:tc>
              <w:tc>
                <w:tcPr>
                  <w:tcW w:w="1659" w:type="dxa"/>
                  <w:tcBorders>
                    <w:tl2br w:val="nil"/>
                    <w:tr2bl w:val="nil"/>
                  </w:tcBorders>
                  <w:vAlign w:val="center"/>
                </w:tcPr>
                <w:p w14:paraId="6C8488B1">
                  <w:pPr>
                    <w:pStyle w:val="32"/>
                    <w:adjustRightInd w:val="0"/>
                    <w:snapToGrid w:val="0"/>
                    <w:spacing w:after="0"/>
                    <w:ind w:right="113" w:rightChars="0" w:firstLine="0" w:firstLineChars="0"/>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20</w:t>
                  </w:r>
                </w:p>
              </w:tc>
              <w:tc>
                <w:tcPr>
                  <w:tcW w:w="1117" w:type="pct"/>
                  <w:tcBorders>
                    <w:tl2br w:val="nil"/>
                    <w:tr2bl w:val="nil"/>
                  </w:tcBorders>
                  <w:vAlign w:val="center"/>
                </w:tcPr>
                <w:p w14:paraId="6245CF0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560</w:t>
                  </w:r>
                </w:p>
              </w:tc>
              <w:tc>
                <w:tcPr>
                  <w:tcW w:w="1463" w:type="dxa"/>
                  <w:tcBorders>
                    <w:tl2br w:val="nil"/>
                    <w:tr2bl w:val="nil"/>
                  </w:tcBorders>
                  <w:vAlign w:val="center"/>
                </w:tcPr>
                <w:p w14:paraId="5C19B30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eastAsia"/>
                      <w:color w:val="auto"/>
                      <w:sz w:val="21"/>
                      <w:szCs w:val="21"/>
                      <w:vertAlign w:val="baseline"/>
                      <w:lang w:val="en-US" w:eastAsia="zh-CN"/>
                    </w:rPr>
                  </w:pPr>
                  <w:r>
                    <w:rPr>
                      <w:rFonts w:hint="eastAsia"/>
                      <w:color w:val="auto"/>
                      <w:sz w:val="21"/>
                      <w:szCs w:val="21"/>
                      <w:vertAlign w:val="baseline"/>
                      <w:lang w:val="en-US" w:eastAsia="zh-CN"/>
                    </w:rPr>
                    <w:t>580</w:t>
                  </w:r>
                </w:p>
              </w:tc>
              <w:tc>
                <w:tcPr>
                  <w:tcW w:w="1230" w:type="pct"/>
                  <w:tcBorders>
                    <w:tl2br w:val="nil"/>
                    <w:tr2bl w:val="nil"/>
                  </w:tcBorders>
                  <w:vAlign w:val="center"/>
                </w:tcPr>
                <w:p w14:paraId="485828D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olor w:val="auto"/>
                      <w:sz w:val="21"/>
                      <w:szCs w:val="21"/>
                      <w:vertAlign w:val="baseline"/>
                      <w:lang w:val="en-US" w:eastAsia="zh-CN"/>
                    </w:rPr>
                    <w:t>外购，生产模具原料</w:t>
                  </w:r>
                </w:p>
              </w:tc>
            </w:tr>
            <w:tr w14:paraId="04341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02" w:hRule="exact"/>
                <w:jc w:val="center"/>
              </w:trPr>
              <w:tc>
                <w:tcPr>
                  <w:tcW w:w="231" w:type="pct"/>
                  <w:vMerge w:val="continue"/>
                  <w:tcBorders>
                    <w:tl2br w:val="nil"/>
                    <w:tr2bl w:val="nil"/>
                  </w:tcBorders>
                  <w:vAlign w:val="center"/>
                </w:tcPr>
                <w:p w14:paraId="54F20C89">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default" w:ascii="Times New Roman" w:hAnsi="Times New Roman" w:cs="Times New Roman"/>
                      <w:color w:val="auto"/>
                      <w:sz w:val="21"/>
                      <w:szCs w:val="21"/>
                      <w:highlight w:val="none"/>
                    </w:rPr>
                  </w:pPr>
                </w:p>
              </w:tc>
              <w:tc>
                <w:tcPr>
                  <w:tcW w:w="544" w:type="pct"/>
                  <w:tcBorders>
                    <w:tl2br w:val="nil"/>
                    <w:tr2bl w:val="nil"/>
                  </w:tcBorders>
                  <w:vAlign w:val="center"/>
                </w:tcPr>
                <w:p w14:paraId="1EDAB20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vertAlign w:val="baseline"/>
                      <w:lang w:val="en-US" w:eastAsia="zh-CN"/>
                    </w:rPr>
                    <w:t>高分子密度板</w:t>
                  </w:r>
                </w:p>
              </w:tc>
              <w:tc>
                <w:tcPr>
                  <w:tcW w:w="1659" w:type="dxa"/>
                  <w:tcBorders>
                    <w:tl2br w:val="nil"/>
                    <w:tr2bl w:val="nil"/>
                  </w:tcBorders>
                  <w:vAlign w:val="center"/>
                </w:tcPr>
                <w:p w14:paraId="6C822584">
                  <w:pPr>
                    <w:pStyle w:val="32"/>
                    <w:adjustRightInd w:val="0"/>
                    <w:snapToGrid w:val="0"/>
                    <w:spacing w:after="0"/>
                    <w:ind w:right="113"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20</w:t>
                  </w:r>
                </w:p>
              </w:tc>
              <w:tc>
                <w:tcPr>
                  <w:tcW w:w="1117" w:type="pct"/>
                  <w:tcBorders>
                    <w:tl2br w:val="nil"/>
                    <w:tr2bl w:val="nil"/>
                  </w:tcBorders>
                  <w:vAlign w:val="center"/>
                </w:tcPr>
                <w:p w14:paraId="2838795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10</w:t>
                  </w:r>
                </w:p>
              </w:tc>
              <w:tc>
                <w:tcPr>
                  <w:tcW w:w="1463" w:type="dxa"/>
                  <w:tcBorders>
                    <w:tl2br w:val="nil"/>
                    <w:tr2bl w:val="nil"/>
                  </w:tcBorders>
                  <w:vAlign w:val="center"/>
                </w:tcPr>
                <w:p w14:paraId="4AA27F5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30</w:t>
                  </w:r>
                </w:p>
              </w:tc>
              <w:tc>
                <w:tcPr>
                  <w:tcW w:w="1230" w:type="pct"/>
                  <w:tcBorders>
                    <w:tl2br w:val="nil"/>
                    <w:tr2bl w:val="nil"/>
                  </w:tcBorders>
                  <w:vAlign w:val="center"/>
                </w:tcPr>
                <w:p w14:paraId="03318A9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vertAlign w:val="baseline"/>
                      <w:lang w:val="en-US" w:eastAsia="zh-CN"/>
                    </w:rPr>
                    <w:t>生产芯子、汽车密封饰条原料</w:t>
                  </w:r>
                </w:p>
              </w:tc>
            </w:tr>
            <w:tr w14:paraId="54D63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68" w:hRule="exact"/>
                <w:jc w:val="center"/>
              </w:trPr>
              <w:tc>
                <w:tcPr>
                  <w:tcW w:w="231" w:type="pct"/>
                  <w:vMerge w:val="continue"/>
                  <w:tcBorders>
                    <w:tl2br w:val="nil"/>
                    <w:tr2bl w:val="nil"/>
                  </w:tcBorders>
                  <w:vAlign w:val="center"/>
                </w:tcPr>
                <w:p w14:paraId="453C10B9">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default" w:ascii="Times New Roman" w:hAnsi="Times New Roman" w:cs="Times New Roman"/>
                      <w:color w:val="auto"/>
                      <w:sz w:val="21"/>
                      <w:szCs w:val="21"/>
                      <w:highlight w:val="none"/>
                    </w:rPr>
                  </w:pPr>
                </w:p>
              </w:tc>
              <w:tc>
                <w:tcPr>
                  <w:tcW w:w="544" w:type="pct"/>
                  <w:tcBorders>
                    <w:tl2br w:val="nil"/>
                    <w:tr2bl w:val="nil"/>
                  </w:tcBorders>
                  <w:vAlign w:val="center"/>
                </w:tcPr>
                <w:p w14:paraId="1284D63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vertAlign w:val="baseline"/>
                      <w:lang w:val="en-US" w:eastAsia="zh-CN"/>
                    </w:rPr>
                    <w:t>半成品</w:t>
                  </w:r>
                </w:p>
              </w:tc>
              <w:tc>
                <w:tcPr>
                  <w:tcW w:w="996" w:type="pct"/>
                  <w:tcBorders>
                    <w:tl2br w:val="nil"/>
                    <w:tr2bl w:val="nil"/>
                  </w:tcBorders>
                  <w:vAlign w:val="center"/>
                </w:tcPr>
                <w:p w14:paraId="69A65D5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0</w:t>
                  </w:r>
                </w:p>
              </w:tc>
              <w:tc>
                <w:tcPr>
                  <w:tcW w:w="1117" w:type="pct"/>
                  <w:tcBorders>
                    <w:tl2br w:val="nil"/>
                    <w:tr2bl w:val="nil"/>
                  </w:tcBorders>
                  <w:vAlign w:val="center"/>
                </w:tcPr>
                <w:p w14:paraId="0529F59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270</w:t>
                  </w:r>
                </w:p>
              </w:tc>
              <w:tc>
                <w:tcPr>
                  <w:tcW w:w="1463" w:type="dxa"/>
                  <w:tcBorders>
                    <w:tl2br w:val="nil"/>
                    <w:tr2bl w:val="nil"/>
                  </w:tcBorders>
                  <w:vAlign w:val="center"/>
                </w:tcPr>
                <w:p w14:paraId="11BE394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270</w:t>
                  </w:r>
                </w:p>
              </w:tc>
              <w:tc>
                <w:tcPr>
                  <w:tcW w:w="1230" w:type="pct"/>
                  <w:tcBorders>
                    <w:tl2br w:val="nil"/>
                    <w:tr2bl w:val="nil"/>
                  </w:tcBorders>
                  <w:vAlign w:val="center"/>
                </w:tcPr>
                <w:p w14:paraId="3C27D60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vertAlign w:val="baseline"/>
                      <w:lang w:val="en-US" w:eastAsia="zh-CN"/>
                    </w:rPr>
                    <w:t>协议单位委托加工的半成品</w:t>
                  </w:r>
                </w:p>
              </w:tc>
            </w:tr>
            <w:tr w14:paraId="4962A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46" w:hRule="exact"/>
                <w:jc w:val="center"/>
              </w:trPr>
              <w:tc>
                <w:tcPr>
                  <w:tcW w:w="231" w:type="pct"/>
                  <w:vMerge w:val="restart"/>
                  <w:tcBorders>
                    <w:tl2br w:val="nil"/>
                    <w:tr2bl w:val="nil"/>
                  </w:tcBorders>
                  <w:vAlign w:val="center"/>
                </w:tcPr>
                <w:p w14:paraId="28BA6211">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辅料</w:t>
                  </w:r>
                </w:p>
              </w:tc>
              <w:tc>
                <w:tcPr>
                  <w:tcW w:w="544" w:type="pct"/>
                  <w:tcBorders>
                    <w:tl2br w:val="nil"/>
                    <w:tr2bl w:val="nil"/>
                  </w:tcBorders>
                  <w:vAlign w:val="center"/>
                </w:tcPr>
                <w:p w14:paraId="58F2D19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vertAlign w:val="baseline"/>
                      <w:lang w:val="en-US" w:eastAsia="zh-CN"/>
                    </w:rPr>
                    <w:t>切削液</w:t>
                  </w:r>
                </w:p>
              </w:tc>
              <w:tc>
                <w:tcPr>
                  <w:tcW w:w="996" w:type="pct"/>
                  <w:tcBorders>
                    <w:tl2br w:val="nil"/>
                    <w:tr2bl w:val="nil"/>
                  </w:tcBorders>
                  <w:vAlign w:val="center"/>
                </w:tcPr>
                <w:p w14:paraId="56662DA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0.18</w:t>
                  </w:r>
                </w:p>
              </w:tc>
              <w:tc>
                <w:tcPr>
                  <w:tcW w:w="1117" w:type="pct"/>
                  <w:tcBorders>
                    <w:tl2br w:val="nil"/>
                    <w:tr2bl w:val="nil"/>
                  </w:tcBorders>
                  <w:vAlign w:val="center"/>
                </w:tcPr>
                <w:p w14:paraId="5D0438E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0.12</w:t>
                  </w:r>
                </w:p>
              </w:tc>
              <w:tc>
                <w:tcPr>
                  <w:tcW w:w="1463" w:type="dxa"/>
                  <w:tcBorders>
                    <w:tl2br w:val="nil"/>
                    <w:tr2bl w:val="nil"/>
                  </w:tcBorders>
                  <w:vAlign w:val="center"/>
                </w:tcPr>
                <w:p w14:paraId="7D5A9DF7">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color w:val="auto"/>
                      <w:sz w:val="21"/>
                      <w:szCs w:val="21"/>
                      <w:vertAlign w:val="baseline"/>
                      <w:lang w:val="en-US" w:eastAsia="zh-CN"/>
                    </w:rPr>
                    <w:t>0.3</w:t>
                  </w:r>
                </w:p>
              </w:tc>
              <w:tc>
                <w:tcPr>
                  <w:tcW w:w="1230" w:type="pct"/>
                  <w:tcBorders>
                    <w:tl2br w:val="nil"/>
                    <w:tr2bl w:val="nil"/>
                  </w:tcBorders>
                  <w:vAlign w:val="center"/>
                </w:tcPr>
                <w:p w14:paraId="1125419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加工使用</w:t>
                  </w:r>
                </w:p>
              </w:tc>
            </w:tr>
            <w:tr w14:paraId="3DDF3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13" w:hRule="exact"/>
                <w:jc w:val="center"/>
              </w:trPr>
              <w:tc>
                <w:tcPr>
                  <w:tcW w:w="231" w:type="pct"/>
                  <w:vMerge w:val="continue"/>
                  <w:tcBorders>
                    <w:tl2br w:val="nil"/>
                    <w:tr2bl w:val="nil"/>
                  </w:tcBorders>
                  <w:vAlign w:val="center"/>
                </w:tcPr>
                <w:p w14:paraId="29951CDF">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default" w:ascii="Times New Roman" w:hAnsi="Times New Roman" w:cs="Times New Roman"/>
                      <w:color w:val="auto"/>
                      <w:sz w:val="21"/>
                      <w:szCs w:val="21"/>
                      <w:highlight w:val="none"/>
                      <w:lang w:val="en-US" w:eastAsia="zh-CN"/>
                    </w:rPr>
                  </w:pPr>
                </w:p>
              </w:tc>
              <w:tc>
                <w:tcPr>
                  <w:tcW w:w="544" w:type="pct"/>
                  <w:tcBorders>
                    <w:tl2br w:val="nil"/>
                    <w:tr2bl w:val="nil"/>
                  </w:tcBorders>
                  <w:vAlign w:val="center"/>
                </w:tcPr>
                <w:p w14:paraId="7A13355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vertAlign w:val="baseline"/>
                      <w:lang w:val="en-US" w:eastAsia="zh-CN"/>
                    </w:rPr>
                    <w:t>机油</w:t>
                  </w:r>
                </w:p>
              </w:tc>
              <w:tc>
                <w:tcPr>
                  <w:tcW w:w="996" w:type="pct"/>
                  <w:tcBorders>
                    <w:tl2br w:val="nil"/>
                    <w:tr2bl w:val="nil"/>
                  </w:tcBorders>
                  <w:vAlign w:val="center"/>
                </w:tcPr>
                <w:p w14:paraId="184D6EC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w:t>
                  </w:r>
                </w:p>
              </w:tc>
              <w:tc>
                <w:tcPr>
                  <w:tcW w:w="1861" w:type="dxa"/>
                  <w:tcBorders>
                    <w:tl2br w:val="nil"/>
                    <w:tr2bl w:val="nil"/>
                  </w:tcBorders>
                  <w:vAlign w:val="center"/>
                </w:tcPr>
                <w:p w14:paraId="7C490627">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color w:val="auto"/>
                      <w:sz w:val="21"/>
                      <w:szCs w:val="21"/>
                      <w:vertAlign w:val="baseline"/>
                      <w:lang w:val="en-US" w:eastAsia="zh-CN"/>
                    </w:rPr>
                    <w:t>0.3</w:t>
                  </w:r>
                </w:p>
              </w:tc>
              <w:tc>
                <w:tcPr>
                  <w:tcW w:w="1463" w:type="dxa"/>
                  <w:tcBorders>
                    <w:tl2br w:val="nil"/>
                    <w:tr2bl w:val="nil"/>
                  </w:tcBorders>
                  <w:vAlign w:val="center"/>
                </w:tcPr>
                <w:p w14:paraId="54CE7B0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color w:val="auto"/>
                      <w:sz w:val="21"/>
                      <w:szCs w:val="21"/>
                      <w:vertAlign w:val="baseline"/>
                      <w:lang w:val="en-US" w:eastAsia="zh-CN"/>
                    </w:rPr>
                    <w:t>0.3</w:t>
                  </w:r>
                </w:p>
              </w:tc>
              <w:tc>
                <w:tcPr>
                  <w:tcW w:w="1230" w:type="pct"/>
                  <w:tcBorders>
                    <w:tl2br w:val="nil"/>
                    <w:tr2bl w:val="nil"/>
                  </w:tcBorders>
                  <w:vAlign w:val="center"/>
                </w:tcPr>
                <w:p w14:paraId="64961AA7">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设备使用</w:t>
                  </w:r>
                </w:p>
              </w:tc>
            </w:tr>
            <w:tr w14:paraId="0D679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10" w:hRule="atLeast"/>
                <w:jc w:val="center"/>
              </w:trPr>
              <w:tc>
                <w:tcPr>
                  <w:tcW w:w="231" w:type="pct"/>
                  <w:vMerge w:val="continue"/>
                  <w:tcBorders>
                    <w:tl2br w:val="nil"/>
                    <w:tr2bl w:val="nil"/>
                  </w:tcBorders>
                  <w:vAlign w:val="center"/>
                </w:tcPr>
                <w:p w14:paraId="48B9170A">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default" w:ascii="Times New Roman" w:hAnsi="Times New Roman" w:cs="Times New Roman"/>
                      <w:color w:val="auto"/>
                      <w:sz w:val="21"/>
                      <w:szCs w:val="21"/>
                      <w:highlight w:val="none"/>
                      <w:lang w:val="en-US" w:eastAsia="zh-CN"/>
                    </w:rPr>
                  </w:pPr>
                </w:p>
              </w:tc>
              <w:tc>
                <w:tcPr>
                  <w:tcW w:w="544" w:type="pct"/>
                  <w:tcBorders>
                    <w:tl2br w:val="nil"/>
                    <w:tr2bl w:val="nil"/>
                  </w:tcBorders>
                  <w:vAlign w:val="center"/>
                </w:tcPr>
                <w:p w14:paraId="335B7C0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vertAlign w:val="baseline"/>
                      <w:lang w:val="en-US" w:eastAsia="zh-CN"/>
                    </w:rPr>
                    <w:t>片碱</w:t>
                  </w:r>
                </w:p>
              </w:tc>
              <w:tc>
                <w:tcPr>
                  <w:tcW w:w="996" w:type="pct"/>
                  <w:tcBorders>
                    <w:tl2br w:val="nil"/>
                    <w:tr2bl w:val="nil"/>
                  </w:tcBorders>
                  <w:vAlign w:val="center"/>
                </w:tcPr>
                <w:p w14:paraId="2AF0FAC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w:t>
                  </w:r>
                </w:p>
              </w:tc>
              <w:tc>
                <w:tcPr>
                  <w:tcW w:w="1861" w:type="dxa"/>
                  <w:tcBorders>
                    <w:tl2br w:val="nil"/>
                    <w:tr2bl w:val="nil"/>
                  </w:tcBorders>
                  <w:vAlign w:val="center"/>
                </w:tcPr>
                <w:p w14:paraId="1B97F9D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10</w:t>
                  </w:r>
                </w:p>
              </w:tc>
              <w:tc>
                <w:tcPr>
                  <w:tcW w:w="1463" w:type="dxa"/>
                  <w:tcBorders>
                    <w:tl2br w:val="nil"/>
                    <w:tr2bl w:val="nil"/>
                  </w:tcBorders>
                  <w:vAlign w:val="center"/>
                </w:tcPr>
                <w:p w14:paraId="707988F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10</w:t>
                  </w:r>
                </w:p>
              </w:tc>
              <w:tc>
                <w:tcPr>
                  <w:tcW w:w="1230" w:type="pct"/>
                  <w:tcBorders>
                    <w:tl2br w:val="nil"/>
                    <w:tr2bl w:val="nil"/>
                  </w:tcBorders>
                  <w:vAlign w:val="center"/>
                </w:tcPr>
                <w:p w14:paraId="41A00AB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color w:val="auto"/>
                      <w:sz w:val="21"/>
                      <w:szCs w:val="21"/>
                      <w:vertAlign w:val="baseline"/>
                      <w:lang w:val="en-US" w:eastAsia="zh-CN"/>
                    </w:rPr>
                    <w:t>用于碱洗</w:t>
                  </w:r>
                </w:p>
              </w:tc>
            </w:tr>
            <w:tr w14:paraId="64E2C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52" w:hRule="exact"/>
                <w:jc w:val="center"/>
              </w:trPr>
              <w:tc>
                <w:tcPr>
                  <w:tcW w:w="231" w:type="pct"/>
                  <w:vMerge w:val="continue"/>
                  <w:tcBorders>
                    <w:tl2br w:val="nil"/>
                    <w:tr2bl w:val="nil"/>
                  </w:tcBorders>
                  <w:vAlign w:val="center"/>
                </w:tcPr>
                <w:p w14:paraId="48F1E246">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default" w:ascii="Times New Roman" w:hAnsi="Times New Roman" w:cs="Times New Roman"/>
                      <w:color w:val="auto"/>
                      <w:sz w:val="21"/>
                      <w:szCs w:val="21"/>
                      <w:highlight w:val="none"/>
                    </w:rPr>
                  </w:pPr>
                </w:p>
              </w:tc>
              <w:tc>
                <w:tcPr>
                  <w:tcW w:w="544" w:type="pct"/>
                  <w:tcBorders>
                    <w:tl2br w:val="nil"/>
                    <w:tr2bl w:val="nil"/>
                  </w:tcBorders>
                  <w:vAlign w:val="center"/>
                </w:tcPr>
                <w:p w14:paraId="7AED60D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vertAlign w:val="baseline"/>
                      <w:lang w:val="en-US" w:eastAsia="zh-CN"/>
                    </w:rPr>
                    <w:t>盐酸（30%）</w:t>
                  </w:r>
                </w:p>
              </w:tc>
              <w:tc>
                <w:tcPr>
                  <w:tcW w:w="996" w:type="pct"/>
                  <w:tcBorders>
                    <w:tl2br w:val="nil"/>
                    <w:tr2bl w:val="nil"/>
                  </w:tcBorders>
                  <w:vAlign w:val="center"/>
                </w:tcPr>
                <w:p w14:paraId="5EBB93E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w:t>
                  </w:r>
                </w:p>
              </w:tc>
              <w:tc>
                <w:tcPr>
                  <w:tcW w:w="1861" w:type="dxa"/>
                  <w:tcBorders>
                    <w:tl2br w:val="nil"/>
                    <w:tr2bl w:val="nil"/>
                  </w:tcBorders>
                  <w:vAlign w:val="center"/>
                </w:tcPr>
                <w:p w14:paraId="38EB3C4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vertAlign w:val="baseline"/>
                      <w:lang w:val="en-US" w:eastAsia="zh-CN"/>
                    </w:rPr>
                  </w:pPr>
                  <w:r>
                    <w:rPr>
                      <w:rFonts w:hint="eastAsia" w:cs="Times New Roman"/>
                      <w:color w:val="auto"/>
                      <w:sz w:val="21"/>
                      <w:szCs w:val="21"/>
                      <w:vertAlign w:val="baseline"/>
                      <w:lang w:val="en-US" w:eastAsia="zh-CN"/>
                    </w:rPr>
                    <w:t>6</w:t>
                  </w:r>
                </w:p>
              </w:tc>
              <w:tc>
                <w:tcPr>
                  <w:tcW w:w="1463" w:type="dxa"/>
                  <w:tcBorders>
                    <w:tl2br w:val="nil"/>
                    <w:tr2bl w:val="nil"/>
                  </w:tcBorders>
                  <w:vAlign w:val="center"/>
                </w:tcPr>
                <w:p w14:paraId="08449F9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vertAlign w:val="baseline"/>
                      <w:lang w:val="en-US" w:eastAsia="zh-CN"/>
                    </w:rPr>
                  </w:pPr>
                  <w:r>
                    <w:rPr>
                      <w:rFonts w:hint="eastAsia" w:cs="Times New Roman"/>
                      <w:color w:val="auto"/>
                      <w:sz w:val="21"/>
                      <w:szCs w:val="21"/>
                      <w:vertAlign w:val="baseline"/>
                      <w:lang w:val="en-US" w:eastAsia="zh-CN"/>
                    </w:rPr>
                    <w:t>6</w:t>
                  </w:r>
                </w:p>
              </w:tc>
              <w:tc>
                <w:tcPr>
                  <w:tcW w:w="1230" w:type="pct"/>
                  <w:tcBorders>
                    <w:tl2br w:val="nil"/>
                    <w:tr2bl w:val="nil"/>
                  </w:tcBorders>
                  <w:vAlign w:val="center"/>
                </w:tcPr>
                <w:p w14:paraId="21339B4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highlight w:val="none"/>
                      <w:lang w:val="en-US"/>
                    </w:rPr>
                  </w:pPr>
                  <w:r>
                    <w:rPr>
                      <w:rFonts w:hint="default" w:ascii="Times New Roman" w:hAnsi="Times New Roman" w:cs="Times New Roman"/>
                      <w:color w:val="auto"/>
                      <w:sz w:val="21"/>
                      <w:szCs w:val="21"/>
                      <w:vertAlign w:val="baseline"/>
                      <w:lang w:val="en-US" w:eastAsia="zh-CN"/>
                    </w:rPr>
                    <w:t>用于酸洗</w:t>
                  </w:r>
                  <w:r>
                    <w:rPr>
                      <w:rFonts w:hint="eastAsia" w:cs="Times New Roman"/>
                      <w:color w:val="auto"/>
                      <w:sz w:val="21"/>
                      <w:szCs w:val="21"/>
                      <w:vertAlign w:val="baseline"/>
                      <w:lang w:val="en-US" w:eastAsia="zh-CN"/>
                    </w:rPr>
                    <w:t>、碱喷淋</w:t>
                  </w:r>
                </w:p>
              </w:tc>
            </w:tr>
            <w:tr w14:paraId="0BE50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75" w:hRule="exact"/>
                <w:jc w:val="center"/>
              </w:trPr>
              <w:tc>
                <w:tcPr>
                  <w:tcW w:w="231" w:type="pct"/>
                  <w:vMerge w:val="continue"/>
                  <w:tcBorders>
                    <w:tl2br w:val="nil"/>
                    <w:tr2bl w:val="nil"/>
                  </w:tcBorders>
                  <w:vAlign w:val="center"/>
                </w:tcPr>
                <w:p w14:paraId="00460F8F">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default" w:ascii="Times New Roman" w:hAnsi="Times New Roman" w:cs="Times New Roman"/>
                      <w:color w:val="auto"/>
                      <w:sz w:val="21"/>
                      <w:szCs w:val="21"/>
                      <w:highlight w:val="none"/>
                    </w:rPr>
                  </w:pPr>
                </w:p>
              </w:tc>
              <w:tc>
                <w:tcPr>
                  <w:tcW w:w="544" w:type="pct"/>
                  <w:tcBorders>
                    <w:tl2br w:val="nil"/>
                    <w:tr2bl w:val="nil"/>
                  </w:tcBorders>
                  <w:vAlign w:val="center"/>
                </w:tcPr>
                <w:p w14:paraId="7D027B7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vertAlign w:val="baseline"/>
                      <w:lang w:val="en-US" w:eastAsia="zh-CN"/>
                    </w:rPr>
                    <w:t>液压油</w:t>
                  </w:r>
                </w:p>
              </w:tc>
              <w:tc>
                <w:tcPr>
                  <w:tcW w:w="996" w:type="pct"/>
                  <w:tcBorders>
                    <w:tl2br w:val="nil"/>
                    <w:tr2bl w:val="nil"/>
                  </w:tcBorders>
                  <w:vAlign w:val="center"/>
                </w:tcPr>
                <w:p w14:paraId="40CFA68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w:t>
                  </w:r>
                </w:p>
              </w:tc>
              <w:tc>
                <w:tcPr>
                  <w:tcW w:w="1861" w:type="dxa"/>
                  <w:tcBorders>
                    <w:tl2br w:val="nil"/>
                    <w:tr2bl w:val="nil"/>
                  </w:tcBorders>
                  <w:vAlign w:val="center"/>
                </w:tcPr>
                <w:p w14:paraId="71BF436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2</w:t>
                  </w:r>
                </w:p>
              </w:tc>
              <w:tc>
                <w:tcPr>
                  <w:tcW w:w="1463" w:type="dxa"/>
                  <w:tcBorders>
                    <w:tl2br w:val="nil"/>
                    <w:tr2bl w:val="nil"/>
                  </w:tcBorders>
                  <w:vAlign w:val="center"/>
                </w:tcPr>
                <w:p w14:paraId="7E0364B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2</w:t>
                  </w:r>
                </w:p>
              </w:tc>
              <w:tc>
                <w:tcPr>
                  <w:tcW w:w="1230" w:type="pct"/>
                  <w:tcBorders>
                    <w:tl2br w:val="nil"/>
                    <w:tr2bl w:val="nil"/>
                  </w:tcBorders>
                  <w:vAlign w:val="center"/>
                </w:tcPr>
                <w:p w14:paraId="58CFB03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vertAlign w:val="baseline"/>
                      <w:lang w:val="en-US" w:eastAsia="zh-CN"/>
                    </w:rPr>
                    <w:t>用于油洗</w:t>
                  </w:r>
                </w:p>
              </w:tc>
            </w:tr>
            <w:tr w14:paraId="74488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10" w:hRule="exact"/>
                <w:jc w:val="center"/>
              </w:trPr>
              <w:tc>
                <w:tcPr>
                  <w:tcW w:w="231" w:type="pct"/>
                  <w:vMerge w:val="continue"/>
                  <w:tcBorders>
                    <w:tl2br w:val="nil"/>
                    <w:tr2bl w:val="nil"/>
                  </w:tcBorders>
                  <w:vAlign w:val="center"/>
                </w:tcPr>
                <w:p w14:paraId="7878A577">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default" w:ascii="Times New Roman" w:hAnsi="Times New Roman" w:cs="Times New Roman"/>
                      <w:color w:val="auto"/>
                      <w:sz w:val="21"/>
                      <w:szCs w:val="21"/>
                      <w:highlight w:val="none"/>
                    </w:rPr>
                  </w:pPr>
                </w:p>
              </w:tc>
              <w:tc>
                <w:tcPr>
                  <w:tcW w:w="544" w:type="pct"/>
                  <w:tcBorders>
                    <w:tl2br w:val="nil"/>
                    <w:tr2bl w:val="nil"/>
                  </w:tcBorders>
                  <w:vAlign w:val="center"/>
                </w:tcPr>
                <w:p w14:paraId="1898CCC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柴油</w:t>
                  </w:r>
                </w:p>
              </w:tc>
              <w:tc>
                <w:tcPr>
                  <w:tcW w:w="996" w:type="pct"/>
                  <w:tcBorders>
                    <w:tl2br w:val="nil"/>
                    <w:tr2bl w:val="nil"/>
                  </w:tcBorders>
                  <w:vAlign w:val="center"/>
                </w:tcPr>
                <w:p w14:paraId="593FA36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w:t>
                  </w:r>
                </w:p>
              </w:tc>
              <w:tc>
                <w:tcPr>
                  <w:tcW w:w="1861" w:type="dxa"/>
                  <w:tcBorders>
                    <w:tl2br w:val="nil"/>
                    <w:tr2bl w:val="nil"/>
                  </w:tcBorders>
                  <w:vAlign w:val="center"/>
                </w:tcPr>
                <w:p w14:paraId="16570E5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2</w:t>
                  </w:r>
                </w:p>
              </w:tc>
              <w:tc>
                <w:tcPr>
                  <w:tcW w:w="1463" w:type="dxa"/>
                  <w:tcBorders>
                    <w:tl2br w:val="nil"/>
                    <w:tr2bl w:val="nil"/>
                  </w:tcBorders>
                  <w:vAlign w:val="center"/>
                </w:tcPr>
                <w:p w14:paraId="2E7D1D37">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2</w:t>
                  </w:r>
                </w:p>
              </w:tc>
              <w:tc>
                <w:tcPr>
                  <w:tcW w:w="1230" w:type="pct"/>
                  <w:tcBorders>
                    <w:tl2br w:val="nil"/>
                    <w:tr2bl w:val="nil"/>
                  </w:tcBorders>
                  <w:vAlign w:val="center"/>
                </w:tcPr>
                <w:p w14:paraId="37336A2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叉车使用</w:t>
                  </w:r>
                </w:p>
              </w:tc>
            </w:tr>
            <w:tr w14:paraId="0F063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65" w:hRule="exact"/>
                <w:jc w:val="center"/>
              </w:trPr>
              <w:tc>
                <w:tcPr>
                  <w:tcW w:w="231" w:type="pct"/>
                  <w:vMerge w:val="restart"/>
                  <w:tcBorders>
                    <w:tl2br w:val="nil"/>
                    <w:tr2bl w:val="nil"/>
                  </w:tcBorders>
                  <w:vAlign w:val="center"/>
                </w:tcPr>
                <w:p w14:paraId="4828D486">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能源</w:t>
                  </w:r>
                </w:p>
              </w:tc>
              <w:tc>
                <w:tcPr>
                  <w:tcW w:w="544" w:type="pct"/>
                  <w:tcBorders>
                    <w:tl2br w:val="nil"/>
                    <w:tr2bl w:val="nil"/>
                  </w:tcBorders>
                  <w:shd w:val="clear" w:color="auto" w:fill="auto"/>
                  <w:vAlign w:val="center"/>
                </w:tcPr>
                <w:p w14:paraId="2D1593E4">
                  <w:pPr>
                    <w:pStyle w:val="32"/>
                    <w:adjustRightInd w:val="0"/>
                    <w:snapToGrid w:val="0"/>
                    <w:spacing w:after="0"/>
                    <w:ind w:right="113"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电</w:t>
                  </w:r>
                </w:p>
              </w:tc>
              <w:tc>
                <w:tcPr>
                  <w:tcW w:w="1659" w:type="dxa"/>
                  <w:tcBorders>
                    <w:tl2br w:val="nil"/>
                    <w:tr2bl w:val="nil"/>
                  </w:tcBorders>
                  <w:shd w:val="clear" w:color="auto" w:fill="auto"/>
                  <w:vAlign w:val="center"/>
                </w:tcPr>
                <w:p w14:paraId="47C9DEF8">
                  <w:pPr>
                    <w:pStyle w:val="32"/>
                    <w:keepNext w:val="0"/>
                    <w:keepLines w:val="0"/>
                    <w:pageBreakBefore w:val="0"/>
                    <w:widowControl/>
                    <w:kinsoku/>
                    <w:wordWrap/>
                    <w:overflowPunct/>
                    <w:topLinePunct w:val="0"/>
                    <w:autoSpaceDE/>
                    <w:autoSpaceDN/>
                    <w:bidi w:val="0"/>
                    <w:adjustRightInd w:val="0"/>
                    <w:snapToGrid w:val="0"/>
                    <w:spacing w:after="0" w:line="240" w:lineRule="auto"/>
                    <w:ind w:right="0" w:rightChars="0"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3万</w:t>
                  </w:r>
                  <w:r>
                    <w:rPr>
                      <w:rFonts w:hint="default" w:ascii="Times New Roman" w:hAnsi="Times New Roman" w:cs="Times New Roman"/>
                      <w:color w:val="auto"/>
                      <w:sz w:val="21"/>
                      <w:szCs w:val="21"/>
                      <w:highlight w:val="none"/>
                    </w:rPr>
                    <w:t>Kwh/a</w:t>
                  </w:r>
                </w:p>
              </w:tc>
              <w:tc>
                <w:tcPr>
                  <w:tcW w:w="1117" w:type="pct"/>
                  <w:tcBorders>
                    <w:tl2br w:val="nil"/>
                    <w:tr2bl w:val="nil"/>
                  </w:tcBorders>
                  <w:shd w:val="clear" w:color="auto" w:fill="auto"/>
                  <w:vAlign w:val="center"/>
                </w:tcPr>
                <w:p w14:paraId="1ED7ABFC">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sz w:val="21"/>
                      <w:szCs w:val="21"/>
                      <w:highlight w:val="none"/>
                      <w:lang w:val="en-US" w:eastAsia="zh-CN"/>
                    </w:rPr>
                    <w:t>3万</w:t>
                  </w:r>
                  <w:r>
                    <w:rPr>
                      <w:rFonts w:hint="default" w:ascii="Times New Roman" w:hAnsi="Times New Roman" w:cs="Times New Roman"/>
                      <w:color w:val="auto"/>
                      <w:sz w:val="21"/>
                      <w:szCs w:val="21"/>
                      <w:highlight w:val="none"/>
                    </w:rPr>
                    <w:t>Kwh/a</w:t>
                  </w:r>
                </w:p>
              </w:tc>
              <w:tc>
                <w:tcPr>
                  <w:tcW w:w="1463" w:type="dxa"/>
                  <w:tcBorders>
                    <w:tl2br w:val="nil"/>
                    <w:tr2bl w:val="nil"/>
                  </w:tcBorders>
                  <w:shd w:val="clear" w:color="auto" w:fill="auto"/>
                  <w:vAlign w:val="center"/>
                </w:tcPr>
                <w:p w14:paraId="26966687">
                  <w:pPr>
                    <w:pStyle w:val="32"/>
                    <w:keepNext w:val="0"/>
                    <w:keepLines w:val="0"/>
                    <w:pageBreakBefore w:val="0"/>
                    <w:widowControl/>
                    <w:kinsoku/>
                    <w:wordWrap/>
                    <w:overflowPunct/>
                    <w:topLinePunct w:val="0"/>
                    <w:autoSpaceDE/>
                    <w:autoSpaceDN/>
                    <w:bidi w:val="0"/>
                    <w:adjustRightInd w:val="0"/>
                    <w:snapToGrid w:val="0"/>
                    <w:spacing w:after="0" w:line="240" w:lineRule="auto"/>
                    <w:ind w:right="0" w:rightChars="0" w:firstLine="0" w:firstLineChars="0"/>
                    <w:jc w:val="center"/>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sz w:val="21"/>
                      <w:szCs w:val="21"/>
                      <w:highlight w:val="none"/>
                      <w:lang w:val="en-US" w:eastAsia="zh-CN"/>
                    </w:rPr>
                    <w:t>6万</w:t>
                  </w:r>
                  <w:r>
                    <w:rPr>
                      <w:rFonts w:hint="default" w:ascii="Times New Roman" w:hAnsi="Times New Roman" w:cs="Times New Roman"/>
                      <w:color w:val="auto"/>
                      <w:sz w:val="21"/>
                      <w:szCs w:val="21"/>
                      <w:highlight w:val="none"/>
                    </w:rPr>
                    <w:t>Kwh/a</w:t>
                  </w:r>
                </w:p>
              </w:tc>
              <w:tc>
                <w:tcPr>
                  <w:tcW w:w="1230" w:type="pct"/>
                  <w:tcBorders>
                    <w:tl2br w:val="nil"/>
                    <w:tr2bl w:val="nil"/>
                  </w:tcBorders>
                  <w:shd w:val="clear" w:color="auto" w:fill="auto"/>
                  <w:vAlign w:val="center"/>
                </w:tcPr>
                <w:p w14:paraId="4310191A">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highlight w:val="none"/>
                    </w:rPr>
                    <w:t>供电由当地电网供给</w:t>
                  </w:r>
                </w:p>
              </w:tc>
            </w:tr>
            <w:tr w14:paraId="6F559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65" w:hRule="exact"/>
                <w:jc w:val="center"/>
              </w:trPr>
              <w:tc>
                <w:tcPr>
                  <w:tcW w:w="231" w:type="pct"/>
                  <w:vMerge w:val="continue"/>
                </w:tcPr>
                <w:p w14:paraId="31135181">
                  <w:pPr>
                    <w:pStyle w:val="32"/>
                    <w:keepNext w:val="0"/>
                    <w:keepLines w:val="0"/>
                    <w:pageBreakBefore w:val="0"/>
                    <w:widowControl/>
                    <w:kinsoku/>
                    <w:wordWrap/>
                    <w:overflowPunct/>
                    <w:topLinePunct w:val="0"/>
                    <w:autoSpaceDE/>
                    <w:autoSpaceDN/>
                    <w:bidi w:val="0"/>
                    <w:adjustRightInd w:val="0"/>
                    <w:snapToGrid w:val="0"/>
                    <w:spacing w:after="0" w:line="240" w:lineRule="auto"/>
                    <w:ind w:right="0" w:firstLine="0" w:firstLineChars="0"/>
                    <w:jc w:val="center"/>
                    <w:textAlignment w:val="auto"/>
                    <w:rPr>
                      <w:rFonts w:hint="default" w:ascii="Times New Roman" w:hAnsi="Times New Roman" w:cs="Times New Roman"/>
                      <w:color w:val="auto"/>
                      <w:sz w:val="21"/>
                      <w:szCs w:val="21"/>
                      <w:highlight w:val="none"/>
                    </w:rPr>
                  </w:pPr>
                </w:p>
              </w:tc>
              <w:tc>
                <w:tcPr>
                  <w:tcW w:w="544" w:type="pct"/>
                  <w:shd w:val="clear" w:color="auto" w:fill="auto"/>
                  <w:vAlign w:val="center"/>
                </w:tcPr>
                <w:p w14:paraId="0C7CD4CF">
                  <w:pPr>
                    <w:pStyle w:val="32"/>
                    <w:adjustRightInd w:val="0"/>
                    <w:snapToGrid w:val="0"/>
                    <w:spacing w:after="0"/>
                    <w:ind w:right="113" w:rightChars="0"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水</w:t>
                  </w:r>
                </w:p>
              </w:tc>
              <w:tc>
                <w:tcPr>
                  <w:tcW w:w="1659" w:type="dxa"/>
                  <w:shd w:val="clear" w:color="auto" w:fill="auto"/>
                  <w:vAlign w:val="center"/>
                </w:tcPr>
                <w:p w14:paraId="68BF6994">
                  <w:pPr>
                    <w:pStyle w:val="32"/>
                    <w:keepNext w:val="0"/>
                    <w:keepLines w:val="0"/>
                    <w:pageBreakBefore w:val="0"/>
                    <w:widowControl/>
                    <w:kinsoku/>
                    <w:wordWrap/>
                    <w:overflowPunct/>
                    <w:topLinePunct w:val="0"/>
                    <w:autoSpaceDE/>
                    <w:autoSpaceDN/>
                    <w:bidi w:val="0"/>
                    <w:adjustRightInd w:val="0"/>
                    <w:snapToGrid w:val="0"/>
                    <w:spacing w:after="0" w:line="240" w:lineRule="auto"/>
                    <w:ind w:right="0" w:rightChars="0"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121.8m</w:t>
                  </w:r>
                  <w:r>
                    <w:rPr>
                      <w:rFonts w:hint="default" w:ascii="Times New Roman" w:hAnsi="Times New Roman" w:cs="Times New Roman"/>
                      <w:color w:val="auto"/>
                      <w:sz w:val="21"/>
                      <w:szCs w:val="21"/>
                      <w:highlight w:val="none"/>
                      <w:vertAlign w:val="superscript"/>
                      <w:lang w:val="en-US" w:eastAsia="zh-CN"/>
                    </w:rPr>
                    <w:t>3</w:t>
                  </w:r>
                  <w:r>
                    <w:rPr>
                      <w:rFonts w:hint="default" w:ascii="Times New Roman" w:hAnsi="Times New Roman" w:cs="Times New Roman"/>
                      <w:color w:val="auto"/>
                      <w:sz w:val="21"/>
                      <w:szCs w:val="21"/>
                      <w:highlight w:val="none"/>
                      <w:lang w:val="en-US" w:eastAsia="zh-CN"/>
                    </w:rPr>
                    <w:t>/a</w:t>
                  </w:r>
                </w:p>
              </w:tc>
              <w:tc>
                <w:tcPr>
                  <w:tcW w:w="1117" w:type="pct"/>
                  <w:shd w:val="clear" w:color="auto" w:fill="auto"/>
                  <w:vAlign w:val="center"/>
                </w:tcPr>
                <w:p w14:paraId="34EFDBE1">
                  <w:pPr>
                    <w:pStyle w:val="58"/>
                    <w:ind w:firstLine="0" w:firstLineChars="0"/>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337.2</w:t>
                  </w:r>
                  <w:r>
                    <w:rPr>
                      <w:rFonts w:hint="default" w:ascii="Times New Roman" w:hAnsi="Times New Roman" w:cs="Times New Roman"/>
                      <w:color w:val="auto"/>
                      <w:sz w:val="21"/>
                      <w:szCs w:val="21"/>
                      <w:highlight w:val="none"/>
                      <w:lang w:val="en-US" w:eastAsia="zh-CN"/>
                    </w:rPr>
                    <w:t>m</w:t>
                  </w:r>
                  <w:r>
                    <w:rPr>
                      <w:rFonts w:hint="default" w:ascii="Times New Roman" w:hAnsi="Times New Roman" w:cs="Times New Roman"/>
                      <w:color w:val="auto"/>
                      <w:sz w:val="21"/>
                      <w:szCs w:val="21"/>
                      <w:highlight w:val="none"/>
                      <w:vertAlign w:val="superscript"/>
                      <w:lang w:val="en-US" w:eastAsia="zh-CN"/>
                    </w:rPr>
                    <w:t>3</w:t>
                  </w:r>
                  <w:r>
                    <w:rPr>
                      <w:rFonts w:hint="default" w:ascii="Times New Roman" w:hAnsi="Times New Roman" w:cs="Times New Roman"/>
                      <w:color w:val="auto"/>
                      <w:sz w:val="21"/>
                      <w:szCs w:val="21"/>
                      <w:highlight w:val="none"/>
                      <w:lang w:val="en-US" w:eastAsia="zh-CN"/>
                    </w:rPr>
                    <w:t>/a</w:t>
                  </w:r>
                </w:p>
              </w:tc>
              <w:tc>
                <w:tcPr>
                  <w:tcW w:w="1463" w:type="dxa"/>
                  <w:shd w:val="clear" w:color="auto" w:fill="auto"/>
                  <w:vAlign w:val="center"/>
                </w:tcPr>
                <w:p w14:paraId="4D0826E8">
                  <w:pPr>
                    <w:pStyle w:val="32"/>
                    <w:keepNext w:val="0"/>
                    <w:keepLines w:val="0"/>
                    <w:pageBreakBefore w:val="0"/>
                    <w:widowControl/>
                    <w:kinsoku/>
                    <w:wordWrap/>
                    <w:overflowPunct/>
                    <w:topLinePunct w:val="0"/>
                    <w:autoSpaceDE/>
                    <w:autoSpaceDN/>
                    <w:bidi w:val="0"/>
                    <w:adjustRightInd w:val="0"/>
                    <w:snapToGrid w:val="0"/>
                    <w:spacing w:after="0" w:line="240" w:lineRule="auto"/>
                    <w:ind w:right="0" w:rightChars="0" w:firstLine="0" w:firstLineChars="0"/>
                    <w:jc w:val="center"/>
                    <w:textAlignment w:val="auto"/>
                    <w:rPr>
                      <w:rFonts w:hint="default" w:ascii="Times New Roman" w:hAnsi="Times New Roman" w:cs="Times New Roman"/>
                      <w:color w:val="auto"/>
                      <w:highlight w:val="none"/>
                    </w:rPr>
                  </w:pPr>
                  <w:r>
                    <w:rPr>
                      <w:rFonts w:hint="eastAsia" w:cs="Times New Roman"/>
                      <w:color w:val="auto"/>
                      <w:sz w:val="21"/>
                      <w:szCs w:val="21"/>
                      <w:highlight w:val="none"/>
                      <w:lang w:val="en-US" w:eastAsia="zh-CN"/>
                    </w:rPr>
                    <w:t>459</w:t>
                  </w:r>
                  <w:r>
                    <w:rPr>
                      <w:rFonts w:hint="default" w:ascii="Times New Roman" w:hAnsi="Times New Roman" w:cs="Times New Roman"/>
                      <w:color w:val="auto"/>
                      <w:sz w:val="21"/>
                      <w:szCs w:val="21"/>
                      <w:highlight w:val="none"/>
                      <w:lang w:val="en-US" w:eastAsia="zh-CN"/>
                    </w:rPr>
                    <w:t>m</w:t>
                  </w:r>
                  <w:r>
                    <w:rPr>
                      <w:rFonts w:hint="default" w:ascii="Times New Roman" w:hAnsi="Times New Roman" w:cs="Times New Roman"/>
                      <w:color w:val="auto"/>
                      <w:sz w:val="21"/>
                      <w:szCs w:val="21"/>
                      <w:highlight w:val="none"/>
                      <w:vertAlign w:val="superscript"/>
                      <w:lang w:val="en-US" w:eastAsia="zh-CN"/>
                    </w:rPr>
                    <w:t>3</w:t>
                  </w:r>
                  <w:r>
                    <w:rPr>
                      <w:rFonts w:hint="default" w:ascii="Times New Roman" w:hAnsi="Times New Roman" w:cs="Times New Roman"/>
                      <w:color w:val="auto"/>
                      <w:sz w:val="21"/>
                      <w:szCs w:val="21"/>
                      <w:highlight w:val="none"/>
                      <w:lang w:val="en-US" w:eastAsia="zh-CN"/>
                    </w:rPr>
                    <w:t>/a</w:t>
                  </w:r>
                </w:p>
              </w:tc>
              <w:tc>
                <w:tcPr>
                  <w:tcW w:w="1230" w:type="pct"/>
                  <w:shd w:val="clear" w:color="auto" w:fill="auto"/>
                  <w:vAlign w:val="center"/>
                </w:tcPr>
                <w:p w14:paraId="04B8AE2A">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highlight w:val="none"/>
                      <w:lang w:val="en-US" w:eastAsia="zh-CN"/>
                    </w:rPr>
                    <w:t>市政供水管网</w:t>
                  </w:r>
                </w:p>
              </w:tc>
            </w:tr>
          </w:tbl>
          <w:p w14:paraId="0AB435B0">
            <w:pPr>
              <w:adjustRightInd w:val="0"/>
              <w:snapToGrid w:val="0"/>
              <w:spacing w:line="400" w:lineRule="exact"/>
              <w:rPr>
                <w:b/>
                <w:color w:val="auto"/>
                <w:highlight w:val="none"/>
              </w:rPr>
            </w:pPr>
            <w:r>
              <w:rPr>
                <w:rFonts w:hint="eastAsia"/>
                <w:b/>
                <w:color w:val="auto"/>
                <w:highlight w:val="none"/>
                <w:lang w:val="en-US" w:eastAsia="zh-CN"/>
              </w:rPr>
              <w:t>4.4</w:t>
            </w:r>
            <w:r>
              <w:rPr>
                <w:rFonts w:hint="eastAsia"/>
                <w:b/>
                <w:color w:val="auto"/>
                <w:highlight w:val="none"/>
              </w:rPr>
              <w:t>产品方案</w:t>
            </w:r>
          </w:p>
          <w:p w14:paraId="4A17A6D3">
            <w:pPr>
              <w:adjustRightInd w:val="0"/>
              <w:snapToGrid w:val="0"/>
              <w:spacing w:line="400" w:lineRule="exact"/>
              <w:ind w:firstLine="480" w:firstLineChars="200"/>
              <w:rPr>
                <w:rFonts w:hint="eastAsia"/>
                <w:b/>
                <w:color w:val="auto"/>
                <w:highlight w:val="none"/>
              </w:rPr>
            </w:pPr>
            <w:r>
              <w:rPr>
                <w:rFonts w:hint="eastAsia"/>
                <w:bCs/>
                <w:color w:val="auto"/>
                <w:szCs w:val="21"/>
                <w:highlight w:val="none"/>
                <w:lang w:val="en-US" w:eastAsia="zh-CN"/>
              </w:rPr>
              <w:t>本项目主要产品方案详见下表</w:t>
            </w:r>
            <w:r>
              <w:rPr>
                <w:rFonts w:hint="eastAsia"/>
                <w:bCs/>
                <w:color w:val="auto"/>
                <w:szCs w:val="21"/>
                <w:highlight w:val="none"/>
              </w:rPr>
              <w:t>。</w:t>
            </w:r>
          </w:p>
          <w:p w14:paraId="01AC8CC3">
            <w:pPr>
              <w:spacing w:line="240" w:lineRule="auto"/>
              <w:jc w:val="center"/>
              <w:rPr>
                <w:b/>
                <w:color w:val="auto"/>
                <w:highlight w:val="none"/>
              </w:rPr>
            </w:pPr>
            <w:r>
              <w:rPr>
                <w:rFonts w:hint="eastAsia"/>
                <w:b/>
                <w:color w:val="auto"/>
                <w:highlight w:val="none"/>
              </w:rPr>
              <w:t>表</w:t>
            </w:r>
            <w:r>
              <w:rPr>
                <w:rFonts w:hint="eastAsia"/>
                <w:b/>
                <w:color w:val="auto"/>
                <w:highlight w:val="none"/>
                <w:lang w:val="en-US" w:eastAsia="zh-CN"/>
              </w:rPr>
              <w:t xml:space="preserve">2-14 </w:t>
            </w:r>
            <w:r>
              <w:rPr>
                <w:rFonts w:hint="eastAsia"/>
                <w:b/>
                <w:color w:val="auto"/>
                <w:highlight w:val="none"/>
              </w:rPr>
              <w:t xml:space="preserve"> </w:t>
            </w:r>
            <w:r>
              <w:rPr>
                <w:rFonts w:hint="eastAsia"/>
                <w:b/>
                <w:color w:val="auto"/>
                <w:highlight w:val="none"/>
                <w:lang w:val="en-US" w:eastAsia="zh-CN"/>
              </w:rPr>
              <w:t>扩建项目建设完成后全厂</w:t>
            </w:r>
            <w:r>
              <w:rPr>
                <w:rFonts w:hint="eastAsia"/>
                <w:b/>
                <w:color w:val="auto"/>
                <w:highlight w:val="none"/>
              </w:rPr>
              <w:t>产品方案一览表</w:t>
            </w:r>
          </w:p>
          <w:tbl>
            <w:tblPr>
              <w:tblStyle w:val="3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8"/>
              <w:gridCol w:w="1788"/>
              <w:gridCol w:w="1675"/>
              <w:gridCol w:w="1552"/>
              <w:gridCol w:w="2610"/>
            </w:tblGrid>
            <w:tr w14:paraId="2971C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19" w:type="pct"/>
                  <w:tcBorders>
                    <w:tl2br w:val="nil"/>
                    <w:tr2bl w:val="nil"/>
                  </w:tcBorders>
                  <w:vAlign w:val="center"/>
                </w:tcPr>
                <w:p w14:paraId="6475C8E8">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序号</w:t>
                  </w:r>
                </w:p>
              </w:tc>
              <w:tc>
                <w:tcPr>
                  <w:tcW w:w="1074" w:type="pct"/>
                  <w:tcBorders>
                    <w:tl2br w:val="nil"/>
                    <w:tr2bl w:val="nil"/>
                  </w:tcBorders>
                  <w:vAlign w:val="center"/>
                </w:tcPr>
                <w:p w14:paraId="1A2948CE">
                  <w:pPr>
                    <w:pStyle w:val="8"/>
                    <w:pageBreakBefore w:val="0"/>
                    <w:kinsoku/>
                    <w:wordWrap/>
                    <w:overflowPunct/>
                    <w:topLinePunct w:val="0"/>
                    <w:autoSpaceDE/>
                    <w:autoSpaceDN/>
                    <w:bidi w:val="0"/>
                    <w:adjustRightInd w:val="0"/>
                    <w:snapToGrid w:val="0"/>
                    <w:spacing w:line="240" w:lineRule="auto"/>
                    <w:ind w:right="0" w:firstLine="0" w:firstLineChars="0"/>
                    <w:jc w:val="center"/>
                    <w:textAlignment w:val="baseline"/>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lang w:val="en-US" w:eastAsia="zh-CN"/>
                    </w:rPr>
                    <w:t>名称</w:t>
                  </w:r>
                </w:p>
              </w:tc>
              <w:tc>
                <w:tcPr>
                  <w:tcW w:w="1006" w:type="pct"/>
                  <w:tcBorders>
                    <w:tl2br w:val="nil"/>
                    <w:tr2bl w:val="nil"/>
                  </w:tcBorders>
                  <w:vAlign w:val="center"/>
                </w:tcPr>
                <w:p w14:paraId="5CF302EA">
                  <w:pPr>
                    <w:pStyle w:val="8"/>
                    <w:pageBreakBefore w:val="0"/>
                    <w:kinsoku/>
                    <w:wordWrap/>
                    <w:overflowPunct/>
                    <w:topLinePunct w:val="0"/>
                    <w:autoSpaceDE/>
                    <w:autoSpaceDN/>
                    <w:bidi w:val="0"/>
                    <w:adjustRightInd w:val="0"/>
                    <w:snapToGrid w:val="0"/>
                    <w:spacing w:line="240" w:lineRule="auto"/>
                    <w:ind w:right="0" w:firstLine="0" w:firstLineChars="0"/>
                    <w:jc w:val="center"/>
                    <w:textAlignment w:val="baseline"/>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kern w:val="0"/>
                      <w:sz w:val="21"/>
                      <w:szCs w:val="21"/>
                      <w:highlight w:val="none"/>
                    </w:rPr>
                    <w:t>规格型号</w:t>
                  </w:r>
                </w:p>
              </w:tc>
              <w:tc>
                <w:tcPr>
                  <w:tcW w:w="932" w:type="pct"/>
                  <w:tcBorders>
                    <w:tl2br w:val="nil"/>
                    <w:tr2bl w:val="nil"/>
                  </w:tcBorders>
                  <w:vAlign w:val="center"/>
                </w:tcPr>
                <w:p w14:paraId="6E15180C">
                  <w:pPr>
                    <w:pStyle w:val="8"/>
                    <w:pageBreakBefore w:val="0"/>
                    <w:kinsoku/>
                    <w:wordWrap/>
                    <w:overflowPunct/>
                    <w:topLinePunct w:val="0"/>
                    <w:autoSpaceDE/>
                    <w:autoSpaceDN/>
                    <w:bidi w:val="0"/>
                    <w:adjustRightInd w:val="0"/>
                    <w:snapToGrid w:val="0"/>
                    <w:spacing w:line="240" w:lineRule="auto"/>
                    <w:ind w:right="0" w:firstLine="0" w:firstLineChars="0"/>
                    <w:jc w:val="center"/>
                    <w:textAlignment w:val="baseline"/>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lang w:val="en-US" w:eastAsia="zh-CN"/>
                    </w:rPr>
                    <w:t>产量</w:t>
                  </w:r>
                </w:p>
              </w:tc>
              <w:tc>
                <w:tcPr>
                  <w:tcW w:w="1567" w:type="pct"/>
                  <w:tcBorders>
                    <w:tl2br w:val="nil"/>
                    <w:tr2bl w:val="nil"/>
                  </w:tcBorders>
                  <w:vAlign w:val="center"/>
                </w:tcPr>
                <w:p w14:paraId="26920376">
                  <w:pPr>
                    <w:pStyle w:val="8"/>
                    <w:pageBreakBefore w:val="0"/>
                    <w:kinsoku/>
                    <w:wordWrap/>
                    <w:overflowPunct/>
                    <w:topLinePunct w:val="0"/>
                    <w:autoSpaceDE/>
                    <w:autoSpaceDN/>
                    <w:bidi w:val="0"/>
                    <w:adjustRightInd w:val="0"/>
                    <w:snapToGrid w:val="0"/>
                    <w:spacing w:line="240" w:lineRule="auto"/>
                    <w:ind w:right="0" w:firstLine="0" w:firstLineChars="0"/>
                    <w:jc w:val="center"/>
                    <w:textAlignment w:val="baseline"/>
                    <w:rPr>
                      <w:rFonts w:hint="default" w:ascii="Times New Roman" w:hAnsi="Times New Roman"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备注</w:t>
                  </w:r>
                </w:p>
              </w:tc>
            </w:tr>
            <w:tr w14:paraId="5E21C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419" w:type="pct"/>
                  <w:tcBorders>
                    <w:tl2br w:val="nil"/>
                    <w:tr2bl w:val="nil"/>
                  </w:tcBorders>
                  <w:vAlign w:val="center"/>
                </w:tcPr>
                <w:p w14:paraId="2189FA1C">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1</w:t>
                  </w:r>
                </w:p>
              </w:tc>
              <w:tc>
                <w:tcPr>
                  <w:tcW w:w="1074" w:type="pct"/>
                  <w:tcBorders>
                    <w:tl2br w:val="nil"/>
                    <w:tr2bl w:val="nil"/>
                  </w:tcBorders>
                  <w:vAlign w:val="center"/>
                </w:tcPr>
                <w:p w14:paraId="074538BA">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芯子</w:t>
                  </w:r>
                </w:p>
              </w:tc>
              <w:tc>
                <w:tcPr>
                  <w:tcW w:w="1006" w:type="pct"/>
                  <w:tcBorders>
                    <w:tl2br w:val="nil"/>
                    <w:tr2bl w:val="nil"/>
                  </w:tcBorders>
                  <w:vAlign w:val="center"/>
                </w:tcPr>
                <w:p w14:paraId="49A8194C">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w:t>
                  </w:r>
                </w:p>
              </w:tc>
              <w:tc>
                <w:tcPr>
                  <w:tcW w:w="932" w:type="pct"/>
                  <w:tcBorders>
                    <w:tl2br w:val="nil"/>
                    <w:tr2bl w:val="nil"/>
                  </w:tcBorders>
                  <w:vAlign w:val="center"/>
                </w:tcPr>
                <w:p w14:paraId="61024B41">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30万件</w:t>
                  </w:r>
                  <w:r>
                    <w:rPr>
                      <w:rFonts w:hint="eastAsia" w:cs="Times New Roman"/>
                      <w:i w:val="0"/>
                      <w:iCs w:val="0"/>
                      <w:color w:val="auto"/>
                      <w:kern w:val="0"/>
                      <w:sz w:val="21"/>
                      <w:szCs w:val="21"/>
                      <w:highlight w:val="none"/>
                      <w:u w:val="none"/>
                      <w:lang w:val="en-US" w:eastAsia="zh-CN" w:bidi="ar"/>
                    </w:rPr>
                    <w:t>/a</w:t>
                  </w:r>
                </w:p>
              </w:tc>
              <w:tc>
                <w:tcPr>
                  <w:tcW w:w="1567" w:type="pct"/>
                  <w:vMerge w:val="restart"/>
                  <w:tcBorders>
                    <w:tl2br w:val="nil"/>
                    <w:tr2bl w:val="nil"/>
                  </w:tcBorders>
                  <w:vAlign w:val="center"/>
                </w:tcPr>
                <w:p w14:paraId="2EC22556">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ascii="Times New Roman" w:hAnsi="Times New Roman"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120万件/a（约900t/a）</w:t>
                  </w:r>
                </w:p>
              </w:tc>
            </w:tr>
            <w:tr w14:paraId="0C634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419" w:type="pct"/>
                  <w:tcBorders>
                    <w:tl2br w:val="nil"/>
                    <w:tr2bl w:val="nil"/>
                  </w:tcBorders>
                  <w:vAlign w:val="center"/>
                </w:tcPr>
                <w:p w14:paraId="6A2391FD">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w:t>
                  </w:r>
                </w:p>
              </w:tc>
              <w:tc>
                <w:tcPr>
                  <w:tcW w:w="1074" w:type="pct"/>
                  <w:tcBorders>
                    <w:tl2br w:val="nil"/>
                    <w:tr2bl w:val="nil"/>
                  </w:tcBorders>
                  <w:vAlign w:val="center"/>
                </w:tcPr>
                <w:p w14:paraId="38CE3C24">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cs="Times New Roman"/>
                      <w:b w:val="0"/>
                      <w:bCs w:val="0"/>
                      <w:color w:val="auto"/>
                      <w:sz w:val="21"/>
                      <w:szCs w:val="21"/>
                      <w:highlight w:val="none"/>
                      <w:lang w:val="en-US" w:eastAsia="zh-CN"/>
                    </w:rPr>
                  </w:pPr>
                  <w:r>
                    <w:rPr>
                      <w:rFonts w:hint="default" w:cs="Times New Roman"/>
                      <w:b w:val="0"/>
                      <w:bCs w:val="0"/>
                      <w:color w:val="auto"/>
                      <w:sz w:val="21"/>
                      <w:szCs w:val="21"/>
                      <w:highlight w:val="none"/>
                      <w:lang w:val="en-US" w:eastAsia="zh-CN"/>
                    </w:rPr>
                    <w:t>模具零件</w:t>
                  </w:r>
                </w:p>
              </w:tc>
              <w:tc>
                <w:tcPr>
                  <w:tcW w:w="1006" w:type="pct"/>
                  <w:tcBorders>
                    <w:tl2br w:val="nil"/>
                    <w:tr2bl w:val="nil"/>
                  </w:tcBorders>
                  <w:vAlign w:val="center"/>
                </w:tcPr>
                <w:p w14:paraId="17B3C22F">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ascii="Times New Roman" w:hAnsi="Times New Roman"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2kg-500kg</w:t>
                  </w:r>
                </w:p>
              </w:tc>
              <w:tc>
                <w:tcPr>
                  <w:tcW w:w="932" w:type="pct"/>
                  <w:tcBorders>
                    <w:tl2br w:val="nil"/>
                    <w:tr2bl w:val="nil"/>
                  </w:tcBorders>
                  <w:vAlign w:val="center"/>
                </w:tcPr>
                <w:p w14:paraId="1521569B">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30万件</w:t>
                  </w:r>
                  <w:r>
                    <w:rPr>
                      <w:rFonts w:hint="eastAsia" w:cs="Times New Roman"/>
                      <w:i w:val="0"/>
                      <w:iCs w:val="0"/>
                      <w:color w:val="auto"/>
                      <w:kern w:val="0"/>
                      <w:sz w:val="21"/>
                      <w:szCs w:val="21"/>
                      <w:highlight w:val="none"/>
                      <w:u w:val="none"/>
                      <w:lang w:val="en-US" w:eastAsia="zh-CN" w:bidi="ar"/>
                    </w:rPr>
                    <w:t>/a</w:t>
                  </w:r>
                </w:p>
              </w:tc>
              <w:tc>
                <w:tcPr>
                  <w:tcW w:w="1567" w:type="pct"/>
                  <w:vMerge w:val="continue"/>
                  <w:tcBorders>
                    <w:tl2br w:val="nil"/>
                    <w:tr2bl w:val="nil"/>
                  </w:tcBorders>
                  <w:vAlign w:val="center"/>
                </w:tcPr>
                <w:p w14:paraId="4AF9A375">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eastAsia" w:cs="Times New Roman"/>
                      <w:b w:val="0"/>
                      <w:bCs w:val="0"/>
                      <w:color w:val="auto"/>
                      <w:sz w:val="21"/>
                      <w:szCs w:val="21"/>
                      <w:highlight w:val="none"/>
                      <w:lang w:val="en-US" w:eastAsia="zh-CN"/>
                    </w:rPr>
                  </w:pPr>
                </w:p>
              </w:tc>
            </w:tr>
            <w:tr w14:paraId="34BE2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419" w:type="pct"/>
                  <w:tcBorders>
                    <w:tl2br w:val="nil"/>
                    <w:tr2bl w:val="nil"/>
                  </w:tcBorders>
                  <w:vAlign w:val="center"/>
                </w:tcPr>
                <w:p w14:paraId="51DCB527">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w:t>
                  </w:r>
                </w:p>
              </w:tc>
              <w:tc>
                <w:tcPr>
                  <w:tcW w:w="1074" w:type="pct"/>
                  <w:tcBorders>
                    <w:tl2br w:val="nil"/>
                    <w:tr2bl w:val="nil"/>
                  </w:tcBorders>
                  <w:vAlign w:val="center"/>
                </w:tcPr>
                <w:p w14:paraId="7EF390AC">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eastAsia" w:cs="Times New Roman"/>
                      <w:b w:val="0"/>
                      <w:bCs w:val="0"/>
                      <w:color w:val="auto"/>
                      <w:sz w:val="21"/>
                      <w:szCs w:val="21"/>
                      <w:highlight w:val="none"/>
                      <w:lang w:val="en-US" w:eastAsia="zh-CN"/>
                    </w:rPr>
                  </w:pPr>
                  <w:r>
                    <w:rPr>
                      <w:rFonts w:hint="eastAsia"/>
                      <w:color w:val="auto"/>
                      <w:sz w:val="21"/>
                      <w:szCs w:val="21"/>
                      <w:highlight w:val="none"/>
                      <w:lang w:val="en-US" w:eastAsia="zh-CN"/>
                    </w:rPr>
                    <w:t>车门密封饰条</w:t>
                  </w:r>
                </w:p>
              </w:tc>
              <w:tc>
                <w:tcPr>
                  <w:tcW w:w="1006" w:type="pct"/>
                  <w:tcBorders>
                    <w:tl2br w:val="nil"/>
                    <w:tr2bl w:val="nil"/>
                  </w:tcBorders>
                  <w:vAlign w:val="center"/>
                </w:tcPr>
                <w:p w14:paraId="023CF921">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w:t>
                  </w:r>
                </w:p>
              </w:tc>
              <w:tc>
                <w:tcPr>
                  <w:tcW w:w="932" w:type="pct"/>
                  <w:tcBorders>
                    <w:tl2br w:val="nil"/>
                    <w:tr2bl w:val="nil"/>
                  </w:tcBorders>
                  <w:vAlign w:val="center"/>
                </w:tcPr>
                <w:p w14:paraId="1C9DDEAD">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30万件/a</w:t>
                  </w:r>
                </w:p>
              </w:tc>
              <w:tc>
                <w:tcPr>
                  <w:tcW w:w="1567" w:type="pct"/>
                  <w:vMerge w:val="continue"/>
                  <w:tcBorders>
                    <w:tl2br w:val="nil"/>
                    <w:tr2bl w:val="nil"/>
                  </w:tcBorders>
                  <w:vAlign w:val="center"/>
                </w:tcPr>
                <w:p w14:paraId="56C3355B">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eastAsia" w:cs="Times New Roman"/>
                      <w:b w:val="0"/>
                      <w:bCs w:val="0"/>
                      <w:color w:val="auto"/>
                      <w:sz w:val="21"/>
                      <w:szCs w:val="21"/>
                      <w:highlight w:val="none"/>
                      <w:lang w:val="en-US" w:eastAsia="zh-CN"/>
                    </w:rPr>
                  </w:pPr>
                </w:p>
              </w:tc>
            </w:tr>
            <w:tr w14:paraId="48757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419" w:type="pct"/>
                  <w:tcBorders>
                    <w:tl2br w:val="nil"/>
                    <w:tr2bl w:val="nil"/>
                  </w:tcBorders>
                  <w:vAlign w:val="center"/>
                </w:tcPr>
                <w:p w14:paraId="0BF955C3">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4</w:t>
                  </w:r>
                </w:p>
              </w:tc>
              <w:tc>
                <w:tcPr>
                  <w:tcW w:w="1074" w:type="pct"/>
                  <w:tcBorders>
                    <w:tl2br w:val="nil"/>
                    <w:tr2bl w:val="nil"/>
                  </w:tcBorders>
                  <w:vAlign w:val="center"/>
                </w:tcPr>
                <w:p w14:paraId="412DC676">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color w:val="auto"/>
                      <w:sz w:val="21"/>
                      <w:szCs w:val="21"/>
                      <w:highlight w:val="none"/>
                      <w:lang w:val="en-US" w:eastAsia="zh-CN"/>
                    </w:rPr>
                  </w:pPr>
                  <w:r>
                    <w:rPr>
                      <w:rFonts w:hint="eastAsia"/>
                      <w:color w:val="auto"/>
                      <w:sz w:val="21"/>
                      <w:szCs w:val="21"/>
                      <w:highlight w:val="none"/>
                      <w:lang w:val="en-US" w:eastAsia="zh-CN"/>
                    </w:rPr>
                    <w:t>从动轴</w:t>
                  </w:r>
                </w:p>
              </w:tc>
              <w:tc>
                <w:tcPr>
                  <w:tcW w:w="1006" w:type="pct"/>
                  <w:tcBorders>
                    <w:tl2br w:val="nil"/>
                    <w:tr2bl w:val="nil"/>
                  </w:tcBorders>
                  <w:vAlign w:val="center"/>
                </w:tcPr>
                <w:p w14:paraId="6A94B031">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2kg-50kg</w:t>
                  </w:r>
                </w:p>
              </w:tc>
              <w:tc>
                <w:tcPr>
                  <w:tcW w:w="932" w:type="pct"/>
                  <w:tcBorders>
                    <w:tl2br w:val="nil"/>
                    <w:tr2bl w:val="nil"/>
                  </w:tcBorders>
                  <w:vAlign w:val="center"/>
                </w:tcPr>
                <w:p w14:paraId="33F2C1C5">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10万件/a</w:t>
                  </w:r>
                </w:p>
              </w:tc>
              <w:tc>
                <w:tcPr>
                  <w:tcW w:w="1567" w:type="pct"/>
                  <w:vMerge w:val="continue"/>
                  <w:tcBorders>
                    <w:tl2br w:val="nil"/>
                    <w:tr2bl w:val="nil"/>
                  </w:tcBorders>
                  <w:vAlign w:val="center"/>
                </w:tcPr>
                <w:p w14:paraId="0D11995A">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eastAsia" w:cs="Times New Roman"/>
                      <w:b w:val="0"/>
                      <w:bCs w:val="0"/>
                      <w:color w:val="auto"/>
                      <w:sz w:val="21"/>
                      <w:szCs w:val="21"/>
                      <w:highlight w:val="none"/>
                      <w:lang w:val="en-US" w:eastAsia="zh-CN"/>
                    </w:rPr>
                  </w:pPr>
                </w:p>
              </w:tc>
            </w:tr>
            <w:tr w14:paraId="79B2B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419" w:type="pct"/>
                  <w:tcBorders>
                    <w:tl2br w:val="nil"/>
                    <w:tr2bl w:val="nil"/>
                  </w:tcBorders>
                  <w:vAlign w:val="center"/>
                </w:tcPr>
                <w:p w14:paraId="61BE8039">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w:t>
                  </w:r>
                </w:p>
              </w:tc>
              <w:tc>
                <w:tcPr>
                  <w:tcW w:w="1074" w:type="pct"/>
                  <w:tcBorders>
                    <w:tl2br w:val="nil"/>
                    <w:tr2bl w:val="nil"/>
                  </w:tcBorders>
                  <w:vAlign w:val="center"/>
                </w:tcPr>
                <w:p w14:paraId="51A46249">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color w:val="auto"/>
                      <w:sz w:val="21"/>
                      <w:szCs w:val="21"/>
                      <w:highlight w:val="none"/>
                      <w:lang w:val="en-US" w:eastAsia="zh-CN"/>
                    </w:rPr>
                  </w:pPr>
                  <w:r>
                    <w:rPr>
                      <w:rFonts w:hint="eastAsia"/>
                      <w:color w:val="auto"/>
                      <w:sz w:val="21"/>
                      <w:szCs w:val="21"/>
                      <w:highlight w:val="none"/>
                      <w:lang w:val="en-US" w:eastAsia="zh-CN"/>
                    </w:rPr>
                    <w:t>加工后半成品</w:t>
                  </w:r>
                </w:p>
              </w:tc>
              <w:tc>
                <w:tcPr>
                  <w:tcW w:w="1006" w:type="pct"/>
                  <w:tcBorders>
                    <w:tl2br w:val="nil"/>
                    <w:tr2bl w:val="nil"/>
                  </w:tcBorders>
                  <w:vAlign w:val="center"/>
                </w:tcPr>
                <w:p w14:paraId="0917A104">
                  <w:pPr>
                    <w:pStyle w:val="32"/>
                    <w:pageBreakBefore w:val="0"/>
                    <w:kinsoku/>
                    <w:wordWrap/>
                    <w:overflowPunct/>
                    <w:topLinePunct w:val="0"/>
                    <w:autoSpaceDE/>
                    <w:autoSpaceDN/>
                    <w:bidi w:val="0"/>
                    <w:adjustRightInd w:val="0"/>
                    <w:snapToGrid w:val="0"/>
                    <w:spacing w:before="0" w:after="0" w:line="240" w:lineRule="auto"/>
                    <w:ind w:right="0" w:firstLine="0" w:firstLineChars="0"/>
                    <w:jc w:val="center"/>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2kg-100kg</w:t>
                  </w:r>
                </w:p>
              </w:tc>
              <w:tc>
                <w:tcPr>
                  <w:tcW w:w="932" w:type="pct"/>
                  <w:tcBorders>
                    <w:tl2br w:val="nil"/>
                    <w:tr2bl w:val="nil"/>
                  </w:tcBorders>
                  <w:vAlign w:val="center"/>
                </w:tcPr>
                <w:p w14:paraId="3E51A6A5">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20万件/a</w:t>
                  </w:r>
                </w:p>
              </w:tc>
              <w:tc>
                <w:tcPr>
                  <w:tcW w:w="1567" w:type="pct"/>
                  <w:vMerge w:val="continue"/>
                  <w:tcBorders>
                    <w:tl2br w:val="nil"/>
                    <w:tr2bl w:val="nil"/>
                  </w:tcBorders>
                  <w:vAlign w:val="center"/>
                </w:tcPr>
                <w:p w14:paraId="048380AE">
                  <w:pPr>
                    <w:pageBreakBefore w:val="0"/>
                    <w:widowControl/>
                    <w:kinsoku/>
                    <w:wordWrap/>
                    <w:overflowPunct/>
                    <w:topLinePunct w:val="0"/>
                    <w:autoSpaceDE/>
                    <w:autoSpaceDN/>
                    <w:bidi w:val="0"/>
                    <w:adjustRightInd w:val="0"/>
                    <w:snapToGrid w:val="0"/>
                    <w:spacing w:line="240" w:lineRule="auto"/>
                    <w:ind w:right="0"/>
                    <w:jc w:val="center"/>
                    <w:textAlignment w:val="baseline"/>
                    <w:rPr>
                      <w:rFonts w:hint="eastAsia" w:cs="Times New Roman"/>
                      <w:b w:val="0"/>
                      <w:bCs w:val="0"/>
                      <w:color w:val="auto"/>
                      <w:sz w:val="21"/>
                      <w:szCs w:val="21"/>
                      <w:highlight w:val="none"/>
                      <w:lang w:val="en-US" w:eastAsia="zh-CN"/>
                    </w:rPr>
                  </w:pPr>
                </w:p>
              </w:tc>
            </w:tr>
          </w:tbl>
          <w:p w14:paraId="761DA134">
            <w:pPr>
              <w:pStyle w:val="9"/>
              <w:rPr>
                <w:color w:val="auto"/>
                <w:highlight w:val="none"/>
              </w:rPr>
            </w:pPr>
            <w:r>
              <w:rPr>
                <w:rFonts w:hint="eastAsia"/>
                <w:color w:val="auto"/>
                <w:highlight w:val="none"/>
                <w:lang w:val="en-US" w:eastAsia="zh-CN"/>
              </w:rPr>
              <w:t>4.5</w:t>
            </w:r>
            <w:r>
              <w:rPr>
                <w:color w:val="auto"/>
                <w:highlight w:val="none"/>
              </w:rPr>
              <w:t xml:space="preserve"> 水资源及能源消耗情况</w:t>
            </w:r>
          </w:p>
          <w:p w14:paraId="56EBA773">
            <w:pPr>
              <w:pStyle w:val="10"/>
              <w:rPr>
                <w:rFonts w:hint="default" w:eastAsia="宋体"/>
                <w:color w:val="auto"/>
                <w:highlight w:val="none"/>
                <w:lang w:val="en-US" w:eastAsia="zh-CN"/>
              </w:rPr>
            </w:pPr>
            <w:r>
              <w:rPr>
                <w:rFonts w:hint="eastAsia"/>
                <w:color w:val="auto"/>
                <w:highlight w:val="none"/>
                <w:lang w:val="en-US" w:eastAsia="zh-CN"/>
              </w:rPr>
              <w:t>4.5.1</w:t>
            </w:r>
            <w:r>
              <w:rPr>
                <w:color w:val="auto"/>
                <w:highlight w:val="none"/>
              </w:rPr>
              <w:t xml:space="preserve"> 给排水</w:t>
            </w:r>
            <w:r>
              <w:rPr>
                <w:rFonts w:hint="eastAsia"/>
                <w:color w:val="auto"/>
                <w:highlight w:val="none"/>
                <w:lang w:val="en-US" w:eastAsia="zh-CN"/>
              </w:rPr>
              <w:t xml:space="preserve">  </w:t>
            </w:r>
          </w:p>
          <w:p w14:paraId="2DCA84D7">
            <w:pPr>
              <w:ind w:firstLine="480" w:firstLineChars="200"/>
              <w:rPr>
                <w:rFonts w:hint="eastAsia"/>
                <w:color w:val="auto"/>
                <w:highlight w:val="none"/>
              </w:rPr>
            </w:pPr>
            <w:r>
              <w:rPr>
                <w:rFonts w:hint="eastAsia"/>
                <w:color w:val="auto"/>
                <w:highlight w:val="none"/>
              </w:rPr>
              <w:t>（1）给水：</w:t>
            </w:r>
          </w:p>
          <w:p w14:paraId="73A07794">
            <w:pPr>
              <w:ind w:firstLine="480" w:firstLineChars="200"/>
              <w:rPr>
                <w:rFonts w:hint="eastAsia" w:eastAsia="宋体"/>
                <w:color w:val="auto"/>
                <w:highlight w:val="none"/>
                <w:lang w:eastAsia="zh-CN"/>
              </w:rPr>
            </w:pPr>
            <w:r>
              <w:rPr>
                <w:rFonts w:hint="eastAsia"/>
                <w:color w:val="auto"/>
                <w:highlight w:val="none"/>
                <w:lang w:val="en-US" w:eastAsia="zh-CN"/>
              </w:rPr>
              <w:t>本</w:t>
            </w:r>
            <w:r>
              <w:rPr>
                <w:rFonts w:hint="eastAsia"/>
                <w:color w:val="auto"/>
                <w:highlight w:val="none"/>
              </w:rPr>
              <w:t>项目水源由</w:t>
            </w:r>
            <w:r>
              <w:rPr>
                <w:rFonts w:hint="eastAsia"/>
                <w:color w:val="auto"/>
                <w:highlight w:val="none"/>
                <w:lang w:val="en-US" w:eastAsia="zh-CN"/>
              </w:rPr>
              <w:t>市政</w:t>
            </w:r>
            <w:r>
              <w:rPr>
                <w:rFonts w:hint="eastAsia"/>
                <w:color w:val="auto"/>
                <w:highlight w:val="none"/>
              </w:rPr>
              <w:t>统一供给</w:t>
            </w:r>
            <w:r>
              <w:rPr>
                <w:rFonts w:hint="eastAsia"/>
                <w:color w:val="auto"/>
                <w:highlight w:val="none"/>
                <w:lang w:eastAsia="zh-CN"/>
              </w:rPr>
              <w:t>。</w:t>
            </w:r>
          </w:p>
          <w:p w14:paraId="5D6240F7">
            <w:pPr>
              <w:ind w:firstLine="480" w:firstLineChars="200"/>
              <w:rPr>
                <w:color w:val="auto"/>
                <w:highlight w:val="none"/>
              </w:rPr>
            </w:pPr>
            <w:r>
              <w:rPr>
                <w:rFonts w:hint="eastAsia"/>
                <w:color w:val="auto"/>
                <w:highlight w:val="none"/>
              </w:rPr>
              <w:t>生活用水：本项目劳动定员为</w:t>
            </w:r>
            <w:r>
              <w:rPr>
                <w:rFonts w:hint="eastAsia"/>
                <w:color w:val="auto"/>
                <w:highlight w:val="none"/>
                <w:lang w:val="en-US" w:eastAsia="zh-CN"/>
              </w:rPr>
              <w:t>10</w:t>
            </w:r>
            <w:r>
              <w:rPr>
                <w:rFonts w:hint="eastAsia"/>
                <w:color w:val="auto"/>
                <w:highlight w:val="none"/>
              </w:rPr>
              <w:t>人，根据</w:t>
            </w:r>
            <w:r>
              <w:rPr>
                <w:bCs/>
                <w:color w:val="auto"/>
                <w:highlight w:val="none"/>
              </w:rPr>
              <w:t>《20</w:t>
            </w:r>
            <w:r>
              <w:rPr>
                <w:rFonts w:hint="eastAsia"/>
                <w:bCs/>
                <w:color w:val="auto"/>
                <w:highlight w:val="none"/>
              </w:rPr>
              <w:t>21</w:t>
            </w:r>
            <w:r>
              <w:rPr>
                <w:bCs/>
                <w:color w:val="auto"/>
                <w:highlight w:val="none"/>
              </w:rPr>
              <w:t>年河北省用水定额》，</w:t>
            </w:r>
            <w:r>
              <w:rPr>
                <w:rFonts w:hint="eastAsia"/>
                <w:color w:val="auto"/>
                <w:highlight w:val="none"/>
              </w:rPr>
              <w:t>按照每人每天用水量为</w:t>
            </w:r>
            <w:r>
              <w:rPr>
                <w:rFonts w:hint="eastAsia"/>
                <w:color w:val="auto"/>
                <w:highlight w:val="none"/>
                <w:lang w:val="en-US" w:eastAsia="zh-CN"/>
              </w:rPr>
              <w:t>40</w:t>
            </w:r>
            <w:r>
              <w:rPr>
                <w:rFonts w:hint="eastAsia"/>
                <w:color w:val="auto"/>
                <w:highlight w:val="none"/>
              </w:rPr>
              <w:t>L计算，则职工用水量为</w:t>
            </w:r>
            <w:r>
              <w:rPr>
                <w:rFonts w:hint="eastAsia"/>
                <w:color w:val="auto"/>
                <w:highlight w:val="none"/>
                <w:lang w:val="en-US" w:eastAsia="zh-CN"/>
              </w:rPr>
              <w:t>0.4</w:t>
            </w:r>
            <w:r>
              <w:rPr>
                <w:rFonts w:hint="eastAsia"/>
                <w:color w:val="auto"/>
                <w:highlight w:val="none"/>
              </w:rPr>
              <w:t>m</w:t>
            </w:r>
            <w:r>
              <w:rPr>
                <w:rFonts w:hint="eastAsia"/>
                <w:color w:val="auto"/>
                <w:highlight w:val="none"/>
                <w:vertAlign w:val="superscript"/>
                <w:lang w:val="en-US" w:eastAsia="zh-CN"/>
              </w:rPr>
              <w:t>3</w:t>
            </w:r>
            <w:r>
              <w:rPr>
                <w:rFonts w:hint="eastAsia"/>
                <w:color w:val="auto"/>
                <w:highlight w:val="none"/>
              </w:rPr>
              <w:t>/d（</w:t>
            </w:r>
            <w:r>
              <w:rPr>
                <w:rFonts w:hint="eastAsia"/>
                <w:color w:val="auto"/>
                <w:highlight w:val="none"/>
                <w:lang w:val="en-US" w:eastAsia="zh-CN"/>
              </w:rPr>
              <w:t>120</w:t>
            </w:r>
            <w:r>
              <w:rPr>
                <w:rFonts w:hint="eastAsia"/>
                <w:color w:val="auto"/>
                <w:highlight w:val="none"/>
              </w:rPr>
              <w:t>m</w:t>
            </w:r>
            <w:r>
              <w:rPr>
                <w:rFonts w:hint="eastAsia"/>
                <w:color w:val="auto"/>
                <w:highlight w:val="none"/>
                <w:vertAlign w:val="superscript"/>
                <w:lang w:val="en-US" w:eastAsia="zh-CN"/>
              </w:rPr>
              <w:t>3</w:t>
            </w:r>
            <w:r>
              <w:rPr>
                <w:rFonts w:hint="eastAsia"/>
                <w:color w:val="auto"/>
                <w:highlight w:val="none"/>
              </w:rPr>
              <w:t>/a）。</w:t>
            </w:r>
          </w:p>
          <w:p w14:paraId="44A6336D">
            <w:pPr>
              <w:keepNext w:val="0"/>
              <w:keepLines w:val="0"/>
              <w:pageBreakBefore w:val="0"/>
              <w:widowControl w:val="0"/>
              <w:kinsoku/>
              <w:wordWrap/>
              <w:overflowPunct/>
              <w:topLinePunct w:val="0"/>
              <w:autoSpaceDE/>
              <w:autoSpaceDN/>
              <w:bidi w:val="0"/>
              <w:adjustRightInd w:val="0"/>
              <w:snapToGrid w:val="0"/>
              <w:ind w:firstLine="480" w:firstLineChars="200"/>
              <w:textAlignment w:val="auto"/>
              <w:rPr>
                <w:rFonts w:hint="default"/>
                <w:color w:val="auto"/>
                <w:highlight w:val="none"/>
                <w:lang w:val="en-US" w:eastAsia="zh-CN"/>
              </w:rPr>
            </w:pPr>
            <w:r>
              <w:rPr>
                <w:rFonts w:hint="eastAsia"/>
                <w:color w:val="auto"/>
                <w:highlight w:val="none"/>
                <w:lang w:val="en-US" w:eastAsia="zh-CN"/>
              </w:rPr>
              <w:t>切削液使用过程中需要用水调配，切削液：水=1：10，切削液年用量为300kg，则调配用水年用量为3m</w:t>
            </w:r>
            <w:r>
              <w:rPr>
                <w:rFonts w:hint="eastAsia"/>
                <w:color w:val="auto"/>
                <w:highlight w:val="none"/>
                <w:vertAlign w:val="superscript"/>
                <w:lang w:val="en-US" w:eastAsia="zh-CN"/>
              </w:rPr>
              <w:t>3</w:t>
            </w:r>
            <w:r>
              <w:rPr>
                <w:rFonts w:hint="eastAsia"/>
                <w:color w:val="auto"/>
                <w:highlight w:val="none"/>
                <w:vertAlign w:val="baseline"/>
                <w:lang w:val="en-US" w:eastAsia="zh-CN"/>
              </w:rPr>
              <w:t>/a</w:t>
            </w:r>
            <w:r>
              <w:rPr>
                <w:rFonts w:hint="eastAsia"/>
                <w:color w:val="auto"/>
                <w:highlight w:val="none"/>
                <w:lang w:val="en-US" w:eastAsia="zh-CN"/>
              </w:rPr>
              <w:t>。</w:t>
            </w:r>
          </w:p>
          <w:p w14:paraId="7E48F39C">
            <w:pPr>
              <w:keepNext w:val="0"/>
              <w:keepLines w:val="0"/>
              <w:pageBreakBefore w:val="0"/>
              <w:widowControl w:val="0"/>
              <w:kinsoku/>
              <w:wordWrap/>
              <w:overflowPunct/>
              <w:topLinePunct w:val="0"/>
              <w:autoSpaceDE/>
              <w:autoSpaceDN/>
              <w:bidi w:val="0"/>
              <w:adjustRightInd w:val="0"/>
              <w:snapToGrid w:val="0"/>
              <w:ind w:firstLine="480" w:firstLineChars="200"/>
              <w:textAlignment w:val="auto"/>
              <w:rPr>
                <w:rFonts w:hint="default"/>
                <w:color w:val="auto"/>
                <w:highlight w:val="none"/>
                <w:vertAlign w:val="baseline"/>
                <w:lang w:val="en-US" w:eastAsia="zh-CN"/>
              </w:rPr>
            </w:pPr>
            <w:r>
              <w:rPr>
                <w:rFonts w:hint="eastAsia"/>
                <w:color w:val="auto"/>
                <w:highlight w:val="none"/>
                <w:vertAlign w:val="baseline"/>
                <w:lang w:val="en-US" w:eastAsia="zh-CN"/>
              </w:rPr>
              <w:t>发黑工艺新增三个水槽，每天需补充消耗水，单个水槽内存水量约3.5m</w:t>
            </w:r>
            <w:r>
              <w:rPr>
                <w:rFonts w:hint="eastAsia"/>
                <w:color w:val="auto"/>
                <w:highlight w:val="none"/>
                <w:vertAlign w:val="superscript"/>
                <w:lang w:val="en-US" w:eastAsia="zh-CN"/>
              </w:rPr>
              <w:t>3</w:t>
            </w:r>
            <w:r>
              <w:rPr>
                <w:rFonts w:hint="eastAsia"/>
                <w:color w:val="auto"/>
                <w:highlight w:val="none"/>
                <w:vertAlign w:val="baseline"/>
                <w:lang w:val="en-US" w:eastAsia="zh-CN"/>
              </w:rPr>
              <w:t>，根据生产经验补水量约为水槽存水量的4%，单个水槽补水量为0.14m</w:t>
            </w:r>
            <w:r>
              <w:rPr>
                <w:rFonts w:hint="eastAsia"/>
                <w:color w:val="auto"/>
                <w:highlight w:val="none"/>
                <w:vertAlign w:val="superscript"/>
                <w:lang w:val="en-US" w:eastAsia="zh-CN"/>
              </w:rPr>
              <w:t>3</w:t>
            </w:r>
            <w:r>
              <w:rPr>
                <w:rFonts w:hint="eastAsia"/>
                <w:color w:val="auto"/>
                <w:highlight w:val="none"/>
                <w:vertAlign w:val="baseline"/>
                <w:lang w:val="en-US" w:eastAsia="zh-CN"/>
              </w:rPr>
              <w:t>/d，则三个水槽每天需补水</w:t>
            </w:r>
            <w:r>
              <w:rPr>
                <w:rFonts w:hint="eastAsia"/>
                <w:color w:val="auto"/>
                <w:highlight w:val="none"/>
                <w:lang w:val="en-US" w:eastAsia="zh-CN"/>
              </w:rPr>
              <w:t>0.42</w:t>
            </w:r>
            <w:r>
              <w:rPr>
                <w:rFonts w:hint="eastAsia"/>
                <w:color w:val="auto"/>
                <w:highlight w:val="none"/>
                <w:vertAlign w:val="baseline"/>
                <w:lang w:val="en-US" w:eastAsia="zh-CN"/>
              </w:rPr>
              <w:t>m</w:t>
            </w:r>
            <w:r>
              <w:rPr>
                <w:rFonts w:hint="eastAsia"/>
                <w:color w:val="auto"/>
                <w:highlight w:val="none"/>
                <w:vertAlign w:val="superscript"/>
                <w:lang w:val="en-US" w:eastAsia="zh-CN"/>
              </w:rPr>
              <w:t>3</w:t>
            </w:r>
            <w:r>
              <w:rPr>
                <w:rFonts w:hint="eastAsia"/>
                <w:color w:val="auto"/>
                <w:highlight w:val="none"/>
                <w:vertAlign w:val="baseline"/>
                <w:lang w:val="en-US" w:eastAsia="zh-CN"/>
              </w:rPr>
              <w:t>/d（126</w:t>
            </w:r>
            <w:r>
              <w:rPr>
                <w:rFonts w:hint="eastAsia"/>
                <w:color w:val="auto"/>
                <w:highlight w:val="none"/>
                <w:lang w:val="en-US" w:eastAsia="zh-CN"/>
              </w:rPr>
              <w:t>m</w:t>
            </w:r>
            <w:r>
              <w:rPr>
                <w:rFonts w:hint="eastAsia"/>
                <w:color w:val="auto"/>
                <w:highlight w:val="none"/>
                <w:vertAlign w:val="superscript"/>
                <w:lang w:val="en-US" w:eastAsia="zh-CN"/>
              </w:rPr>
              <w:t>3</w:t>
            </w:r>
            <w:r>
              <w:rPr>
                <w:rFonts w:hint="eastAsia"/>
                <w:color w:val="auto"/>
                <w:highlight w:val="none"/>
                <w:lang w:val="en-US" w:eastAsia="zh-CN"/>
              </w:rPr>
              <w:t>/a</w:t>
            </w:r>
            <w:r>
              <w:rPr>
                <w:rFonts w:hint="eastAsia"/>
                <w:color w:val="auto"/>
                <w:highlight w:val="none"/>
                <w:vertAlign w:val="baseline"/>
                <w:lang w:val="en-US" w:eastAsia="zh-CN"/>
              </w:rPr>
              <w:t>）。</w:t>
            </w:r>
          </w:p>
          <w:p w14:paraId="6611B038">
            <w:pPr>
              <w:keepNext w:val="0"/>
              <w:keepLines w:val="0"/>
              <w:pageBreakBefore w:val="0"/>
              <w:widowControl w:val="0"/>
              <w:kinsoku/>
              <w:wordWrap/>
              <w:overflowPunct/>
              <w:topLinePunct w:val="0"/>
              <w:autoSpaceDE/>
              <w:autoSpaceDN/>
              <w:bidi w:val="0"/>
              <w:adjustRightInd w:val="0"/>
              <w:snapToGrid w:val="0"/>
              <w:ind w:firstLine="480" w:firstLineChars="200"/>
              <w:textAlignment w:val="auto"/>
              <w:rPr>
                <w:rFonts w:hint="default"/>
                <w:color w:val="auto"/>
                <w:highlight w:val="none"/>
                <w:lang w:val="en-US" w:eastAsia="zh-CN"/>
              </w:rPr>
            </w:pPr>
            <w:r>
              <w:rPr>
                <w:rFonts w:hint="eastAsia"/>
                <w:color w:val="auto"/>
                <w:highlight w:val="none"/>
                <w:lang w:val="en-US" w:eastAsia="zh-CN"/>
              </w:rPr>
              <w:t>碱喷淋塔每日需补充消耗水，每日补水量约为0.2m</w:t>
            </w:r>
            <w:r>
              <w:rPr>
                <w:rFonts w:hint="eastAsia"/>
                <w:color w:val="auto"/>
                <w:highlight w:val="none"/>
                <w:vertAlign w:val="superscript"/>
                <w:lang w:val="en-US" w:eastAsia="zh-CN"/>
              </w:rPr>
              <w:t>3</w:t>
            </w:r>
            <w:r>
              <w:rPr>
                <w:rFonts w:hint="eastAsia"/>
                <w:color w:val="auto"/>
                <w:highlight w:val="none"/>
                <w:lang w:val="en-US" w:eastAsia="zh-CN"/>
              </w:rPr>
              <w:t>（60m</w:t>
            </w:r>
            <w:r>
              <w:rPr>
                <w:rFonts w:hint="eastAsia"/>
                <w:color w:val="auto"/>
                <w:highlight w:val="none"/>
                <w:vertAlign w:val="superscript"/>
                <w:lang w:val="en-US" w:eastAsia="zh-CN"/>
              </w:rPr>
              <w:t>3</w:t>
            </w:r>
            <w:r>
              <w:rPr>
                <w:rFonts w:hint="eastAsia"/>
                <w:color w:val="auto"/>
                <w:highlight w:val="none"/>
                <w:lang w:val="en-US" w:eastAsia="zh-CN"/>
              </w:rPr>
              <w:t>/a）；</w:t>
            </w:r>
          </w:p>
          <w:p w14:paraId="5300B259">
            <w:pPr>
              <w:keepNext w:val="0"/>
              <w:keepLines w:val="0"/>
              <w:pageBreakBefore w:val="0"/>
              <w:widowControl w:val="0"/>
              <w:kinsoku/>
              <w:wordWrap/>
              <w:overflowPunct/>
              <w:topLinePunct w:val="0"/>
              <w:autoSpaceDE/>
              <w:autoSpaceDN/>
              <w:bidi w:val="0"/>
              <w:adjustRightInd w:val="0"/>
              <w:snapToGrid w:val="0"/>
              <w:ind w:firstLine="480" w:firstLineChars="200"/>
              <w:textAlignment w:val="auto"/>
              <w:rPr>
                <w:rFonts w:hint="default"/>
                <w:color w:val="auto"/>
                <w:highlight w:val="none"/>
                <w:lang w:val="en-US" w:eastAsia="zh-CN"/>
              </w:rPr>
            </w:pPr>
            <w:r>
              <w:rPr>
                <w:rFonts w:hint="eastAsia"/>
                <w:color w:val="auto"/>
                <w:highlight w:val="none"/>
                <w:lang w:val="en-US" w:eastAsia="zh-CN"/>
              </w:rPr>
              <w:t>零部件冲洗用水量约为0.5</w:t>
            </w:r>
            <w:r>
              <w:rPr>
                <w:rFonts w:hint="eastAsia"/>
                <w:color w:val="auto"/>
                <w:highlight w:val="none"/>
                <w:vertAlign w:val="baseline"/>
                <w:lang w:val="en-US" w:eastAsia="zh-CN"/>
              </w:rPr>
              <w:t>m</w:t>
            </w:r>
            <w:r>
              <w:rPr>
                <w:rFonts w:hint="eastAsia"/>
                <w:color w:val="auto"/>
                <w:highlight w:val="none"/>
                <w:vertAlign w:val="superscript"/>
                <w:lang w:val="en-US" w:eastAsia="zh-CN"/>
              </w:rPr>
              <w:t>3</w:t>
            </w:r>
            <w:r>
              <w:rPr>
                <w:rFonts w:hint="eastAsia"/>
                <w:color w:val="auto"/>
                <w:highlight w:val="none"/>
                <w:vertAlign w:val="baseline"/>
                <w:lang w:val="en-US" w:eastAsia="zh-CN"/>
              </w:rPr>
              <w:t>/d（150m</w:t>
            </w:r>
            <w:r>
              <w:rPr>
                <w:rFonts w:hint="eastAsia"/>
                <w:color w:val="auto"/>
                <w:highlight w:val="none"/>
                <w:vertAlign w:val="superscript"/>
                <w:lang w:val="en-US" w:eastAsia="zh-CN"/>
              </w:rPr>
              <w:t>3</w:t>
            </w:r>
            <w:r>
              <w:rPr>
                <w:rFonts w:hint="eastAsia"/>
                <w:color w:val="auto"/>
                <w:highlight w:val="none"/>
                <w:vertAlign w:val="baseline"/>
                <w:lang w:val="en-US" w:eastAsia="zh-CN"/>
              </w:rPr>
              <w:t>/a）。</w:t>
            </w:r>
          </w:p>
          <w:p w14:paraId="4BB65814">
            <w:pPr>
              <w:keepNext w:val="0"/>
              <w:keepLines w:val="0"/>
              <w:pageBreakBefore w:val="0"/>
              <w:widowControl w:val="0"/>
              <w:kinsoku/>
              <w:wordWrap/>
              <w:overflowPunct/>
              <w:topLinePunct w:val="0"/>
              <w:autoSpaceDE/>
              <w:autoSpaceDN/>
              <w:bidi w:val="0"/>
              <w:adjustRightInd w:val="0"/>
              <w:snapToGrid w:val="0"/>
              <w:ind w:firstLine="480" w:firstLineChars="200"/>
              <w:textAlignment w:val="auto"/>
              <w:rPr>
                <w:rFonts w:hint="eastAsia"/>
                <w:color w:val="auto"/>
                <w:highlight w:val="none"/>
                <w:lang w:val="en-US" w:eastAsia="zh-CN"/>
              </w:rPr>
            </w:pPr>
            <w:r>
              <w:rPr>
                <w:rFonts w:hint="eastAsia"/>
                <w:color w:val="auto"/>
                <w:highlight w:val="none"/>
                <w:lang w:val="en-US" w:eastAsia="zh-CN"/>
              </w:rPr>
              <w:t>运营期全厂新鲜水用水量为1.124</w:t>
            </w:r>
            <w:r>
              <w:rPr>
                <w:rFonts w:hint="eastAsia"/>
                <w:color w:val="auto"/>
                <w:highlight w:val="none"/>
                <w:vertAlign w:val="baseline"/>
                <w:lang w:val="en-US" w:eastAsia="zh-CN"/>
              </w:rPr>
              <w:t>m</w:t>
            </w:r>
            <w:r>
              <w:rPr>
                <w:rFonts w:hint="eastAsia"/>
                <w:color w:val="auto"/>
                <w:highlight w:val="none"/>
                <w:vertAlign w:val="superscript"/>
                <w:lang w:val="en-US" w:eastAsia="zh-CN"/>
              </w:rPr>
              <w:t>3</w:t>
            </w:r>
            <w:r>
              <w:rPr>
                <w:rFonts w:hint="eastAsia"/>
                <w:color w:val="auto"/>
                <w:highlight w:val="none"/>
                <w:vertAlign w:val="baseline"/>
                <w:lang w:val="en-US" w:eastAsia="zh-CN"/>
              </w:rPr>
              <w:t>/d（337.2</w:t>
            </w:r>
            <w:r>
              <w:rPr>
                <w:rFonts w:hint="eastAsia"/>
                <w:color w:val="auto"/>
                <w:highlight w:val="none"/>
                <w:lang w:val="en-US" w:eastAsia="zh-CN"/>
              </w:rPr>
              <w:t>m</w:t>
            </w:r>
            <w:r>
              <w:rPr>
                <w:rFonts w:hint="eastAsia"/>
                <w:color w:val="auto"/>
                <w:highlight w:val="none"/>
                <w:vertAlign w:val="superscript"/>
                <w:lang w:val="en-US" w:eastAsia="zh-CN"/>
              </w:rPr>
              <w:t>3</w:t>
            </w:r>
            <w:r>
              <w:rPr>
                <w:rFonts w:hint="eastAsia"/>
                <w:color w:val="auto"/>
                <w:highlight w:val="none"/>
                <w:lang w:val="en-US" w:eastAsia="zh-CN"/>
              </w:rPr>
              <w:t>/a</w:t>
            </w:r>
            <w:r>
              <w:rPr>
                <w:rFonts w:hint="eastAsia"/>
                <w:color w:val="auto"/>
                <w:highlight w:val="none"/>
                <w:vertAlign w:val="baseline"/>
                <w:lang w:val="en-US" w:eastAsia="zh-CN"/>
              </w:rPr>
              <w:t>）</w:t>
            </w:r>
            <w:r>
              <w:rPr>
                <w:rFonts w:hint="eastAsia"/>
                <w:color w:val="auto"/>
                <w:highlight w:val="none"/>
                <w:lang w:val="en-US" w:eastAsia="zh-CN"/>
              </w:rPr>
              <w:t xml:space="preserve">。 </w:t>
            </w:r>
          </w:p>
          <w:p w14:paraId="6FFB5D4B">
            <w:pPr>
              <w:keepNext w:val="0"/>
              <w:keepLines w:val="0"/>
              <w:pageBreakBefore w:val="0"/>
              <w:widowControl w:val="0"/>
              <w:kinsoku/>
              <w:wordWrap/>
              <w:overflowPunct/>
              <w:topLinePunct w:val="0"/>
              <w:autoSpaceDE/>
              <w:autoSpaceDN/>
              <w:bidi w:val="0"/>
              <w:adjustRightInd w:val="0"/>
              <w:snapToGrid w:val="0"/>
              <w:ind w:firstLine="480" w:firstLineChars="200"/>
              <w:textAlignment w:val="auto"/>
              <w:rPr>
                <w:rFonts w:hint="default"/>
                <w:color w:val="auto"/>
                <w:highlight w:val="none"/>
                <w:lang w:val="en-US" w:eastAsia="zh-CN"/>
              </w:rPr>
            </w:pPr>
            <w:r>
              <w:rPr>
                <w:rFonts w:hint="eastAsia"/>
                <w:color w:val="auto"/>
                <w:highlight w:val="none"/>
                <w:lang w:val="en-US" w:eastAsia="zh-CN"/>
              </w:rPr>
              <w:t>新鲜水每天用量为1.53</w:t>
            </w:r>
            <w:r>
              <w:rPr>
                <w:rFonts w:hint="eastAsia"/>
                <w:color w:val="auto"/>
                <w:highlight w:val="none"/>
                <w:vertAlign w:val="baseline"/>
                <w:lang w:val="en-US" w:eastAsia="zh-CN"/>
              </w:rPr>
              <w:t>m</w:t>
            </w:r>
            <w:r>
              <w:rPr>
                <w:rFonts w:hint="eastAsia"/>
                <w:color w:val="auto"/>
                <w:highlight w:val="none"/>
                <w:vertAlign w:val="superscript"/>
                <w:lang w:val="en-US" w:eastAsia="zh-CN"/>
              </w:rPr>
              <w:t>3</w:t>
            </w:r>
            <w:r>
              <w:rPr>
                <w:rFonts w:hint="eastAsia"/>
                <w:color w:val="auto"/>
                <w:highlight w:val="none"/>
                <w:vertAlign w:val="baseline"/>
                <w:lang w:val="en-US" w:eastAsia="zh-CN"/>
              </w:rPr>
              <w:t>/d（459</w:t>
            </w:r>
            <w:r>
              <w:rPr>
                <w:rFonts w:hint="eastAsia"/>
                <w:color w:val="auto"/>
                <w:highlight w:val="none"/>
                <w:lang w:val="en-US" w:eastAsia="zh-CN"/>
              </w:rPr>
              <w:t>m</w:t>
            </w:r>
            <w:r>
              <w:rPr>
                <w:rFonts w:hint="eastAsia"/>
                <w:color w:val="auto"/>
                <w:highlight w:val="none"/>
                <w:vertAlign w:val="superscript"/>
                <w:lang w:val="en-US" w:eastAsia="zh-CN"/>
              </w:rPr>
              <w:t>3</w:t>
            </w:r>
            <w:r>
              <w:rPr>
                <w:rFonts w:hint="eastAsia"/>
                <w:color w:val="auto"/>
                <w:highlight w:val="none"/>
                <w:lang w:val="en-US" w:eastAsia="zh-CN"/>
              </w:rPr>
              <w:t>/a</w:t>
            </w:r>
            <w:r>
              <w:rPr>
                <w:rFonts w:hint="eastAsia"/>
                <w:color w:val="auto"/>
                <w:highlight w:val="none"/>
                <w:vertAlign w:val="baseline"/>
                <w:lang w:val="en-US" w:eastAsia="zh-CN"/>
              </w:rPr>
              <w:t>）。</w:t>
            </w:r>
          </w:p>
          <w:p w14:paraId="7ED2A5E3">
            <w:pPr>
              <w:keepNext w:val="0"/>
              <w:keepLines w:val="0"/>
              <w:pageBreakBefore w:val="0"/>
              <w:widowControl w:val="0"/>
              <w:kinsoku/>
              <w:wordWrap/>
              <w:overflowPunct/>
              <w:topLinePunct w:val="0"/>
              <w:autoSpaceDE/>
              <w:autoSpaceDN/>
              <w:bidi w:val="0"/>
              <w:adjustRightInd w:val="0"/>
              <w:snapToGrid w:val="0"/>
              <w:ind w:firstLine="480" w:firstLineChars="200"/>
              <w:textAlignment w:val="auto"/>
              <w:rPr>
                <w:rFonts w:hint="default" w:eastAsia="宋体"/>
                <w:color w:val="auto"/>
                <w:highlight w:val="none"/>
                <w:lang w:val="en-US" w:eastAsia="zh-CN"/>
              </w:rPr>
            </w:pPr>
            <w:r>
              <w:rPr>
                <w:rFonts w:hint="eastAsia"/>
                <w:color w:val="auto"/>
                <w:highlight w:val="none"/>
                <w:lang w:eastAsia="zh-CN"/>
              </w:rPr>
              <w:t>（</w:t>
            </w:r>
            <w:r>
              <w:rPr>
                <w:rFonts w:hint="eastAsia"/>
                <w:color w:val="auto"/>
                <w:highlight w:val="none"/>
                <w:lang w:val="en-US" w:eastAsia="zh-CN"/>
              </w:rPr>
              <w:t>2</w:t>
            </w:r>
            <w:r>
              <w:rPr>
                <w:rFonts w:hint="eastAsia"/>
                <w:color w:val="auto"/>
                <w:highlight w:val="none"/>
                <w:lang w:eastAsia="zh-CN"/>
              </w:rPr>
              <w:t>）</w:t>
            </w:r>
            <w:r>
              <w:rPr>
                <w:rFonts w:hint="eastAsia"/>
                <w:color w:val="auto"/>
                <w:highlight w:val="none"/>
                <w:lang w:val="en-US" w:eastAsia="zh-CN"/>
              </w:rPr>
              <w:t>排水</w:t>
            </w:r>
          </w:p>
          <w:p w14:paraId="10C0114E">
            <w:pPr>
              <w:keepNext w:val="0"/>
              <w:keepLines w:val="0"/>
              <w:pageBreakBefore w:val="0"/>
              <w:widowControl w:val="0"/>
              <w:kinsoku/>
              <w:wordWrap/>
              <w:overflowPunct/>
              <w:topLinePunct w:val="0"/>
              <w:autoSpaceDE/>
              <w:autoSpaceDN/>
              <w:bidi w:val="0"/>
              <w:adjustRightInd w:val="0"/>
              <w:snapToGrid w:val="0"/>
              <w:ind w:firstLine="480" w:firstLineChars="200"/>
              <w:jc w:val="both"/>
              <w:textAlignment w:val="auto"/>
              <w:rPr>
                <w:rFonts w:hint="default" w:ascii="Times New Roman" w:hAnsi="Times New Roman" w:eastAsia="宋体" w:cs="Times New Roman"/>
                <w:b/>
                <w:color w:val="auto"/>
                <w:kern w:val="2"/>
                <w:sz w:val="24"/>
                <w:szCs w:val="24"/>
                <w:highlight w:val="none"/>
                <w:lang w:val="en-US" w:eastAsia="zh-CN" w:bidi="ar-SA"/>
              </w:rPr>
            </w:pPr>
            <w:r>
              <w:rPr>
                <w:rFonts w:hint="eastAsia"/>
                <w:color w:val="auto"/>
                <w:highlight w:val="none"/>
              </w:rPr>
              <w:t>本项目职工</w:t>
            </w:r>
            <w:r>
              <w:rPr>
                <w:rFonts w:hint="eastAsia"/>
                <w:color w:val="auto"/>
                <w:highlight w:val="none"/>
                <w:lang w:val="en-US" w:eastAsia="zh-CN"/>
              </w:rPr>
              <w:t>生活污水</w:t>
            </w:r>
            <w:r>
              <w:rPr>
                <w:rFonts w:hint="eastAsia"/>
                <w:color w:val="auto"/>
                <w:highlight w:val="none"/>
              </w:rPr>
              <w:t>产生量按照</w:t>
            </w:r>
            <w:r>
              <w:rPr>
                <w:rFonts w:hint="eastAsia"/>
                <w:color w:val="auto"/>
                <w:highlight w:val="none"/>
                <w:lang w:val="en-US" w:eastAsia="zh-CN"/>
              </w:rPr>
              <w:t>用水量的</w:t>
            </w:r>
            <w:r>
              <w:rPr>
                <w:rFonts w:hint="eastAsia"/>
                <w:color w:val="auto"/>
                <w:highlight w:val="none"/>
              </w:rPr>
              <w:t>80%计算，</w:t>
            </w:r>
            <w:r>
              <w:rPr>
                <w:rFonts w:hint="eastAsia"/>
                <w:color w:val="auto"/>
                <w:highlight w:val="none"/>
                <w:lang w:val="en-US" w:eastAsia="zh-CN"/>
              </w:rPr>
              <w:t>为0.32</w:t>
            </w:r>
            <w:r>
              <w:rPr>
                <w:rFonts w:hint="eastAsia"/>
                <w:color w:val="auto"/>
                <w:highlight w:val="none"/>
              </w:rPr>
              <w:t>m</w:t>
            </w:r>
            <w:r>
              <w:rPr>
                <w:rFonts w:hint="eastAsia"/>
                <w:color w:val="auto"/>
                <w:highlight w:val="none"/>
                <w:vertAlign w:val="superscript"/>
                <w:lang w:val="en-US" w:eastAsia="zh-CN"/>
              </w:rPr>
              <w:t>3</w:t>
            </w:r>
            <w:r>
              <w:rPr>
                <w:rFonts w:hint="eastAsia"/>
                <w:color w:val="auto"/>
                <w:highlight w:val="none"/>
              </w:rPr>
              <w:t>/d（</w:t>
            </w:r>
            <w:r>
              <w:rPr>
                <w:rFonts w:hint="eastAsia"/>
                <w:color w:val="auto"/>
                <w:highlight w:val="none"/>
                <w:lang w:val="en-US" w:eastAsia="zh-CN"/>
              </w:rPr>
              <w:t>96</w:t>
            </w:r>
            <w:r>
              <w:rPr>
                <w:rFonts w:hint="eastAsia"/>
                <w:color w:val="auto"/>
                <w:highlight w:val="none"/>
              </w:rPr>
              <w:t>m</w:t>
            </w:r>
            <w:r>
              <w:rPr>
                <w:rFonts w:hint="eastAsia"/>
                <w:color w:val="auto"/>
                <w:highlight w:val="none"/>
                <w:vertAlign w:val="superscript"/>
                <w:lang w:val="en-US" w:eastAsia="zh-CN"/>
              </w:rPr>
              <w:t>3</w:t>
            </w:r>
            <w:r>
              <w:rPr>
                <w:rFonts w:hint="eastAsia"/>
                <w:color w:val="auto"/>
                <w:highlight w:val="none"/>
              </w:rPr>
              <w:t>/a）。生活污水</w:t>
            </w:r>
            <w:r>
              <w:rPr>
                <w:rFonts w:hint="eastAsia"/>
                <w:color w:val="auto"/>
                <w:highlight w:val="none"/>
                <w:lang w:val="en-US" w:eastAsia="zh-CN"/>
              </w:rPr>
              <w:t>进入</w:t>
            </w:r>
            <w:r>
              <w:rPr>
                <w:rFonts w:hint="eastAsia"/>
                <w:color w:val="auto"/>
                <w:highlight w:val="none"/>
              </w:rPr>
              <w:t>化粪池</w:t>
            </w:r>
            <w:r>
              <w:rPr>
                <w:rFonts w:hint="eastAsia"/>
                <w:color w:val="auto"/>
                <w:highlight w:val="none"/>
                <w:lang w:val="en-US" w:eastAsia="zh-CN"/>
              </w:rPr>
              <w:t>后定期清掏</w:t>
            </w:r>
            <w:r>
              <w:rPr>
                <w:rFonts w:hint="eastAsia"/>
                <w:color w:val="auto"/>
                <w:highlight w:val="none"/>
                <w:lang w:eastAsia="zh-CN"/>
              </w:rPr>
              <w:t>；</w:t>
            </w:r>
            <w:r>
              <w:rPr>
                <w:rFonts w:hint="eastAsia" w:cs="Times New Roman"/>
                <w:color w:val="auto"/>
                <w:sz w:val="24"/>
                <w:szCs w:val="24"/>
                <w:highlight w:val="none"/>
                <w:lang w:val="en-US" w:eastAsia="zh-CN"/>
              </w:rPr>
              <w:t>切削液废水全部消耗；水槽内水循环使用，不外排；</w:t>
            </w:r>
            <w:r>
              <w:rPr>
                <w:rFonts w:hint="eastAsia" w:ascii="Times New Roman" w:hAnsi="Times New Roman" w:cs="Times New Roman"/>
                <w:b w:val="0"/>
                <w:bCs w:val="0"/>
                <w:color w:val="auto"/>
                <w:highlight w:val="none"/>
                <w:lang w:val="en-US" w:eastAsia="zh-CN"/>
              </w:rPr>
              <w:t>冲洗废水进入废水池暂存定期使用密闭罐车运至秦皇岛市抚宁区中冶水务有限公司</w:t>
            </w:r>
            <w:r>
              <w:rPr>
                <w:rFonts w:hint="eastAsia" w:cs="Times New Roman"/>
                <w:b w:val="0"/>
                <w:bCs w:val="0"/>
                <w:color w:val="auto"/>
                <w:highlight w:val="none"/>
                <w:lang w:val="en-US" w:eastAsia="zh-CN"/>
              </w:rPr>
              <w:t>。</w:t>
            </w:r>
          </w:p>
          <w:p w14:paraId="447FE1F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 w:val="24"/>
                <w:szCs w:val="18"/>
                <w:highlight w:val="none"/>
                <w:lang w:val="en-US" w:eastAsia="zh-CN"/>
              </w:rPr>
            </w:pPr>
            <w:r>
              <w:rPr>
                <w:rFonts w:hint="default" w:ascii="Times New Roman" w:hAnsi="Times New Roman" w:eastAsia="宋体" w:cs="Times New Roman"/>
                <w:b/>
                <w:color w:val="auto"/>
                <w:kern w:val="2"/>
                <w:sz w:val="24"/>
                <w:szCs w:val="24"/>
                <w:highlight w:val="none"/>
                <w:lang w:val="en-US" w:eastAsia="zh-CN" w:bidi="ar-SA"/>
              </w:rPr>
              <w:t>表2-</w:t>
            </w:r>
            <w:r>
              <w:rPr>
                <w:rFonts w:hint="eastAsia" w:cs="Times New Roman"/>
                <w:b/>
                <w:color w:val="auto"/>
                <w:kern w:val="2"/>
                <w:sz w:val="24"/>
                <w:szCs w:val="24"/>
                <w:highlight w:val="none"/>
                <w:lang w:val="en-US" w:eastAsia="zh-CN" w:bidi="ar-SA"/>
              </w:rPr>
              <w:t>15</w:t>
            </w:r>
            <w:r>
              <w:rPr>
                <w:rFonts w:hint="default" w:ascii="Times New Roman" w:hAnsi="Times New Roman" w:eastAsia="宋体" w:cs="Times New Roman"/>
                <w:b/>
                <w:color w:val="auto"/>
                <w:kern w:val="2"/>
                <w:sz w:val="24"/>
                <w:szCs w:val="24"/>
                <w:highlight w:val="none"/>
                <w:lang w:val="en-US" w:eastAsia="zh-CN" w:bidi="ar-SA"/>
              </w:rPr>
              <w:t xml:space="preserve">  </w:t>
            </w:r>
            <w:r>
              <w:rPr>
                <w:rFonts w:hint="eastAsia" w:cs="Times New Roman"/>
                <w:b/>
                <w:color w:val="auto"/>
                <w:kern w:val="2"/>
                <w:sz w:val="24"/>
                <w:szCs w:val="24"/>
                <w:highlight w:val="none"/>
                <w:lang w:val="en-US" w:eastAsia="zh-CN" w:bidi="ar-SA"/>
              </w:rPr>
              <w:t>全厂</w:t>
            </w:r>
            <w:r>
              <w:rPr>
                <w:rFonts w:hint="default" w:ascii="Times New Roman" w:hAnsi="Times New Roman" w:eastAsia="宋体" w:cs="Times New Roman"/>
                <w:b/>
                <w:color w:val="auto"/>
                <w:kern w:val="2"/>
                <w:sz w:val="24"/>
                <w:szCs w:val="24"/>
                <w:highlight w:val="none"/>
                <w:lang w:val="en-US" w:eastAsia="zh-CN" w:bidi="ar-SA"/>
              </w:rPr>
              <w:t>项目水量平衡情况表单位：</w:t>
            </w:r>
            <w:r>
              <w:rPr>
                <w:rFonts w:hint="default" w:ascii="Times New Roman" w:hAnsi="Times New Roman" w:cs="Times New Roman"/>
                <w:b/>
                <w:bCs/>
                <w:color w:val="auto"/>
                <w:sz w:val="24"/>
                <w:szCs w:val="18"/>
                <w:highlight w:val="none"/>
                <w:lang w:val="en-US" w:eastAsia="zh-CN"/>
              </w:rPr>
              <w:t>m³/</w:t>
            </w:r>
            <w:r>
              <w:rPr>
                <w:rFonts w:hint="eastAsia" w:ascii="Times New Roman" w:hAnsi="Times New Roman" w:cs="Times New Roman"/>
                <w:b/>
                <w:bCs/>
                <w:color w:val="auto"/>
                <w:sz w:val="24"/>
                <w:szCs w:val="18"/>
                <w:highlight w:val="none"/>
                <w:lang w:val="en-US" w:eastAsia="zh-CN"/>
              </w:rPr>
              <w:t>d</w:t>
            </w:r>
          </w:p>
          <w:tbl>
            <w:tblPr>
              <w:tblStyle w:val="34"/>
              <w:tblW w:w="4997" w:type="pct"/>
              <w:tblInd w:w="0" w:type="dxa"/>
              <w:tblLayout w:type="autofit"/>
              <w:tblCellMar>
                <w:top w:w="0" w:type="dxa"/>
                <w:left w:w="0" w:type="dxa"/>
                <w:bottom w:w="0" w:type="dxa"/>
                <w:right w:w="0" w:type="dxa"/>
              </w:tblCellMar>
            </w:tblPr>
            <w:tblGrid>
              <w:gridCol w:w="799"/>
              <w:gridCol w:w="2677"/>
              <w:gridCol w:w="7"/>
              <w:gridCol w:w="1089"/>
              <w:gridCol w:w="7"/>
              <w:gridCol w:w="824"/>
              <w:gridCol w:w="7"/>
              <w:gridCol w:w="1089"/>
              <w:gridCol w:w="7"/>
              <w:gridCol w:w="986"/>
              <w:gridCol w:w="7"/>
              <w:gridCol w:w="825"/>
              <w:gridCol w:w="7"/>
            </w:tblGrid>
            <w:tr w14:paraId="02FBA496">
              <w:tblPrEx>
                <w:tblCellMar>
                  <w:top w:w="0" w:type="dxa"/>
                  <w:left w:w="0" w:type="dxa"/>
                  <w:bottom w:w="0" w:type="dxa"/>
                  <w:right w:w="0" w:type="dxa"/>
                </w:tblCellMar>
              </w:tblPrEx>
              <w:trPr>
                <w:gridAfter w:val="1"/>
                <w:wAfter w:w="4" w:type="pct"/>
                <w:trHeight w:val="340" w:hRule="atLeast"/>
              </w:trPr>
              <w:tc>
                <w:tcPr>
                  <w:tcW w:w="48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6F09C60">
                  <w:pPr>
                    <w:pStyle w:val="94"/>
                    <w:spacing w:line="240" w:lineRule="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序号</w:t>
                  </w:r>
                </w:p>
              </w:tc>
              <w:tc>
                <w:tcPr>
                  <w:tcW w:w="1606"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BC1B690">
                  <w:pPr>
                    <w:pStyle w:val="94"/>
                    <w:spacing w:line="240" w:lineRule="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用水部分</w:t>
                  </w:r>
                </w:p>
              </w:tc>
              <w:tc>
                <w:tcPr>
                  <w:tcW w:w="657"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AB29733">
                  <w:pPr>
                    <w:pStyle w:val="94"/>
                    <w:spacing w:line="240" w:lineRule="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总用水量</w:t>
                  </w:r>
                </w:p>
              </w:tc>
              <w:tc>
                <w:tcPr>
                  <w:tcW w:w="498"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15EC9AC">
                  <w:pPr>
                    <w:pStyle w:val="94"/>
                    <w:spacing w:line="240" w:lineRule="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新鲜水</w:t>
                  </w:r>
                </w:p>
              </w:tc>
              <w:tc>
                <w:tcPr>
                  <w:tcW w:w="657"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A3AEF9D">
                  <w:pPr>
                    <w:pStyle w:val="94"/>
                    <w:spacing w:line="240" w:lineRule="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循环水量</w:t>
                  </w:r>
                </w:p>
              </w:tc>
              <w:tc>
                <w:tcPr>
                  <w:tcW w:w="595"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EC1EA47">
                  <w:pPr>
                    <w:pStyle w:val="94"/>
                    <w:spacing w:line="240" w:lineRule="auto"/>
                    <w:rPr>
                      <w:rFonts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损耗量</w:t>
                  </w:r>
                </w:p>
              </w:tc>
              <w:tc>
                <w:tcPr>
                  <w:tcW w:w="499"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3D84A32">
                  <w:pPr>
                    <w:pStyle w:val="94"/>
                    <w:spacing w:line="240" w:lineRule="auto"/>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外排量</w:t>
                  </w:r>
                </w:p>
              </w:tc>
            </w:tr>
            <w:tr w14:paraId="6D137D63">
              <w:tblPrEx>
                <w:tblCellMar>
                  <w:top w:w="0" w:type="dxa"/>
                  <w:left w:w="0" w:type="dxa"/>
                  <w:bottom w:w="0" w:type="dxa"/>
                  <w:right w:w="0" w:type="dxa"/>
                </w:tblCellMar>
              </w:tblPrEx>
              <w:trPr>
                <w:gridAfter w:val="1"/>
                <w:wAfter w:w="4" w:type="pct"/>
                <w:trHeight w:val="340" w:hRule="atLeast"/>
              </w:trPr>
              <w:tc>
                <w:tcPr>
                  <w:tcW w:w="48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76EC150">
                  <w:pPr>
                    <w:pStyle w:val="94"/>
                    <w:spacing w:line="240" w:lineRule="auto"/>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1606"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0380DBE">
                  <w:pPr>
                    <w:pStyle w:val="94"/>
                    <w:spacing w:line="240" w:lineRule="auto"/>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生活用水</w:t>
                  </w:r>
                </w:p>
              </w:tc>
              <w:tc>
                <w:tcPr>
                  <w:tcW w:w="657"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88C9D1E">
                  <w:pPr>
                    <w:pStyle w:val="94"/>
                    <w:spacing w:line="240" w:lineRule="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0.4</w:t>
                  </w:r>
                </w:p>
              </w:tc>
              <w:tc>
                <w:tcPr>
                  <w:tcW w:w="498"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6BE00E6">
                  <w:pPr>
                    <w:pStyle w:val="94"/>
                    <w:spacing w:line="240" w:lineRule="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0.4</w:t>
                  </w:r>
                </w:p>
              </w:tc>
              <w:tc>
                <w:tcPr>
                  <w:tcW w:w="657"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1BE9A2D">
                  <w:pPr>
                    <w:pStyle w:val="94"/>
                    <w:spacing w:line="240" w:lineRule="auto"/>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c>
                <w:tcPr>
                  <w:tcW w:w="595"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E7897C8">
                  <w:pPr>
                    <w:pStyle w:val="94"/>
                    <w:spacing w:line="240" w:lineRule="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0.4</w:t>
                  </w:r>
                </w:p>
              </w:tc>
              <w:tc>
                <w:tcPr>
                  <w:tcW w:w="499"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3324444">
                  <w:pPr>
                    <w:pStyle w:val="94"/>
                    <w:spacing w:line="240" w:lineRule="auto"/>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r>
            <w:tr w14:paraId="54998CFE">
              <w:tblPrEx>
                <w:tblCellMar>
                  <w:top w:w="0" w:type="dxa"/>
                  <w:left w:w="0" w:type="dxa"/>
                  <w:bottom w:w="0" w:type="dxa"/>
                  <w:right w:w="0" w:type="dxa"/>
                </w:tblCellMar>
              </w:tblPrEx>
              <w:trPr>
                <w:gridAfter w:val="1"/>
                <w:wAfter w:w="4" w:type="pct"/>
                <w:trHeight w:val="300" w:hRule="atLeast"/>
              </w:trPr>
              <w:tc>
                <w:tcPr>
                  <w:tcW w:w="480" w:type="pct"/>
                  <w:tcBorders>
                    <w:top w:val="single" w:color="000000" w:sz="4" w:space="0"/>
                    <w:left w:val="single" w:color="000000" w:sz="4" w:space="0"/>
                    <w:bottom w:val="single" w:color="auto" w:sz="4" w:space="0"/>
                    <w:right w:val="single" w:color="auto" w:sz="4" w:space="0"/>
                  </w:tcBorders>
                  <w:noWrap/>
                  <w:tcMar>
                    <w:top w:w="15" w:type="dxa"/>
                    <w:left w:w="15" w:type="dxa"/>
                    <w:right w:w="15" w:type="dxa"/>
                  </w:tcMar>
                  <w:vAlign w:val="center"/>
                </w:tcPr>
                <w:p w14:paraId="12DE8079">
                  <w:pPr>
                    <w:pStyle w:val="94"/>
                    <w:spacing w:line="240" w:lineRule="auto"/>
                    <w:ind w:firstLine="0" w:firstLineChars="0"/>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sz w:val="21"/>
                      <w:szCs w:val="21"/>
                      <w:highlight w:val="none"/>
                      <w:lang w:val="en-US" w:eastAsia="zh-CN"/>
                    </w:rPr>
                    <w:t>2</w:t>
                  </w:r>
                </w:p>
              </w:tc>
              <w:tc>
                <w:tcPr>
                  <w:tcW w:w="1606" w:type="pct"/>
                  <w:tcBorders>
                    <w:top w:val="single" w:color="000000" w:sz="4" w:space="0"/>
                    <w:left w:val="single" w:color="auto" w:sz="4" w:space="0"/>
                    <w:right w:val="single" w:color="000000" w:sz="4" w:space="0"/>
                  </w:tcBorders>
                  <w:noWrap/>
                  <w:tcMar>
                    <w:top w:w="15" w:type="dxa"/>
                    <w:left w:w="15" w:type="dxa"/>
                    <w:right w:w="15" w:type="dxa"/>
                  </w:tcMar>
                  <w:vAlign w:val="center"/>
                </w:tcPr>
                <w:p w14:paraId="1F2EC700">
                  <w:pPr>
                    <w:pStyle w:val="94"/>
                    <w:spacing w:line="240" w:lineRule="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切削液调配</w:t>
                  </w:r>
                </w:p>
              </w:tc>
              <w:tc>
                <w:tcPr>
                  <w:tcW w:w="657"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660EB42C">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0.01</w:t>
                  </w:r>
                </w:p>
              </w:tc>
              <w:tc>
                <w:tcPr>
                  <w:tcW w:w="498"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29603BB1">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0.01</w:t>
                  </w:r>
                </w:p>
              </w:tc>
              <w:tc>
                <w:tcPr>
                  <w:tcW w:w="657"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73F35BDE">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c>
                <w:tcPr>
                  <w:tcW w:w="595"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218351CB">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0.01</w:t>
                  </w:r>
                </w:p>
              </w:tc>
              <w:tc>
                <w:tcPr>
                  <w:tcW w:w="499"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6B077669">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r>
            <w:tr w14:paraId="10DC5059">
              <w:tblPrEx>
                <w:tblCellMar>
                  <w:top w:w="0" w:type="dxa"/>
                  <w:left w:w="0" w:type="dxa"/>
                  <w:bottom w:w="0" w:type="dxa"/>
                  <w:right w:w="0" w:type="dxa"/>
                </w:tblCellMar>
              </w:tblPrEx>
              <w:trPr>
                <w:gridAfter w:val="1"/>
                <w:wAfter w:w="4" w:type="pct"/>
                <w:trHeight w:val="90" w:hRule="atLeast"/>
              </w:trPr>
              <w:tc>
                <w:tcPr>
                  <w:tcW w:w="480" w:type="pct"/>
                  <w:tcBorders>
                    <w:top w:val="single" w:color="000000" w:sz="4" w:space="0"/>
                    <w:left w:val="single" w:color="000000" w:sz="4" w:space="0"/>
                    <w:bottom w:val="single" w:color="auto" w:sz="4" w:space="0"/>
                    <w:right w:val="single" w:color="auto" w:sz="4" w:space="0"/>
                  </w:tcBorders>
                  <w:noWrap/>
                  <w:tcMar>
                    <w:top w:w="15" w:type="dxa"/>
                    <w:left w:w="15" w:type="dxa"/>
                    <w:right w:w="15" w:type="dxa"/>
                  </w:tcMar>
                  <w:vAlign w:val="center"/>
                </w:tcPr>
                <w:p w14:paraId="3BE32E58">
                  <w:pPr>
                    <w:pStyle w:val="94"/>
                    <w:spacing w:line="240" w:lineRule="auto"/>
                    <w:ind w:firstLine="0" w:firstLineChars="0"/>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1606" w:type="pct"/>
                  <w:tcBorders>
                    <w:top w:val="single" w:color="000000" w:sz="4" w:space="0"/>
                    <w:left w:val="single" w:color="auto" w:sz="4" w:space="0"/>
                    <w:right w:val="single" w:color="000000" w:sz="4" w:space="0"/>
                  </w:tcBorders>
                  <w:noWrap/>
                  <w:tcMar>
                    <w:top w:w="15" w:type="dxa"/>
                    <w:left w:w="15" w:type="dxa"/>
                    <w:right w:w="15" w:type="dxa"/>
                  </w:tcMar>
                  <w:vAlign w:val="center"/>
                </w:tcPr>
                <w:p w14:paraId="4507EFB3">
                  <w:pPr>
                    <w:pStyle w:val="94"/>
                    <w:spacing w:line="240" w:lineRule="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水槽补水（3个）</w:t>
                  </w:r>
                </w:p>
              </w:tc>
              <w:tc>
                <w:tcPr>
                  <w:tcW w:w="657"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28940413">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10.5</w:t>
                  </w:r>
                </w:p>
              </w:tc>
              <w:tc>
                <w:tcPr>
                  <w:tcW w:w="498"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09F3EE20">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0.42</w:t>
                  </w:r>
                </w:p>
              </w:tc>
              <w:tc>
                <w:tcPr>
                  <w:tcW w:w="657"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6532D789">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10.08</w:t>
                  </w:r>
                </w:p>
              </w:tc>
              <w:tc>
                <w:tcPr>
                  <w:tcW w:w="595"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1E929A0D">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0.42</w:t>
                  </w:r>
                </w:p>
              </w:tc>
              <w:tc>
                <w:tcPr>
                  <w:tcW w:w="499"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534EBBFA">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r>
            <w:tr w14:paraId="1F5CBED5">
              <w:tblPrEx>
                <w:tblCellMar>
                  <w:top w:w="0" w:type="dxa"/>
                  <w:left w:w="0" w:type="dxa"/>
                  <w:bottom w:w="0" w:type="dxa"/>
                  <w:right w:w="0" w:type="dxa"/>
                </w:tblCellMar>
              </w:tblPrEx>
              <w:trPr>
                <w:gridAfter w:val="1"/>
                <w:wAfter w:w="4" w:type="pct"/>
                <w:trHeight w:val="90" w:hRule="atLeast"/>
              </w:trPr>
              <w:tc>
                <w:tcPr>
                  <w:tcW w:w="480" w:type="pct"/>
                  <w:tcBorders>
                    <w:top w:val="single" w:color="000000" w:sz="4" w:space="0"/>
                    <w:left w:val="single" w:color="000000" w:sz="4" w:space="0"/>
                    <w:bottom w:val="single" w:color="auto" w:sz="4" w:space="0"/>
                    <w:right w:val="single" w:color="auto" w:sz="4" w:space="0"/>
                  </w:tcBorders>
                  <w:noWrap/>
                  <w:tcMar>
                    <w:top w:w="15" w:type="dxa"/>
                    <w:left w:w="15" w:type="dxa"/>
                    <w:right w:w="15" w:type="dxa"/>
                  </w:tcMar>
                  <w:vAlign w:val="center"/>
                </w:tcPr>
                <w:p w14:paraId="18BE36D1">
                  <w:pPr>
                    <w:pStyle w:val="94"/>
                    <w:spacing w:line="240" w:lineRule="auto"/>
                    <w:ind w:firstLine="0" w:firstLineChars="0"/>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4</w:t>
                  </w:r>
                </w:p>
              </w:tc>
              <w:tc>
                <w:tcPr>
                  <w:tcW w:w="1606" w:type="pct"/>
                  <w:tcBorders>
                    <w:top w:val="single" w:color="000000" w:sz="4" w:space="0"/>
                    <w:left w:val="single" w:color="auto" w:sz="4" w:space="0"/>
                    <w:right w:val="single" w:color="000000" w:sz="4" w:space="0"/>
                  </w:tcBorders>
                  <w:noWrap/>
                  <w:tcMar>
                    <w:top w:w="15" w:type="dxa"/>
                    <w:left w:w="15" w:type="dxa"/>
                    <w:right w:w="15" w:type="dxa"/>
                  </w:tcMar>
                  <w:vAlign w:val="center"/>
                </w:tcPr>
                <w:p w14:paraId="0247B0BF">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碱喷淋塔补水</w:t>
                  </w:r>
                </w:p>
              </w:tc>
              <w:tc>
                <w:tcPr>
                  <w:tcW w:w="657"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01B5D78F">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0.2</w:t>
                  </w:r>
                </w:p>
              </w:tc>
              <w:tc>
                <w:tcPr>
                  <w:tcW w:w="498"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5BF18E3F">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0.2</w:t>
                  </w:r>
                </w:p>
              </w:tc>
              <w:tc>
                <w:tcPr>
                  <w:tcW w:w="657"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045B556B">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595"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151B28BE">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0.2</w:t>
                  </w:r>
                </w:p>
              </w:tc>
              <w:tc>
                <w:tcPr>
                  <w:tcW w:w="499"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24DB5A22">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r>
            <w:tr w14:paraId="515A581E">
              <w:tblPrEx>
                <w:tblCellMar>
                  <w:top w:w="0" w:type="dxa"/>
                  <w:left w:w="0" w:type="dxa"/>
                  <w:bottom w:w="0" w:type="dxa"/>
                  <w:right w:w="0" w:type="dxa"/>
                </w:tblCellMar>
              </w:tblPrEx>
              <w:trPr>
                <w:gridAfter w:val="1"/>
                <w:wAfter w:w="4" w:type="pct"/>
                <w:trHeight w:val="90" w:hRule="atLeast"/>
              </w:trPr>
              <w:tc>
                <w:tcPr>
                  <w:tcW w:w="480" w:type="pct"/>
                  <w:tcBorders>
                    <w:top w:val="single" w:color="000000" w:sz="4" w:space="0"/>
                    <w:left w:val="single" w:color="000000" w:sz="4" w:space="0"/>
                    <w:bottom w:val="single" w:color="auto" w:sz="4" w:space="0"/>
                    <w:right w:val="single" w:color="auto" w:sz="4" w:space="0"/>
                  </w:tcBorders>
                  <w:noWrap/>
                  <w:tcMar>
                    <w:top w:w="15" w:type="dxa"/>
                    <w:left w:w="15" w:type="dxa"/>
                    <w:right w:w="15" w:type="dxa"/>
                  </w:tcMar>
                  <w:vAlign w:val="center"/>
                </w:tcPr>
                <w:p w14:paraId="13296E04">
                  <w:pPr>
                    <w:pStyle w:val="94"/>
                    <w:spacing w:line="240" w:lineRule="auto"/>
                    <w:ind w:firstLine="0" w:firstLineChars="0"/>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w:t>
                  </w:r>
                </w:p>
              </w:tc>
              <w:tc>
                <w:tcPr>
                  <w:tcW w:w="1606" w:type="pct"/>
                  <w:tcBorders>
                    <w:top w:val="single" w:color="000000" w:sz="4" w:space="0"/>
                    <w:left w:val="single" w:color="auto" w:sz="4" w:space="0"/>
                    <w:right w:val="single" w:color="000000" w:sz="4" w:space="0"/>
                  </w:tcBorders>
                  <w:noWrap/>
                  <w:tcMar>
                    <w:top w:w="15" w:type="dxa"/>
                    <w:left w:w="15" w:type="dxa"/>
                    <w:right w:w="15" w:type="dxa"/>
                  </w:tcMar>
                  <w:vAlign w:val="center"/>
                </w:tcPr>
                <w:p w14:paraId="3D3D428D">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冲洗用水</w:t>
                  </w:r>
                </w:p>
              </w:tc>
              <w:tc>
                <w:tcPr>
                  <w:tcW w:w="657"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5E7F6700">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0.5</w:t>
                  </w:r>
                </w:p>
              </w:tc>
              <w:tc>
                <w:tcPr>
                  <w:tcW w:w="498"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2911CFEE">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0.5</w:t>
                  </w:r>
                </w:p>
              </w:tc>
              <w:tc>
                <w:tcPr>
                  <w:tcW w:w="657"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6EFD7600">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w:t>
                  </w:r>
                </w:p>
              </w:tc>
              <w:tc>
                <w:tcPr>
                  <w:tcW w:w="595"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4268123E">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0.1</w:t>
                  </w:r>
                </w:p>
              </w:tc>
              <w:tc>
                <w:tcPr>
                  <w:tcW w:w="499" w:type="pct"/>
                  <w:gridSpan w:val="2"/>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14:paraId="4E5B8095">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0.4</w:t>
                  </w:r>
                </w:p>
              </w:tc>
            </w:tr>
            <w:tr w14:paraId="649FEFC0">
              <w:tblPrEx>
                <w:tblCellMar>
                  <w:top w:w="0" w:type="dxa"/>
                  <w:left w:w="0" w:type="dxa"/>
                  <w:bottom w:w="0" w:type="dxa"/>
                  <w:right w:w="0" w:type="dxa"/>
                </w:tblCellMar>
              </w:tblPrEx>
              <w:trPr>
                <w:trHeight w:val="280" w:hRule="atLeast"/>
              </w:trPr>
              <w:tc>
                <w:tcPr>
                  <w:tcW w:w="2090" w:type="pct"/>
                  <w:gridSpan w:val="3"/>
                  <w:tcBorders>
                    <w:top w:val="single" w:color="auto" w:sz="4" w:space="0"/>
                    <w:left w:val="single" w:color="000000" w:sz="4" w:space="0"/>
                    <w:bottom w:val="single" w:color="000000" w:sz="4" w:space="0"/>
                    <w:right w:val="single" w:color="auto" w:sz="4" w:space="0"/>
                  </w:tcBorders>
                  <w:noWrap/>
                  <w:tcMar>
                    <w:top w:w="15" w:type="dxa"/>
                    <w:left w:w="15" w:type="dxa"/>
                    <w:right w:w="15" w:type="dxa"/>
                  </w:tcMar>
                  <w:vAlign w:val="center"/>
                </w:tcPr>
                <w:p w14:paraId="402CDBF2">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合计</w:t>
                  </w:r>
                </w:p>
              </w:tc>
              <w:tc>
                <w:tcPr>
                  <w:tcW w:w="657" w:type="pct"/>
                  <w:gridSpan w:val="2"/>
                  <w:tcBorders>
                    <w:top w:val="single" w:color="auto" w:sz="4" w:space="0"/>
                    <w:left w:val="single" w:color="000000" w:sz="4" w:space="0"/>
                    <w:bottom w:val="single" w:color="000000" w:sz="4" w:space="0"/>
                    <w:right w:val="single" w:color="000000" w:sz="4" w:space="0"/>
                  </w:tcBorders>
                  <w:noWrap/>
                  <w:tcMar>
                    <w:top w:w="15" w:type="dxa"/>
                    <w:left w:w="15" w:type="dxa"/>
                    <w:right w:w="15" w:type="dxa"/>
                  </w:tcMar>
                  <w:vAlign w:val="center"/>
                </w:tcPr>
                <w:p w14:paraId="3DBD417E">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16.11</w:t>
                  </w:r>
                </w:p>
              </w:tc>
              <w:tc>
                <w:tcPr>
                  <w:tcW w:w="498" w:type="pct"/>
                  <w:gridSpan w:val="2"/>
                  <w:tcBorders>
                    <w:top w:val="single" w:color="auto" w:sz="4" w:space="0"/>
                    <w:left w:val="single" w:color="000000" w:sz="4" w:space="0"/>
                    <w:bottom w:val="single" w:color="000000" w:sz="4" w:space="0"/>
                    <w:right w:val="single" w:color="000000" w:sz="4" w:space="0"/>
                  </w:tcBorders>
                  <w:noWrap/>
                  <w:tcMar>
                    <w:top w:w="15" w:type="dxa"/>
                    <w:left w:w="15" w:type="dxa"/>
                    <w:right w:w="15" w:type="dxa"/>
                  </w:tcMar>
                  <w:vAlign w:val="center"/>
                </w:tcPr>
                <w:p w14:paraId="0D70944D">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1.53</w:t>
                  </w:r>
                </w:p>
              </w:tc>
              <w:tc>
                <w:tcPr>
                  <w:tcW w:w="657" w:type="pct"/>
                  <w:gridSpan w:val="2"/>
                  <w:tcBorders>
                    <w:top w:val="single" w:color="auto" w:sz="4" w:space="0"/>
                    <w:left w:val="single" w:color="000000" w:sz="4" w:space="0"/>
                    <w:bottom w:val="single" w:color="000000" w:sz="4" w:space="0"/>
                    <w:right w:val="single" w:color="000000" w:sz="4" w:space="0"/>
                  </w:tcBorders>
                  <w:noWrap/>
                  <w:tcMar>
                    <w:top w:w="15" w:type="dxa"/>
                    <w:left w:w="15" w:type="dxa"/>
                    <w:right w:w="15" w:type="dxa"/>
                  </w:tcMar>
                  <w:vAlign w:val="center"/>
                </w:tcPr>
                <w:p w14:paraId="1219F80F">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11.08</w:t>
                  </w:r>
                </w:p>
              </w:tc>
              <w:tc>
                <w:tcPr>
                  <w:tcW w:w="595" w:type="pct"/>
                  <w:gridSpan w:val="2"/>
                  <w:tcBorders>
                    <w:top w:val="single" w:color="auto" w:sz="4" w:space="0"/>
                    <w:left w:val="single" w:color="000000" w:sz="4" w:space="0"/>
                    <w:bottom w:val="single" w:color="000000" w:sz="4" w:space="0"/>
                    <w:right w:val="single" w:color="auto" w:sz="4" w:space="0"/>
                  </w:tcBorders>
                  <w:noWrap/>
                  <w:tcMar>
                    <w:top w:w="15" w:type="dxa"/>
                    <w:left w:w="15" w:type="dxa"/>
                    <w:right w:w="15" w:type="dxa"/>
                  </w:tcMar>
                  <w:vAlign w:val="center"/>
                </w:tcPr>
                <w:p w14:paraId="2011D7FA">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1.13</w:t>
                  </w:r>
                </w:p>
              </w:tc>
              <w:tc>
                <w:tcPr>
                  <w:tcW w:w="499" w:type="pct"/>
                  <w:gridSpan w:val="2"/>
                  <w:tcBorders>
                    <w:top w:val="single" w:color="auto" w:sz="4" w:space="0"/>
                    <w:left w:val="single" w:color="000000" w:sz="4" w:space="0"/>
                    <w:bottom w:val="single" w:color="000000" w:sz="4" w:space="0"/>
                    <w:right w:val="single" w:color="000000" w:sz="4" w:space="0"/>
                  </w:tcBorders>
                  <w:noWrap/>
                  <w:tcMar>
                    <w:top w:w="15" w:type="dxa"/>
                    <w:left w:w="15" w:type="dxa"/>
                    <w:right w:w="15" w:type="dxa"/>
                  </w:tcMar>
                  <w:vAlign w:val="center"/>
                </w:tcPr>
                <w:p w14:paraId="030B9862">
                  <w:pPr>
                    <w:pStyle w:val="94"/>
                    <w:spacing w:line="240" w:lineRule="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0.4</w:t>
                  </w:r>
                </w:p>
              </w:tc>
            </w:tr>
          </w:tbl>
          <w:p w14:paraId="0802BAC9">
            <w:pPr>
              <w:pStyle w:val="32"/>
              <w:jc w:val="center"/>
              <w:rPr>
                <w:rFonts w:hint="eastAsia"/>
                <w:color w:val="auto"/>
                <w:sz w:val="21"/>
                <w:szCs w:val="16"/>
                <w:highlight w:val="none"/>
                <w:lang w:val="en-US" w:eastAsia="zh-CN"/>
              </w:rPr>
            </w:pPr>
            <w:r>
              <w:rPr>
                <w:rFonts w:hint="eastAsia"/>
                <w:color w:val="auto"/>
                <w:sz w:val="21"/>
                <w:szCs w:val="16"/>
                <w:highlight w:val="none"/>
                <w:lang w:val="en-US" w:eastAsia="zh-CN"/>
              </w:rPr>
              <w:drawing>
                <wp:inline distT="0" distB="0" distL="114300" distR="114300">
                  <wp:extent cx="3327400" cy="3021330"/>
                  <wp:effectExtent l="0" t="0" r="0" b="0"/>
                  <wp:docPr id="7" name="ECB019B1-382A-4266-B25C-5B523AA43C14-4" descr="C:/Users/86133/AppData/Local/Temp/wps.tiWuyo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ECB019B1-382A-4266-B25C-5B523AA43C14-4" descr="C:/Users/86133/AppData/Local/Temp/wps.tiWuyowps"/>
                          <pic:cNvPicPr>
                            <a:picLocks noChangeAspect="1"/>
                          </pic:cNvPicPr>
                        </pic:nvPicPr>
                        <pic:blipFill>
                          <a:blip r:embed="rId19"/>
                          <a:stretch>
                            <a:fillRect/>
                          </a:stretch>
                        </pic:blipFill>
                        <pic:spPr>
                          <a:xfrm>
                            <a:off x="0" y="0"/>
                            <a:ext cx="3327400" cy="3021330"/>
                          </a:xfrm>
                          <a:prstGeom prst="rect">
                            <a:avLst/>
                          </a:prstGeom>
                        </pic:spPr>
                      </pic:pic>
                    </a:graphicData>
                  </a:graphic>
                </wp:inline>
              </w:drawing>
            </w:r>
          </w:p>
          <w:p w14:paraId="26EBA1E0">
            <w:pPr>
              <w:pStyle w:val="47"/>
              <w:ind w:left="482" w:hanging="482"/>
              <w:rPr>
                <w:rFonts w:hint="eastAsia"/>
                <w:color w:val="auto"/>
                <w:highlight w:val="none"/>
                <w:lang w:val="en-US" w:eastAsia="zh-CN"/>
              </w:rPr>
            </w:pPr>
            <w:r>
              <w:rPr>
                <w:rFonts w:hint="eastAsia"/>
                <w:color w:val="auto"/>
                <w:highlight w:val="none"/>
              </w:rPr>
              <w:t>图</w:t>
            </w:r>
            <w:r>
              <w:rPr>
                <w:rFonts w:hint="eastAsia"/>
                <w:color w:val="auto"/>
                <w:highlight w:val="none"/>
                <w:lang w:val="en-US" w:eastAsia="zh-CN"/>
              </w:rPr>
              <w:t>2-4</w:t>
            </w:r>
            <w:r>
              <w:rPr>
                <w:rFonts w:hint="eastAsia"/>
                <w:color w:val="auto"/>
                <w:highlight w:val="none"/>
              </w:rPr>
              <w:t xml:space="preserve"> </w:t>
            </w:r>
            <w:r>
              <w:rPr>
                <w:rFonts w:hint="eastAsia"/>
                <w:color w:val="auto"/>
                <w:highlight w:val="none"/>
                <w:lang w:val="en-US" w:eastAsia="zh-CN"/>
              </w:rPr>
              <w:t xml:space="preserve"> 扩建项目建设完成后全厂</w:t>
            </w:r>
            <w:r>
              <w:rPr>
                <w:rFonts w:hint="eastAsia"/>
                <w:color w:val="auto"/>
                <w:highlight w:val="none"/>
              </w:rPr>
              <w:t>水平衡图</w:t>
            </w:r>
            <w:r>
              <w:rPr>
                <w:rFonts w:hint="eastAsia"/>
                <w:color w:val="auto"/>
                <w:highlight w:val="none"/>
                <w:lang w:val="en-US" w:eastAsia="zh-CN"/>
              </w:rPr>
              <w:t xml:space="preserve">    m</w:t>
            </w:r>
            <w:r>
              <w:rPr>
                <w:rFonts w:hint="eastAsia"/>
                <w:color w:val="auto"/>
                <w:highlight w:val="none"/>
                <w:vertAlign w:val="superscript"/>
                <w:lang w:val="en-US" w:eastAsia="zh-CN"/>
              </w:rPr>
              <w:t>3</w:t>
            </w:r>
            <w:r>
              <w:rPr>
                <w:rFonts w:hint="eastAsia"/>
                <w:color w:val="auto"/>
                <w:highlight w:val="none"/>
                <w:lang w:val="en-US" w:eastAsia="zh-CN"/>
              </w:rPr>
              <w:t>/d</w:t>
            </w:r>
          </w:p>
          <w:p w14:paraId="230AE2D8">
            <w:pPr>
              <w:pStyle w:val="10"/>
              <w:keepNext w:val="0"/>
              <w:keepLines w:val="0"/>
              <w:pageBreakBefore w:val="0"/>
              <w:widowControl w:val="0"/>
              <w:kinsoku/>
              <w:wordWrap/>
              <w:overflowPunct/>
              <w:topLinePunct w:val="0"/>
              <w:autoSpaceDE/>
              <w:autoSpaceDN/>
              <w:bidi w:val="0"/>
              <w:adjustRightInd w:val="0"/>
              <w:snapToGrid/>
              <w:textAlignment w:val="auto"/>
              <w:rPr>
                <w:rFonts w:hint="default"/>
                <w:color w:val="auto"/>
                <w:highlight w:val="none"/>
              </w:rPr>
            </w:pPr>
            <w:r>
              <w:rPr>
                <w:rFonts w:hint="eastAsia"/>
                <w:color w:val="auto"/>
                <w:highlight w:val="none"/>
                <w:lang w:val="en-US" w:eastAsia="zh-CN"/>
              </w:rPr>
              <w:t>4.5.2</w:t>
            </w:r>
            <w:r>
              <w:rPr>
                <w:rFonts w:hint="default"/>
                <w:color w:val="auto"/>
                <w:highlight w:val="none"/>
              </w:rPr>
              <w:t>供电</w:t>
            </w:r>
          </w:p>
          <w:p w14:paraId="069F79F1">
            <w:pPr>
              <w:keepNext w:val="0"/>
              <w:keepLines w:val="0"/>
              <w:pageBreakBefore w:val="0"/>
              <w:widowControl w:val="0"/>
              <w:kinsoku/>
              <w:wordWrap/>
              <w:overflowPunct/>
              <w:topLinePunct w:val="0"/>
              <w:autoSpaceDE/>
              <w:autoSpaceDN/>
              <w:bidi w:val="0"/>
              <w:adjustRightInd w:val="0"/>
              <w:snapToGrid/>
              <w:ind w:firstLine="480" w:firstLineChars="200"/>
              <w:textAlignment w:val="auto"/>
              <w:rPr>
                <w:color w:val="auto"/>
                <w:highlight w:val="none"/>
              </w:rPr>
            </w:pPr>
            <w:r>
              <w:rPr>
                <w:rFonts w:hint="eastAsia"/>
                <w:color w:val="auto"/>
                <w:highlight w:val="none"/>
                <w:lang w:val="en-US" w:eastAsia="zh-CN"/>
              </w:rPr>
              <w:t>扩建项目建设完成后全厂用电量为6万kw</w:t>
            </w:r>
            <w:r>
              <w:rPr>
                <w:rFonts w:hint="default" w:ascii="Times New Roman" w:hAnsi="Times New Roman" w:cs="Times New Roman"/>
                <w:color w:val="auto"/>
                <w:highlight w:val="none"/>
                <w:lang w:val="en-US" w:eastAsia="zh-CN"/>
              </w:rPr>
              <w:t>·</w:t>
            </w:r>
            <w:r>
              <w:rPr>
                <w:rFonts w:hint="eastAsia"/>
                <w:color w:val="auto"/>
                <w:highlight w:val="none"/>
                <w:lang w:val="en-US" w:eastAsia="zh-CN"/>
              </w:rPr>
              <w:t>h/a，</w:t>
            </w:r>
            <w:r>
              <w:rPr>
                <w:rFonts w:hint="eastAsia"/>
                <w:color w:val="auto"/>
                <w:highlight w:val="none"/>
              </w:rPr>
              <w:t>由当地电网统一供给，能够满足日常生产及生活用电。</w:t>
            </w:r>
          </w:p>
          <w:p w14:paraId="61C1D05D">
            <w:pPr>
              <w:pStyle w:val="10"/>
              <w:keepNext w:val="0"/>
              <w:keepLines w:val="0"/>
              <w:pageBreakBefore w:val="0"/>
              <w:widowControl w:val="0"/>
              <w:kinsoku/>
              <w:wordWrap/>
              <w:overflowPunct/>
              <w:topLinePunct w:val="0"/>
              <w:autoSpaceDE/>
              <w:autoSpaceDN/>
              <w:bidi w:val="0"/>
              <w:adjustRightInd w:val="0"/>
              <w:snapToGrid/>
              <w:textAlignment w:val="auto"/>
              <w:rPr>
                <w:rFonts w:hint="default"/>
                <w:color w:val="auto"/>
                <w:highlight w:val="none"/>
              </w:rPr>
            </w:pPr>
            <w:r>
              <w:rPr>
                <w:rFonts w:hint="eastAsia"/>
                <w:color w:val="auto"/>
                <w:highlight w:val="none"/>
                <w:lang w:val="en-US" w:eastAsia="zh-CN"/>
              </w:rPr>
              <w:t>4.5.3</w:t>
            </w:r>
            <w:r>
              <w:rPr>
                <w:rFonts w:hint="default"/>
                <w:color w:val="auto"/>
                <w:highlight w:val="none"/>
              </w:rPr>
              <w:t xml:space="preserve"> 供热</w:t>
            </w:r>
          </w:p>
          <w:p w14:paraId="60416941">
            <w:pPr>
              <w:pStyle w:val="32"/>
              <w:rPr>
                <w:rFonts w:hint="eastAsia"/>
                <w:color w:val="auto"/>
                <w:sz w:val="24"/>
                <w:szCs w:val="32"/>
                <w:highlight w:val="none"/>
                <w:lang w:val="en-US" w:eastAsia="zh-CN"/>
              </w:rPr>
            </w:pPr>
            <w:r>
              <w:rPr>
                <w:rFonts w:hint="eastAsia"/>
                <w:color w:val="auto"/>
                <w:sz w:val="24"/>
                <w:szCs w:val="32"/>
                <w:highlight w:val="none"/>
              </w:rPr>
              <w:t>本项目办公采用空调供暖</w:t>
            </w:r>
            <w:r>
              <w:rPr>
                <w:rFonts w:hint="eastAsia"/>
                <w:color w:val="auto"/>
                <w:sz w:val="24"/>
                <w:szCs w:val="32"/>
                <w:highlight w:val="none"/>
                <w:lang w:eastAsia="zh-CN"/>
              </w:rPr>
              <w:t>；</w:t>
            </w:r>
            <w:r>
              <w:rPr>
                <w:rFonts w:hint="eastAsia" w:ascii="Times New Roman" w:hAnsi="Times New Roman"/>
                <w:color w:val="auto"/>
                <w:highlight w:val="none"/>
                <w:lang w:val="en-US" w:eastAsia="zh-CN"/>
              </w:rPr>
              <w:t>碱洗槽采取电加热</w:t>
            </w:r>
            <w:r>
              <w:rPr>
                <w:rFonts w:hint="eastAsia"/>
                <w:color w:val="auto"/>
                <w:sz w:val="24"/>
                <w:szCs w:val="32"/>
                <w:highlight w:val="none"/>
                <w:lang w:val="en-US" w:eastAsia="zh-CN"/>
              </w:rPr>
              <w:t>。</w:t>
            </w:r>
          </w:p>
          <w:p w14:paraId="2A820262">
            <w:pPr>
              <w:pStyle w:val="32"/>
              <w:ind w:left="0" w:leftChars="0" w:firstLine="0" w:firstLineChars="0"/>
              <w:rPr>
                <w:rFonts w:hint="default"/>
                <w:color w:val="auto"/>
                <w:highlight w:val="none"/>
                <w:lang w:val="en-US" w:eastAsia="zh-CN"/>
              </w:rPr>
            </w:pPr>
          </w:p>
        </w:tc>
      </w:tr>
    </w:tbl>
    <w:p w14:paraId="52CFE77A">
      <w:pPr>
        <w:pStyle w:val="7"/>
        <w:rPr>
          <w:color w:val="auto"/>
          <w:highlight w:val="none"/>
        </w:rPr>
        <w:sectPr>
          <w:pgSz w:w="11906" w:h="16838"/>
          <w:pgMar w:top="1701" w:right="1531" w:bottom="1701" w:left="1531" w:header="851" w:footer="851" w:gutter="0"/>
          <w:pgNumType w:fmt="decimal"/>
          <w:cols w:space="720" w:num="1"/>
          <w:docGrid w:linePitch="312" w:charSpace="0"/>
        </w:sectPr>
      </w:pPr>
    </w:p>
    <w:tbl>
      <w:tblPr>
        <w:tblStyle w:val="34"/>
        <w:tblW w:w="907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599"/>
        <w:gridCol w:w="8472"/>
      </w:tblGrid>
      <w:tr w14:paraId="131C4B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127" w:hRule="atLeast"/>
          <w:jc w:val="center"/>
        </w:trPr>
        <w:tc>
          <w:tcPr>
            <w:tcW w:w="599" w:type="dxa"/>
            <w:vAlign w:val="center"/>
          </w:tcPr>
          <w:p w14:paraId="6F388FBF">
            <w:pPr>
              <w:pStyle w:val="8"/>
              <w:rPr>
                <w:color w:val="auto"/>
                <w:highlight w:val="none"/>
              </w:rPr>
            </w:pPr>
          </w:p>
          <w:p w14:paraId="1B9EBEC6">
            <w:pPr>
              <w:pStyle w:val="8"/>
              <w:rPr>
                <w:color w:val="auto"/>
                <w:highlight w:val="none"/>
              </w:rPr>
            </w:pPr>
          </w:p>
          <w:p w14:paraId="497C39C2">
            <w:pPr>
              <w:pStyle w:val="8"/>
              <w:rPr>
                <w:color w:val="auto"/>
                <w:highlight w:val="none"/>
              </w:rPr>
            </w:pPr>
          </w:p>
          <w:p w14:paraId="2F9EB9D5">
            <w:pPr>
              <w:pStyle w:val="8"/>
              <w:rPr>
                <w:color w:val="auto"/>
                <w:highlight w:val="none"/>
              </w:rPr>
            </w:pPr>
          </w:p>
          <w:p w14:paraId="2C8AC1EE">
            <w:pPr>
              <w:pStyle w:val="8"/>
              <w:rPr>
                <w:color w:val="auto"/>
                <w:highlight w:val="none"/>
              </w:rPr>
            </w:pPr>
          </w:p>
          <w:p w14:paraId="277B433D">
            <w:pPr>
              <w:pStyle w:val="8"/>
              <w:rPr>
                <w:color w:val="auto"/>
                <w:highlight w:val="none"/>
              </w:rPr>
            </w:pPr>
          </w:p>
          <w:p w14:paraId="330FCD67">
            <w:pPr>
              <w:pStyle w:val="8"/>
              <w:rPr>
                <w:color w:val="auto"/>
                <w:sz w:val="24"/>
                <w:highlight w:val="none"/>
              </w:rPr>
            </w:pPr>
          </w:p>
          <w:p w14:paraId="64AE7D1D">
            <w:pPr>
              <w:pStyle w:val="8"/>
              <w:rPr>
                <w:color w:val="auto"/>
                <w:sz w:val="24"/>
                <w:highlight w:val="none"/>
              </w:rPr>
            </w:pPr>
          </w:p>
          <w:p w14:paraId="53047B18">
            <w:pPr>
              <w:pStyle w:val="8"/>
              <w:rPr>
                <w:color w:val="auto"/>
                <w:sz w:val="24"/>
                <w:highlight w:val="none"/>
              </w:rPr>
            </w:pPr>
          </w:p>
          <w:p w14:paraId="42B686F0">
            <w:pPr>
              <w:pStyle w:val="8"/>
              <w:jc w:val="center"/>
              <w:rPr>
                <w:color w:val="auto"/>
                <w:sz w:val="24"/>
                <w:highlight w:val="none"/>
              </w:rPr>
            </w:pPr>
            <w:r>
              <w:rPr>
                <w:color w:val="auto"/>
                <w:sz w:val="24"/>
                <w:highlight w:val="none"/>
              </w:rPr>
              <w:t>工</w:t>
            </w:r>
          </w:p>
          <w:p w14:paraId="7CF2872C">
            <w:pPr>
              <w:pStyle w:val="8"/>
              <w:jc w:val="center"/>
              <w:rPr>
                <w:color w:val="auto"/>
                <w:sz w:val="24"/>
                <w:highlight w:val="none"/>
              </w:rPr>
            </w:pPr>
            <w:r>
              <w:rPr>
                <w:color w:val="auto"/>
                <w:sz w:val="24"/>
                <w:highlight w:val="none"/>
              </w:rPr>
              <w:t>艺</w:t>
            </w:r>
          </w:p>
          <w:p w14:paraId="5C9E6EBF">
            <w:pPr>
              <w:pStyle w:val="8"/>
              <w:jc w:val="center"/>
              <w:rPr>
                <w:color w:val="auto"/>
                <w:sz w:val="24"/>
                <w:highlight w:val="none"/>
              </w:rPr>
            </w:pPr>
            <w:r>
              <w:rPr>
                <w:color w:val="auto"/>
                <w:sz w:val="24"/>
                <w:highlight w:val="none"/>
              </w:rPr>
              <w:t>流</w:t>
            </w:r>
          </w:p>
          <w:p w14:paraId="53C96ABF">
            <w:pPr>
              <w:pStyle w:val="8"/>
              <w:jc w:val="center"/>
              <w:rPr>
                <w:color w:val="auto"/>
                <w:sz w:val="24"/>
                <w:highlight w:val="none"/>
              </w:rPr>
            </w:pPr>
            <w:r>
              <w:rPr>
                <w:color w:val="auto"/>
                <w:sz w:val="24"/>
                <w:highlight w:val="none"/>
              </w:rPr>
              <w:t>程</w:t>
            </w:r>
          </w:p>
          <w:p w14:paraId="35BED39B">
            <w:pPr>
              <w:pStyle w:val="8"/>
              <w:jc w:val="center"/>
              <w:rPr>
                <w:color w:val="auto"/>
                <w:sz w:val="24"/>
                <w:highlight w:val="none"/>
              </w:rPr>
            </w:pPr>
            <w:r>
              <w:rPr>
                <w:color w:val="auto"/>
                <w:sz w:val="24"/>
                <w:highlight w:val="none"/>
              </w:rPr>
              <w:t>和</w:t>
            </w:r>
          </w:p>
          <w:p w14:paraId="660801C1">
            <w:pPr>
              <w:pStyle w:val="8"/>
              <w:jc w:val="center"/>
              <w:rPr>
                <w:color w:val="auto"/>
                <w:sz w:val="24"/>
                <w:highlight w:val="none"/>
              </w:rPr>
            </w:pPr>
            <w:r>
              <w:rPr>
                <w:color w:val="auto"/>
                <w:sz w:val="24"/>
                <w:highlight w:val="none"/>
              </w:rPr>
              <w:t>产</w:t>
            </w:r>
          </w:p>
          <w:p w14:paraId="62418F46">
            <w:pPr>
              <w:pStyle w:val="8"/>
              <w:jc w:val="center"/>
              <w:rPr>
                <w:color w:val="auto"/>
                <w:sz w:val="24"/>
                <w:highlight w:val="none"/>
              </w:rPr>
            </w:pPr>
            <w:r>
              <w:rPr>
                <w:color w:val="auto"/>
                <w:sz w:val="24"/>
                <w:highlight w:val="none"/>
              </w:rPr>
              <w:t>排</w:t>
            </w:r>
          </w:p>
          <w:p w14:paraId="3364438B">
            <w:pPr>
              <w:pStyle w:val="8"/>
              <w:jc w:val="center"/>
              <w:rPr>
                <w:color w:val="auto"/>
                <w:sz w:val="24"/>
                <w:highlight w:val="none"/>
              </w:rPr>
            </w:pPr>
            <w:r>
              <w:rPr>
                <w:color w:val="auto"/>
                <w:sz w:val="24"/>
                <w:highlight w:val="none"/>
              </w:rPr>
              <w:t>污</w:t>
            </w:r>
          </w:p>
          <w:p w14:paraId="5643E888">
            <w:pPr>
              <w:pStyle w:val="8"/>
              <w:jc w:val="center"/>
              <w:rPr>
                <w:color w:val="auto"/>
                <w:sz w:val="24"/>
                <w:highlight w:val="none"/>
              </w:rPr>
            </w:pPr>
            <w:r>
              <w:rPr>
                <w:color w:val="auto"/>
                <w:sz w:val="24"/>
                <w:highlight w:val="none"/>
              </w:rPr>
              <w:t>环</w:t>
            </w:r>
          </w:p>
          <w:p w14:paraId="758E036F">
            <w:pPr>
              <w:pStyle w:val="8"/>
              <w:jc w:val="center"/>
              <w:rPr>
                <w:color w:val="auto"/>
                <w:sz w:val="24"/>
                <w:highlight w:val="none"/>
              </w:rPr>
            </w:pPr>
            <w:r>
              <w:rPr>
                <w:color w:val="auto"/>
                <w:sz w:val="24"/>
                <w:highlight w:val="none"/>
              </w:rPr>
              <w:t>节</w:t>
            </w:r>
          </w:p>
          <w:p w14:paraId="70AB0C44">
            <w:pPr>
              <w:rPr>
                <w:color w:val="auto"/>
                <w:highlight w:val="none"/>
              </w:rPr>
            </w:pPr>
          </w:p>
          <w:p w14:paraId="2650823B">
            <w:pPr>
              <w:pStyle w:val="32"/>
              <w:ind w:firstLine="241"/>
              <w:rPr>
                <w:b/>
                <w:color w:val="auto"/>
                <w:kern w:val="2"/>
                <w:sz w:val="24"/>
                <w:highlight w:val="none"/>
              </w:rPr>
            </w:pPr>
          </w:p>
          <w:p w14:paraId="048A1AD2">
            <w:pPr>
              <w:pStyle w:val="8"/>
              <w:rPr>
                <w:color w:val="auto"/>
                <w:sz w:val="24"/>
                <w:highlight w:val="none"/>
              </w:rPr>
            </w:pPr>
          </w:p>
          <w:p w14:paraId="40B097EE">
            <w:pPr>
              <w:pStyle w:val="8"/>
              <w:rPr>
                <w:color w:val="auto"/>
                <w:sz w:val="24"/>
                <w:highlight w:val="none"/>
              </w:rPr>
            </w:pPr>
          </w:p>
          <w:p w14:paraId="70A9F11D">
            <w:pPr>
              <w:pStyle w:val="8"/>
              <w:rPr>
                <w:color w:val="auto"/>
                <w:sz w:val="24"/>
                <w:highlight w:val="none"/>
              </w:rPr>
            </w:pPr>
          </w:p>
          <w:p w14:paraId="2004F78B">
            <w:pPr>
              <w:pStyle w:val="8"/>
              <w:rPr>
                <w:color w:val="auto"/>
                <w:sz w:val="24"/>
                <w:highlight w:val="none"/>
              </w:rPr>
            </w:pPr>
          </w:p>
          <w:p w14:paraId="3CA5C359">
            <w:pPr>
              <w:pStyle w:val="8"/>
              <w:rPr>
                <w:color w:val="auto"/>
                <w:sz w:val="24"/>
                <w:highlight w:val="none"/>
              </w:rPr>
            </w:pPr>
          </w:p>
          <w:p w14:paraId="7D295C48">
            <w:pPr>
              <w:pStyle w:val="8"/>
              <w:rPr>
                <w:color w:val="auto"/>
                <w:sz w:val="24"/>
                <w:highlight w:val="none"/>
              </w:rPr>
            </w:pPr>
          </w:p>
          <w:p w14:paraId="6871AC49">
            <w:pPr>
              <w:pStyle w:val="8"/>
              <w:rPr>
                <w:color w:val="auto"/>
                <w:sz w:val="24"/>
                <w:highlight w:val="none"/>
              </w:rPr>
            </w:pPr>
          </w:p>
          <w:p w14:paraId="7D2B5BD0">
            <w:pPr>
              <w:pStyle w:val="8"/>
              <w:rPr>
                <w:color w:val="auto"/>
                <w:sz w:val="24"/>
                <w:highlight w:val="none"/>
              </w:rPr>
            </w:pPr>
          </w:p>
          <w:p w14:paraId="770D5DBE">
            <w:pPr>
              <w:pStyle w:val="8"/>
              <w:rPr>
                <w:color w:val="auto"/>
                <w:sz w:val="24"/>
                <w:highlight w:val="none"/>
              </w:rPr>
            </w:pPr>
          </w:p>
          <w:p w14:paraId="24BF17FC">
            <w:pPr>
              <w:rPr>
                <w:color w:val="auto"/>
                <w:highlight w:val="none"/>
              </w:rPr>
            </w:pPr>
          </w:p>
          <w:p w14:paraId="0AA719A5">
            <w:pPr>
              <w:pStyle w:val="33"/>
              <w:ind w:left="480" w:firstLine="480"/>
              <w:rPr>
                <w:color w:val="auto"/>
                <w:szCs w:val="24"/>
                <w:highlight w:val="none"/>
              </w:rPr>
            </w:pPr>
          </w:p>
          <w:p w14:paraId="0BC312A8">
            <w:pPr>
              <w:rPr>
                <w:color w:val="auto"/>
                <w:highlight w:val="none"/>
              </w:rPr>
            </w:pPr>
          </w:p>
          <w:p w14:paraId="047BED03">
            <w:pPr>
              <w:pStyle w:val="33"/>
              <w:ind w:left="480" w:firstLine="480"/>
              <w:rPr>
                <w:color w:val="auto"/>
                <w:szCs w:val="24"/>
                <w:highlight w:val="none"/>
              </w:rPr>
            </w:pPr>
          </w:p>
          <w:p w14:paraId="4F4F6A5B">
            <w:pPr>
              <w:rPr>
                <w:color w:val="auto"/>
                <w:highlight w:val="none"/>
              </w:rPr>
            </w:pPr>
          </w:p>
          <w:p w14:paraId="1F1D5D1A">
            <w:pPr>
              <w:pStyle w:val="33"/>
              <w:ind w:left="480" w:firstLine="480"/>
              <w:rPr>
                <w:color w:val="auto"/>
                <w:highlight w:val="none"/>
              </w:rPr>
            </w:pPr>
          </w:p>
          <w:p w14:paraId="1409861D">
            <w:pPr>
              <w:pStyle w:val="8"/>
              <w:rPr>
                <w:color w:val="auto"/>
                <w:sz w:val="24"/>
                <w:highlight w:val="none"/>
              </w:rPr>
            </w:pPr>
          </w:p>
          <w:p w14:paraId="255F77AD">
            <w:pPr>
              <w:pStyle w:val="8"/>
              <w:jc w:val="center"/>
              <w:rPr>
                <w:color w:val="auto"/>
                <w:sz w:val="24"/>
                <w:highlight w:val="none"/>
              </w:rPr>
            </w:pPr>
            <w:r>
              <w:rPr>
                <w:color w:val="auto"/>
                <w:sz w:val="24"/>
                <w:highlight w:val="none"/>
              </w:rPr>
              <w:t>工</w:t>
            </w:r>
          </w:p>
          <w:p w14:paraId="54899371">
            <w:pPr>
              <w:pStyle w:val="8"/>
              <w:jc w:val="center"/>
              <w:rPr>
                <w:color w:val="auto"/>
                <w:sz w:val="24"/>
                <w:highlight w:val="none"/>
              </w:rPr>
            </w:pPr>
            <w:r>
              <w:rPr>
                <w:color w:val="auto"/>
                <w:sz w:val="24"/>
                <w:highlight w:val="none"/>
              </w:rPr>
              <w:t>艺</w:t>
            </w:r>
          </w:p>
          <w:p w14:paraId="1A3299B9">
            <w:pPr>
              <w:pStyle w:val="8"/>
              <w:jc w:val="center"/>
              <w:rPr>
                <w:color w:val="auto"/>
                <w:sz w:val="24"/>
                <w:highlight w:val="none"/>
              </w:rPr>
            </w:pPr>
            <w:r>
              <w:rPr>
                <w:color w:val="auto"/>
                <w:sz w:val="24"/>
                <w:highlight w:val="none"/>
              </w:rPr>
              <w:t>流</w:t>
            </w:r>
          </w:p>
          <w:p w14:paraId="21CEE893">
            <w:pPr>
              <w:pStyle w:val="8"/>
              <w:jc w:val="center"/>
              <w:rPr>
                <w:color w:val="auto"/>
                <w:sz w:val="24"/>
                <w:highlight w:val="none"/>
              </w:rPr>
            </w:pPr>
            <w:r>
              <w:rPr>
                <w:color w:val="auto"/>
                <w:sz w:val="24"/>
                <w:highlight w:val="none"/>
              </w:rPr>
              <w:t>程</w:t>
            </w:r>
          </w:p>
          <w:p w14:paraId="524FEBCD">
            <w:pPr>
              <w:pStyle w:val="8"/>
              <w:jc w:val="center"/>
              <w:rPr>
                <w:color w:val="auto"/>
                <w:sz w:val="24"/>
                <w:highlight w:val="none"/>
              </w:rPr>
            </w:pPr>
            <w:r>
              <w:rPr>
                <w:color w:val="auto"/>
                <w:sz w:val="24"/>
                <w:highlight w:val="none"/>
              </w:rPr>
              <w:t>和</w:t>
            </w:r>
          </w:p>
          <w:p w14:paraId="3950E0E4">
            <w:pPr>
              <w:pStyle w:val="8"/>
              <w:jc w:val="center"/>
              <w:rPr>
                <w:color w:val="auto"/>
                <w:sz w:val="24"/>
                <w:highlight w:val="none"/>
              </w:rPr>
            </w:pPr>
            <w:r>
              <w:rPr>
                <w:color w:val="auto"/>
                <w:sz w:val="24"/>
                <w:highlight w:val="none"/>
              </w:rPr>
              <w:t>产</w:t>
            </w:r>
          </w:p>
          <w:p w14:paraId="59B5EEAF">
            <w:pPr>
              <w:pStyle w:val="8"/>
              <w:jc w:val="center"/>
              <w:rPr>
                <w:color w:val="auto"/>
                <w:sz w:val="24"/>
                <w:highlight w:val="none"/>
              </w:rPr>
            </w:pPr>
            <w:r>
              <w:rPr>
                <w:color w:val="auto"/>
                <w:sz w:val="24"/>
                <w:highlight w:val="none"/>
              </w:rPr>
              <w:t>排</w:t>
            </w:r>
          </w:p>
          <w:p w14:paraId="31989E79">
            <w:pPr>
              <w:pStyle w:val="8"/>
              <w:jc w:val="center"/>
              <w:rPr>
                <w:color w:val="auto"/>
                <w:sz w:val="24"/>
                <w:highlight w:val="none"/>
              </w:rPr>
            </w:pPr>
            <w:r>
              <w:rPr>
                <w:color w:val="auto"/>
                <w:sz w:val="24"/>
                <w:highlight w:val="none"/>
              </w:rPr>
              <w:t>污</w:t>
            </w:r>
          </w:p>
          <w:p w14:paraId="3846E474">
            <w:pPr>
              <w:pStyle w:val="8"/>
              <w:jc w:val="center"/>
              <w:rPr>
                <w:color w:val="auto"/>
                <w:sz w:val="24"/>
                <w:highlight w:val="none"/>
              </w:rPr>
            </w:pPr>
            <w:r>
              <w:rPr>
                <w:color w:val="auto"/>
                <w:sz w:val="24"/>
                <w:highlight w:val="none"/>
              </w:rPr>
              <w:t>环</w:t>
            </w:r>
          </w:p>
          <w:p w14:paraId="1218208B">
            <w:pPr>
              <w:pStyle w:val="8"/>
              <w:jc w:val="center"/>
              <w:rPr>
                <w:color w:val="auto"/>
                <w:sz w:val="24"/>
                <w:highlight w:val="none"/>
              </w:rPr>
            </w:pPr>
            <w:r>
              <w:rPr>
                <w:color w:val="auto"/>
                <w:sz w:val="24"/>
                <w:highlight w:val="none"/>
              </w:rPr>
              <w:t>节</w:t>
            </w:r>
          </w:p>
          <w:p w14:paraId="12BBFEA3">
            <w:pPr>
              <w:rPr>
                <w:color w:val="auto"/>
                <w:highlight w:val="none"/>
              </w:rPr>
            </w:pPr>
          </w:p>
          <w:p w14:paraId="2A50C0CF">
            <w:pPr>
              <w:pStyle w:val="32"/>
              <w:ind w:firstLine="0" w:firstLineChars="0"/>
              <w:rPr>
                <w:b/>
                <w:color w:val="auto"/>
                <w:kern w:val="2"/>
                <w:sz w:val="24"/>
                <w:szCs w:val="21"/>
                <w:highlight w:val="none"/>
              </w:rPr>
            </w:pPr>
          </w:p>
        </w:tc>
        <w:tc>
          <w:tcPr>
            <w:tcW w:w="8472" w:type="dxa"/>
          </w:tcPr>
          <w:p w14:paraId="13D64819">
            <w:pPr>
              <w:overflowPunct w:val="0"/>
              <w:topLinePunct/>
              <w:spacing w:line="500" w:lineRule="exact"/>
              <w:rPr>
                <w:b/>
                <w:color w:val="auto"/>
                <w:sz w:val="24"/>
                <w:highlight w:val="none"/>
              </w:rPr>
            </w:pPr>
            <w:r>
              <w:rPr>
                <w:b/>
                <w:color w:val="auto"/>
                <w:sz w:val="24"/>
                <w:highlight w:val="none"/>
              </w:rPr>
              <w:t>工艺流程简述</w:t>
            </w:r>
          </w:p>
          <w:p w14:paraId="63EF77E7">
            <w:pPr>
              <w:spacing w:line="420" w:lineRule="exact"/>
              <w:ind w:firstLine="480" w:firstLineChars="200"/>
              <w:rPr>
                <w:color w:val="auto"/>
                <w:sz w:val="24"/>
                <w:highlight w:val="none"/>
              </w:rPr>
            </w:pPr>
            <w:r>
              <w:rPr>
                <w:rFonts w:hint="eastAsia"/>
                <w:color w:val="auto"/>
                <w:sz w:val="24"/>
                <w:highlight w:val="none"/>
              </w:rPr>
              <w:t>项目用地基本已硬化，</w:t>
            </w:r>
            <w:r>
              <w:rPr>
                <w:rFonts w:hint="eastAsia"/>
                <w:color w:val="auto"/>
                <w:sz w:val="24"/>
                <w:highlight w:val="none"/>
                <w:lang w:val="en-US" w:eastAsia="zh-CN"/>
              </w:rPr>
              <w:t>利用现有厂房进行建设</w:t>
            </w:r>
            <w:r>
              <w:rPr>
                <w:color w:val="auto"/>
                <w:sz w:val="24"/>
                <w:highlight w:val="none"/>
              </w:rPr>
              <w:t>。</w:t>
            </w:r>
            <w:r>
              <w:rPr>
                <w:rFonts w:hint="eastAsia"/>
                <w:color w:val="auto"/>
                <w:sz w:val="24"/>
                <w:highlight w:val="none"/>
              </w:rPr>
              <w:t>施工期主要是</w:t>
            </w:r>
            <w:r>
              <w:rPr>
                <w:rFonts w:hint="eastAsia"/>
                <w:color w:val="auto"/>
                <w:sz w:val="24"/>
                <w:highlight w:val="none"/>
                <w:lang w:val="en-US" w:eastAsia="zh-CN"/>
              </w:rPr>
              <w:t>6座洗槽、1座废水池以及辅助</w:t>
            </w:r>
            <w:r>
              <w:rPr>
                <w:rFonts w:hint="eastAsia"/>
                <w:color w:val="auto"/>
                <w:sz w:val="24"/>
                <w:highlight w:val="none"/>
              </w:rPr>
              <w:t>设备安装</w:t>
            </w:r>
            <w:r>
              <w:rPr>
                <w:rFonts w:hint="eastAsia"/>
                <w:color w:val="auto"/>
                <w:sz w:val="24"/>
                <w:highlight w:val="none"/>
                <w:lang w:eastAsia="zh-CN"/>
              </w:rPr>
              <w:t>，</w:t>
            </w:r>
            <w:r>
              <w:rPr>
                <w:rFonts w:hint="eastAsia"/>
                <w:color w:val="auto"/>
                <w:sz w:val="24"/>
                <w:highlight w:val="none"/>
                <w:lang w:val="en-US" w:eastAsia="zh-CN"/>
              </w:rPr>
              <w:t>施工过程中产生</w:t>
            </w:r>
            <w:r>
              <w:rPr>
                <w:snapToGrid w:val="0"/>
                <w:color w:val="auto"/>
                <w:sz w:val="24"/>
                <w:highlight w:val="none"/>
              </w:rPr>
              <w:t>噪声、扬尘、固体废物、少量污水和废气污染物，其排放量随工期和施工强度不同而有所变化；并且随着施工期的结束影响也随之消失。</w:t>
            </w:r>
            <w:r>
              <w:rPr>
                <w:color w:val="auto"/>
                <w:sz w:val="24"/>
                <w:highlight w:val="none"/>
              </w:rPr>
              <w:t>施工期工艺流程及产排污节点见图2</w:t>
            </w:r>
            <w:r>
              <w:rPr>
                <w:rFonts w:hint="eastAsia"/>
                <w:color w:val="auto"/>
                <w:sz w:val="24"/>
                <w:highlight w:val="none"/>
              </w:rPr>
              <w:t>-4</w:t>
            </w:r>
            <w:r>
              <w:rPr>
                <w:color w:val="auto"/>
                <w:sz w:val="24"/>
                <w:highlight w:val="none"/>
              </w:rPr>
              <w:t>。</w:t>
            </w:r>
          </w:p>
          <w:p w14:paraId="4B6DB680">
            <w:pPr>
              <w:tabs>
                <w:tab w:val="left" w:pos="698"/>
                <w:tab w:val="center" w:pos="4187"/>
              </w:tabs>
              <w:jc w:val="center"/>
              <w:rPr>
                <w:color w:val="auto"/>
                <w:sz w:val="24"/>
                <w:highlight w:val="none"/>
              </w:rPr>
            </w:pPr>
            <w:r>
              <w:rPr>
                <w:rFonts w:hint="eastAsia"/>
                <w:color w:val="auto"/>
                <w:sz w:val="24"/>
                <w:highlight w:val="none"/>
                <w:lang w:eastAsia="zh-CN"/>
              </w:rPr>
              <w:drawing>
                <wp:inline distT="0" distB="0" distL="114300" distR="114300">
                  <wp:extent cx="3378200" cy="1388110"/>
                  <wp:effectExtent l="0" t="0" r="0" b="0"/>
                  <wp:docPr id="21" name="ECB019B1-382A-4266-B25C-5B523AA43C14-5" descr="C:/Users/Administrator/AppData/Local/Temp/wps.dqTMiu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ECB019B1-382A-4266-B25C-5B523AA43C14-5" descr="C:/Users/Administrator/AppData/Local/Temp/wps.dqTMiuwps"/>
                          <pic:cNvPicPr>
                            <a:picLocks noChangeAspect="1"/>
                          </pic:cNvPicPr>
                        </pic:nvPicPr>
                        <pic:blipFill>
                          <a:blip r:embed="rId20"/>
                          <a:stretch>
                            <a:fillRect/>
                          </a:stretch>
                        </pic:blipFill>
                        <pic:spPr>
                          <a:xfrm>
                            <a:off x="0" y="0"/>
                            <a:ext cx="3378200" cy="1388110"/>
                          </a:xfrm>
                          <a:prstGeom prst="rect">
                            <a:avLst/>
                          </a:prstGeom>
                        </pic:spPr>
                      </pic:pic>
                    </a:graphicData>
                  </a:graphic>
                </wp:inline>
              </w:drawing>
            </w:r>
          </w:p>
          <w:p w14:paraId="275E5051">
            <w:pPr>
              <w:jc w:val="center"/>
              <w:rPr>
                <w:b/>
                <w:bCs/>
                <w:color w:val="auto"/>
                <w:sz w:val="24"/>
                <w:highlight w:val="none"/>
              </w:rPr>
            </w:pPr>
            <w:r>
              <w:rPr>
                <w:b/>
                <w:bCs/>
                <w:color w:val="auto"/>
                <w:sz w:val="24"/>
                <w:highlight w:val="none"/>
              </w:rPr>
              <w:t>图2-</w:t>
            </w:r>
            <w:r>
              <w:rPr>
                <w:rFonts w:hint="eastAsia"/>
                <w:b/>
                <w:bCs/>
                <w:color w:val="auto"/>
                <w:sz w:val="24"/>
                <w:highlight w:val="none"/>
                <w:lang w:val="en-US" w:eastAsia="zh-CN"/>
              </w:rPr>
              <w:t>6</w:t>
            </w:r>
            <w:r>
              <w:rPr>
                <w:b/>
                <w:bCs/>
                <w:color w:val="auto"/>
                <w:sz w:val="24"/>
                <w:highlight w:val="none"/>
              </w:rPr>
              <w:t xml:space="preserve">  施工期工艺流程及排污节点图</w:t>
            </w:r>
          </w:p>
          <w:p w14:paraId="33A2D5D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color w:val="auto"/>
                <w:sz w:val="24"/>
                <w:highlight w:val="none"/>
              </w:rPr>
            </w:pPr>
            <w:r>
              <w:rPr>
                <w:color w:val="auto"/>
                <w:sz w:val="24"/>
                <w:highlight w:val="none"/>
              </w:rPr>
              <w:t>1、废气：主要是在</w:t>
            </w:r>
            <w:r>
              <w:rPr>
                <w:rFonts w:hint="eastAsia"/>
                <w:color w:val="auto"/>
                <w:sz w:val="24"/>
                <w:highlight w:val="none"/>
              </w:rPr>
              <w:t>建筑物拆除、厂房建设</w:t>
            </w:r>
            <w:r>
              <w:rPr>
                <w:color w:val="auto"/>
                <w:sz w:val="24"/>
                <w:highlight w:val="none"/>
              </w:rPr>
              <w:t>过程产生的粉尘。</w:t>
            </w:r>
          </w:p>
          <w:p w14:paraId="22574B7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color w:val="auto"/>
                <w:sz w:val="24"/>
                <w:highlight w:val="none"/>
              </w:rPr>
            </w:pPr>
            <w:r>
              <w:rPr>
                <w:color w:val="auto"/>
                <w:sz w:val="24"/>
                <w:highlight w:val="none"/>
              </w:rPr>
              <w:t>2、废水：主要是在建设施工过程中产生的设备冲洗废水、施工人员产生的生活污水。</w:t>
            </w:r>
          </w:p>
          <w:p w14:paraId="3D39A21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color w:val="auto"/>
                <w:sz w:val="24"/>
                <w:highlight w:val="none"/>
              </w:rPr>
            </w:pPr>
            <w:r>
              <w:rPr>
                <w:color w:val="auto"/>
                <w:sz w:val="24"/>
                <w:highlight w:val="none"/>
              </w:rPr>
              <w:t>3、噪声：主要是施工过程中运输车辆</w:t>
            </w:r>
            <w:r>
              <w:rPr>
                <w:rFonts w:hint="eastAsia"/>
                <w:color w:val="auto"/>
                <w:sz w:val="24"/>
                <w:highlight w:val="none"/>
              </w:rPr>
              <w:t>、施工机械</w:t>
            </w:r>
            <w:r>
              <w:rPr>
                <w:color w:val="auto"/>
                <w:sz w:val="24"/>
                <w:highlight w:val="none"/>
              </w:rPr>
              <w:t>等运行时产生的噪声。</w:t>
            </w:r>
          </w:p>
          <w:p w14:paraId="6EB62560">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imes New Roman" w:hAnsi="Times New Roman" w:eastAsia="宋体" w:cs="Times New Roman"/>
                <w:color w:val="auto"/>
                <w:sz w:val="24"/>
                <w:highlight w:val="none"/>
                <w:lang w:val="en-US" w:eastAsia="zh-CN"/>
              </w:rPr>
            </w:pPr>
            <w:r>
              <w:rPr>
                <w:color w:val="auto"/>
                <w:sz w:val="24"/>
                <w:highlight w:val="none"/>
              </w:rPr>
              <w:t>4、固废：主要是在</w:t>
            </w:r>
            <w:r>
              <w:rPr>
                <w:rFonts w:hint="eastAsia"/>
                <w:color w:val="auto"/>
                <w:sz w:val="24"/>
                <w:highlight w:val="none"/>
              </w:rPr>
              <w:t>现有建筑物拆除产生的建筑垃圾、</w:t>
            </w:r>
            <w:r>
              <w:rPr>
                <w:color w:val="auto"/>
                <w:sz w:val="24"/>
                <w:highlight w:val="none"/>
              </w:rPr>
              <w:t>施工过程中产生的建筑垃圾</w:t>
            </w:r>
            <w:r>
              <w:rPr>
                <w:rFonts w:hint="eastAsia"/>
                <w:color w:val="auto"/>
                <w:sz w:val="24"/>
                <w:highlight w:val="none"/>
              </w:rPr>
              <w:t>、包装物</w:t>
            </w:r>
            <w:r>
              <w:rPr>
                <w:color w:val="auto"/>
                <w:sz w:val="24"/>
                <w:highlight w:val="none"/>
              </w:rPr>
              <w:t>和施工人员产生的生活垃圾。</w:t>
            </w:r>
          </w:p>
          <w:p w14:paraId="42546FA2">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eastAsia="宋体" w:cs="Times New Roman"/>
                <w:b/>
                <w:bCs/>
                <w:color w:val="auto"/>
                <w:sz w:val="24"/>
                <w:highlight w:val="none"/>
                <w:lang w:val="en-US" w:eastAsia="zh-CN"/>
              </w:rPr>
            </w:pPr>
            <w:r>
              <w:rPr>
                <w:rFonts w:hint="eastAsia" w:ascii="Times New Roman" w:hAnsi="Times New Roman" w:eastAsia="宋体" w:cs="Times New Roman"/>
                <w:b/>
                <w:bCs/>
                <w:color w:val="auto"/>
                <w:sz w:val="24"/>
                <w:highlight w:val="none"/>
                <w:lang w:val="en-US" w:eastAsia="zh-CN"/>
              </w:rPr>
              <w:t>二、项目运营期工艺流程</w:t>
            </w:r>
          </w:p>
          <w:p w14:paraId="2547EAB5">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eastAsia="宋体" w:cs="Times New Roman"/>
                <w:color w:val="auto"/>
                <w:sz w:val="24"/>
                <w:highlight w:val="none"/>
                <w:lang w:val="en-US" w:eastAsia="zh-CN"/>
              </w:rPr>
            </w:pPr>
            <w:r>
              <w:rPr>
                <w:rFonts w:hint="eastAsia" w:cs="Times New Roman"/>
                <w:color w:val="auto"/>
                <w:sz w:val="24"/>
                <w:highlight w:val="none"/>
                <w:lang w:val="en-US" w:eastAsia="zh-CN"/>
              </w:rPr>
              <w:t>本次扩建项目仅对模具零件、接受委托进行加工的部分半成品进行发黑处理，现有工程生产工艺不发生变化。</w:t>
            </w:r>
          </w:p>
          <w:p w14:paraId="31B80D4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olor w:val="auto"/>
                <w:lang w:val="en-US" w:eastAsia="zh-CN"/>
              </w:rPr>
            </w:pPr>
            <w:r>
              <w:rPr>
                <w:rFonts w:hint="eastAsia"/>
                <w:color w:val="auto"/>
                <w:lang w:val="en-US" w:eastAsia="zh-CN"/>
              </w:rPr>
              <w:t>1、接受委托加工半成品</w:t>
            </w:r>
          </w:p>
          <w:p w14:paraId="1C477CA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olor w:val="auto"/>
                <w:lang w:val="en-US" w:eastAsia="zh-CN"/>
              </w:rPr>
            </w:pPr>
            <w:r>
              <w:rPr>
                <w:rFonts w:hint="eastAsia"/>
                <w:color w:val="auto"/>
                <w:lang w:val="en-US" w:eastAsia="zh-CN"/>
              </w:rPr>
              <w:t>半成品</w:t>
            </w:r>
            <w:r>
              <w:rPr>
                <w:rFonts w:hint="default"/>
                <w:color w:val="auto"/>
                <w:lang w:val="en-US" w:eastAsia="zh-CN"/>
              </w:rPr>
              <w:t>主要为其他公司委托处置的标准件，原料由汽运进厂后</w:t>
            </w:r>
            <w:r>
              <w:rPr>
                <w:rFonts w:hint="eastAsia"/>
                <w:color w:val="auto"/>
                <w:lang w:val="en-US" w:eastAsia="zh-CN"/>
              </w:rPr>
              <w:t>进入生产车间。</w:t>
            </w:r>
          </w:p>
          <w:p w14:paraId="5D48E65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color w:val="auto"/>
                <w:lang w:val="en-US" w:eastAsia="zh-CN"/>
              </w:rPr>
            </w:pPr>
            <w:r>
              <w:rPr>
                <w:rFonts w:hint="eastAsia"/>
                <w:color w:val="auto"/>
                <w:lang w:val="en-US" w:eastAsia="zh-CN"/>
              </w:rPr>
              <w:t>根据订单采用加工中心及数控车床进行机械加工，主要进行铣削加工。加工过程中采用调配后的切削液进行润滑，切削液循环使用，定期补充损耗量。此过程中会产生含切削液金属屑，根据《国家危险废物名录（2021年版）》“经压榨、压滤、过滤除油达到静置无滴漏后打包压块用于金属冶炼”的利用过程不按危险废物管理，本项目含切削液金属屑收集后暂存危废暂存间内，定期交由有资质单位处置或利用。</w:t>
            </w:r>
          </w:p>
          <w:p w14:paraId="728A718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color w:val="auto"/>
                <w:sz w:val="24"/>
                <w:szCs w:val="32"/>
                <w:highlight w:val="none"/>
                <w:lang w:val="en-US" w:eastAsia="zh-CN"/>
              </w:rPr>
            </w:pPr>
            <w:r>
              <w:rPr>
                <w:rFonts w:hint="eastAsia"/>
                <w:color w:val="auto"/>
                <w:lang w:val="en-US" w:eastAsia="zh-CN"/>
              </w:rPr>
              <w:t>加工好的标准件</w:t>
            </w:r>
            <w:r>
              <w:rPr>
                <w:rFonts w:hint="eastAsia"/>
                <w:color w:val="auto"/>
                <w:sz w:val="24"/>
                <w:szCs w:val="32"/>
                <w:highlight w:val="none"/>
                <w:lang w:val="en-US" w:eastAsia="zh-CN"/>
              </w:rPr>
              <w:t>使用加工中心、铣床进行加工，根据图纸对加工好的物料使用铣钻进行打孔等处理。</w:t>
            </w:r>
          </w:p>
          <w:p w14:paraId="04A7E82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olor w:val="auto"/>
                <w:lang w:val="en-US" w:eastAsia="zh-CN"/>
              </w:rPr>
            </w:pPr>
            <w:r>
              <w:rPr>
                <w:rFonts w:hint="eastAsia"/>
                <w:color w:val="auto"/>
                <w:sz w:val="24"/>
                <w:szCs w:val="32"/>
                <w:highlight w:val="none"/>
                <w:lang w:val="en-US" w:eastAsia="zh-CN"/>
              </w:rPr>
              <w:t>接受外委加工80%的部件及通过钢锭生产的部分配件需进行发黑处理，发黑处理前，需使用水枪对零部件进行冲洗，去除上面沾染的铁屑。</w:t>
            </w:r>
          </w:p>
          <w:p w14:paraId="4E880B7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color w:val="auto"/>
                <w:lang w:val="en-US" w:eastAsia="zh-CN"/>
              </w:rPr>
            </w:pPr>
            <w:r>
              <w:rPr>
                <w:rFonts w:hint="default"/>
                <w:color w:val="auto"/>
                <w:lang w:val="en-US" w:eastAsia="zh-CN"/>
              </w:rPr>
              <w:t>发黑处理是指在钢铁表面形成一层的黑色薄膜（即“黑锈”），以保护钢铁内部材质不受氧化的处理工艺。</w:t>
            </w:r>
            <w:r>
              <w:rPr>
                <w:rFonts w:hint="eastAsia"/>
                <w:color w:val="auto"/>
                <w:lang w:val="en-US" w:eastAsia="zh-CN"/>
              </w:rPr>
              <w:t>本项目对铁锭生产的产品及合作单位委托处理的80%半成品进行发黑处理。发黑工艺共需要六步，具体工艺如下：</w:t>
            </w:r>
          </w:p>
          <w:p w14:paraId="4A197BF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olor w:val="auto"/>
                <w:lang w:val="en-US" w:eastAsia="zh-CN"/>
              </w:rPr>
            </w:pPr>
            <w:r>
              <w:rPr>
                <w:rFonts w:hint="eastAsia"/>
                <w:color w:val="auto"/>
                <w:lang w:val="en-US" w:eastAsia="zh-CN"/>
              </w:rPr>
              <w:t>（1）碱洗</w:t>
            </w:r>
          </w:p>
          <w:p w14:paraId="6212A3C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color w:val="auto"/>
                <w:lang w:val="en-US" w:eastAsia="zh-CN"/>
              </w:rPr>
            </w:pPr>
            <w:r>
              <w:rPr>
                <w:rFonts w:hint="eastAsia"/>
                <w:color w:val="auto"/>
                <w:lang w:val="en-US" w:eastAsia="zh-CN"/>
              </w:rPr>
              <w:t>首先将零部件放入碱槽内去油，碱洗槽使用电加热，碱洗槽温度保持在135℃左右，零件在槽内浸泡30分钟后取出。</w:t>
            </w:r>
          </w:p>
          <w:p w14:paraId="14E152F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olor w:val="auto"/>
                <w:sz w:val="24"/>
                <w:szCs w:val="32"/>
                <w:highlight w:val="none"/>
                <w:lang w:val="en-US" w:eastAsia="zh-CN"/>
              </w:rPr>
            </w:pPr>
            <w:r>
              <w:rPr>
                <w:rFonts w:hint="eastAsia"/>
                <w:color w:val="auto"/>
                <w:sz w:val="24"/>
                <w:szCs w:val="32"/>
                <w:highlight w:val="none"/>
                <w:lang w:val="en-US" w:eastAsia="zh-CN"/>
              </w:rPr>
              <w:t>（2）降温</w:t>
            </w:r>
          </w:p>
          <w:p w14:paraId="50D7F2D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olor w:val="auto"/>
                <w:sz w:val="24"/>
                <w:szCs w:val="32"/>
                <w:highlight w:val="none"/>
                <w:lang w:val="en-US" w:eastAsia="zh-CN"/>
              </w:rPr>
            </w:pPr>
            <w:r>
              <w:rPr>
                <w:rFonts w:hint="eastAsia"/>
                <w:color w:val="auto"/>
                <w:lang w:val="en-US" w:eastAsia="zh-CN"/>
              </w:rPr>
              <w:t>取出后放入1号清水槽进行浸泡降温，浸泡时间约为5分钟，使零部件降至25℃-30℃后取出。</w:t>
            </w:r>
          </w:p>
          <w:p w14:paraId="672EB24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color w:val="auto"/>
                <w:lang w:val="en-US" w:eastAsia="zh-CN"/>
              </w:rPr>
            </w:pPr>
            <w:r>
              <w:rPr>
                <w:rFonts w:hint="eastAsia"/>
                <w:color w:val="auto"/>
                <w:lang w:val="en-US" w:eastAsia="zh-CN"/>
              </w:rPr>
              <w:t>（3）酸洗</w:t>
            </w:r>
          </w:p>
          <w:p w14:paraId="243DF4B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olor w:val="auto"/>
                <w:lang w:val="en-US" w:eastAsia="zh-CN"/>
              </w:rPr>
            </w:pPr>
            <w:r>
              <w:rPr>
                <w:rFonts w:hint="eastAsia"/>
                <w:color w:val="auto"/>
                <w:lang w:val="en-US" w:eastAsia="zh-CN"/>
              </w:rPr>
              <w:t>降至常温后放到酸洗槽进行除锈，酸洗槽为常温，零部件浸泡时间约为30分钟。</w:t>
            </w:r>
          </w:p>
          <w:p w14:paraId="3E8D8AC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olor w:val="auto"/>
                <w:lang w:val="en-US" w:eastAsia="zh-CN"/>
              </w:rPr>
            </w:pPr>
            <w:r>
              <w:rPr>
                <w:rFonts w:hint="eastAsia"/>
                <w:color w:val="auto"/>
                <w:lang w:val="en-US" w:eastAsia="zh-CN"/>
              </w:rPr>
              <w:t>（4）清洗</w:t>
            </w:r>
          </w:p>
          <w:p w14:paraId="7389686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olor w:val="auto"/>
                <w:lang w:val="en-US" w:eastAsia="zh-CN"/>
              </w:rPr>
            </w:pPr>
            <w:r>
              <w:rPr>
                <w:rFonts w:hint="eastAsia"/>
                <w:color w:val="auto"/>
                <w:lang w:val="en-US" w:eastAsia="zh-CN"/>
              </w:rPr>
              <w:t>取出后放入2号清水槽进行清洗，去除零件上附着的盐酸。</w:t>
            </w:r>
          </w:p>
          <w:p w14:paraId="668F89E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olor w:val="auto"/>
                <w:lang w:val="en-US" w:eastAsia="zh-CN"/>
              </w:rPr>
            </w:pPr>
            <w:r>
              <w:rPr>
                <w:rFonts w:hint="eastAsia"/>
                <w:color w:val="auto"/>
                <w:lang w:val="en-US" w:eastAsia="zh-CN"/>
              </w:rPr>
              <w:t>（5）碱洗</w:t>
            </w:r>
          </w:p>
          <w:p w14:paraId="48FA20F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olor w:val="auto"/>
                <w:lang w:val="en-US" w:eastAsia="zh-CN"/>
              </w:rPr>
            </w:pPr>
            <w:r>
              <w:rPr>
                <w:rFonts w:hint="eastAsia"/>
                <w:color w:val="auto"/>
                <w:lang w:val="en-US" w:eastAsia="zh-CN"/>
              </w:rPr>
              <w:t>清洗后的零部件放入碱洗进行发黑处理，反应时间约为30分钟。</w:t>
            </w:r>
          </w:p>
          <w:p w14:paraId="6846E2B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olor w:val="auto"/>
                <w:lang w:val="en-US" w:eastAsia="zh-CN"/>
              </w:rPr>
            </w:pPr>
            <w:r>
              <w:rPr>
                <w:rFonts w:hint="eastAsia"/>
                <w:color w:val="auto"/>
                <w:lang w:val="en-US" w:eastAsia="zh-CN"/>
              </w:rPr>
              <w:t>（6）清洗</w:t>
            </w:r>
          </w:p>
          <w:p w14:paraId="1AE6946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color w:val="auto"/>
                <w:lang w:val="en-US" w:eastAsia="zh-CN"/>
              </w:rPr>
            </w:pPr>
            <w:r>
              <w:rPr>
                <w:rFonts w:hint="eastAsia"/>
                <w:color w:val="auto"/>
                <w:lang w:val="en-US" w:eastAsia="zh-CN"/>
              </w:rPr>
              <w:t>取出后放入3号清水槽进行清洗，去除零件上附着的碱液。</w:t>
            </w:r>
          </w:p>
          <w:p w14:paraId="1FE04CA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olor w:val="auto"/>
                <w:lang w:val="en-US" w:eastAsia="zh-CN"/>
              </w:rPr>
            </w:pPr>
            <w:r>
              <w:rPr>
                <w:rFonts w:hint="eastAsia"/>
                <w:color w:val="auto"/>
                <w:lang w:val="en-US" w:eastAsia="zh-CN"/>
              </w:rPr>
              <w:t>（7）油洗</w:t>
            </w:r>
          </w:p>
          <w:p w14:paraId="23DD7C5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olor w:val="auto"/>
                <w:lang w:val="en-US" w:eastAsia="zh-CN"/>
              </w:rPr>
            </w:pPr>
            <w:r>
              <w:rPr>
                <w:rFonts w:hint="eastAsia"/>
                <w:color w:val="auto"/>
                <w:lang w:val="en-US" w:eastAsia="zh-CN"/>
              </w:rPr>
              <w:t>发黑后的成品需在油槽内浸泡一下，使零部件表面附着液压油，形成油膜，防止零部件存放及运输过程中氧化。</w:t>
            </w:r>
          </w:p>
          <w:p w14:paraId="5484BF45">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eastAsia"/>
                <w:b/>
                <w:bCs/>
                <w:color w:val="auto"/>
                <w:lang w:val="en-US" w:eastAsia="zh-CN"/>
              </w:rPr>
            </w:pPr>
            <w:r>
              <w:rPr>
                <w:rFonts w:hint="eastAsia"/>
                <w:b/>
                <w:bCs/>
                <w:color w:val="auto"/>
                <w:lang w:val="en-US" w:eastAsia="zh-CN"/>
              </w:rPr>
              <w:drawing>
                <wp:inline distT="0" distB="0" distL="114300" distR="114300">
                  <wp:extent cx="5104765" cy="1689100"/>
                  <wp:effectExtent l="0" t="0" r="0" b="0"/>
                  <wp:docPr id="15" name="ECB019B1-382A-4266-B25C-5B523AA43C14-6" descr="C:/Users/86133/AppData/Local/Temp/wps.OyLriL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ECB019B1-382A-4266-B25C-5B523AA43C14-6" descr="C:/Users/86133/AppData/Local/Temp/wps.OyLriLwps"/>
                          <pic:cNvPicPr>
                            <a:picLocks noChangeAspect="1"/>
                          </pic:cNvPicPr>
                        </pic:nvPicPr>
                        <pic:blipFill>
                          <a:blip r:embed="rId21"/>
                          <a:stretch>
                            <a:fillRect/>
                          </a:stretch>
                        </pic:blipFill>
                        <pic:spPr>
                          <a:xfrm>
                            <a:off x="0" y="0"/>
                            <a:ext cx="5104765" cy="1689100"/>
                          </a:xfrm>
                          <a:prstGeom prst="rect">
                            <a:avLst/>
                          </a:prstGeom>
                        </pic:spPr>
                      </pic:pic>
                    </a:graphicData>
                  </a:graphic>
                </wp:inline>
              </w:drawing>
            </w:r>
          </w:p>
          <w:p w14:paraId="355C3166">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default"/>
                <w:b/>
                <w:bCs/>
                <w:color w:val="auto"/>
                <w:lang w:val="en-US" w:eastAsia="zh-CN"/>
              </w:rPr>
            </w:pPr>
            <w:r>
              <w:rPr>
                <w:rFonts w:hint="eastAsia"/>
                <w:b/>
                <w:bCs/>
                <w:color w:val="auto"/>
                <w:lang w:val="en-US" w:eastAsia="zh-CN"/>
              </w:rPr>
              <w:t>图2-7  新增发黑工艺流程图</w:t>
            </w:r>
          </w:p>
          <w:p w14:paraId="7BF1B8AA">
            <w:pPr>
              <w:ind w:firstLine="420"/>
              <w:rPr>
                <w:rFonts w:ascii="Times New Roman" w:hAnsi="Times New Roman" w:eastAsia="宋体" w:cs="Times New Roman"/>
                <w:color w:val="auto"/>
                <w:szCs w:val="24"/>
                <w:highlight w:val="none"/>
              </w:rPr>
            </w:pPr>
            <w:r>
              <w:rPr>
                <w:rFonts w:hint="eastAsia" w:ascii="Times New Roman" w:hAnsi="Times New Roman" w:eastAsia="宋体" w:cs="Times New Roman"/>
                <w:color w:val="auto"/>
                <w:szCs w:val="24"/>
                <w:highlight w:val="none"/>
              </w:rPr>
              <w:t>本项目排污节点详见表</w:t>
            </w:r>
            <w:r>
              <w:rPr>
                <w:rFonts w:hint="eastAsia" w:cs="Times New Roman"/>
                <w:color w:val="auto"/>
                <w:szCs w:val="24"/>
                <w:highlight w:val="none"/>
                <w:lang w:eastAsia="zh-CN"/>
              </w:rPr>
              <w:t>2</w:t>
            </w:r>
            <w:r>
              <w:rPr>
                <w:rFonts w:hint="eastAsia" w:cs="Times New Roman"/>
                <w:color w:val="auto"/>
                <w:szCs w:val="24"/>
                <w:highlight w:val="none"/>
                <w:lang w:val="en-US" w:eastAsia="zh-CN"/>
              </w:rPr>
              <w:t>.16</w:t>
            </w:r>
            <w:r>
              <w:rPr>
                <w:rFonts w:hint="eastAsia" w:ascii="Times New Roman" w:hAnsi="Times New Roman" w:eastAsia="宋体" w:cs="Times New Roman"/>
                <w:color w:val="auto"/>
                <w:szCs w:val="24"/>
                <w:highlight w:val="none"/>
              </w:rPr>
              <w:t>。</w:t>
            </w:r>
          </w:p>
          <w:p w14:paraId="2BE99EB7">
            <w:pPr>
              <w:adjustRightInd w:val="0"/>
              <w:snapToGrid w:val="0"/>
              <w:spacing w:line="240" w:lineRule="auto"/>
              <w:ind w:firstLine="422"/>
              <w:jc w:val="center"/>
              <w:rPr>
                <w:rFonts w:ascii="Times New Roman" w:hAnsi="Times New Roman" w:eastAsia="宋体" w:cs="Times New Roman"/>
                <w:color w:val="auto"/>
                <w:sz w:val="24"/>
                <w:szCs w:val="24"/>
                <w:highlight w:val="none"/>
              </w:rPr>
            </w:pPr>
            <w:r>
              <w:rPr>
                <w:rFonts w:hint="eastAsia" w:ascii="Times New Roman" w:hAnsi="宋体" w:eastAsia="宋体" w:cs="Times New Roman"/>
                <w:b/>
                <w:bCs/>
                <w:color w:val="auto"/>
                <w:sz w:val="24"/>
                <w:szCs w:val="21"/>
                <w:highlight w:val="none"/>
              </w:rPr>
              <w:t>表</w:t>
            </w:r>
            <w:r>
              <w:rPr>
                <w:rFonts w:hint="eastAsia" w:hAnsi="宋体" w:cs="Times New Roman"/>
                <w:b/>
                <w:bCs/>
                <w:color w:val="auto"/>
                <w:sz w:val="24"/>
                <w:szCs w:val="21"/>
                <w:highlight w:val="none"/>
                <w:lang w:val="en-US" w:eastAsia="zh-CN"/>
              </w:rPr>
              <w:t xml:space="preserve">2-16  </w:t>
            </w:r>
            <w:r>
              <w:rPr>
                <w:rFonts w:hint="eastAsia" w:ascii="Times New Roman" w:hAnsi="宋体" w:eastAsia="宋体" w:cs="Times New Roman"/>
                <w:b/>
                <w:bCs/>
                <w:color w:val="auto"/>
                <w:sz w:val="24"/>
                <w:szCs w:val="21"/>
                <w:highlight w:val="none"/>
              </w:rPr>
              <w:t>本项目排污节点一览表</w:t>
            </w:r>
          </w:p>
          <w:tbl>
            <w:tblPr>
              <w:tblStyle w:val="3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8"/>
              <w:gridCol w:w="642"/>
              <w:gridCol w:w="1077"/>
              <w:gridCol w:w="2065"/>
              <w:gridCol w:w="3801"/>
            </w:tblGrid>
            <w:tr w14:paraId="2F6D1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399" w:type="pct"/>
                  <w:tcBorders>
                    <w:bottom w:val="single" w:color="auto" w:sz="4" w:space="0"/>
                  </w:tcBorders>
                  <w:noWrap w:val="0"/>
                  <w:vAlign w:val="center"/>
                </w:tcPr>
                <w:p w14:paraId="42C4FFF1">
                  <w:pPr>
                    <w:adjustRightInd w:val="0"/>
                    <w:snapToGrid w:val="0"/>
                    <w:spacing w:line="240" w:lineRule="auto"/>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类别</w:t>
                  </w:r>
                </w:p>
              </w:tc>
              <w:tc>
                <w:tcPr>
                  <w:tcW w:w="1042" w:type="pct"/>
                  <w:gridSpan w:val="2"/>
                  <w:tcBorders>
                    <w:bottom w:val="single" w:color="auto" w:sz="4" w:space="0"/>
                  </w:tcBorders>
                  <w:noWrap w:val="0"/>
                  <w:vAlign w:val="center"/>
                </w:tcPr>
                <w:p w14:paraId="37C3B8B5">
                  <w:pPr>
                    <w:adjustRightInd w:val="0"/>
                    <w:snapToGrid w:val="0"/>
                    <w:spacing w:line="240" w:lineRule="auto"/>
                    <w:jc w:val="center"/>
                    <w:rPr>
                      <w:rFonts w:ascii="宋体" w:hAnsi="宋体" w:eastAsia="宋体" w:cs="等线"/>
                      <w:color w:val="auto"/>
                      <w:sz w:val="21"/>
                      <w:szCs w:val="21"/>
                      <w:highlight w:val="none"/>
                    </w:rPr>
                  </w:pPr>
                  <w:r>
                    <w:rPr>
                      <w:rFonts w:hint="eastAsia" w:ascii="宋体" w:hAnsi="宋体" w:eastAsia="宋体" w:cs="等线"/>
                      <w:color w:val="auto"/>
                      <w:sz w:val="21"/>
                      <w:szCs w:val="21"/>
                      <w:highlight w:val="none"/>
                    </w:rPr>
                    <w:t>污染源名称</w:t>
                  </w:r>
                </w:p>
              </w:tc>
              <w:tc>
                <w:tcPr>
                  <w:tcW w:w="1252" w:type="pct"/>
                  <w:tcBorders>
                    <w:bottom w:val="single" w:color="auto" w:sz="4" w:space="0"/>
                  </w:tcBorders>
                  <w:noWrap w:val="0"/>
                  <w:vAlign w:val="center"/>
                </w:tcPr>
                <w:p w14:paraId="0280E6BA">
                  <w:pPr>
                    <w:adjustRightInd w:val="0"/>
                    <w:snapToGrid w:val="0"/>
                    <w:spacing w:line="240" w:lineRule="auto"/>
                    <w:jc w:val="center"/>
                    <w:rPr>
                      <w:rFonts w:ascii="宋体" w:hAnsi="宋体" w:eastAsia="宋体" w:cs="等线"/>
                      <w:color w:val="auto"/>
                      <w:sz w:val="21"/>
                      <w:szCs w:val="21"/>
                      <w:highlight w:val="none"/>
                    </w:rPr>
                  </w:pPr>
                  <w:r>
                    <w:rPr>
                      <w:rFonts w:hint="eastAsia" w:ascii="宋体" w:hAnsi="宋体" w:eastAsia="宋体" w:cs="等线"/>
                      <w:color w:val="auto"/>
                      <w:sz w:val="21"/>
                      <w:szCs w:val="21"/>
                      <w:highlight w:val="none"/>
                    </w:rPr>
                    <w:t>污染物</w:t>
                  </w:r>
                </w:p>
              </w:tc>
              <w:tc>
                <w:tcPr>
                  <w:tcW w:w="2305" w:type="pct"/>
                  <w:tcBorders>
                    <w:bottom w:val="single" w:color="auto" w:sz="4" w:space="0"/>
                  </w:tcBorders>
                  <w:noWrap w:val="0"/>
                  <w:vAlign w:val="center"/>
                </w:tcPr>
                <w:p w14:paraId="03C5C95B">
                  <w:pPr>
                    <w:adjustRightInd w:val="0"/>
                    <w:snapToGrid w:val="0"/>
                    <w:spacing w:line="240" w:lineRule="auto"/>
                    <w:jc w:val="center"/>
                    <w:rPr>
                      <w:rFonts w:ascii="宋体" w:hAnsi="宋体" w:eastAsia="宋体" w:cs="等线"/>
                      <w:color w:val="auto"/>
                      <w:sz w:val="21"/>
                      <w:szCs w:val="21"/>
                      <w:highlight w:val="none"/>
                    </w:rPr>
                  </w:pPr>
                  <w:r>
                    <w:rPr>
                      <w:rFonts w:hint="eastAsia" w:ascii="宋体" w:hAnsi="宋体" w:eastAsia="宋体" w:cs="等线"/>
                      <w:color w:val="auto"/>
                      <w:sz w:val="21"/>
                      <w:szCs w:val="21"/>
                      <w:highlight w:val="none"/>
                    </w:rPr>
                    <w:t>治理措施</w:t>
                  </w:r>
                </w:p>
              </w:tc>
            </w:tr>
            <w:tr w14:paraId="4F3D7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399" w:type="pct"/>
                  <w:tcBorders>
                    <w:top w:val="nil"/>
                  </w:tcBorders>
                  <w:noWrap w:val="0"/>
                  <w:vAlign w:val="center"/>
                </w:tcPr>
                <w:p w14:paraId="66FBFD6F">
                  <w:pPr>
                    <w:adjustRightInd w:val="0"/>
                    <w:snapToGrid w:val="0"/>
                    <w:spacing w:line="240" w:lineRule="auto"/>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废气</w:t>
                  </w:r>
                </w:p>
              </w:tc>
              <w:tc>
                <w:tcPr>
                  <w:tcW w:w="1042" w:type="pct"/>
                  <w:gridSpan w:val="2"/>
                  <w:tcBorders>
                    <w:top w:val="nil"/>
                    <w:bottom w:val="single" w:color="auto" w:sz="4" w:space="0"/>
                  </w:tcBorders>
                  <w:noWrap w:val="0"/>
                  <w:vAlign w:val="center"/>
                </w:tcPr>
                <w:p w14:paraId="147C8FEB">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酸洗</w:t>
                  </w:r>
                </w:p>
              </w:tc>
              <w:tc>
                <w:tcPr>
                  <w:tcW w:w="1252" w:type="pct"/>
                  <w:tcBorders>
                    <w:top w:val="nil"/>
                    <w:bottom w:val="single" w:color="auto" w:sz="4" w:space="0"/>
                  </w:tcBorders>
                  <w:noWrap w:val="0"/>
                  <w:vAlign w:val="center"/>
                </w:tcPr>
                <w:p w14:paraId="32D4AC46">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氯化氢</w:t>
                  </w:r>
                </w:p>
              </w:tc>
              <w:tc>
                <w:tcPr>
                  <w:tcW w:w="2305" w:type="pct"/>
                  <w:tcBorders>
                    <w:top w:val="nil"/>
                    <w:bottom w:val="single" w:color="auto" w:sz="4" w:space="0"/>
                  </w:tcBorders>
                  <w:noWrap w:val="0"/>
                  <w:vAlign w:val="center"/>
                </w:tcPr>
                <w:p w14:paraId="3CDFC5FA">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酸洗过程中产生的氯化氢经集气罩收集后进入碱喷淋塔进行治理，治理后的废气通过1根15m高排气筒排放；未被收集的废气在封闭车间内无组织排放</w:t>
                  </w:r>
                </w:p>
              </w:tc>
            </w:tr>
            <w:tr w14:paraId="422B3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399" w:type="pct"/>
                  <w:noWrap w:val="0"/>
                  <w:vAlign w:val="center"/>
                </w:tcPr>
                <w:p w14:paraId="74513665">
                  <w:pPr>
                    <w:adjustRightInd w:val="0"/>
                    <w:snapToGrid w:val="0"/>
                    <w:spacing w:line="240" w:lineRule="auto"/>
                    <w:jc w:val="center"/>
                    <w:rPr>
                      <w:rFonts w:ascii="Times New Roman" w:hAnsi="Times New Roman" w:eastAsia="宋体" w:cs="Times New Roman"/>
                      <w:color w:val="auto"/>
                      <w:kern w:val="2"/>
                      <w:sz w:val="21"/>
                      <w:szCs w:val="21"/>
                      <w:highlight w:val="none"/>
                      <w:lang w:val="en-US" w:eastAsia="zh-CN" w:bidi="ar-SA"/>
                    </w:rPr>
                  </w:pPr>
                  <w:r>
                    <w:rPr>
                      <w:rFonts w:ascii="Times New Roman" w:hAnsi="Times New Roman" w:eastAsia="宋体" w:cs="Times New Roman"/>
                      <w:color w:val="auto"/>
                      <w:sz w:val="21"/>
                      <w:szCs w:val="21"/>
                      <w:highlight w:val="none"/>
                    </w:rPr>
                    <w:t>废水</w:t>
                  </w:r>
                </w:p>
              </w:tc>
              <w:tc>
                <w:tcPr>
                  <w:tcW w:w="1042" w:type="pct"/>
                  <w:gridSpan w:val="2"/>
                  <w:noWrap w:val="0"/>
                  <w:vAlign w:val="center"/>
                </w:tcPr>
                <w:p w14:paraId="02B425E2">
                  <w:pPr>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冲洗废水</w:t>
                  </w:r>
                </w:p>
              </w:tc>
              <w:tc>
                <w:tcPr>
                  <w:tcW w:w="1252" w:type="pct"/>
                  <w:noWrap w:val="0"/>
                  <w:vAlign w:val="center"/>
                </w:tcPr>
                <w:p w14:paraId="6EF9D5B8">
                  <w:pPr>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COD、氨氮、SS、石油类</w:t>
                  </w:r>
                </w:p>
              </w:tc>
              <w:tc>
                <w:tcPr>
                  <w:tcW w:w="2305" w:type="pct"/>
                  <w:noWrap w:val="0"/>
                  <w:vAlign w:val="center"/>
                </w:tcPr>
                <w:p w14:paraId="4CB552DC">
                  <w:pPr>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冲洗废水进入废水池暂存定期使用密闭罐车运至秦皇岛市抚宁区中冶水务有限公司</w:t>
                  </w:r>
                </w:p>
              </w:tc>
            </w:tr>
            <w:tr w14:paraId="3950F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 w:hRule="atLeast"/>
                <w:jc w:val="center"/>
              </w:trPr>
              <w:tc>
                <w:tcPr>
                  <w:tcW w:w="399" w:type="pct"/>
                  <w:tcBorders>
                    <w:bottom w:val="nil"/>
                  </w:tcBorders>
                  <w:noWrap w:val="0"/>
                  <w:vAlign w:val="center"/>
                </w:tcPr>
                <w:p w14:paraId="734F570D">
                  <w:pPr>
                    <w:adjustRightInd w:val="0"/>
                    <w:snapToGrid w:val="0"/>
                    <w:spacing w:line="240" w:lineRule="auto"/>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噪声</w:t>
                  </w:r>
                </w:p>
              </w:tc>
              <w:tc>
                <w:tcPr>
                  <w:tcW w:w="1042" w:type="pct"/>
                  <w:gridSpan w:val="2"/>
                  <w:tcBorders>
                    <w:bottom w:val="nil"/>
                  </w:tcBorders>
                  <w:noWrap w:val="0"/>
                  <w:vAlign w:val="center"/>
                </w:tcPr>
                <w:p w14:paraId="293E738C">
                  <w:pPr>
                    <w:adjustRightInd w:val="0"/>
                    <w:snapToGrid w:val="0"/>
                    <w:spacing w:line="240" w:lineRule="auto"/>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生产设备</w:t>
                  </w:r>
                </w:p>
              </w:tc>
              <w:tc>
                <w:tcPr>
                  <w:tcW w:w="1252" w:type="pct"/>
                  <w:tcBorders>
                    <w:bottom w:val="nil"/>
                  </w:tcBorders>
                  <w:noWrap w:val="0"/>
                  <w:vAlign w:val="center"/>
                </w:tcPr>
                <w:p w14:paraId="6B0E175D">
                  <w:pPr>
                    <w:adjustRightInd w:val="0"/>
                    <w:snapToGrid w:val="0"/>
                    <w:spacing w:line="240" w:lineRule="auto"/>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L</w:t>
                  </w:r>
                  <w:r>
                    <w:rPr>
                      <w:rFonts w:hint="default" w:ascii="Times New Roman" w:hAnsi="Times New Roman" w:eastAsia="宋体" w:cs="Times New Roman"/>
                      <w:color w:val="auto"/>
                      <w:sz w:val="21"/>
                      <w:szCs w:val="21"/>
                      <w:highlight w:val="none"/>
                      <w:vertAlign w:val="subscript"/>
                    </w:rPr>
                    <w:t>eq</w:t>
                  </w:r>
                </w:p>
              </w:tc>
              <w:tc>
                <w:tcPr>
                  <w:tcW w:w="2305" w:type="pct"/>
                  <w:tcBorders>
                    <w:bottom w:val="nil"/>
                  </w:tcBorders>
                  <w:noWrap w:val="0"/>
                  <w:vAlign w:val="center"/>
                </w:tcPr>
                <w:p w14:paraId="253854BD">
                  <w:pPr>
                    <w:adjustRightInd w:val="0"/>
                    <w:snapToGrid w:val="0"/>
                    <w:spacing w:line="240" w:lineRule="auto"/>
                    <w:jc w:val="center"/>
                    <w:rPr>
                      <w:rFonts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减震基础+</w:t>
                  </w:r>
                  <w:r>
                    <w:rPr>
                      <w:rFonts w:ascii="Times New Roman" w:hAnsi="Times New Roman" w:eastAsia="宋体" w:cs="Times New Roman"/>
                      <w:color w:val="auto"/>
                      <w:sz w:val="21"/>
                      <w:szCs w:val="21"/>
                      <w:highlight w:val="none"/>
                    </w:rPr>
                    <w:t>厂房隔声</w:t>
                  </w:r>
                </w:p>
              </w:tc>
            </w:tr>
            <w:tr w14:paraId="1A619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jc w:val="center"/>
              </w:trPr>
              <w:tc>
                <w:tcPr>
                  <w:tcW w:w="399" w:type="pct"/>
                  <w:vMerge w:val="restart"/>
                  <w:noWrap w:val="0"/>
                  <w:vAlign w:val="center"/>
                </w:tcPr>
                <w:p w14:paraId="6937C19F">
                  <w:pPr>
                    <w:adjustRightInd w:val="0"/>
                    <w:snapToGrid w:val="0"/>
                    <w:spacing w:line="240" w:lineRule="auto"/>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固体废物</w:t>
                  </w:r>
                </w:p>
              </w:tc>
              <w:tc>
                <w:tcPr>
                  <w:tcW w:w="389" w:type="pct"/>
                  <w:noWrap w:val="0"/>
                  <w:vAlign w:val="center"/>
                </w:tcPr>
                <w:p w14:paraId="2E2F409C">
                  <w:pPr>
                    <w:pStyle w:val="58"/>
                    <w:ind w:firstLine="0" w:firstLineChars="0"/>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一般工业固体废物</w:t>
                  </w:r>
                </w:p>
              </w:tc>
              <w:tc>
                <w:tcPr>
                  <w:tcW w:w="653" w:type="pct"/>
                  <w:noWrap w:val="0"/>
                  <w:vAlign w:val="center"/>
                </w:tcPr>
                <w:p w14:paraId="0EA75F9A">
                  <w:pPr>
                    <w:pStyle w:val="58"/>
                    <w:ind w:firstLine="0" w:firstLineChars="0"/>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加工、不合格品、边角料</w:t>
                  </w:r>
                </w:p>
              </w:tc>
              <w:tc>
                <w:tcPr>
                  <w:tcW w:w="1252" w:type="pct"/>
                  <w:noWrap w:val="0"/>
                  <w:vAlign w:val="center"/>
                </w:tcPr>
                <w:p w14:paraId="3F29DB05">
                  <w:pPr>
                    <w:pStyle w:val="58"/>
                    <w:ind w:firstLine="0"/>
                    <w:rPr>
                      <w:rFonts w:hint="default" w:ascii="Times New Roman" w:hAnsi="Times New Roman"/>
                      <w:color w:val="auto"/>
                      <w:szCs w:val="21"/>
                      <w:highlight w:val="none"/>
                      <w:lang w:val="en-US" w:eastAsia="zh-CN"/>
                    </w:rPr>
                  </w:pPr>
                  <w:r>
                    <w:rPr>
                      <w:rFonts w:hint="eastAsia" w:ascii="Times New Roman" w:hAnsi="Times New Roman" w:cs="Times New Roman"/>
                      <w:color w:val="auto"/>
                      <w:sz w:val="21"/>
                      <w:szCs w:val="21"/>
                      <w:highlight w:val="none"/>
                      <w:lang w:val="en-US" w:eastAsia="zh-CN"/>
                    </w:rPr>
                    <w:t>不含切削液金属屑</w:t>
                  </w:r>
                </w:p>
              </w:tc>
              <w:tc>
                <w:tcPr>
                  <w:tcW w:w="2305" w:type="pct"/>
                  <w:noWrap w:val="0"/>
                  <w:vAlign w:val="center"/>
                </w:tcPr>
                <w:p w14:paraId="5230BBE7">
                  <w:pPr>
                    <w:pStyle w:val="58"/>
                    <w:ind w:firstLine="0"/>
                    <w:rPr>
                      <w:rFonts w:hint="default" w:ascii="Times New Roman" w:hAnsi="Times New Roman"/>
                      <w:color w:val="auto"/>
                      <w:szCs w:val="21"/>
                      <w:highlight w:val="none"/>
                      <w:lang w:val="en-US" w:eastAsia="zh-CN"/>
                    </w:rPr>
                  </w:pPr>
                  <w:r>
                    <w:rPr>
                      <w:rFonts w:hint="eastAsia"/>
                      <w:color w:val="auto"/>
                      <w:highlight w:val="none"/>
                    </w:rPr>
                    <w:t>收集后外售</w:t>
                  </w:r>
                </w:p>
              </w:tc>
            </w:tr>
            <w:tr w14:paraId="240C3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jc w:val="center"/>
              </w:trPr>
              <w:tc>
                <w:tcPr>
                  <w:tcW w:w="399" w:type="pct"/>
                  <w:vMerge w:val="continue"/>
                  <w:noWrap w:val="0"/>
                  <w:vAlign w:val="center"/>
                </w:tcPr>
                <w:p w14:paraId="33C54B9F">
                  <w:pPr>
                    <w:adjustRightInd w:val="0"/>
                    <w:snapToGrid w:val="0"/>
                    <w:spacing w:line="240" w:lineRule="auto"/>
                    <w:jc w:val="center"/>
                    <w:rPr>
                      <w:rFonts w:hint="eastAsia" w:cs="Times New Roman"/>
                      <w:color w:val="auto"/>
                      <w:sz w:val="21"/>
                      <w:szCs w:val="21"/>
                      <w:highlight w:val="none"/>
                      <w:lang w:val="en-US" w:eastAsia="zh-CN"/>
                    </w:rPr>
                  </w:pPr>
                </w:p>
              </w:tc>
              <w:tc>
                <w:tcPr>
                  <w:tcW w:w="389" w:type="pct"/>
                  <w:vMerge w:val="restart"/>
                  <w:noWrap w:val="0"/>
                  <w:vAlign w:val="center"/>
                </w:tcPr>
                <w:p w14:paraId="1E6FDA12">
                  <w:pPr>
                    <w:pStyle w:val="58"/>
                    <w:ind w:firstLine="0" w:firstLineChars="0"/>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危险废物</w:t>
                  </w:r>
                </w:p>
              </w:tc>
              <w:tc>
                <w:tcPr>
                  <w:tcW w:w="653" w:type="pct"/>
                  <w:noWrap w:val="0"/>
                  <w:vAlign w:val="center"/>
                </w:tcPr>
                <w:p w14:paraId="6FE028DB">
                  <w:pPr>
                    <w:pStyle w:val="58"/>
                    <w:ind w:firstLine="0" w:firstLineChars="0"/>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发黑</w:t>
                  </w:r>
                </w:p>
              </w:tc>
              <w:tc>
                <w:tcPr>
                  <w:tcW w:w="1252" w:type="pct"/>
                  <w:vMerge w:val="restart"/>
                  <w:noWrap w:val="0"/>
                  <w:vAlign w:val="center"/>
                </w:tcPr>
                <w:p w14:paraId="4B547A8D">
                  <w:pPr>
                    <w:pStyle w:val="58"/>
                    <w:ind w:firstLine="0"/>
                    <w:rPr>
                      <w:rFonts w:hint="default" w:ascii="Times New Roman" w:hAnsi="Times New Roman" w:cs="Times New Roman"/>
                      <w:color w:val="auto"/>
                      <w:sz w:val="21"/>
                      <w:szCs w:val="21"/>
                      <w:highlight w:val="none"/>
                      <w:lang w:val="en-US" w:eastAsia="zh-CN"/>
                    </w:rPr>
                  </w:pPr>
                  <w:r>
                    <w:rPr>
                      <w:rFonts w:hint="eastAsia" w:ascii="Times New Roman" w:hAnsi="Times New Roman"/>
                      <w:color w:val="auto"/>
                      <w:szCs w:val="21"/>
                      <w:highlight w:val="none"/>
                      <w:lang w:val="en-US" w:eastAsia="zh-CN"/>
                    </w:rPr>
                    <w:t>油泥、废渣、</w:t>
                  </w:r>
                  <w:r>
                    <w:rPr>
                      <w:rFonts w:hint="eastAsia" w:ascii="Times New Roman" w:hAnsi="Times New Roman" w:cs="Times New Roman"/>
                      <w:color w:val="auto"/>
                      <w:sz w:val="21"/>
                      <w:szCs w:val="21"/>
                      <w:highlight w:val="none"/>
                      <w:lang w:val="en-US" w:eastAsia="zh-CN"/>
                    </w:rPr>
                    <w:t>片碱包装袋、盐酸废包装瓶、废油桶、废切削液桶、废切削液、含切削液金属屑</w:t>
                  </w:r>
                </w:p>
              </w:tc>
              <w:tc>
                <w:tcPr>
                  <w:tcW w:w="2305" w:type="pct"/>
                  <w:vMerge w:val="restart"/>
                  <w:noWrap w:val="0"/>
                  <w:vAlign w:val="center"/>
                </w:tcPr>
                <w:p w14:paraId="0C174A6E">
                  <w:pPr>
                    <w:pStyle w:val="58"/>
                    <w:ind w:firstLine="0"/>
                    <w:rPr>
                      <w:rFonts w:hint="default" w:ascii="Times New Roman" w:hAnsi="Times New Roman"/>
                      <w:color w:val="auto"/>
                      <w:szCs w:val="21"/>
                      <w:highlight w:val="none"/>
                      <w:lang w:val="en-US" w:eastAsia="zh-CN"/>
                    </w:rPr>
                  </w:pPr>
                  <w:r>
                    <w:rPr>
                      <w:rFonts w:hint="eastAsia" w:ascii="Times New Roman" w:hAnsi="Times New Roman" w:cs="Times New Roman"/>
                      <w:color w:val="auto"/>
                      <w:sz w:val="21"/>
                      <w:szCs w:val="21"/>
                      <w:highlight w:val="none"/>
                      <w:lang w:val="en-US" w:eastAsia="zh-CN"/>
                    </w:rPr>
                    <w:t>收集后暂存危废暂存间内，定期交由有资质单位进行处理</w:t>
                  </w:r>
                </w:p>
              </w:tc>
            </w:tr>
            <w:tr w14:paraId="0BF35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 w:hRule="atLeast"/>
                <w:jc w:val="center"/>
              </w:trPr>
              <w:tc>
                <w:tcPr>
                  <w:tcW w:w="399" w:type="pct"/>
                  <w:vMerge w:val="continue"/>
                  <w:noWrap w:val="0"/>
                  <w:vAlign w:val="center"/>
                </w:tcPr>
                <w:p w14:paraId="39E807E4">
                  <w:pPr>
                    <w:adjustRightInd w:val="0"/>
                    <w:snapToGrid w:val="0"/>
                    <w:spacing w:line="240" w:lineRule="auto"/>
                    <w:jc w:val="center"/>
                    <w:rPr>
                      <w:rFonts w:hint="eastAsia" w:cs="Times New Roman"/>
                      <w:color w:val="auto"/>
                      <w:sz w:val="21"/>
                      <w:szCs w:val="21"/>
                      <w:highlight w:val="none"/>
                      <w:lang w:val="en-US" w:eastAsia="zh-CN"/>
                    </w:rPr>
                  </w:pPr>
                </w:p>
              </w:tc>
              <w:tc>
                <w:tcPr>
                  <w:tcW w:w="389" w:type="pct"/>
                  <w:vMerge w:val="continue"/>
                  <w:noWrap w:val="0"/>
                  <w:vAlign w:val="center"/>
                </w:tcPr>
                <w:p w14:paraId="42CEA49B">
                  <w:pPr>
                    <w:pStyle w:val="58"/>
                    <w:ind w:firstLine="0" w:firstLineChars="0"/>
                    <w:rPr>
                      <w:rFonts w:hint="eastAsia" w:ascii="Times New Roman" w:hAnsi="Times New Roman" w:cs="Times New Roman"/>
                      <w:color w:val="auto"/>
                      <w:sz w:val="21"/>
                      <w:szCs w:val="21"/>
                      <w:highlight w:val="none"/>
                      <w:lang w:val="en-US" w:eastAsia="zh-CN"/>
                    </w:rPr>
                  </w:pPr>
                </w:p>
              </w:tc>
              <w:tc>
                <w:tcPr>
                  <w:tcW w:w="653" w:type="pct"/>
                  <w:noWrap w:val="0"/>
                  <w:vAlign w:val="center"/>
                </w:tcPr>
                <w:p w14:paraId="57300E2B">
                  <w:pPr>
                    <w:pStyle w:val="58"/>
                    <w:ind w:firstLine="0" w:firstLineChars="0"/>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原辅料</w:t>
                  </w:r>
                </w:p>
              </w:tc>
              <w:tc>
                <w:tcPr>
                  <w:tcW w:w="1252" w:type="pct"/>
                  <w:vMerge w:val="continue"/>
                  <w:noWrap w:val="0"/>
                  <w:vAlign w:val="center"/>
                </w:tcPr>
                <w:p w14:paraId="02BA6E60">
                  <w:pPr>
                    <w:pStyle w:val="58"/>
                    <w:ind w:firstLine="0"/>
                    <w:rPr>
                      <w:rFonts w:hint="default" w:ascii="Times New Roman" w:hAnsi="Times New Roman" w:cs="Times New Roman"/>
                      <w:color w:val="auto"/>
                      <w:sz w:val="21"/>
                      <w:szCs w:val="21"/>
                      <w:highlight w:val="none"/>
                      <w:lang w:val="en-US" w:eastAsia="zh-CN"/>
                    </w:rPr>
                  </w:pPr>
                </w:p>
              </w:tc>
              <w:tc>
                <w:tcPr>
                  <w:tcW w:w="2305" w:type="pct"/>
                  <w:vMerge w:val="continue"/>
                  <w:noWrap w:val="0"/>
                  <w:vAlign w:val="center"/>
                </w:tcPr>
                <w:p w14:paraId="2F8F88D5">
                  <w:pPr>
                    <w:pStyle w:val="58"/>
                    <w:ind w:firstLine="0"/>
                    <w:rPr>
                      <w:rFonts w:hint="eastAsia"/>
                      <w:color w:val="auto"/>
                      <w:highlight w:val="none"/>
                      <w:lang w:val="en-US" w:eastAsia="zh-CN"/>
                    </w:rPr>
                  </w:pPr>
                </w:p>
              </w:tc>
            </w:tr>
            <w:tr w14:paraId="1F92E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4" w:hRule="atLeast"/>
                <w:jc w:val="center"/>
              </w:trPr>
              <w:tc>
                <w:tcPr>
                  <w:tcW w:w="399" w:type="pct"/>
                  <w:vMerge w:val="continue"/>
                  <w:noWrap w:val="0"/>
                  <w:vAlign w:val="center"/>
                </w:tcPr>
                <w:p w14:paraId="5212EBD3">
                  <w:pPr>
                    <w:adjustRightInd w:val="0"/>
                    <w:snapToGrid w:val="0"/>
                    <w:spacing w:line="240" w:lineRule="auto"/>
                    <w:jc w:val="center"/>
                    <w:rPr>
                      <w:rFonts w:ascii="Times New Roman" w:hAnsi="Times New Roman" w:eastAsia="宋体" w:cs="Times New Roman"/>
                      <w:color w:val="auto"/>
                      <w:sz w:val="21"/>
                      <w:szCs w:val="21"/>
                      <w:highlight w:val="none"/>
                    </w:rPr>
                  </w:pPr>
                </w:p>
              </w:tc>
              <w:tc>
                <w:tcPr>
                  <w:tcW w:w="389" w:type="pct"/>
                  <w:noWrap w:val="0"/>
                  <w:vAlign w:val="center"/>
                </w:tcPr>
                <w:p w14:paraId="15044D3E">
                  <w:pPr>
                    <w:pStyle w:val="58"/>
                    <w:ind w:firstLine="0" w:firstLineChars="0"/>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生活垃圾</w:t>
                  </w:r>
                </w:p>
              </w:tc>
              <w:tc>
                <w:tcPr>
                  <w:tcW w:w="653" w:type="pct"/>
                  <w:noWrap w:val="0"/>
                  <w:vAlign w:val="center"/>
                </w:tcPr>
                <w:p w14:paraId="420189F0">
                  <w:pPr>
                    <w:pStyle w:val="58"/>
                    <w:ind w:firstLine="0" w:firstLineChars="0"/>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职工生活</w:t>
                  </w:r>
                </w:p>
              </w:tc>
              <w:tc>
                <w:tcPr>
                  <w:tcW w:w="1252" w:type="pct"/>
                  <w:noWrap w:val="0"/>
                  <w:vAlign w:val="center"/>
                </w:tcPr>
                <w:p w14:paraId="7125358F">
                  <w:pPr>
                    <w:pStyle w:val="58"/>
                    <w:ind w:firstLine="0"/>
                    <w:rPr>
                      <w:rFonts w:ascii="Times New Roman" w:hAnsi="Times New Roman" w:eastAsia="宋体" w:cs="Times New Roman"/>
                      <w:color w:val="auto"/>
                      <w:kern w:val="0"/>
                      <w:sz w:val="21"/>
                      <w:szCs w:val="21"/>
                      <w:highlight w:val="none"/>
                      <w:lang w:val="en-US" w:eastAsia="zh-CN" w:bidi="ar-SA"/>
                    </w:rPr>
                  </w:pPr>
                  <w:r>
                    <w:rPr>
                      <w:rFonts w:ascii="Times New Roman" w:hAnsi="Times New Roman"/>
                      <w:color w:val="auto"/>
                      <w:szCs w:val="21"/>
                      <w:highlight w:val="none"/>
                    </w:rPr>
                    <w:t>生活垃圾</w:t>
                  </w:r>
                </w:p>
              </w:tc>
              <w:tc>
                <w:tcPr>
                  <w:tcW w:w="2305" w:type="pct"/>
                  <w:noWrap w:val="0"/>
                  <w:vAlign w:val="center"/>
                </w:tcPr>
                <w:p w14:paraId="7CE02899">
                  <w:pPr>
                    <w:pStyle w:val="58"/>
                    <w:ind w:firstLine="0"/>
                    <w:rPr>
                      <w:rFonts w:ascii="Times New Roman" w:hAnsi="Times New Roman" w:eastAsia="宋体" w:cs="Times New Roman"/>
                      <w:color w:val="auto"/>
                      <w:kern w:val="0"/>
                      <w:sz w:val="21"/>
                      <w:szCs w:val="21"/>
                      <w:highlight w:val="none"/>
                      <w:lang w:val="en-US" w:eastAsia="zh-CN" w:bidi="ar-SA"/>
                    </w:rPr>
                  </w:pPr>
                  <w:r>
                    <w:rPr>
                      <w:rFonts w:ascii="Times New Roman" w:hAnsi="Times New Roman"/>
                      <w:color w:val="auto"/>
                      <w:szCs w:val="21"/>
                      <w:highlight w:val="none"/>
                    </w:rPr>
                    <w:t>集中存放，由环卫部门统一处理</w:t>
                  </w:r>
                </w:p>
              </w:tc>
            </w:tr>
          </w:tbl>
          <w:p w14:paraId="70122ABD">
            <w:pPr>
              <w:pStyle w:val="30"/>
              <w:keepNext w:val="0"/>
              <w:keepLines w:val="0"/>
              <w:pageBreakBefore w:val="0"/>
              <w:widowControl/>
              <w:numPr>
                <w:ilvl w:val="0"/>
                <w:numId w:val="0"/>
              </w:numPr>
              <w:suppressLineNumbers w:val="0"/>
              <w:kinsoku/>
              <w:wordWrap/>
              <w:overflowPunct/>
              <w:topLinePunct w:val="0"/>
              <w:autoSpaceDE/>
              <w:autoSpaceDN/>
              <w:bidi w:val="0"/>
              <w:adjustRightInd/>
              <w:snapToGrid w:val="0"/>
              <w:spacing w:before="0" w:beforeAutospacing="0" w:after="0" w:afterAutospacing="0" w:line="360" w:lineRule="auto"/>
              <w:ind w:right="0" w:rightChars="0"/>
              <w:jc w:val="both"/>
              <w:textAlignment w:val="auto"/>
              <w:rPr>
                <w:rFonts w:hint="default" w:ascii="Times New Roman" w:hAnsi="Times New Roman" w:eastAsia="宋体" w:cs="Times New Roman"/>
                <w:b w:val="0"/>
                <w:bCs/>
                <w:color w:val="auto"/>
                <w:kern w:val="2"/>
                <w:sz w:val="24"/>
                <w:szCs w:val="24"/>
                <w:highlight w:val="none"/>
                <w:lang w:val="en-US" w:eastAsia="zh-CN" w:bidi="ar-SA"/>
              </w:rPr>
            </w:pPr>
          </w:p>
        </w:tc>
      </w:tr>
      <w:tr w14:paraId="664EC1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676" w:hRule="atLeast"/>
          <w:jc w:val="center"/>
        </w:trPr>
        <w:tc>
          <w:tcPr>
            <w:tcW w:w="599" w:type="dxa"/>
            <w:vAlign w:val="center"/>
          </w:tcPr>
          <w:p w14:paraId="1221888D">
            <w:pPr>
              <w:pStyle w:val="7"/>
              <w:outlineLvl w:val="1"/>
              <w:rPr>
                <w:color w:val="auto"/>
                <w:sz w:val="21"/>
                <w:szCs w:val="18"/>
                <w:highlight w:val="none"/>
              </w:rPr>
            </w:pPr>
            <w:r>
              <w:rPr>
                <w:color w:val="auto"/>
                <w:sz w:val="21"/>
                <w:szCs w:val="18"/>
                <w:highlight w:val="none"/>
              </w:rPr>
              <w:t>与</w:t>
            </w:r>
          </w:p>
          <w:p w14:paraId="203B0A42">
            <w:pPr>
              <w:pStyle w:val="7"/>
              <w:outlineLvl w:val="1"/>
              <w:rPr>
                <w:color w:val="auto"/>
                <w:sz w:val="21"/>
                <w:szCs w:val="18"/>
                <w:highlight w:val="none"/>
              </w:rPr>
            </w:pPr>
            <w:r>
              <w:rPr>
                <w:color w:val="auto"/>
                <w:sz w:val="21"/>
                <w:szCs w:val="18"/>
                <w:highlight w:val="none"/>
              </w:rPr>
              <w:t>项</w:t>
            </w:r>
          </w:p>
          <w:p w14:paraId="1DE2F756">
            <w:pPr>
              <w:pStyle w:val="7"/>
              <w:outlineLvl w:val="1"/>
              <w:rPr>
                <w:color w:val="auto"/>
                <w:sz w:val="21"/>
                <w:szCs w:val="18"/>
                <w:highlight w:val="none"/>
              </w:rPr>
            </w:pPr>
            <w:r>
              <w:rPr>
                <w:color w:val="auto"/>
                <w:sz w:val="21"/>
                <w:szCs w:val="18"/>
                <w:highlight w:val="none"/>
              </w:rPr>
              <w:t>目</w:t>
            </w:r>
          </w:p>
          <w:p w14:paraId="149A13EC">
            <w:pPr>
              <w:pStyle w:val="7"/>
              <w:outlineLvl w:val="1"/>
              <w:rPr>
                <w:color w:val="auto"/>
                <w:sz w:val="21"/>
                <w:szCs w:val="18"/>
                <w:highlight w:val="none"/>
              </w:rPr>
            </w:pPr>
            <w:r>
              <w:rPr>
                <w:color w:val="auto"/>
                <w:sz w:val="21"/>
                <w:szCs w:val="18"/>
                <w:highlight w:val="none"/>
              </w:rPr>
              <w:t>有</w:t>
            </w:r>
          </w:p>
          <w:p w14:paraId="4E36BA6C">
            <w:pPr>
              <w:pStyle w:val="7"/>
              <w:outlineLvl w:val="1"/>
              <w:rPr>
                <w:color w:val="auto"/>
                <w:sz w:val="21"/>
                <w:szCs w:val="18"/>
                <w:highlight w:val="none"/>
              </w:rPr>
            </w:pPr>
            <w:r>
              <w:rPr>
                <w:color w:val="auto"/>
                <w:sz w:val="21"/>
                <w:szCs w:val="18"/>
                <w:highlight w:val="none"/>
              </w:rPr>
              <w:t>关</w:t>
            </w:r>
          </w:p>
          <w:p w14:paraId="4AAD2386">
            <w:pPr>
              <w:pStyle w:val="7"/>
              <w:outlineLvl w:val="1"/>
              <w:rPr>
                <w:color w:val="auto"/>
                <w:sz w:val="21"/>
                <w:szCs w:val="18"/>
                <w:highlight w:val="none"/>
              </w:rPr>
            </w:pPr>
            <w:r>
              <w:rPr>
                <w:color w:val="auto"/>
                <w:sz w:val="21"/>
                <w:szCs w:val="18"/>
                <w:highlight w:val="none"/>
              </w:rPr>
              <w:t>的</w:t>
            </w:r>
          </w:p>
          <w:p w14:paraId="7093197F">
            <w:pPr>
              <w:pStyle w:val="7"/>
              <w:outlineLvl w:val="1"/>
              <w:rPr>
                <w:color w:val="auto"/>
                <w:sz w:val="21"/>
                <w:szCs w:val="18"/>
                <w:highlight w:val="none"/>
              </w:rPr>
            </w:pPr>
            <w:r>
              <w:rPr>
                <w:color w:val="auto"/>
                <w:sz w:val="21"/>
                <w:szCs w:val="18"/>
                <w:highlight w:val="none"/>
              </w:rPr>
              <w:t>原</w:t>
            </w:r>
          </w:p>
          <w:p w14:paraId="3DCDA8B4">
            <w:pPr>
              <w:pStyle w:val="7"/>
              <w:outlineLvl w:val="1"/>
              <w:rPr>
                <w:color w:val="auto"/>
                <w:sz w:val="21"/>
                <w:szCs w:val="18"/>
                <w:highlight w:val="none"/>
              </w:rPr>
            </w:pPr>
            <w:r>
              <w:rPr>
                <w:color w:val="auto"/>
                <w:sz w:val="21"/>
                <w:szCs w:val="18"/>
                <w:highlight w:val="none"/>
              </w:rPr>
              <w:t>有</w:t>
            </w:r>
          </w:p>
          <w:p w14:paraId="5CAB386F">
            <w:pPr>
              <w:pStyle w:val="7"/>
              <w:outlineLvl w:val="1"/>
              <w:rPr>
                <w:color w:val="auto"/>
                <w:sz w:val="21"/>
                <w:szCs w:val="18"/>
                <w:highlight w:val="none"/>
              </w:rPr>
            </w:pPr>
            <w:r>
              <w:rPr>
                <w:color w:val="auto"/>
                <w:sz w:val="21"/>
                <w:szCs w:val="18"/>
                <w:highlight w:val="none"/>
              </w:rPr>
              <w:t>环</w:t>
            </w:r>
          </w:p>
          <w:p w14:paraId="03B6AF89">
            <w:pPr>
              <w:pStyle w:val="7"/>
              <w:outlineLvl w:val="1"/>
              <w:rPr>
                <w:color w:val="auto"/>
                <w:sz w:val="21"/>
                <w:szCs w:val="18"/>
                <w:highlight w:val="none"/>
              </w:rPr>
            </w:pPr>
            <w:r>
              <w:rPr>
                <w:color w:val="auto"/>
                <w:sz w:val="21"/>
                <w:szCs w:val="18"/>
                <w:highlight w:val="none"/>
              </w:rPr>
              <w:t>境</w:t>
            </w:r>
          </w:p>
          <w:p w14:paraId="142DB344">
            <w:pPr>
              <w:pStyle w:val="7"/>
              <w:outlineLvl w:val="1"/>
              <w:rPr>
                <w:color w:val="auto"/>
                <w:sz w:val="21"/>
                <w:szCs w:val="18"/>
                <w:highlight w:val="none"/>
              </w:rPr>
            </w:pPr>
            <w:r>
              <w:rPr>
                <w:color w:val="auto"/>
                <w:sz w:val="21"/>
                <w:szCs w:val="18"/>
                <w:highlight w:val="none"/>
              </w:rPr>
              <w:t>污</w:t>
            </w:r>
          </w:p>
          <w:p w14:paraId="6EC67CB2">
            <w:pPr>
              <w:pStyle w:val="7"/>
              <w:outlineLvl w:val="1"/>
              <w:rPr>
                <w:color w:val="auto"/>
                <w:sz w:val="21"/>
                <w:szCs w:val="18"/>
                <w:highlight w:val="none"/>
              </w:rPr>
            </w:pPr>
            <w:r>
              <w:rPr>
                <w:color w:val="auto"/>
                <w:sz w:val="21"/>
                <w:szCs w:val="18"/>
                <w:highlight w:val="none"/>
              </w:rPr>
              <w:t>染</w:t>
            </w:r>
          </w:p>
          <w:p w14:paraId="12182C23">
            <w:pPr>
              <w:pStyle w:val="7"/>
              <w:outlineLvl w:val="1"/>
              <w:rPr>
                <w:color w:val="auto"/>
                <w:sz w:val="21"/>
                <w:szCs w:val="18"/>
                <w:highlight w:val="none"/>
              </w:rPr>
            </w:pPr>
            <w:r>
              <w:rPr>
                <w:color w:val="auto"/>
                <w:sz w:val="21"/>
                <w:szCs w:val="18"/>
                <w:highlight w:val="none"/>
              </w:rPr>
              <w:t>问</w:t>
            </w:r>
          </w:p>
          <w:p w14:paraId="7BB818C5">
            <w:pPr>
              <w:pStyle w:val="7"/>
              <w:outlineLvl w:val="1"/>
              <w:rPr>
                <w:b/>
                <w:color w:val="auto"/>
                <w:kern w:val="2"/>
                <w:sz w:val="24"/>
                <w:szCs w:val="21"/>
                <w:highlight w:val="none"/>
              </w:rPr>
            </w:pPr>
            <w:r>
              <w:rPr>
                <w:color w:val="auto"/>
                <w:sz w:val="21"/>
                <w:szCs w:val="18"/>
                <w:highlight w:val="none"/>
              </w:rPr>
              <w:t>题</w:t>
            </w:r>
          </w:p>
        </w:tc>
        <w:tc>
          <w:tcPr>
            <w:tcW w:w="8472" w:type="dxa"/>
            <w:vAlign w:val="top"/>
          </w:tcPr>
          <w:p w14:paraId="259C900E">
            <w:pPr>
              <w:pStyle w:val="33"/>
              <w:keepNext w:val="0"/>
              <w:keepLines w:val="0"/>
              <w:pageBreakBefore w:val="0"/>
              <w:widowControl w:val="0"/>
              <w:kinsoku/>
              <w:wordWrap/>
              <w:overflowPunct/>
              <w:topLinePunct w:val="0"/>
              <w:autoSpaceDE/>
              <w:autoSpaceDN/>
              <w:bidi w:val="0"/>
              <w:adjustRightInd w:val="0"/>
              <w:snapToGrid w:val="0"/>
              <w:ind w:left="0" w:leftChars="0" w:firstLine="482" w:firstLineChars="200"/>
              <w:textAlignment w:val="auto"/>
              <w:rPr>
                <w:rFonts w:hint="default" w:eastAsia="宋体"/>
                <w:b/>
                <w:bCs/>
                <w:color w:val="auto"/>
                <w:highlight w:val="none"/>
                <w:lang w:val="en-US" w:eastAsia="zh-CN"/>
              </w:rPr>
            </w:pPr>
            <w:r>
              <w:rPr>
                <w:rFonts w:hint="eastAsia"/>
                <w:b/>
                <w:bCs/>
                <w:color w:val="auto"/>
                <w:highlight w:val="none"/>
                <w:lang w:val="en-US" w:eastAsia="zh-CN"/>
              </w:rPr>
              <w:t>1、企业现有工程环保履行手续</w:t>
            </w:r>
          </w:p>
          <w:p w14:paraId="2B974E36">
            <w:pPr>
              <w:ind w:firstLine="480" w:firstLineChars="200"/>
              <w:rPr>
                <w:rFonts w:hint="eastAsia" w:cs="Times New Roman"/>
                <w:b w:val="0"/>
                <w:bCs/>
                <w:color w:val="auto"/>
                <w:kern w:val="2"/>
                <w:sz w:val="24"/>
                <w:szCs w:val="24"/>
                <w:highlight w:val="none"/>
                <w:lang w:val="en-US" w:eastAsia="zh-CN" w:bidi="ar-SA"/>
              </w:rPr>
            </w:pPr>
            <w:r>
              <w:rPr>
                <w:rFonts w:hint="eastAsia"/>
                <w:color w:val="auto"/>
                <w:highlight w:val="none"/>
                <w:lang w:val="en-US" w:eastAsia="zh-CN"/>
              </w:rPr>
              <w:t>秦皇岛市日昌升农产品有限公司成立于2010年2月，位于抚宁区下管庄102国道南侧，主要为机械零部件的加工。</w:t>
            </w:r>
            <w:r>
              <w:rPr>
                <w:rFonts w:hint="eastAsia" w:cs="Times New Roman"/>
                <w:b w:val="0"/>
                <w:bCs/>
                <w:color w:val="auto"/>
                <w:kern w:val="2"/>
                <w:sz w:val="24"/>
                <w:szCs w:val="24"/>
                <w:highlight w:val="none"/>
                <w:lang w:val="en-US" w:eastAsia="zh-CN" w:bidi="ar-SA"/>
              </w:rPr>
              <w:t>2019年委托秦皇岛鑫正环保技术工程服务有限公司编制《秦皇岛市日昌升农产品有限公司汽车零部件加工项目环境影响报告表》，并于2019年9月18日通过秦皇岛市生态环境局审批，审批文号为：抚环审表[2019]-1-1号，并于2019年12月完成验收，企业于2020年8月17日取得固定污染源排污登记回执，登记编号为：911909295504062836001W。</w:t>
            </w:r>
          </w:p>
          <w:p w14:paraId="3DE3E3F7">
            <w:pPr>
              <w:adjustRightInd w:val="0"/>
              <w:snapToGrid w:val="0"/>
              <w:spacing w:line="240" w:lineRule="auto"/>
              <w:ind w:firstLine="0" w:firstLineChars="0"/>
              <w:jc w:val="center"/>
              <w:rPr>
                <w:b/>
                <w:bCs/>
                <w:color w:val="auto"/>
                <w:szCs w:val="21"/>
                <w:highlight w:val="none"/>
              </w:rPr>
            </w:pPr>
            <w:r>
              <w:rPr>
                <w:rFonts w:hint="eastAsia"/>
                <w:b/>
                <w:bCs/>
                <w:color w:val="auto"/>
                <w:szCs w:val="21"/>
                <w:highlight w:val="none"/>
              </w:rPr>
              <w:t>表2-19  现有环保相关手续一览表</w:t>
            </w:r>
          </w:p>
          <w:tbl>
            <w:tblPr>
              <w:tblStyle w:val="34"/>
              <w:tblpPr w:leftFromText="180" w:rightFromText="180" w:vertAnchor="text" w:tblpXSpec="center" w:tblpY="1"/>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80"/>
              <w:gridCol w:w="2001"/>
              <w:gridCol w:w="1341"/>
              <w:gridCol w:w="1689"/>
              <w:gridCol w:w="1232"/>
            </w:tblGrid>
            <w:tr w14:paraId="5BBD6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1200" w:type="pct"/>
                  <w:vAlign w:val="center"/>
                </w:tcPr>
                <w:p w14:paraId="6CA7F19C">
                  <w:pPr>
                    <w:adjustRightInd w:val="0"/>
                    <w:snapToGrid w:val="0"/>
                    <w:spacing w:line="240" w:lineRule="auto"/>
                    <w:ind w:firstLine="0" w:firstLineChars="0"/>
                    <w:jc w:val="center"/>
                    <w:rPr>
                      <w:color w:val="auto"/>
                      <w:sz w:val="21"/>
                      <w:szCs w:val="21"/>
                      <w:highlight w:val="none"/>
                    </w:rPr>
                  </w:pPr>
                  <w:r>
                    <w:rPr>
                      <w:rFonts w:hint="eastAsia"/>
                      <w:color w:val="auto"/>
                      <w:sz w:val="21"/>
                      <w:szCs w:val="21"/>
                      <w:highlight w:val="none"/>
                    </w:rPr>
                    <w:t>项目名称</w:t>
                  </w:r>
                </w:p>
              </w:tc>
              <w:tc>
                <w:tcPr>
                  <w:tcW w:w="1213" w:type="pct"/>
                  <w:vAlign w:val="center"/>
                </w:tcPr>
                <w:p w14:paraId="6925B3D3">
                  <w:pPr>
                    <w:adjustRightInd w:val="0"/>
                    <w:snapToGrid w:val="0"/>
                    <w:spacing w:line="240" w:lineRule="auto"/>
                    <w:ind w:firstLine="0" w:firstLineChars="0"/>
                    <w:jc w:val="center"/>
                    <w:rPr>
                      <w:color w:val="auto"/>
                      <w:sz w:val="21"/>
                      <w:szCs w:val="21"/>
                      <w:highlight w:val="none"/>
                    </w:rPr>
                  </w:pPr>
                  <w:r>
                    <w:rPr>
                      <w:rFonts w:hint="eastAsia"/>
                      <w:color w:val="auto"/>
                      <w:sz w:val="21"/>
                      <w:szCs w:val="21"/>
                      <w:highlight w:val="none"/>
                    </w:rPr>
                    <w:t>环评批复单位</w:t>
                  </w:r>
                </w:p>
              </w:tc>
              <w:tc>
                <w:tcPr>
                  <w:tcW w:w="813" w:type="pct"/>
                  <w:vAlign w:val="center"/>
                </w:tcPr>
                <w:p w14:paraId="683E3750">
                  <w:pPr>
                    <w:adjustRightInd w:val="0"/>
                    <w:snapToGrid w:val="0"/>
                    <w:spacing w:line="240" w:lineRule="auto"/>
                    <w:ind w:firstLine="0" w:firstLineChars="0"/>
                    <w:jc w:val="center"/>
                    <w:rPr>
                      <w:color w:val="auto"/>
                      <w:sz w:val="21"/>
                      <w:szCs w:val="21"/>
                      <w:highlight w:val="none"/>
                    </w:rPr>
                  </w:pPr>
                  <w:r>
                    <w:rPr>
                      <w:rFonts w:hint="eastAsia"/>
                      <w:color w:val="auto"/>
                      <w:sz w:val="21"/>
                      <w:szCs w:val="21"/>
                      <w:highlight w:val="none"/>
                    </w:rPr>
                    <w:t>环评批复日期</w:t>
                  </w:r>
                </w:p>
              </w:tc>
              <w:tc>
                <w:tcPr>
                  <w:tcW w:w="1024" w:type="pct"/>
                  <w:vAlign w:val="center"/>
                </w:tcPr>
                <w:p w14:paraId="43C2E481">
                  <w:pPr>
                    <w:adjustRightInd w:val="0"/>
                    <w:snapToGrid w:val="0"/>
                    <w:spacing w:line="240" w:lineRule="auto"/>
                    <w:ind w:firstLine="0" w:firstLineChars="0"/>
                    <w:jc w:val="center"/>
                    <w:rPr>
                      <w:color w:val="auto"/>
                      <w:sz w:val="21"/>
                      <w:szCs w:val="21"/>
                      <w:highlight w:val="none"/>
                    </w:rPr>
                  </w:pPr>
                  <w:r>
                    <w:rPr>
                      <w:rFonts w:hint="eastAsia"/>
                      <w:color w:val="auto"/>
                      <w:sz w:val="21"/>
                      <w:szCs w:val="21"/>
                      <w:highlight w:val="none"/>
                    </w:rPr>
                    <w:t>环评批准文号</w:t>
                  </w:r>
                </w:p>
              </w:tc>
              <w:tc>
                <w:tcPr>
                  <w:tcW w:w="747" w:type="pct"/>
                  <w:vAlign w:val="center"/>
                </w:tcPr>
                <w:p w14:paraId="62F8ADC5">
                  <w:pPr>
                    <w:adjustRightInd w:val="0"/>
                    <w:snapToGrid w:val="0"/>
                    <w:spacing w:line="240" w:lineRule="auto"/>
                    <w:ind w:firstLine="0" w:firstLineChars="0"/>
                    <w:jc w:val="center"/>
                    <w:rPr>
                      <w:color w:val="auto"/>
                      <w:sz w:val="21"/>
                      <w:szCs w:val="21"/>
                      <w:highlight w:val="none"/>
                    </w:rPr>
                  </w:pPr>
                  <w:r>
                    <w:rPr>
                      <w:rFonts w:hint="eastAsia"/>
                      <w:color w:val="auto"/>
                      <w:sz w:val="21"/>
                      <w:szCs w:val="21"/>
                      <w:highlight w:val="none"/>
                    </w:rPr>
                    <w:t>验收日期</w:t>
                  </w:r>
                </w:p>
              </w:tc>
            </w:tr>
            <w:tr w14:paraId="0FBCF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0" w:type="pct"/>
                  <w:vAlign w:val="center"/>
                </w:tcPr>
                <w:p w14:paraId="32E2D465">
                  <w:pPr>
                    <w:adjustRightInd w:val="0"/>
                    <w:snapToGrid w:val="0"/>
                    <w:spacing w:line="240" w:lineRule="auto"/>
                    <w:ind w:firstLine="0" w:firstLineChars="0"/>
                    <w:jc w:val="center"/>
                    <w:rPr>
                      <w:color w:val="auto"/>
                      <w:sz w:val="21"/>
                      <w:szCs w:val="21"/>
                      <w:highlight w:val="none"/>
                    </w:rPr>
                  </w:pPr>
                  <w:r>
                    <w:rPr>
                      <w:rFonts w:hint="eastAsia" w:cs="Times New Roman"/>
                      <w:b w:val="0"/>
                      <w:bCs/>
                      <w:color w:val="auto"/>
                      <w:kern w:val="2"/>
                      <w:sz w:val="24"/>
                      <w:szCs w:val="24"/>
                      <w:highlight w:val="none"/>
                      <w:lang w:val="en-US" w:eastAsia="zh-CN" w:bidi="ar-SA"/>
                    </w:rPr>
                    <w:t>秦皇岛市日昌升农产品有限公司汽车零部件加工项目</w:t>
                  </w:r>
                </w:p>
              </w:tc>
              <w:tc>
                <w:tcPr>
                  <w:tcW w:w="1213" w:type="pct"/>
                  <w:vAlign w:val="center"/>
                </w:tcPr>
                <w:p w14:paraId="59AE7A34">
                  <w:pPr>
                    <w:adjustRightInd w:val="0"/>
                    <w:snapToGrid w:val="0"/>
                    <w:spacing w:line="240" w:lineRule="auto"/>
                    <w:ind w:firstLine="0" w:firstLineChars="0"/>
                    <w:jc w:val="center"/>
                    <w:rPr>
                      <w:color w:val="auto"/>
                      <w:sz w:val="21"/>
                      <w:szCs w:val="21"/>
                      <w:highlight w:val="none"/>
                    </w:rPr>
                  </w:pPr>
                  <w:r>
                    <w:rPr>
                      <w:rFonts w:hint="eastAsia"/>
                      <w:color w:val="auto"/>
                      <w:sz w:val="21"/>
                      <w:szCs w:val="21"/>
                      <w:highlight w:val="none"/>
                    </w:rPr>
                    <w:t>秦皇岛市生态环境局</w:t>
                  </w:r>
                </w:p>
              </w:tc>
              <w:tc>
                <w:tcPr>
                  <w:tcW w:w="813" w:type="pct"/>
                  <w:vAlign w:val="center"/>
                </w:tcPr>
                <w:p w14:paraId="57D56A8A">
                  <w:pPr>
                    <w:adjustRightInd w:val="0"/>
                    <w:snapToGrid w:val="0"/>
                    <w:spacing w:line="240" w:lineRule="auto"/>
                    <w:ind w:firstLine="0" w:firstLineChars="0"/>
                    <w:jc w:val="center"/>
                    <w:rPr>
                      <w:color w:val="auto"/>
                      <w:sz w:val="21"/>
                      <w:szCs w:val="21"/>
                      <w:highlight w:val="none"/>
                    </w:rPr>
                  </w:pPr>
                  <w:r>
                    <w:rPr>
                      <w:rFonts w:hint="eastAsia"/>
                      <w:color w:val="auto"/>
                      <w:sz w:val="21"/>
                      <w:szCs w:val="21"/>
                      <w:highlight w:val="none"/>
                      <w:lang w:val="en-US" w:eastAsia="zh-CN"/>
                    </w:rPr>
                    <w:t>2019年9月18日</w:t>
                  </w:r>
                </w:p>
              </w:tc>
              <w:tc>
                <w:tcPr>
                  <w:tcW w:w="1024" w:type="pct"/>
                  <w:vAlign w:val="center"/>
                </w:tcPr>
                <w:p w14:paraId="446AC6CC">
                  <w:pPr>
                    <w:adjustRightInd w:val="0"/>
                    <w:snapToGrid w:val="0"/>
                    <w:spacing w:line="240" w:lineRule="auto"/>
                    <w:ind w:firstLine="0" w:firstLineChars="0"/>
                    <w:jc w:val="center"/>
                    <w:rPr>
                      <w:color w:val="auto"/>
                      <w:sz w:val="21"/>
                      <w:szCs w:val="21"/>
                      <w:highlight w:val="none"/>
                    </w:rPr>
                  </w:pPr>
                  <w:r>
                    <w:rPr>
                      <w:rFonts w:hint="eastAsia"/>
                      <w:color w:val="auto"/>
                      <w:sz w:val="21"/>
                      <w:szCs w:val="21"/>
                      <w:highlight w:val="none"/>
                      <w:lang w:val="en-US" w:eastAsia="zh-CN"/>
                    </w:rPr>
                    <w:t>抚环审表[2019]-1-1号</w:t>
                  </w:r>
                </w:p>
              </w:tc>
              <w:tc>
                <w:tcPr>
                  <w:tcW w:w="747" w:type="pct"/>
                  <w:vAlign w:val="center"/>
                </w:tcPr>
                <w:p w14:paraId="234C6BEA">
                  <w:pPr>
                    <w:adjustRightInd w:val="0"/>
                    <w:snapToGrid w:val="0"/>
                    <w:spacing w:line="240" w:lineRule="auto"/>
                    <w:ind w:firstLine="0" w:firstLineChars="0"/>
                    <w:jc w:val="center"/>
                    <w:rPr>
                      <w:color w:val="auto"/>
                      <w:sz w:val="21"/>
                      <w:szCs w:val="21"/>
                      <w:highlight w:val="none"/>
                    </w:rPr>
                  </w:pPr>
                  <w:r>
                    <w:rPr>
                      <w:rFonts w:hint="eastAsia"/>
                      <w:color w:val="auto"/>
                      <w:sz w:val="21"/>
                      <w:szCs w:val="21"/>
                      <w:highlight w:val="none"/>
                      <w:lang w:val="en-US" w:eastAsia="zh-CN"/>
                    </w:rPr>
                    <w:t>2020年8月17日</w:t>
                  </w:r>
                </w:p>
              </w:tc>
            </w:tr>
          </w:tbl>
          <w:p w14:paraId="7483DA82">
            <w:pPr>
              <w:pStyle w:val="7"/>
              <w:adjustRightInd w:val="0"/>
              <w:snapToGrid w:val="0"/>
              <w:ind w:firstLine="482" w:firstLineChars="200"/>
              <w:jc w:val="both"/>
              <w:rPr>
                <w:rFonts w:ascii="Times New Roman" w:hAnsi="Times New Roman"/>
                <w:color w:val="auto"/>
                <w:highlight w:val="none"/>
              </w:rPr>
            </w:pPr>
            <w:r>
              <w:rPr>
                <w:rFonts w:ascii="Times New Roman" w:hAnsi="Times New Roman"/>
                <w:color w:val="auto"/>
                <w:highlight w:val="none"/>
              </w:rPr>
              <w:t>2、现有污染物排放情况</w:t>
            </w:r>
          </w:p>
          <w:p w14:paraId="3F97847B">
            <w:pPr>
              <w:adjustRightInd w:val="0"/>
              <w:snapToGrid w:val="0"/>
              <w:ind w:firstLine="480"/>
              <w:rPr>
                <w:b/>
                <w:bCs/>
                <w:color w:val="auto"/>
                <w:highlight w:val="none"/>
              </w:rPr>
            </w:pPr>
            <w:r>
              <w:rPr>
                <w:color w:val="auto"/>
                <w:highlight w:val="none"/>
              </w:rPr>
              <w:t>公司现有工程大气污染物主要为颗粒物。根据</w:t>
            </w:r>
            <w:r>
              <w:rPr>
                <w:rFonts w:hint="eastAsia"/>
                <w:color w:val="auto"/>
                <w:highlight w:val="none"/>
                <w:lang w:val="en-US" w:eastAsia="zh-CN"/>
              </w:rPr>
              <w:t>秦皇岛洁之康环保科技有限公司2019</w:t>
            </w:r>
            <w:r>
              <w:rPr>
                <w:color w:val="auto"/>
                <w:highlight w:val="none"/>
              </w:rPr>
              <w:t>年</w:t>
            </w:r>
            <w:r>
              <w:rPr>
                <w:rFonts w:hint="eastAsia"/>
                <w:color w:val="auto"/>
                <w:highlight w:val="none"/>
                <w:lang w:val="en-US" w:eastAsia="zh-CN"/>
              </w:rPr>
              <w:t>12</w:t>
            </w:r>
            <w:r>
              <w:rPr>
                <w:color w:val="auto"/>
                <w:highlight w:val="none"/>
              </w:rPr>
              <w:t>月出具的验收</w:t>
            </w:r>
            <w:r>
              <w:rPr>
                <w:rFonts w:hint="eastAsia"/>
                <w:color w:val="auto"/>
                <w:highlight w:val="none"/>
              </w:rPr>
              <w:t>监测</w:t>
            </w:r>
            <w:r>
              <w:rPr>
                <w:color w:val="auto"/>
                <w:highlight w:val="none"/>
              </w:rPr>
              <w:t>报告可知，现有项目颗粒物排放浓度如下：</w:t>
            </w:r>
          </w:p>
          <w:p w14:paraId="53F35DFD">
            <w:pPr>
              <w:adjustRightInd w:val="0"/>
              <w:snapToGrid w:val="0"/>
              <w:spacing w:line="240" w:lineRule="auto"/>
              <w:ind w:firstLine="0" w:firstLineChars="0"/>
              <w:jc w:val="center"/>
              <w:rPr>
                <w:b/>
                <w:bCs/>
                <w:color w:val="auto"/>
                <w:highlight w:val="none"/>
              </w:rPr>
            </w:pPr>
            <w:r>
              <w:rPr>
                <w:b/>
                <w:bCs/>
                <w:color w:val="auto"/>
                <w:highlight w:val="none"/>
              </w:rPr>
              <w:t>表2-</w:t>
            </w:r>
            <w:r>
              <w:rPr>
                <w:rFonts w:hint="eastAsia"/>
                <w:b/>
                <w:bCs/>
                <w:color w:val="auto"/>
                <w:highlight w:val="none"/>
              </w:rPr>
              <w:t>20</w:t>
            </w:r>
            <w:r>
              <w:rPr>
                <w:b/>
                <w:bCs/>
                <w:color w:val="auto"/>
                <w:highlight w:val="none"/>
              </w:rPr>
              <w:t xml:space="preserve">  </w:t>
            </w:r>
            <w:r>
              <w:rPr>
                <w:rFonts w:hint="eastAsia"/>
                <w:b/>
                <w:bCs/>
                <w:color w:val="auto"/>
                <w:highlight w:val="none"/>
              </w:rPr>
              <w:t>验收监测报告</w:t>
            </w:r>
            <w:r>
              <w:rPr>
                <w:b/>
                <w:bCs/>
                <w:color w:val="auto"/>
                <w:highlight w:val="none"/>
              </w:rPr>
              <w:t>污染物排放</w:t>
            </w:r>
            <w:r>
              <w:rPr>
                <w:rFonts w:hint="eastAsia"/>
                <w:b/>
                <w:bCs/>
                <w:color w:val="auto"/>
                <w:highlight w:val="none"/>
              </w:rPr>
              <w:t>浓度</w:t>
            </w:r>
            <w:r>
              <w:rPr>
                <w:b/>
                <w:bCs/>
                <w:color w:val="auto"/>
                <w:highlight w:val="none"/>
              </w:rPr>
              <w:t>一览表</w:t>
            </w:r>
          </w:p>
          <w:tbl>
            <w:tblPr>
              <w:tblStyle w:val="3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6"/>
              <w:gridCol w:w="1092"/>
              <w:gridCol w:w="2107"/>
              <w:gridCol w:w="2059"/>
              <w:gridCol w:w="2059"/>
            </w:tblGrid>
            <w:tr w14:paraId="6B259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1" w:type="pct"/>
                  <w:vAlign w:val="center"/>
                </w:tcPr>
                <w:p w14:paraId="7233B915">
                  <w:pPr>
                    <w:adjustRightInd w:val="0"/>
                    <w:snapToGrid w:val="0"/>
                    <w:spacing w:line="240" w:lineRule="auto"/>
                    <w:ind w:firstLine="0" w:firstLineChars="0"/>
                    <w:jc w:val="center"/>
                    <w:rPr>
                      <w:color w:val="auto"/>
                      <w:sz w:val="21"/>
                      <w:szCs w:val="21"/>
                      <w:highlight w:val="none"/>
                    </w:rPr>
                  </w:pPr>
                  <w:r>
                    <w:rPr>
                      <w:color w:val="auto"/>
                      <w:sz w:val="21"/>
                      <w:szCs w:val="21"/>
                      <w:highlight w:val="none"/>
                    </w:rPr>
                    <w:t>名称</w:t>
                  </w:r>
                </w:p>
              </w:tc>
              <w:tc>
                <w:tcPr>
                  <w:tcW w:w="662" w:type="pct"/>
                  <w:vAlign w:val="center"/>
                </w:tcPr>
                <w:p w14:paraId="5813707E">
                  <w:pPr>
                    <w:adjustRightInd w:val="0"/>
                    <w:snapToGrid w:val="0"/>
                    <w:spacing w:line="240" w:lineRule="auto"/>
                    <w:ind w:firstLine="0" w:firstLineChars="0"/>
                    <w:jc w:val="center"/>
                    <w:rPr>
                      <w:color w:val="auto"/>
                      <w:sz w:val="21"/>
                      <w:szCs w:val="21"/>
                      <w:highlight w:val="none"/>
                    </w:rPr>
                  </w:pPr>
                  <w:r>
                    <w:rPr>
                      <w:color w:val="auto"/>
                      <w:sz w:val="21"/>
                      <w:szCs w:val="21"/>
                      <w:highlight w:val="none"/>
                    </w:rPr>
                    <w:t>排放方式</w:t>
                  </w:r>
                </w:p>
              </w:tc>
              <w:tc>
                <w:tcPr>
                  <w:tcW w:w="1277" w:type="pct"/>
                  <w:vAlign w:val="center"/>
                </w:tcPr>
                <w:p w14:paraId="5B742993">
                  <w:pPr>
                    <w:adjustRightInd w:val="0"/>
                    <w:snapToGrid w:val="0"/>
                    <w:spacing w:line="240" w:lineRule="auto"/>
                    <w:ind w:firstLine="0" w:firstLineChars="0"/>
                    <w:jc w:val="center"/>
                    <w:rPr>
                      <w:color w:val="auto"/>
                      <w:sz w:val="21"/>
                      <w:szCs w:val="21"/>
                      <w:highlight w:val="none"/>
                    </w:rPr>
                  </w:pPr>
                  <w:r>
                    <w:rPr>
                      <w:rFonts w:hint="eastAsia"/>
                      <w:color w:val="auto"/>
                      <w:sz w:val="21"/>
                      <w:szCs w:val="21"/>
                      <w:highlight w:val="none"/>
                      <w:lang w:val="en-US" w:eastAsia="zh-CN"/>
                    </w:rPr>
                    <w:t>厂界上风向</w:t>
                  </w:r>
                  <w:r>
                    <w:rPr>
                      <w:color w:val="auto"/>
                      <w:sz w:val="21"/>
                      <w:szCs w:val="21"/>
                      <w:highlight w:val="none"/>
                    </w:rPr>
                    <w:t>最大浓度</w:t>
                  </w:r>
                  <w:r>
                    <w:rPr>
                      <w:rFonts w:hint="eastAsia"/>
                      <w:color w:val="auto"/>
                      <w:sz w:val="21"/>
                      <w:szCs w:val="21"/>
                      <w:highlight w:val="none"/>
                      <w:lang w:val="en-US" w:eastAsia="zh-CN"/>
                    </w:rPr>
                    <w:t>限值</w:t>
                  </w:r>
                  <w:r>
                    <w:rPr>
                      <w:color w:val="auto"/>
                      <w:sz w:val="21"/>
                      <w:szCs w:val="21"/>
                      <w:highlight w:val="none"/>
                    </w:rPr>
                    <w:t>mg/m</w:t>
                  </w:r>
                  <w:r>
                    <w:rPr>
                      <w:color w:val="auto"/>
                      <w:sz w:val="21"/>
                      <w:szCs w:val="21"/>
                      <w:highlight w:val="none"/>
                      <w:vertAlign w:val="superscript"/>
                    </w:rPr>
                    <w:t>3</w:t>
                  </w:r>
                </w:p>
              </w:tc>
              <w:tc>
                <w:tcPr>
                  <w:tcW w:w="1248" w:type="pct"/>
                  <w:vAlign w:val="center"/>
                </w:tcPr>
                <w:p w14:paraId="1680CF01">
                  <w:pPr>
                    <w:adjustRightInd w:val="0"/>
                    <w:snapToGrid w:val="0"/>
                    <w:spacing w:line="240" w:lineRule="auto"/>
                    <w:ind w:firstLine="0" w:firstLineChars="0"/>
                    <w:jc w:val="center"/>
                    <w:rPr>
                      <w:rFonts w:hint="eastAsia"/>
                      <w:color w:val="auto"/>
                      <w:sz w:val="21"/>
                      <w:szCs w:val="21"/>
                      <w:highlight w:val="none"/>
                    </w:rPr>
                  </w:pPr>
                  <w:r>
                    <w:rPr>
                      <w:rFonts w:hint="eastAsia"/>
                      <w:color w:val="auto"/>
                      <w:sz w:val="21"/>
                      <w:szCs w:val="21"/>
                      <w:highlight w:val="none"/>
                      <w:lang w:val="en-US" w:eastAsia="zh-CN"/>
                    </w:rPr>
                    <w:t>厂界下风向</w:t>
                  </w:r>
                  <w:r>
                    <w:rPr>
                      <w:color w:val="auto"/>
                      <w:sz w:val="21"/>
                      <w:szCs w:val="21"/>
                      <w:highlight w:val="none"/>
                    </w:rPr>
                    <w:t>最大浓度</w:t>
                  </w:r>
                  <w:r>
                    <w:rPr>
                      <w:rFonts w:hint="eastAsia"/>
                      <w:color w:val="auto"/>
                      <w:sz w:val="21"/>
                      <w:szCs w:val="21"/>
                      <w:highlight w:val="none"/>
                      <w:lang w:val="en-US" w:eastAsia="zh-CN"/>
                    </w:rPr>
                    <w:t>限值</w:t>
                  </w:r>
                  <w:r>
                    <w:rPr>
                      <w:color w:val="auto"/>
                      <w:sz w:val="21"/>
                      <w:szCs w:val="21"/>
                      <w:highlight w:val="none"/>
                    </w:rPr>
                    <w:t>mg/m</w:t>
                  </w:r>
                  <w:r>
                    <w:rPr>
                      <w:color w:val="auto"/>
                      <w:sz w:val="21"/>
                      <w:szCs w:val="21"/>
                      <w:highlight w:val="none"/>
                      <w:vertAlign w:val="superscript"/>
                    </w:rPr>
                    <w:t>3</w:t>
                  </w:r>
                </w:p>
              </w:tc>
              <w:tc>
                <w:tcPr>
                  <w:tcW w:w="1248" w:type="pct"/>
                  <w:vAlign w:val="center"/>
                </w:tcPr>
                <w:p w14:paraId="2933ADC1">
                  <w:pPr>
                    <w:adjustRightInd w:val="0"/>
                    <w:snapToGrid w:val="0"/>
                    <w:spacing w:line="240" w:lineRule="auto"/>
                    <w:ind w:firstLine="0" w:firstLineChars="0"/>
                    <w:jc w:val="center"/>
                    <w:rPr>
                      <w:rFonts w:hint="default" w:eastAsia="宋体"/>
                      <w:color w:val="auto"/>
                      <w:sz w:val="21"/>
                      <w:szCs w:val="21"/>
                      <w:highlight w:val="none"/>
                      <w:lang w:val="en-US" w:eastAsia="zh-CN"/>
                    </w:rPr>
                  </w:pPr>
                  <w:r>
                    <w:rPr>
                      <w:rFonts w:hint="eastAsia"/>
                      <w:color w:val="auto"/>
                      <w:sz w:val="21"/>
                      <w:szCs w:val="21"/>
                      <w:highlight w:val="none"/>
                      <w:lang w:val="en-US" w:eastAsia="zh-CN"/>
                    </w:rPr>
                    <w:t>上下风向差值</w:t>
                  </w:r>
                  <w:r>
                    <w:rPr>
                      <w:color w:val="auto"/>
                      <w:sz w:val="21"/>
                      <w:szCs w:val="21"/>
                      <w:highlight w:val="none"/>
                    </w:rPr>
                    <w:t>mg/m</w:t>
                  </w:r>
                  <w:r>
                    <w:rPr>
                      <w:color w:val="auto"/>
                      <w:sz w:val="21"/>
                      <w:szCs w:val="21"/>
                      <w:highlight w:val="none"/>
                      <w:vertAlign w:val="superscript"/>
                    </w:rPr>
                    <w:t>3</w:t>
                  </w:r>
                </w:p>
              </w:tc>
            </w:tr>
            <w:tr w14:paraId="6B2C7B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trPr>
              <w:tc>
                <w:tcPr>
                  <w:tcW w:w="561" w:type="pct"/>
                  <w:vAlign w:val="center"/>
                </w:tcPr>
                <w:p w14:paraId="01E3FC65">
                  <w:pPr>
                    <w:adjustRightInd w:val="0"/>
                    <w:snapToGrid w:val="0"/>
                    <w:spacing w:line="240" w:lineRule="auto"/>
                    <w:ind w:firstLine="0" w:firstLineChars="0"/>
                    <w:jc w:val="center"/>
                    <w:rPr>
                      <w:color w:val="auto"/>
                      <w:sz w:val="21"/>
                      <w:szCs w:val="21"/>
                      <w:highlight w:val="none"/>
                    </w:rPr>
                  </w:pPr>
                  <w:r>
                    <w:rPr>
                      <w:color w:val="auto"/>
                      <w:sz w:val="21"/>
                      <w:szCs w:val="21"/>
                      <w:highlight w:val="none"/>
                    </w:rPr>
                    <w:t>颗粒物</w:t>
                  </w:r>
                </w:p>
              </w:tc>
              <w:tc>
                <w:tcPr>
                  <w:tcW w:w="662" w:type="pct"/>
                  <w:vAlign w:val="center"/>
                </w:tcPr>
                <w:p w14:paraId="1ABB1E59">
                  <w:pPr>
                    <w:adjustRightInd w:val="0"/>
                    <w:snapToGrid w:val="0"/>
                    <w:spacing w:line="240" w:lineRule="auto"/>
                    <w:ind w:firstLine="0" w:firstLineChars="0"/>
                    <w:jc w:val="center"/>
                    <w:rPr>
                      <w:rFonts w:hint="eastAsia" w:eastAsia="宋体"/>
                      <w:color w:val="auto"/>
                      <w:sz w:val="21"/>
                      <w:szCs w:val="21"/>
                      <w:highlight w:val="none"/>
                      <w:lang w:eastAsia="zh-CN"/>
                    </w:rPr>
                  </w:pPr>
                  <w:r>
                    <w:rPr>
                      <w:rFonts w:hint="eastAsia"/>
                      <w:color w:val="auto"/>
                      <w:sz w:val="21"/>
                      <w:szCs w:val="21"/>
                      <w:highlight w:val="none"/>
                      <w:lang w:val="en-US" w:eastAsia="zh-CN"/>
                    </w:rPr>
                    <w:t>无组织</w:t>
                  </w:r>
                </w:p>
              </w:tc>
              <w:tc>
                <w:tcPr>
                  <w:tcW w:w="1277" w:type="pct"/>
                  <w:vAlign w:val="center"/>
                </w:tcPr>
                <w:p w14:paraId="165009C1">
                  <w:pPr>
                    <w:adjustRightInd w:val="0"/>
                    <w:snapToGrid w:val="0"/>
                    <w:spacing w:line="240" w:lineRule="auto"/>
                    <w:ind w:firstLine="0" w:firstLineChars="0"/>
                    <w:jc w:val="center"/>
                    <w:rPr>
                      <w:rFonts w:hint="default" w:eastAsia="宋体"/>
                      <w:color w:val="auto"/>
                      <w:sz w:val="21"/>
                      <w:szCs w:val="21"/>
                      <w:highlight w:val="none"/>
                      <w:lang w:val="en-US" w:eastAsia="zh-CN"/>
                    </w:rPr>
                  </w:pPr>
                  <w:r>
                    <w:rPr>
                      <w:rFonts w:hint="eastAsia"/>
                      <w:color w:val="auto"/>
                      <w:sz w:val="21"/>
                      <w:szCs w:val="21"/>
                      <w:highlight w:val="none"/>
                      <w:lang w:val="en-US" w:eastAsia="zh-CN"/>
                    </w:rPr>
                    <w:t>0.217</w:t>
                  </w:r>
                </w:p>
              </w:tc>
              <w:tc>
                <w:tcPr>
                  <w:tcW w:w="1248" w:type="pct"/>
                  <w:vAlign w:val="center"/>
                </w:tcPr>
                <w:p w14:paraId="64D1E0FA">
                  <w:pPr>
                    <w:adjustRightInd w:val="0"/>
                    <w:snapToGrid w:val="0"/>
                    <w:spacing w:line="240" w:lineRule="auto"/>
                    <w:ind w:firstLine="0" w:firstLineChars="0"/>
                    <w:jc w:val="center"/>
                    <w:rPr>
                      <w:rFonts w:hint="default" w:eastAsia="宋体"/>
                      <w:color w:val="auto"/>
                      <w:sz w:val="21"/>
                      <w:szCs w:val="21"/>
                      <w:highlight w:val="none"/>
                      <w:lang w:val="en-US" w:eastAsia="zh-CN"/>
                    </w:rPr>
                  </w:pPr>
                  <w:r>
                    <w:rPr>
                      <w:rFonts w:hint="eastAsia"/>
                      <w:color w:val="auto"/>
                      <w:sz w:val="21"/>
                      <w:szCs w:val="21"/>
                      <w:highlight w:val="none"/>
                      <w:lang w:val="en-US" w:eastAsia="zh-CN"/>
                    </w:rPr>
                    <w:t>0.483</w:t>
                  </w:r>
                </w:p>
              </w:tc>
              <w:tc>
                <w:tcPr>
                  <w:tcW w:w="1248" w:type="pct"/>
                  <w:vAlign w:val="center"/>
                </w:tcPr>
                <w:p w14:paraId="150A26A8">
                  <w:pPr>
                    <w:adjustRightInd w:val="0"/>
                    <w:snapToGrid w:val="0"/>
                    <w:spacing w:line="240" w:lineRule="auto"/>
                    <w:ind w:firstLine="0" w:firstLineChars="0"/>
                    <w:jc w:val="center"/>
                    <w:rPr>
                      <w:rFonts w:hint="default" w:eastAsia="宋体"/>
                      <w:color w:val="auto"/>
                      <w:sz w:val="21"/>
                      <w:szCs w:val="21"/>
                      <w:highlight w:val="none"/>
                      <w:lang w:val="en-US" w:eastAsia="zh-CN"/>
                    </w:rPr>
                  </w:pPr>
                  <w:r>
                    <w:rPr>
                      <w:rFonts w:hint="eastAsia"/>
                      <w:color w:val="auto"/>
                      <w:sz w:val="21"/>
                      <w:szCs w:val="21"/>
                      <w:highlight w:val="none"/>
                      <w:lang w:val="en-US" w:eastAsia="zh-CN"/>
                    </w:rPr>
                    <w:t>0.266</w:t>
                  </w:r>
                </w:p>
              </w:tc>
            </w:tr>
          </w:tbl>
          <w:p w14:paraId="1FA03A57">
            <w:pPr>
              <w:pStyle w:val="85"/>
              <w:ind w:firstLine="480"/>
              <w:rPr>
                <w:color w:val="auto"/>
                <w:highlight w:val="none"/>
              </w:rPr>
            </w:pPr>
            <w:r>
              <w:rPr>
                <w:rFonts w:hint="eastAsia" w:cs="Times New Roman"/>
                <w:b w:val="0"/>
                <w:bCs/>
                <w:color w:val="auto"/>
                <w:kern w:val="2"/>
                <w:sz w:val="24"/>
                <w:szCs w:val="24"/>
                <w:highlight w:val="none"/>
                <w:lang w:val="en-US" w:eastAsia="zh-CN" w:bidi="ar-SA"/>
              </w:rPr>
              <w:t>满足</w:t>
            </w:r>
            <w:r>
              <w:rPr>
                <w:rFonts w:hint="eastAsia"/>
                <w:color w:val="auto"/>
                <w:highlight w:val="none"/>
              </w:rPr>
              <w:t>《大气污染物综合排放标准》（GB16297-1996）</w:t>
            </w:r>
            <w:r>
              <w:rPr>
                <w:color w:val="auto"/>
                <w:highlight w:val="none"/>
              </w:rPr>
              <w:t xml:space="preserve"> 表</w:t>
            </w:r>
            <w:r>
              <w:rPr>
                <w:rFonts w:hint="eastAsia"/>
                <w:color w:val="auto"/>
                <w:highlight w:val="none"/>
              </w:rPr>
              <w:t>2</w:t>
            </w:r>
            <w:r>
              <w:rPr>
                <w:color w:val="auto"/>
                <w:highlight w:val="none"/>
              </w:rPr>
              <w:t>排放限值要求</w:t>
            </w:r>
            <w:r>
              <w:rPr>
                <w:rFonts w:hint="eastAsia"/>
                <w:color w:val="auto"/>
                <w:highlight w:val="none"/>
              </w:rPr>
              <w:t>1.0</w:t>
            </w:r>
            <w:r>
              <w:rPr>
                <w:color w:val="auto"/>
                <w:highlight w:val="none"/>
              </w:rPr>
              <w:t>mg/m³</w:t>
            </w:r>
            <w:r>
              <w:rPr>
                <w:rFonts w:hint="eastAsia"/>
                <w:color w:val="auto"/>
                <w:highlight w:val="none"/>
              </w:rPr>
              <w:t>；</w:t>
            </w:r>
            <w:r>
              <w:rPr>
                <w:color w:val="auto"/>
                <w:highlight w:val="none"/>
              </w:rPr>
              <w:t>以及《秦皇岛市人民政府办公室关于执行钢铁等行业大气污染物排放特别要求的通知》</w:t>
            </w:r>
            <w:r>
              <w:rPr>
                <w:rFonts w:hint="eastAsia"/>
                <w:color w:val="auto"/>
                <w:highlight w:val="none"/>
              </w:rPr>
              <w:t>（[2021-10]）厂界上、下风向差值限值要求</w:t>
            </w:r>
            <w:r>
              <w:rPr>
                <w:color w:val="auto"/>
                <w:highlight w:val="none"/>
              </w:rPr>
              <w:t>：0.3mg/m³。</w:t>
            </w:r>
          </w:p>
          <w:p w14:paraId="38931421">
            <w:pPr>
              <w:ind w:firstLine="482" w:firstLineChars="200"/>
              <w:rPr>
                <w:rFonts w:hint="eastAsia"/>
                <w:b/>
                <w:bCs w:val="0"/>
                <w:color w:val="auto"/>
                <w:sz w:val="24"/>
                <w:highlight w:val="none"/>
              </w:rPr>
            </w:pPr>
            <w:r>
              <w:rPr>
                <w:rFonts w:hint="eastAsia" w:cs="Times New Roman"/>
                <w:b/>
                <w:bCs w:val="0"/>
                <w:color w:val="auto"/>
                <w:kern w:val="2"/>
                <w:sz w:val="24"/>
                <w:szCs w:val="24"/>
                <w:highlight w:val="none"/>
                <w:lang w:val="en-US" w:eastAsia="zh-CN" w:bidi="ar-SA"/>
              </w:rPr>
              <w:t>3、</w:t>
            </w:r>
            <w:r>
              <w:rPr>
                <w:rFonts w:hint="eastAsia"/>
                <w:b/>
                <w:bCs w:val="0"/>
                <w:color w:val="auto"/>
                <w:sz w:val="24"/>
                <w:highlight w:val="none"/>
              </w:rPr>
              <w:t>现有工程存在的环保问题及整改措施</w:t>
            </w:r>
          </w:p>
          <w:p w14:paraId="5DE50530">
            <w:pPr>
              <w:ind w:firstLine="480" w:firstLineChars="200"/>
              <w:rPr>
                <w:rFonts w:hint="default"/>
                <w:b w:val="0"/>
                <w:bCs/>
                <w:color w:val="auto"/>
                <w:sz w:val="24"/>
                <w:highlight w:val="none"/>
                <w:lang w:val="en-US" w:eastAsia="zh-CN"/>
              </w:rPr>
            </w:pPr>
            <w:r>
              <w:rPr>
                <w:rFonts w:hint="eastAsia"/>
                <w:b w:val="0"/>
                <w:bCs/>
                <w:color w:val="auto"/>
                <w:sz w:val="24"/>
                <w:highlight w:val="none"/>
                <w:lang w:val="en-US" w:eastAsia="zh-CN"/>
              </w:rPr>
              <w:t>现有工程已完成验收，无现有环保问题。</w:t>
            </w:r>
          </w:p>
          <w:p w14:paraId="3DFEEBDA">
            <w:pPr>
              <w:ind w:firstLine="480" w:firstLineChars="200"/>
              <w:rPr>
                <w:rFonts w:hint="default"/>
                <w:b w:val="0"/>
                <w:bCs/>
                <w:color w:val="auto"/>
                <w:sz w:val="24"/>
                <w:highlight w:val="none"/>
                <w:lang w:val="en-US" w:eastAsia="zh-CN"/>
              </w:rPr>
            </w:pPr>
          </w:p>
          <w:p w14:paraId="5695E8B2">
            <w:pPr>
              <w:ind w:firstLine="480" w:firstLineChars="200"/>
              <w:rPr>
                <w:rFonts w:hint="default"/>
                <w:b w:val="0"/>
                <w:bCs/>
                <w:color w:val="auto"/>
                <w:sz w:val="24"/>
                <w:highlight w:val="none"/>
                <w:lang w:val="en-US" w:eastAsia="zh-CN"/>
              </w:rPr>
            </w:pPr>
          </w:p>
          <w:p w14:paraId="0EE225FA">
            <w:pPr>
              <w:ind w:firstLine="480" w:firstLineChars="200"/>
              <w:rPr>
                <w:rFonts w:hint="default"/>
                <w:b w:val="0"/>
                <w:bCs/>
                <w:color w:val="auto"/>
                <w:sz w:val="24"/>
                <w:highlight w:val="none"/>
                <w:lang w:val="en-US" w:eastAsia="zh-CN"/>
              </w:rPr>
            </w:pPr>
          </w:p>
          <w:p w14:paraId="40D57F6B">
            <w:pPr>
              <w:ind w:firstLine="482" w:firstLineChars="200"/>
              <w:rPr>
                <w:rFonts w:hint="default"/>
                <w:b/>
                <w:bCs w:val="0"/>
                <w:color w:val="auto"/>
                <w:sz w:val="24"/>
                <w:highlight w:val="none"/>
                <w:lang w:val="en-US" w:eastAsia="zh-CN"/>
              </w:rPr>
            </w:pPr>
          </w:p>
        </w:tc>
      </w:tr>
    </w:tbl>
    <w:p w14:paraId="4ED6B77D">
      <w:pPr>
        <w:pStyle w:val="30"/>
        <w:jc w:val="both"/>
        <w:rPr>
          <w:rFonts w:ascii="Times New Roman" w:hAnsi="Times New Roman" w:eastAsia="黑体"/>
          <w:snapToGrid w:val="0"/>
          <w:color w:val="auto"/>
          <w:sz w:val="36"/>
          <w:szCs w:val="36"/>
          <w:highlight w:val="none"/>
        </w:rPr>
        <w:sectPr>
          <w:pgSz w:w="11906" w:h="16838"/>
          <w:pgMar w:top="1701" w:right="1531" w:bottom="1701" w:left="1531" w:header="851" w:footer="851" w:gutter="0"/>
          <w:pgNumType w:fmt="decimal"/>
          <w:cols w:space="720" w:num="1"/>
          <w:docGrid w:linePitch="312" w:charSpace="0"/>
        </w:sectPr>
      </w:pPr>
    </w:p>
    <w:p w14:paraId="25C726D0">
      <w:pPr>
        <w:pStyle w:val="6"/>
        <w:rPr>
          <w:color w:val="auto"/>
          <w:highlight w:val="none"/>
        </w:rPr>
      </w:pPr>
      <w:r>
        <w:rPr>
          <w:color w:val="auto"/>
          <w:highlight w:val="none"/>
        </w:rPr>
        <w:t>三、区域环境质量现状、环境保护目标及评价标准</w:t>
      </w:r>
    </w:p>
    <w:tbl>
      <w:tblPr>
        <w:tblStyle w:val="34"/>
        <w:tblW w:w="907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17"/>
        <w:gridCol w:w="8554"/>
      </w:tblGrid>
      <w:tr w14:paraId="035510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478" w:hRule="atLeast"/>
          <w:jc w:val="center"/>
        </w:trPr>
        <w:tc>
          <w:tcPr>
            <w:tcW w:w="517" w:type="dxa"/>
            <w:vAlign w:val="center"/>
          </w:tcPr>
          <w:p w14:paraId="03CAD097">
            <w:pPr>
              <w:pStyle w:val="7"/>
              <w:rPr>
                <w:color w:val="auto"/>
                <w:highlight w:val="none"/>
              </w:rPr>
            </w:pPr>
          </w:p>
          <w:p w14:paraId="1FC7889D">
            <w:pPr>
              <w:pStyle w:val="7"/>
              <w:rPr>
                <w:color w:val="auto"/>
                <w:highlight w:val="none"/>
              </w:rPr>
            </w:pPr>
          </w:p>
          <w:p w14:paraId="3BF2C0F5">
            <w:pPr>
              <w:pStyle w:val="7"/>
              <w:rPr>
                <w:color w:val="auto"/>
                <w:highlight w:val="none"/>
              </w:rPr>
            </w:pPr>
          </w:p>
          <w:p w14:paraId="24B374A6">
            <w:pPr>
              <w:pStyle w:val="7"/>
              <w:rPr>
                <w:color w:val="auto"/>
                <w:highlight w:val="none"/>
              </w:rPr>
            </w:pPr>
          </w:p>
          <w:p w14:paraId="57AEB5B9">
            <w:pPr>
              <w:pStyle w:val="7"/>
              <w:rPr>
                <w:color w:val="auto"/>
                <w:highlight w:val="none"/>
              </w:rPr>
            </w:pPr>
          </w:p>
          <w:p w14:paraId="36B05A02">
            <w:pPr>
              <w:pStyle w:val="7"/>
              <w:rPr>
                <w:color w:val="auto"/>
                <w:highlight w:val="none"/>
              </w:rPr>
            </w:pPr>
          </w:p>
          <w:p w14:paraId="5EE5897D">
            <w:pPr>
              <w:pStyle w:val="7"/>
              <w:rPr>
                <w:color w:val="auto"/>
                <w:highlight w:val="none"/>
              </w:rPr>
            </w:pPr>
          </w:p>
          <w:p w14:paraId="5D009B8A">
            <w:pPr>
              <w:pStyle w:val="7"/>
              <w:rPr>
                <w:color w:val="auto"/>
                <w:highlight w:val="none"/>
              </w:rPr>
            </w:pPr>
            <w:r>
              <w:rPr>
                <w:color w:val="auto"/>
                <w:highlight w:val="none"/>
              </w:rPr>
              <w:t>区域</w:t>
            </w:r>
          </w:p>
          <w:p w14:paraId="137C8156">
            <w:pPr>
              <w:pStyle w:val="7"/>
              <w:rPr>
                <w:color w:val="auto"/>
                <w:highlight w:val="none"/>
              </w:rPr>
            </w:pPr>
            <w:r>
              <w:rPr>
                <w:color w:val="auto"/>
                <w:highlight w:val="none"/>
              </w:rPr>
              <w:t>环境</w:t>
            </w:r>
          </w:p>
          <w:p w14:paraId="15410E6E">
            <w:pPr>
              <w:pStyle w:val="7"/>
              <w:rPr>
                <w:color w:val="auto"/>
                <w:highlight w:val="none"/>
              </w:rPr>
            </w:pPr>
            <w:r>
              <w:rPr>
                <w:color w:val="auto"/>
                <w:highlight w:val="none"/>
              </w:rPr>
              <w:t>质量</w:t>
            </w:r>
          </w:p>
          <w:p w14:paraId="1F9F954B">
            <w:pPr>
              <w:pStyle w:val="7"/>
              <w:rPr>
                <w:color w:val="auto"/>
                <w:highlight w:val="none"/>
              </w:rPr>
            </w:pPr>
            <w:r>
              <w:rPr>
                <w:color w:val="auto"/>
                <w:highlight w:val="none"/>
              </w:rPr>
              <w:t>现状</w:t>
            </w:r>
          </w:p>
          <w:p w14:paraId="25B062E3">
            <w:pPr>
              <w:pStyle w:val="7"/>
              <w:rPr>
                <w:color w:val="auto"/>
                <w:highlight w:val="none"/>
              </w:rPr>
            </w:pPr>
          </w:p>
          <w:p w14:paraId="3099BE9F">
            <w:pPr>
              <w:pStyle w:val="7"/>
              <w:rPr>
                <w:color w:val="auto"/>
                <w:highlight w:val="none"/>
              </w:rPr>
            </w:pPr>
          </w:p>
          <w:p w14:paraId="08974E9A">
            <w:pPr>
              <w:pStyle w:val="7"/>
              <w:jc w:val="both"/>
              <w:rPr>
                <w:color w:val="auto"/>
                <w:highlight w:val="none"/>
              </w:rPr>
            </w:pPr>
          </w:p>
        </w:tc>
        <w:tc>
          <w:tcPr>
            <w:tcW w:w="8554" w:type="dxa"/>
            <w:vAlign w:val="center"/>
          </w:tcPr>
          <w:p w14:paraId="79BE1AE9">
            <w:pPr>
              <w:pStyle w:val="8"/>
              <w:rPr>
                <w:color w:val="auto"/>
                <w:highlight w:val="none"/>
              </w:rPr>
            </w:pPr>
            <w:r>
              <w:rPr>
                <w:color w:val="auto"/>
                <w:highlight w:val="none"/>
              </w:rPr>
              <w:t>1 环境空气质量现状</w:t>
            </w:r>
          </w:p>
          <w:p w14:paraId="6DCF0D3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eastAsia" w:cs="Times New Roman"/>
                <w:color w:val="auto"/>
                <w:highlight w:val="none"/>
                <w:lang w:eastAsia="zh-CN"/>
              </w:rPr>
              <w:t>（</w:t>
            </w:r>
            <w:r>
              <w:rPr>
                <w:rFonts w:hint="eastAsia" w:cs="Times New Roman"/>
                <w:color w:val="auto"/>
                <w:highlight w:val="none"/>
                <w:lang w:val="en-US" w:eastAsia="zh-CN"/>
              </w:rPr>
              <w:t>1</w:t>
            </w:r>
            <w:r>
              <w:rPr>
                <w:rFonts w:hint="eastAsia" w:cs="Times New Roman"/>
                <w:color w:val="auto"/>
                <w:highlight w:val="none"/>
                <w:lang w:eastAsia="zh-CN"/>
              </w:rPr>
              <w:t>）</w:t>
            </w:r>
            <w:r>
              <w:rPr>
                <w:rFonts w:hint="eastAsia" w:cs="Times New Roman"/>
                <w:color w:val="auto"/>
                <w:highlight w:val="none"/>
                <w:lang w:val="en-US" w:eastAsia="zh-CN"/>
              </w:rPr>
              <w:t>基本污染物现状</w:t>
            </w:r>
          </w:p>
          <w:p w14:paraId="094F610A">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根据</w:t>
            </w:r>
            <w:r>
              <w:rPr>
                <w:rFonts w:hint="default" w:ascii="Times New Roman" w:hAnsi="Times New Roman" w:cs="Times New Roman"/>
                <w:color w:val="auto"/>
                <w:highlight w:val="none"/>
                <w:lang w:val="en-US" w:eastAsia="zh-CN"/>
              </w:rPr>
              <w:t>秦皇岛市大气污染防治工作领导小组</w:t>
            </w:r>
            <w:r>
              <w:rPr>
                <w:rFonts w:hint="default" w:ascii="Times New Roman" w:hAnsi="Times New Roman" w:cs="Times New Roman"/>
                <w:color w:val="auto"/>
                <w:highlight w:val="none"/>
              </w:rPr>
              <w:t>于202</w:t>
            </w:r>
            <w:r>
              <w:rPr>
                <w:rFonts w:hint="eastAsia" w:cs="Times New Roman"/>
                <w:color w:val="auto"/>
                <w:highlight w:val="none"/>
                <w:lang w:val="en-US" w:eastAsia="zh-CN"/>
              </w:rPr>
              <w:t>4</w:t>
            </w:r>
            <w:r>
              <w:rPr>
                <w:rFonts w:hint="default" w:ascii="Times New Roman" w:hAnsi="Times New Roman" w:cs="Times New Roman"/>
                <w:color w:val="auto"/>
                <w:highlight w:val="none"/>
              </w:rPr>
              <w:t>年</w:t>
            </w:r>
            <w:r>
              <w:rPr>
                <w:rFonts w:hint="eastAsia" w:cs="Times New Roman"/>
                <w:color w:val="auto"/>
                <w:highlight w:val="none"/>
                <w:lang w:val="en-US" w:eastAsia="zh-CN"/>
              </w:rPr>
              <w:t>1月11日</w:t>
            </w:r>
            <w:r>
              <w:rPr>
                <w:rFonts w:hint="default" w:ascii="Times New Roman" w:hAnsi="Times New Roman" w:cs="Times New Roman"/>
                <w:color w:val="auto"/>
                <w:highlight w:val="none"/>
              </w:rPr>
              <w:t>发布</w:t>
            </w:r>
            <w:r>
              <w:rPr>
                <w:rFonts w:hint="eastAsia" w:cs="Times New Roman"/>
                <w:color w:val="auto"/>
                <w:highlight w:val="none"/>
                <w:lang w:eastAsia="zh-CN"/>
              </w:rPr>
              <w:t>《</w:t>
            </w:r>
            <w:r>
              <w:rPr>
                <w:rFonts w:hint="eastAsia" w:cs="Times New Roman"/>
                <w:color w:val="auto"/>
                <w:highlight w:val="none"/>
                <w:lang w:val="en-US" w:eastAsia="zh-CN"/>
              </w:rPr>
              <w:t>关于2023年12月份环境空气质量情况的通报</w:t>
            </w:r>
            <w:r>
              <w:rPr>
                <w:rFonts w:hint="eastAsia" w:cs="Times New Roman"/>
                <w:color w:val="auto"/>
                <w:highlight w:val="none"/>
                <w:lang w:eastAsia="zh-CN"/>
              </w:rPr>
              <w:t>》（秦气防领办〔202</w:t>
            </w:r>
            <w:r>
              <w:rPr>
                <w:rFonts w:hint="eastAsia" w:cs="Times New Roman"/>
                <w:color w:val="auto"/>
                <w:highlight w:val="none"/>
                <w:lang w:val="en-US" w:eastAsia="zh-CN"/>
              </w:rPr>
              <w:t>3</w:t>
            </w:r>
            <w:r>
              <w:rPr>
                <w:rFonts w:hint="eastAsia" w:cs="Times New Roman"/>
                <w:color w:val="auto"/>
                <w:highlight w:val="none"/>
                <w:lang w:eastAsia="zh-CN"/>
              </w:rPr>
              <w:t>〕</w:t>
            </w:r>
            <w:r>
              <w:rPr>
                <w:rFonts w:hint="eastAsia" w:cs="Times New Roman"/>
                <w:color w:val="auto"/>
                <w:highlight w:val="none"/>
                <w:lang w:val="en-US" w:eastAsia="zh-CN"/>
              </w:rPr>
              <w:t>4</w:t>
            </w:r>
            <w:r>
              <w:rPr>
                <w:rFonts w:hint="eastAsia" w:cs="Times New Roman"/>
                <w:color w:val="auto"/>
                <w:highlight w:val="none"/>
                <w:lang w:eastAsia="zh-CN"/>
              </w:rPr>
              <w:t>号）</w:t>
            </w:r>
            <w:r>
              <w:rPr>
                <w:rFonts w:hint="default" w:ascii="Times New Roman" w:hAnsi="Times New Roman" w:cs="Times New Roman"/>
                <w:color w:val="auto"/>
                <w:highlight w:val="none"/>
              </w:rPr>
              <w:t>中相关数据显示项目所在区域</w:t>
            </w:r>
            <w:r>
              <w:rPr>
                <w:rFonts w:hint="eastAsia" w:cs="Times New Roman"/>
                <w:color w:val="auto"/>
                <w:highlight w:val="none"/>
                <w:lang w:val="en-US" w:eastAsia="zh-CN"/>
              </w:rPr>
              <w:t>2023年1-12月</w:t>
            </w:r>
            <w:r>
              <w:rPr>
                <w:rFonts w:hint="default" w:ascii="Times New Roman" w:hAnsi="Times New Roman" w:cs="Times New Roman"/>
                <w:color w:val="auto"/>
                <w:highlight w:val="none"/>
              </w:rPr>
              <w:t>秦皇岛</w:t>
            </w:r>
            <w:r>
              <w:rPr>
                <w:rFonts w:hint="eastAsia" w:cs="Times New Roman"/>
                <w:color w:val="auto"/>
                <w:highlight w:val="none"/>
                <w:lang w:val="en-US" w:eastAsia="zh-CN"/>
              </w:rPr>
              <w:t>抚宁区</w:t>
            </w:r>
            <w:r>
              <w:rPr>
                <w:rFonts w:hint="default" w:ascii="Times New Roman" w:hAnsi="Times New Roman" w:cs="Times New Roman"/>
                <w:color w:val="auto"/>
                <w:highlight w:val="none"/>
              </w:rPr>
              <w:t>空气环境质量现状做出评价</w:t>
            </w:r>
            <w:r>
              <w:rPr>
                <w:rFonts w:hint="eastAsia" w:cs="Times New Roman"/>
                <w:color w:val="auto"/>
                <w:highlight w:val="none"/>
                <w:lang w:eastAsia="zh-CN"/>
              </w:rPr>
              <w:t>，</w:t>
            </w:r>
            <w:r>
              <w:rPr>
                <w:rFonts w:hint="eastAsia" w:cs="Times New Roman"/>
                <w:color w:val="auto"/>
                <w:highlight w:val="none"/>
                <w:lang w:val="en-US" w:eastAsia="zh-CN"/>
              </w:rPr>
              <w:t>数据见下</w:t>
            </w:r>
            <w:r>
              <w:rPr>
                <w:rFonts w:hint="default" w:ascii="Times New Roman" w:hAnsi="Times New Roman" w:cs="Times New Roman"/>
                <w:color w:val="auto"/>
                <w:highlight w:val="none"/>
              </w:rPr>
              <w:t>表。</w:t>
            </w:r>
          </w:p>
          <w:p w14:paraId="5EAFACBF">
            <w:pPr>
              <w:pStyle w:val="47"/>
              <w:rPr>
                <w:rFonts w:hint="default" w:ascii="Times New Roman" w:hAnsi="Times New Roman" w:cs="Times New Roman"/>
                <w:color w:val="auto"/>
                <w:highlight w:val="none"/>
              </w:rPr>
            </w:pPr>
            <w:r>
              <w:rPr>
                <w:rFonts w:hint="default" w:ascii="Times New Roman" w:hAnsi="Times New Roman" w:cs="Times New Roman"/>
                <w:color w:val="auto"/>
                <w:highlight w:val="none"/>
              </w:rPr>
              <w:t>表</w:t>
            </w:r>
            <w:r>
              <w:rPr>
                <w:rFonts w:hint="eastAsia" w:cs="Times New Roman"/>
                <w:color w:val="auto"/>
                <w:highlight w:val="none"/>
                <w:lang w:val="en-US" w:eastAsia="zh-CN"/>
              </w:rPr>
              <w:t>3-1</w:t>
            </w:r>
            <w:r>
              <w:rPr>
                <w:rFonts w:hint="default" w:ascii="Times New Roman" w:hAnsi="Times New Roman" w:cs="Times New Roman"/>
                <w:color w:val="auto"/>
                <w:highlight w:val="none"/>
              </w:rPr>
              <w:t xml:space="preserve"> 秦皇岛</w:t>
            </w:r>
            <w:r>
              <w:rPr>
                <w:rFonts w:hint="eastAsia" w:cs="Times New Roman"/>
                <w:color w:val="auto"/>
                <w:highlight w:val="none"/>
                <w:lang w:val="en-US" w:eastAsia="zh-CN"/>
              </w:rPr>
              <w:t>抚宁区</w:t>
            </w:r>
            <w:r>
              <w:rPr>
                <w:rFonts w:hint="default" w:ascii="Times New Roman" w:hAnsi="Times New Roman" w:cs="Times New Roman"/>
                <w:color w:val="auto"/>
                <w:highlight w:val="none"/>
              </w:rPr>
              <w:t>空气质量现状评价表</w:t>
            </w:r>
          </w:p>
          <w:tbl>
            <w:tblPr>
              <w:tblStyle w:val="34"/>
              <w:tblW w:w="82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1144"/>
              <w:gridCol w:w="1437"/>
              <w:gridCol w:w="1805"/>
              <w:gridCol w:w="1600"/>
              <w:gridCol w:w="946"/>
              <w:gridCol w:w="1288"/>
            </w:tblGrid>
            <w:tr w14:paraId="071B6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0" w:hRule="atLeast"/>
                <w:jc w:val="center"/>
              </w:trPr>
              <w:tc>
                <w:tcPr>
                  <w:tcW w:w="1144" w:type="dxa"/>
                  <w:vAlign w:val="center"/>
                </w:tcPr>
                <w:p w14:paraId="098FB235">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污染物</w:t>
                  </w:r>
                </w:p>
              </w:tc>
              <w:tc>
                <w:tcPr>
                  <w:tcW w:w="1437" w:type="dxa"/>
                  <w:vAlign w:val="center"/>
                </w:tcPr>
                <w:p w14:paraId="1E945ED2">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年评价指标</w:t>
                  </w:r>
                </w:p>
              </w:tc>
              <w:tc>
                <w:tcPr>
                  <w:tcW w:w="1805" w:type="dxa"/>
                  <w:vAlign w:val="center"/>
                </w:tcPr>
                <w:p w14:paraId="2DB51158">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现状浓度/（μg/m³）</w:t>
                  </w:r>
                </w:p>
              </w:tc>
              <w:tc>
                <w:tcPr>
                  <w:tcW w:w="1600" w:type="dxa"/>
                  <w:vAlign w:val="center"/>
                </w:tcPr>
                <w:p w14:paraId="6D86CC4B">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标准值/（μg/m³）</w:t>
                  </w:r>
                </w:p>
              </w:tc>
              <w:tc>
                <w:tcPr>
                  <w:tcW w:w="946" w:type="dxa"/>
                  <w:vAlign w:val="center"/>
                </w:tcPr>
                <w:p w14:paraId="610FD961">
                  <w:pPr>
                    <w:pStyle w:val="58"/>
                    <w:ind w:firstLine="0"/>
                    <w:rPr>
                      <w:rFonts w:hint="default" w:ascii="Times New Roman" w:hAnsi="Times New Roman"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占标率/％</w:t>
                  </w:r>
                </w:p>
              </w:tc>
              <w:tc>
                <w:tcPr>
                  <w:tcW w:w="1288" w:type="dxa"/>
                  <w:vAlign w:val="center"/>
                </w:tcPr>
                <w:p w14:paraId="6D6144EB">
                  <w:pPr>
                    <w:pStyle w:val="58"/>
                    <w:ind w:firstLine="0"/>
                    <w:rPr>
                      <w:rFonts w:hint="default" w:ascii="Times New Roman" w:hAnsi="Times New Roman"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达标情况</w:t>
                  </w:r>
                </w:p>
              </w:tc>
            </w:tr>
            <w:tr w14:paraId="54CAE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80" w:hRule="exact"/>
                <w:jc w:val="center"/>
              </w:trPr>
              <w:tc>
                <w:tcPr>
                  <w:tcW w:w="1144" w:type="dxa"/>
                  <w:vAlign w:val="center"/>
                </w:tcPr>
                <w:p w14:paraId="5EB12553">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SO</w:t>
                  </w:r>
                  <w:r>
                    <w:rPr>
                      <w:rFonts w:hint="default" w:ascii="Times New Roman" w:hAnsi="Times New Roman" w:cs="Times New Roman"/>
                      <w:color w:val="auto"/>
                      <w:szCs w:val="21"/>
                      <w:highlight w:val="none"/>
                      <w:vertAlign w:val="subscript"/>
                    </w:rPr>
                    <w:t>2</w:t>
                  </w:r>
                </w:p>
              </w:tc>
              <w:tc>
                <w:tcPr>
                  <w:tcW w:w="1437" w:type="dxa"/>
                  <w:vAlign w:val="center"/>
                </w:tcPr>
                <w:p w14:paraId="3C18C4EC">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年平均值</w:t>
                  </w:r>
                </w:p>
              </w:tc>
              <w:tc>
                <w:tcPr>
                  <w:tcW w:w="1805" w:type="dxa"/>
                  <w:vAlign w:val="center"/>
                </w:tcPr>
                <w:p w14:paraId="6CB32D9B">
                  <w:pPr>
                    <w:pStyle w:val="58"/>
                    <w:ind w:firstLine="0"/>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12</w:t>
                  </w:r>
                </w:p>
              </w:tc>
              <w:tc>
                <w:tcPr>
                  <w:tcW w:w="1600" w:type="dxa"/>
                  <w:vAlign w:val="center"/>
                </w:tcPr>
                <w:p w14:paraId="0712B07B">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60</w:t>
                  </w:r>
                </w:p>
              </w:tc>
              <w:tc>
                <w:tcPr>
                  <w:tcW w:w="946" w:type="dxa"/>
                  <w:vAlign w:val="center"/>
                </w:tcPr>
                <w:p w14:paraId="0A0F53F2">
                  <w:pPr>
                    <w:pStyle w:val="58"/>
                    <w:ind w:firstLine="0"/>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20</w:t>
                  </w:r>
                </w:p>
              </w:tc>
              <w:tc>
                <w:tcPr>
                  <w:tcW w:w="1288" w:type="dxa"/>
                  <w:vAlign w:val="center"/>
                </w:tcPr>
                <w:p w14:paraId="78F74479">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是</w:t>
                  </w:r>
                </w:p>
              </w:tc>
            </w:tr>
            <w:tr w14:paraId="651B2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46" w:hRule="exact"/>
                <w:jc w:val="center"/>
              </w:trPr>
              <w:tc>
                <w:tcPr>
                  <w:tcW w:w="1144" w:type="dxa"/>
                  <w:vAlign w:val="center"/>
                </w:tcPr>
                <w:p w14:paraId="29A0846B">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NO</w:t>
                  </w:r>
                  <w:r>
                    <w:rPr>
                      <w:rFonts w:hint="default" w:ascii="Times New Roman" w:hAnsi="Times New Roman" w:cs="Times New Roman"/>
                      <w:color w:val="auto"/>
                      <w:szCs w:val="21"/>
                      <w:highlight w:val="none"/>
                      <w:vertAlign w:val="subscript"/>
                    </w:rPr>
                    <w:t>2</w:t>
                  </w:r>
                </w:p>
              </w:tc>
              <w:tc>
                <w:tcPr>
                  <w:tcW w:w="1437" w:type="dxa"/>
                  <w:vAlign w:val="center"/>
                </w:tcPr>
                <w:p w14:paraId="7980612A">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年平均值</w:t>
                  </w:r>
                </w:p>
              </w:tc>
              <w:tc>
                <w:tcPr>
                  <w:tcW w:w="1805" w:type="dxa"/>
                  <w:vAlign w:val="center"/>
                </w:tcPr>
                <w:p w14:paraId="5C25FD3E">
                  <w:pPr>
                    <w:pStyle w:val="58"/>
                    <w:ind w:firstLine="0"/>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30</w:t>
                  </w:r>
                </w:p>
              </w:tc>
              <w:tc>
                <w:tcPr>
                  <w:tcW w:w="1600" w:type="dxa"/>
                  <w:vAlign w:val="center"/>
                </w:tcPr>
                <w:p w14:paraId="7ACC8B6E">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40</w:t>
                  </w:r>
                </w:p>
              </w:tc>
              <w:tc>
                <w:tcPr>
                  <w:tcW w:w="946" w:type="dxa"/>
                  <w:vAlign w:val="center"/>
                </w:tcPr>
                <w:p w14:paraId="2D4C642A">
                  <w:pPr>
                    <w:pStyle w:val="58"/>
                    <w:ind w:firstLine="0"/>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75</w:t>
                  </w:r>
                </w:p>
              </w:tc>
              <w:tc>
                <w:tcPr>
                  <w:tcW w:w="1288" w:type="dxa"/>
                  <w:vAlign w:val="center"/>
                </w:tcPr>
                <w:p w14:paraId="195DC690">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是</w:t>
                  </w:r>
                </w:p>
              </w:tc>
            </w:tr>
            <w:tr w14:paraId="6C96A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92" w:hRule="exact"/>
                <w:jc w:val="center"/>
              </w:trPr>
              <w:tc>
                <w:tcPr>
                  <w:tcW w:w="1144" w:type="dxa"/>
                  <w:vAlign w:val="center"/>
                </w:tcPr>
                <w:p w14:paraId="44C517DD">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CO</w:t>
                  </w:r>
                </w:p>
              </w:tc>
              <w:tc>
                <w:tcPr>
                  <w:tcW w:w="1437" w:type="dxa"/>
                  <w:vAlign w:val="center"/>
                </w:tcPr>
                <w:p w14:paraId="6327D407">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24h平均值</w:t>
                  </w:r>
                </w:p>
              </w:tc>
              <w:tc>
                <w:tcPr>
                  <w:tcW w:w="1805" w:type="dxa"/>
                  <w:vAlign w:val="center"/>
                </w:tcPr>
                <w:p w14:paraId="56344842">
                  <w:pPr>
                    <w:pStyle w:val="58"/>
                    <w:ind w:firstLine="0"/>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1.5</w:t>
                  </w:r>
                </w:p>
              </w:tc>
              <w:tc>
                <w:tcPr>
                  <w:tcW w:w="1600" w:type="dxa"/>
                  <w:vAlign w:val="center"/>
                </w:tcPr>
                <w:p w14:paraId="2DF14915">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4mg/m³</w:t>
                  </w:r>
                </w:p>
              </w:tc>
              <w:tc>
                <w:tcPr>
                  <w:tcW w:w="946" w:type="dxa"/>
                  <w:vAlign w:val="center"/>
                </w:tcPr>
                <w:p w14:paraId="26742F6A">
                  <w:pPr>
                    <w:pStyle w:val="58"/>
                    <w:ind w:firstLine="0"/>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37.5</w:t>
                  </w:r>
                </w:p>
              </w:tc>
              <w:tc>
                <w:tcPr>
                  <w:tcW w:w="1288" w:type="dxa"/>
                  <w:vAlign w:val="center"/>
                </w:tcPr>
                <w:p w14:paraId="77C5F694">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是</w:t>
                  </w:r>
                </w:p>
              </w:tc>
            </w:tr>
            <w:tr w14:paraId="64FAA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71" w:hRule="exact"/>
                <w:jc w:val="center"/>
              </w:trPr>
              <w:tc>
                <w:tcPr>
                  <w:tcW w:w="1144" w:type="dxa"/>
                  <w:vAlign w:val="center"/>
                </w:tcPr>
                <w:p w14:paraId="7471C988">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O</w:t>
                  </w:r>
                  <w:r>
                    <w:rPr>
                      <w:rFonts w:hint="default" w:ascii="Times New Roman" w:hAnsi="Times New Roman" w:cs="Times New Roman"/>
                      <w:color w:val="auto"/>
                      <w:szCs w:val="21"/>
                      <w:highlight w:val="none"/>
                      <w:vertAlign w:val="subscript"/>
                    </w:rPr>
                    <w:t>3</w:t>
                  </w:r>
                </w:p>
              </w:tc>
              <w:tc>
                <w:tcPr>
                  <w:tcW w:w="1437" w:type="dxa"/>
                  <w:vAlign w:val="center"/>
                </w:tcPr>
                <w:p w14:paraId="2328D1A2">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8h平均值</w:t>
                  </w:r>
                </w:p>
              </w:tc>
              <w:tc>
                <w:tcPr>
                  <w:tcW w:w="1805" w:type="dxa"/>
                  <w:vAlign w:val="center"/>
                </w:tcPr>
                <w:p w14:paraId="63FE16D8">
                  <w:pPr>
                    <w:pStyle w:val="58"/>
                    <w:ind w:firstLine="0"/>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174</w:t>
                  </w:r>
                </w:p>
              </w:tc>
              <w:tc>
                <w:tcPr>
                  <w:tcW w:w="1600" w:type="dxa"/>
                  <w:vAlign w:val="center"/>
                </w:tcPr>
                <w:p w14:paraId="6362E241">
                  <w:pPr>
                    <w:pStyle w:val="58"/>
                    <w:ind w:firstLine="0"/>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160</w:t>
                  </w:r>
                </w:p>
              </w:tc>
              <w:tc>
                <w:tcPr>
                  <w:tcW w:w="946" w:type="dxa"/>
                  <w:vAlign w:val="center"/>
                </w:tcPr>
                <w:p w14:paraId="4DD22B42">
                  <w:pPr>
                    <w:pStyle w:val="58"/>
                    <w:ind w:firstLine="0"/>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108.7</w:t>
                  </w:r>
                </w:p>
              </w:tc>
              <w:tc>
                <w:tcPr>
                  <w:tcW w:w="1288" w:type="dxa"/>
                  <w:vAlign w:val="center"/>
                </w:tcPr>
                <w:p w14:paraId="56477AA4">
                  <w:pPr>
                    <w:pStyle w:val="58"/>
                    <w:ind w:firstLine="0"/>
                    <w:rPr>
                      <w:rFonts w:hint="eastAsia" w:ascii="Times New Roman" w:hAnsi="Times New Roman" w:cs="Times New Roman"/>
                      <w:color w:val="auto"/>
                      <w:szCs w:val="21"/>
                      <w:highlight w:val="none"/>
                      <w:lang w:eastAsia="zh-CN"/>
                    </w:rPr>
                  </w:pPr>
                  <w:r>
                    <w:rPr>
                      <w:rFonts w:hint="eastAsia" w:ascii="Times New Roman" w:hAnsi="Times New Roman" w:cs="Times New Roman"/>
                      <w:color w:val="auto"/>
                      <w:szCs w:val="21"/>
                      <w:highlight w:val="none"/>
                      <w:lang w:val="en-US" w:eastAsia="zh-CN"/>
                    </w:rPr>
                    <w:t>否</w:t>
                  </w:r>
                </w:p>
              </w:tc>
            </w:tr>
            <w:tr w14:paraId="1ABC2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6" w:hRule="exact"/>
                <w:jc w:val="center"/>
              </w:trPr>
              <w:tc>
                <w:tcPr>
                  <w:tcW w:w="1144" w:type="dxa"/>
                  <w:vAlign w:val="center"/>
                </w:tcPr>
                <w:p w14:paraId="20D2A311">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PM</w:t>
                  </w:r>
                  <w:r>
                    <w:rPr>
                      <w:rFonts w:hint="default" w:ascii="Times New Roman" w:hAnsi="Times New Roman" w:cs="Times New Roman"/>
                      <w:color w:val="auto"/>
                      <w:szCs w:val="21"/>
                      <w:highlight w:val="none"/>
                      <w:vertAlign w:val="subscript"/>
                    </w:rPr>
                    <w:t>10</w:t>
                  </w:r>
                </w:p>
              </w:tc>
              <w:tc>
                <w:tcPr>
                  <w:tcW w:w="1437" w:type="dxa"/>
                  <w:vAlign w:val="center"/>
                </w:tcPr>
                <w:p w14:paraId="09654021">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年平均值</w:t>
                  </w:r>
                </w:p>
              </w:tc>
              <w:tc>
                <w:tcPr>
                  <w:tcW w:w="1805" w:type="dxa"/>
                  <w:vAlign w:val="center"/>
                </w:tcPr>
                <w:p w14:paraId="34288B29">
                  <w:pPr>
                    <w:pStyle w:val="58"/>
                    <w:ind w:firstLine="0"/>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58</w:t>
                  </w:r>
                </w:p>
              </w:tc>
              <w:tc>
                <w:tcPr>
                  <w:tcW w:w="1600" w:type="dxa"/>
                  <w:vAlign w:val="center"/>
                </w:tcPr>
                <w:p w14:paraId="7CEA3DE3">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70</w:t>
                  </w:r>
                </w:p>
              </w:tc>
              <w:tc>
                <w:tcPr>
                  <w:tcW w:w="946" w:type="dxa"/>
                  <w:vAlign w:val="center"/>
                </w:tcPr>
                <w:p w14:paraId="054034EC">
                  <w:pPr>
                    <w:pStyle w:val="58"/>
                    <w:ind w:firstLine="0"/>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82.8</w:t>
                  </w:r>
                </w:p>
              </w:tc>
              <w:tc>
                <w:tcPr>
                  <w:tcW w:w="1288" w:type="dxa"/>
                  <w:vAlign w:val="center"/>
                </w:tcPr>
                <w:p w14:paraId="457C4A08">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是</w:t>
                  </w:r>
                </w:p>
              </w:tc>
            </w:tr>
            <w:tr w14:paraId="6F49E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56" w:hRule="exact"/>
                <w:jc w:val="center"/>
              </w:trPr>
              <w:tc>
                <w:tcPr>
                  <w:tcW w:w="1144" w:type="dxa"/>
                  <w:vAlign w:val="center"/>
                </w:tcPr>
                <w:p w14:paraId="6FD808EB">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PM</w:t>
                  </w:r>
                  <w:r>
                    <w:rPr>
                      <w:rFonts w:hint="default" w:ascii="Times New Roman" w:hAnsi="Times New Roman" w:cs="Times New Roman"/>
                      <w:color w:val="auto"/>
                      <w:szCs w:val="21"/>
                      <w:highlight w:val="none"/>
                      <w:vertAlign w:val="subscript"/>
                    </w:rPr>
                    <w:t>2.5</w:t>
                  </w:r>
                </w:p>
              </w:tc>
              <w:tc>
                <w:tcPr>
                  <w:tcW w:w="1437" w:type="dxa"/>
                  <w:vAlign w:val="center"/>
                </w:tcPr>
                <w:p w14:paraId="08BD3BC7">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年平均值</w:t>
                  </w:r>
                </w:p>
              </w:tc>
              <w:tc>
                <w:tcPr>
                  <w:tcW w:w="1805" w:type="dxa"/>
                  <w:vAlign w:val="center"/>
                </w:tcPr>
                <w:p w14:paraId="4181D36E">
                  <w:pPr>
                    <w:pStyle w:val="58"/>
                    <w:ind w:firstLine="0"/>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27</w:t>
                  </w:r>
                </w:p>
              </w:tc>
              <w:tc>
                <w:tcPr>
                  <w:tcW w:w="1600" w:type="dxa"/>
                  <w:vAlign w:val="center"/>
                </w:tcPr>
                <w:p w14:paraId="48F105F9">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35</w:t>
                  </w:r>
                </w:p>
              </w:tc>
              <w:tc>
                <w:tcPr>
                  <w:tcW w:w="946" w:type="dxa"/>
                  <w:vAlign w:val="center"/>
                </w:tcPr>
                <w:p w14:paraId="60DC6301">
                  <w:pPr>
                    <w:pStyle w:val="58"/>
                    <w:ind w:firstLine="0"/>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77.1</w:t>
                  </w:r>
                </w:p>
              </w:tc>
              <w:tc>
                <w:tcPr>
                  <w:tcW w:w="1288" w:type="dxa"/>
                  <w:vAlign w:val="center"/>
                </w:tcPr>
                <w:p w14:paraId="60004765">
                  <w:pPr>
                    <w:pStyle w:val="58"/>
                    <w:ind w:firstLine="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是</w:t>
                  </w:r>
                </w:p>
              </w:tc>
            </w:tr>
          </w:tbl>
          <w:p w14:paraId="56AE9919">
            <w:pPr>
              <w:keepNext w:val="0"/>
              <w:keepLines w:val="0"/>
              <w:pageBreakBefore w:val="0"/>
              <w:kinsoku/>
              <w:wordWrap/>
              <w:overflowPunct/>
              <w:topLinePunct w:val="0"/>
              <w:autoSpaceDE/>
              <w:autoSpaceDN/>
              <w:bidi w:val="0"/>
              <w:adjustRightInd w:val="0"/>
              <w:snapToGrid w:val="0"/>
              <w:ind w:firstLine="480" w:firstLineChars="200"/>
              <w:textAlignment w:val="auto"/>
              <w:rPr>
                <w:rFonts w:hint="default" w:cs="Times New Roman"/>
                <w:color w:val="auto"/>
                <w:sz w:val="24"/>
                <w:highlight w:val="none"/>
                <w:lang w:val="en-US" w:eastAsia="zh-CN"/>
              </w:rPr>
            </w:pPr>
            <w:r>
              <w:rPr>
                <w:rFonts w:hint="eastAsia" w:cs="Times New Roman"/>
                <w:color w:val="auto"/>
                <w:sz w:val="24"/>
                <w:highlight w:val="none"/>
                <w:lang w:val="en-US" w:eastAsia="zh-CN"/>
              </w:rPr>
              <w:t>（2）特征污染物现状</w:t>
            </w:r>
          </w:p>
          <w:p w14:paraId="7BE72A0E">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kern w:val="0"/>
                <w:sz w:val="24"/>
                <w:szCs w:val="24"/>
                <w:highlight w:val="none"/>
                <w:lang w:val="zh-CN" w:eastAsia="zh-CN" w:bidi="ar-SA"/>
              </w:rPr>
            </w:pPr>
            <w:r>
              <w:rPr>
                <w:rFonts w:hint="eastAsia" w:cs="Times New Roman"/>
                <w:color w:val="auto"/>
                <w:kern w:val="0"/>
                <w:sz w:val="24"/>
                <w:szCs w:val="24"/>
                <w:highlight w:val="none"/>
                <w:lang w:val="en-US" w:eastAsia="zh-CN" w:bidi="ar-SA"/>
              </w:rPr>
              <w:t>秦皇岛市日昌升农产品有限公司委托河北天大检测技术有限公司对项目东北侧423m处刘庄村庄村环境空气现状进行监测，采样日期为2024.10.10~10.12</w:t>
            </w:r>
            <w:r>
              <w:rPr>
                <w:rFonts w:hint="default" w:ascii="Times New Roman" w:hAnsi="Times New Roman" w:eastAsia="宋体" w:cs="Times New Roman"/>
                <w:color w:val="auto"/>
                <w:kern w:val="0"/>
                <w:sz w:val="24"/>
                <w:szCs w:val="24"/>
                <w:highlight w:val="none"/>
                <w:lang w:val="zh-CN" w:eastAsia="zh-CN" w:bidi="ar-SA"/>
              </w:rPr>
              <w:t>，连续检测</w:t>
            </w:r>
            <w:r>
              <w:rPr>
                <w:rFonts w:hint="eastAsia" w:cs="Times New Roman"/>
                <w:color w:val="auto"/>
                <w:kern w:val="0"/>
                <w:sz w:val="24"/>
                <w:szCs w:val="24"/>
                <w:highlight w:val="none"/>
                <w:lang w:val="en-US" w:eastAsia="zh-CN" w:bidi="ar-SA"/>
              </w:rPr>
              <w:t>3</w:t>
            </w:r>
            <w:r>
              <w:rPr>
                <w:rFonts w:hint="default" w:ascii="Times New Roman" w:hAnsi="Times New Roman" w:eastAsia="宋体" w:cs="Times New Roman"/>
                <w:color w:val="auto"/>
                <w:kern w:val="0"/>
                <w:sz w:val="24"/>
                <w:szCs w:val="24"/>
                <w:highlight w:val="none"/>
                <w:lang w:val="zh-CN" w:eastAsia="zh-CN" w:bidi="ar-SA"/>
              </w:rPr>
              <w:t>天。本项目大气污染物监测点位基本信息见表</w:t>
            </w:r>
            <w:r>
              <w:rPr>
                <w:rFonts w:hint="eastAsia" w:ascii="Times New Roman" w:hAnsi="Times New Roman" w:eastAsia="宋体" w:cs="Times New Roman"/>
                <w:color w:val="auto"/>
                <w:kern w:val="0"/>
                <w:sz w:val="24"/>
                <w:szCs w:val="24"/>
                <w:highlight w:val="none"/>
                <w:lang w:val="en-US" w:eastAsia="zh-CN" w:bidi="ar-SA"/>
              </w:rPr>
              <w:t>3-2</w:t>
            </w:r>
            <w:r>
              <w:rPr>
                <w:rFonts w:hint="default" w:ascii="Times New Roman" w:hAnsi="Times New Roman" w:eastAsia="宋体" w:cs="Times New Roman"/>
                <w:color w:val="auto"/>
                <w:kern w:val="0"/>
                <w:sz w:val="24"/>
                <w:szCs w:val="24"/>
                <w:highlight w:val="none"/>
                <w:lang w:val="zh-CN" w:eastAsia="zh-CN" w:bidi="ar-SA"/>
              </w:rPr>
              <w:t>。</w:t>
            </w:r>
          </w:p>
          <w:p w14:paraId="1756F83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color w:val="auto"/>
                <w:sz w:val="24"/>
                <w:szCs w:val="24"/>
                <w:highlight w:val="none"/>
              </w:rPr>
            </w:pPr>
            <w:r>
              <w:rPr>
                <w:rFonts w:hint="default" w:ascii="Times New Roman" w:hAnsi="Times New Roman" w:eastAsia="宋体" w:cs="Times New Roman"/>
                <w:b/>
                <w:color w:val="auto"/>
                <w:sz w:val="24"/>
                <w:szCs w:val="24"/>
                <w:highlight w:val="none"/>
              </w:rPr>
              <w:t>表</w:t>
            </w:r>
            <w:r>
              <w:rPr>
                <w:rFonts w:hint="eastAsia" w:ascii="Times New Roman" w:hAnsi="Times New Roman" w:eastAsia="宋体" w:cs="Times New Roman"/>
                <w:b/>
                <w:color w:val="auto"/>
                <w:sz w:val="24"/>
                <w:szCs w:val="24"/>
                <w:highlight w:val="none"/>
                <w:lang w:val="en-US" w:eastAsia="zh-CN"/>
              </w:rPr>
              <w:t xml:space="preserve">3-2 </w:t>
            </w:r>
            <w:r>
              <w:rPr>
                <w:rFonts w:hint="default" w:ascii="Times New Roman" w:hAnsi="Times New Roman" w:eastAsia="宋体" w:cs="Times New Roman"/>
                <w:b/>
                <w:color w:val="auto"/>
                <w:sz w:val="24"/>
                <w:szCs w:val="24"/>
                <w:highlight w:val="none"/>
              </w:rPr>
              <w:t>大气污染物补充监测点位基本信息表</w:t>
            </w:r>
          </w:p>
          <w:tbl>
            <w:tblPr>
              <w:tblStyle w:val="3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3"/>
              <w:gridCol w:w="1350"/>
              <w:gridCol w:w="1262"/>
              <w:gridCol w:w="1620"/>
              <w:gridCol w:w="1920"/>
              <w:gridCol w:w="1323"/>
            </w:tblGrid>
            <w:tr w14:paraId="37477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4" w:hRule="atLeast"/>
                <w:jc w:val="center"/>
              </w:trPr>
              <w:tc>
                <w:tcPr>
                  <w:tcW w:w="512" w:type="pct"/>
                  <w:vMerge w:val="restart"/>
                  <w:vAlign w:val="center"/>
                </w:tcPr>
                <w:p w14:paraId="6D73D33B">
                  <w:pPr>
                    <w:pStyle w:val="58"/>
                    <w:keepNext w:val="0"/>
                    <w:keepLines w:val="0"/>
                    <w:pageBreakBefore w:val="0"/>
                    <w:widowControl w:val="0"/>
                    <w:kinsoku/>
                    <w:wordWrap/>
                    <w:overflowPunct/>
                    <w:topLinePunct w:val="0"/>
                    <w:autoSpaceDE/>
                    <w:autoSpaceDN/>
                    <w:bidi w:val="0"/>
                    <w:adjustRightInd w:val="0"/>
                    <w:snapToGrid w:val="0"/>
                    <w:ind w:firstLine="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监测点名称</w:t>
                  </w:r>
                </w:p>
              </w:tc>
              <w:tc>
                <w:tcPr>
                  <w:tcW w:w="1567" w:type="pct"/>
                  <w:gridSpan w:val="2"/>
                  <w:vAlign w:val="center"/>
                </w:tcPr>
                <w:p w14:paraId="56C9CD5D">
                  <w:pPr>
                    <w:pStyle w:val="58"/>
                    <w:keepNext w:val="0"/>
                    <w:keepLines w:val="0"/>
                    <w:pageBreakBefore w:val="0"/>
                    <w:widowControl w:val="0"/>
                    <w:kinsoku/>
                    <w:wordWrap/>
                    <w:overflowPunct/>
                    <w:topLinePunct w:val="0"/>
                    <w:autoSpaceDE/>
                    <w:autoSpaceDN/>
                    <w:bidi w:val="0"/>
                    <w:adjustRightInd w:val="0"/>
                    <w:snapToGrid w:val="0"/>
                    <w:ind w:firstLine="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监测点坐标</w:t>
                  </w:r>
                </w:p>
              </w:tc>
              <w:tc>
                <w:tcPr>
                  <w:tcW w:w="972" w:type="pct"/>
                  <w:vMerge w:val="restart"/>
                  <w:vAlign w:val="center"/>
                </w:tcPr>
                <w:p w14:paraId="34CDD0CD">
                  <w:pPr>
                    <w:pStyle w:val="58"/>
                    <w:keepNext w:val="0"/>
                    <w:keepLines w:val="0"/>
                    <w:pageBreakBefore w:val="0"/>
                    <w:widowControl w:val="0"/>
                    <w:kinsoku/>
                    <w:wordWrap/>
                    <w:overflowPunct/>
                    <w:topLinePunct w:val="0"/>
                    <w:autoSpaceDE/>
                    <w:autoSpaceDN/>
                    <w:bidi w:val="0"/>
                    <w:adjustRightInd w:val="0"/>
                    <w:snapToGrid w:val="0"/>
                    <w:ind w:firstLine="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监测因子</w:t>
                  </w:r>
                </w:p>
              </w:tc>
              <w:tc>
                <w:tcPr>
                  <w:tcW w:w="1152" w:type="pct"/>
                  <w:vMerge w:val="restart"/>
                  <w:vAlign w:val="center"/>
                </w:tcPr>
                <w:p w14:paraId="5DCFBEED">
                  <w:pPr>
                    <w:pStyle w:val="58"/>
                    <w:keepNext w:val="0"/>
                    <w:keepLines w:val="0"/>
                    <w:pageBreakBefore w:val="0"/>
                    <w:widowControl w:val="0"/>
                    <w:kinsoku/>
                    <w:wordWrap/>
                    <w:overflowPunct/>
                    <w:topLinePunct w:val="0"/>
                    <w:autoSpaceDE/>
                    <w:autoSpaceDN/>
                    <w:bidi w:val="0"/>
                    <w:adjustRightInd w:val="0"/>
                    <w:snapToGrid w:val="0"/>
                    <w:ind w:firstLine="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监测时段</w:t>
                  </w:r>
                </w:p>
              </w:tc>
              <w:tc>
                <w:tcPr>
                  <w:tcW w:w="794" w:type="pct"/>
                  <w:vMerge w:val="restart"/>
                  <w:vAlign w:val="center"/>
                </w:tcPr>
                <w:p w14:paraId="5B7E8D49">
                  <w:pPr>
                    <w:pStyle w:val="58"/>
                    <w:keepNext w:val="0"/>
                    <w:keepLines w:val="0"/>
                    <w:pageBreakBefore w:val="0"/>
                    <w:widowControl w:val="0"/>
                    <w:kinsoku/>
                    <w:wordWrap/>
                    <w:overflowPunct/>
                    <w:topLinePunct w:val="0"/>
                    <w:autoSpaceDE/>
                    <w:autoSpaceDN/>
                    <w:bidi w:val="0"/>
                    <w:adjustRightInd w:val="0"/>
                    <w:snapToGrid w:val="0"/>
                    <w:ind w:firstLine="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相对厂区方位及距离</w:t>
                  </w:r>
                </w:p>
              </w:tc>
            </w:tr>
            <w:tr w14:paraId="083A7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exact"/>
                <w:jc w:val="center"/>
              </w:trPr>
              <w:tc>
                <w:tcPr>
                  <w:tcW w:w="512" w:type="pct"/>
                  <w:vMerge w:val="continue"/>
                  <w:vAlign w:val="center"/>
                </w:tcPr>
                <w:p w14:paraId="242F0B0E">
                  <w:pPr>
                    <w:pStyle w:val="58"/>
                    <w:keepNext w:val="0"/>
                    <w:keepLines w:val="0"/>
                    <w:pageBreakBefore w:val="0"/>
                    <w:widowControl w:val="0"/>
                    <w:kinsoku/>
                    <w:wordWrap/>
                    <w:overflowPunct/>
                    <w:topLinePunct w:val="0"/>
                    <w:autoSpaceDE/>
                    <w:autoSpaceDN/>
                    <w:bidi w:val="0"/>
                    <w:adjustRightInd w:val="0"/>
                    <w:snapToGrid w:val="0"/>
                    <w:ind w:firstLine="0"/>
                    <w:jc w:val="center"/>
                    <w:textAlignment w:val="auto"/>
                    <w:rPr>
                      <w:rFonts w:hint="default" w:ascii="Times New Roman" w:hAnsi="Times New Roman" w:eastAsia="宋体" w:cs="Times New Roman"/>
                      <w:color w:val="auto"/>
                      <w:sz w:val="21"/>
                      <w:szCs w:val="21"/>
                      <w:highlight w:val="none"/>
                      <w:lang w:val="en-US" w:eastAsia="zh-CN"/>
                    </w:rPr>
                  </w:pPr>
                </w:p>
              </w:tc>
              <w:tc>
                <w:tcPr>
                  <w:tcW w:w="810" w:type="pct"/>
                  <w:vAlign w:val="center"/>
                </w:tcPr>
                <w:p w14:paraId="2E5ACC5A">
                  <w:pPr>
                    <w:pStyle w:val="58"/>
                    <w:keepNext w:val="0"/>
                    <w:keepLines w:val="0"/>
                    <w:pageBreakBefore w:val="0"/>
                    <w:widowControl w:val="0"/>
                    <w:kinsoku/>
                    <w:wordWrap/>
                    <w:overflowPunct/>
                    <w:topLinePunct w:val="0"/>
                    <w:autoSpaceDE/>
                    <w:autoSpaceDN/>
                    <w:bidi w:val="0"/>
                    <w:adjustRightInd w:val="0"/>
                    <w:snapToGrid w:val="0"/>
                    <w:ind w:firstLine="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北纬</w:t>
                  </w:r>
                </w:p>
              </w:tc>
              <w:tc>
                <w:tcPr>
                  <w:tcW w:w="756" w:type="pct"/>
                  <w:vAlign w:val="center"/>
                </w:tcPr>
                <w:p w14:paraId="7983A782">
                  <w:pPr>
                    <w:pStyle w:val="58"/>
                    <w:keepNext w:val="0"/>
                    <w:keepLines w:val="0"/>
                    <w:pageBreakBefore w:val="0"/>
                    <w:widowControl w:val="0"/>
                    <w:kinsoku/>
                    <w:wordWrap/>
                    <w:overflowPunct/>
                    <w:topLinePunct w:val="0"/>
                    <w:autoSpaceDE/>
                    <w:autoSpaceDN/>
                    <w:bidi w:val="0"/>
                    <w:adjustRightInd w:val="0"/>
                    <w:snapToGrid w:val="0"/>
                    <w:ind w:firstLine="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东经</w:t>
                  </w:r>
                </w:p>
              </w:tc>
              <w:tc>
                <w:tcPr>
                  <w:tcW w:w="972" w:type="pct"/>
                  <w:vMerge w:val="continue"/>
                  <w:vAlign w:val="center"/>
                </w:tcPr>
                <w:p w14:paraId="7819BB65">
                  <w:pPr>
                    <w:pStyle w:val="58"/>
                    <w:keepNext w:val="0"/>
                    <w:keepLines w:val="0"/>
                    <w:pageBreakBefore w:val="0"/>
                    <w:widowControl w:val="0"/>
                    <w:kinsoku/>
                    <w:wordWrap/>
                    <w:overflowPunct/>
                    <w:topLinePunct w:val="0"/>
                    <w:autoSpaceDE/>
                    <w:autoSpaceDN/>
                    <w:bidi w:val="0"/>
                    <w:adjustRightInd w:val="0"/>
                    <w:snapToGrid w:val="0"/>
                    <w:ind w:firstLine="0"/>
                    <w:jc w:val="center"/>
                    <w:textAlignment w:val="auto"/>
                    <w:rPr>
                      <w:rFonts w:hint="default" w:ascii="Times New Roman" w:hAnsi="Times New Roman" w:eastAsia="宋体" w:cs="Times New Roman"/>
                      <w:color w:val="auto"/>
                      <w:sz w:val="21"/>
                      <w:szCs w:val="21"/>
                      <w:highlight w:val="none"/>
                      <w:lang w:val="en-US" w:eastAsia="zh-CN"/>
                    </w:rPr>
                  </w:pPr>
                </w:p>
              </w:tc>
              <w:tc>
                <w:tcPr>
                  <w:tcW w:w="1152" w:type="pct"/>
                  <w:vMerge w:val="continue"/>
                  <w:vAlign w:val="center"/>
                </w:tcPr>
                <w:p w14:paraId="1C69C74D">
                  <w:pPr>
                    <w:pStyle w:val="58"/>
                    <w:keepNext w:val="0"/>
                    <w:keepLines w:val="0"/>
                    <w:pageBreakBefore w:val="0"/>
                    <w:widowControl w:val="0"/>
                    <w:kinsoku/>
                    <w:wordWrap/>
                    <w:overflowPunct/>
                    <w:topLinePunct w:val="0"/>
                    <w:autoSpaceDE/>
                    <w:autoSpaceDN/>
                    <w:bidi w:val="0"/>
                    <w:adjustRightInd w:val="0"/>
                    <w:snapToGrid w:val="0"/>
                    <w:ind w:firstLine="0"/>
                    <w:jc w:val="center"/>
                    <w:textAlignment w:val="auto"/>
                    <w:rPr>
                      <w:rFonts w:hint="default" w:ascii="Times New Roman" w:hAnsi="Times New Roman" w:eastAsia="宋体" w:cs="Times New Roman"/>
                      <w:color w:val="auto"/>
                      <w:sz w:val="21"/>
                      <w:szCs w:val="21"/>
                      <w:highlight w:val="none"/>
                      <w:lang w:val="en-US" w:eastAsia="zh-CN"/>
                    </w:rPr>
                  </w:pPr>
                </w:p>
              </w:tc>
              <w:tc>
                <w:tcPr>
                  <w:tcW w:w="794" w:type="pct"/>
                  <w:vMerge w:val="continue"/>
                  <w:vAlign w:val="center"/>
                </w:tcPr>
                <w:p w14:paraId="65760F71">
                  <w:pPr>
                    <w:pStyle w:val="58"/>
                    <w:keepNext w:val="0"/>
                    <w:keepLines w:val="0"/>
                    <w:pageBreakBefore w:val="0"/>
                    <w:widowControl w:val="0"/>
                    <w:kinsoku/>
                    <w:wordWrap/>
                    <w:overflowPunct/>
                    <w:topLinePunct w:val="0"/>
                    <w:autoSpaceDE/>
                    <w:autoSpaceDN/>
                    <w:bidi w:val="0"/>
                    <w:adjustRightInd w:val="0"/>
                    <w:snapToGrid w:val="0"/>
                    <w:ind w:firstLine="0"/>
                    <w:jc w:val="center"/>
                    <w:textAlignment w:val="auto"/>
                    <w:rPr>
                      <w:rFonts w:hint="default" w:ascii="Times New Roman" w:hAnsi="Times New Roman" w:eastAsia="宋体" w:cs="Times New Roman"/>
                      <w:color w:val="auto"/>
                      <w:sz w:val="21"/>
                      <w:szCs w:val="21"/>
                      <w:highlight w:val="none"/>
                      <w:lang w:val="en-US" w:eastAsia="zh-CN"/>
                    </w:rPr>
                  </w:pPr>
                </w:p>
              </w:tc>
            </w:tr>
            <w:tr w14:paraId="7BECF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jc w:val="center"/>
              </w:trPr>
              <w:tc>
                <w:tcPr>
                  <w:tcW w:w="512" w:type="pct"/>
                  <w:vAlign w:val="center"/>
                </w:tcPr>
                <w:p w14:paraId="1E39DE30">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刘</w:t>
                  </w:r>
                  <w:r>
                    <w:rPr>
                      <w:rFonts w:hint="eastAsia" w:eastAsia="宋体" w:cs="Times New Roman"/>
                      <w:color w:val="auto"/>
                      <w:kern w:val="2"/>
                      <w:sz w:val="21"/>
                      <w:szCs w:val="21"/>
                      <w:highlight w:val="none"/>
                      <w:lang w:val="en-US" w:eastAsia="zh-CN" w:bidi="ar-SA"/>
                    </w:rPr>
                    <w:t>庄村</w:t>
                  </w:r>
                </w:p>
              </w:tc>
              <w:tc>
                <w:tcPr>
                  <w:tcW w:w="810" w:type="pct"/>
                  <w:vAlign w:val="center"/>
                </w:tcPr>
                <w:p w14:paraId="7F1B7E2C">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119.317715°</w:t>
                  </w:r>
                </w:p>
              </w:tc>
              <w:tc>
                <w:tcPr>
                  <w:tcW w:w="756" w:type="pct"/>
                  <w:vAlign w:val="center"/>
                </w:tcPr>
                <w:p w14:paraId="460634B7">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39.883595°</w:t>
                  </w:r>
                </w:p>
              </w:tc>
              <w:tc>
                <w:tcPr>
                  <w:tcW w:w="972" w:type="pct"/>
                  <w:vAlign w:val="center"/>
                </w:tcPr>
                <w:p w14:paraId="13A3D6C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氯化氢、TSP</w:t>
                  </w:r>
                </w:p>
              </w:tc>
              <w:tc>
                <w:tcPr>
                  <w:tcW w:w="1152" w:type="pct"/>
                  <w:vAlign w:val="center"/>
                </w:tcPr>
                <w:p w14:paraId="5C690DD1">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2024.10.10~10.12</w:t>
                  </w:r>
                </w:p>
              </w:tc>
              <w:tc>
                <w:tcPr>
                  <w:tcW w:w="794" w:type="pct"/>
                  <w:vAlign w:val="center"/>
                </w:tcPr>
                <w:p w14:paraId="0FFF4B37">
                  <w:pPr>
                    <w:pStyle w:val="58"/>
                    <w:keepNext w:val="0"/>
                    <w:keepLines w:val="0"/>
                    <w:pageBreakBefore w:val="0"/>
                    <w:widowControl w:val="0"/>
                    <w:kinsoku/>
                    <w:wordWrap/>
                    <w:overflowPunct/>
                    <w:topLinePunct w:val="0"/>
                    <w:autoSpaceDE/>
                    <w:autoSpaceDN/>
                    <w:bidi w:val="0"/>
                    <w:adjustRightInd w:val="0"/>
                    <w:snapToGrid w:val="0"/>
                    <w:ind w:firstLine="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NE</w:t>
                  </w:r>
                  <w:r>
                    <w:rPr>
                      <w:rFonts w:hint="default" w:ascii="Times New Roman" w:hAnsi="Times New Roman" w:eastAsia="宋体"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423</w:t>
                  </w:r>
                  <w:r>
                    <w:rPr>
                      <w:rFonts w:hint="default" w:ascii="Times New Roman" w:hAnsi="Times New Roman" w:eastAsia="宋体" w:cs="Times New Roman"/>
                      <w:color w:val="auto"/>
                      <w:sz w:val="21"/>
                      <w:szCs w:val="21"/>
                      <w:highlight w:val="none"/>
                      <w:lang w:val="en-US" w:eastAsia="zh-CN"/>
                    </w:rPr>
                    <w:t>m</w:t>
                  </w:r>
                </w:p>
              </w:tc>
            </w:tr>
          </w:tbl>
          <w:p w14:paraId="148BC7A1">
            <w:pPr>
              <w:adjustRightInd w:val="0"/>
              <w:snapToGrid w:val="0"/>
              <w:spacing w:line="240" w:lineRule="auto"/>
              <w:jc w:val="center"/>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eastAsia="宋体" w:cs="Times New Roman"/>
                <w:b/>
                <w:color w:val="auto"/>
                <w:sz w:val="24"/>
                <w:szCs w:val="24"/>
                <w:highlight w:val="none"/>
              </w:rPr>
              <w:t>表</w:t>
            </w:r>
            <w:r>
              <w:rPr>
                <w:rFonts w:hint="eastAsia" w:ascii="Times New Roman" w:hAnsi="Times New Roman" w:eastAsia="宋体" w:cs="Times New Roman"/>
                <w:b/>
                <w:color w:val="auto"/>
                <w:sz w:val="24"/>
                <w:szCs w:val="24"/>
                <w:highlight w:val="none"/>
                <w:lang w:val="en-US" w:eastAsia="zh-CN"/>
              </w:rPr>
              <w:t>3-</w:t>
            </w:r>
            <w:r>
              <w:rPr>
                <w:rFonts w:hint="eastAsia" w:cs="Times New Roman"/>
                <w:b/>
                <w:color w:val="auto"/>
                <w:sz w:val="24"/>
                <w:szCs w:val="24"/>
                <w:highlight w:val="none"/>
                <w:lang w:val="en-US" w:eastAsia="zh-CN"/>
              </w:rPr>
              <w:t xml:space="preserve">3  </w:t>
            </w:r>
            <w:r>
              <w:rPr>
                <w:rFonts w:hint="eastAsia" w:ascii="Times New Roman" w:hAnsi="Times New Roman" w:eastAsia="宋体" w:cs="Times New Roman"/>
                <w:b/>
                <w:color w:val="auto"/>
                <w:sz w:val="24"/>
                <w:szCs w:val="24"/>
                <w:highlight w:val="none"/>
                <w:lang w:val="en-US" w:eastAsia="zh-CN"/>
              </w:rPr>
              <w:t xml:space="preserve"> </w:t>
            </w:r>
            <w:r>
              <w:rPr>
                <w:rFonts w:hint="default" w:ascii="Times New Roman" w:hAnsi="Times New Roman" w:eastAsia="宋体" w:cs="Times New Roman"/>
                <w:b/>
                <w:color w:val="auto"/>
                <w:sz w:val="24"/>
                <w:szCs w:val="24"/>
                <w:highlight w:val="none"/>
              </w:rPr>
              <w:t>特征污染物环境质量现状监测结果表</w:t>
            </w:r>
            <w:r>
              <w:rPr>
                <w:rFonts w:hint="eastAsia" w:cs="Times New Roman"/>
                <w:b/>
                <w:color w:val="auto"/>
                <w:sz w:val="24"/>
                <w:szCs w:val="24"/>
                <w:highlight w:val="none"/>
                <w:lang w:val="en-US" w:eastAsia="zh-CN"/>
              </w:rPr>
              <w:t xml:space="preserve">    单位：</w:t>
            </w:r>
            <w:r>
              <w:rPr>
                <w:rFonts w:hint="default" w:ascii="Times New Roman" w:hAnsi="Times New Roman" w:cs="Times New Roman"/>
                <w:snapToGrid/>
                <w:color w:val="auto"/>
                <w:kern w:val="2"/>
                <w:sz w:val="24"/>
                <w:szCs w:val="24"/>
                <w:highlight w:val="none"/>
                <w:lang w:val="en-US" w:eastAsia="zh-CN"/>
              </w:rPr>
              <w:t>μ</w:t>
            </w:r>
            <w:r>
              <w:rPr>
                <w:rFonts w:hint="default" w:ascii="Times New Roman" w:hAnsi="Times New Roman" w:eastAsia="宋体" w:cs="Times New Roman"/>
                <w:snapToGrid/>
                <w:color w:val="auto"/>
                <w:kern w:val="2"/>
                <w:sz w:val="24"/>
                <w:szCs w:val="24"/>
                <w:highlight w:val="none"/>
                <w:lang w:val="zh-CN" w:eastAsia="zh-CN"/>
              </w:rPr>
              <w:t>g/m</w:t>
            </w:r>
            <w:r>
              <w:rPr>
                <w:rFonts w:hint="default" w:ascii="Times New Roman" w:hAnsi="Times New Roman" w:eastAsia="宋体" w:cs="Times New Roman"/>
                <w:snapToGrid/>
                <w:color w:val="auto"/>
                <w:kern w:val="2"/>
                <w:sz w:val="24"/>
                <w:szCs w:val="24"/>
                <w:highlight w:val="none"/>
                <w:vertAlign w:val="superscript"/>
                <w:lang w:val="zh-CN" w:eastAsia="zh-CN"/>
              </w:rPr>
              <w:t>3</w:t>
            </w:r>
          </w:p>
          <w:tbl>
            <w:tblPr>
              <w:tblStyle w:val="3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7"/>
              <w:gridCol w:w="620"/>
              <w:gridCol w:w="696"/>
              <w:gridCol w:w="876"/>
              <w:gridCol w:w="943"/>
              <w:gridCol w:w="770"/>
              <w:gridCol w:w="2205"/>
              <w:gridCol w:w="858"/>
            </w:tblGrid>
            <w:tr w14:paraId="77CA0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blHeader/>
                <w:jc w:val="center"/>
              </w:trPr>
              <w:tc>
                <w:tcPr>
                  <w:tcW w:w="815" w:type="pct"/>
                  <w:vMerge w:val="restart"/>
                  <w:vAlign w:val="center"/>
                </w:tcPr>
                <w:p w14:paraId="14993D2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outlineLvl w:val="9"/>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eastAsia="zh-CN"/>
                    </w:rPr>
                    <w:t>检测</w:t>
                  </w:r>
                  <w:r>
                    <w:rPr>
                      <w:rFonts w:hint="default" w:ascii="Times New Roman" w:hAnsi="Times New Roman" w:eastAsia="宋体" w:cs="Times New Roman"/>
                      <w:color w:val="auto"/>
                      <w:spacing w:val="0"/>
                      <w:sz w:val="21"/>
                      <w:szCs w:val="21"/>
                      <w:highlight w:val="none"/>
                    </w:rPr>
                    <w:t>项目</w:t>
                  </w:r>
                </w:p>
              </w:tc>
              <w:tc>
                <w:tcPr>
                  <w:tcW w:w="790" w:type="pct"/>
                  <w:gridSpan w:val="2"/>
                  <w:vMerge w:val="restart"/>
                  <w:vAlign w:val="center"/>
                </w:tcPr>
                <w:p w14:paraId="623261E7">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时间</w:t>
                  </w:r>
                </w:p>
              </w:tc>
              <w:tc>
                <w:tcPr>
                  <w:tcW w:w="1554" w:type="pct"/>
                  <w:gridSpan w:val="3"/>
                  <w:vAlign w:val="center"/>
                </w:tcPr>
                <w:p w14:paraId="761CD43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采样日期及检测结果</w:t>
                  </w:r>
                </w:p>
              </w:tc>
              <w:tc>
                <w:tcPr>
                  <w:tcW w:w="1324" w:type="pct"/>
                  <w:vMerge w:val="restart"/>
                  <w:vAlign w:val="center"/>
                </w:tcPr>
                <w:p w14:paraId="3FEA8F5C">
                  <w:pPr>
                    <w:keepNext w:val="0"/>
                    <w:keepLines w:val="0"/>
                    <w:pageBreakBefore w:val="0"/>
                    <w:widowControl w:val="0"/>
                    <w:suppressLineNumbers w:val="0"/>
                    <w:tabs>
                      <w:tab w:val="left" w:pos="3465"/>
                      <w:tab w:val="left" w:pos="5989"/>
                    </w:tabs>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outlineLvl w:val="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执行标准及限值</w:t>
                  </w:r>
                  <w:r>
                    <w:rPr>
                      <w:rFonts w:hint="default" w:ascii="Times New Roman" w:hAnsi="Times New Roman" w:eastAsia="宋体" w:cs="Times New Roman"/>
                      <w:color w:val="auto"/>
                      <w:kern w:val="2"/>
                      <w:sz w:val="21"/>
                      <w:szCs w:val="21"/>
                      <w:highlight w:val="none"/>
                      <w:lang w:val="en-US" w:eastAsia="zh-CN" w:bidi="ar"/>
                    </w:rPr>
                    <w:t>HJ 2.2-2018附录D标准限值</w:t>
                  </w:r>
                </w:p>
              </w:tc>
              <w:tc>
                <w:tcPr>
                  <w:tcW w:w="515" w:type="pct"/>
                  <w:vMerge w:val="restart"/>
                  <w:vAlign w:val="center"/>
                </w:tcPr>
                <w:p w14:paraId="3BCFAE9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0"/>
                      <w:sz w:val="21"/>
                      <w:szCs w:val="21"/>
                      <w:highlight w:val="none"/>
                      <w:lang w:val="en-US" w:eastAsia="zh-CN"/>
                    </w:rPr>
                    <w:t>结论</w:t>
                  </w:r>
                </w:p>
              </w:tc>
            </w:tr>
            <w:tr w14:paraId="1B447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blHeader/>
                <w:jc w:val="center"/>
              </w:trPr>
              <w:tc>
                <w:tcPr>
                  <w:tcW w:w="815" w:type="pct"/>
                  <w:vMerge w:val="continue"/>
                  <w:vAlign w:val="center"/>
                </w:tcPr>
                <w:p w14:paraId="404856B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outlineLvl w:val="9"/>
                    <w:rPr>
                      <w:rFonts w:hint="default" w:ascii="Times New Roman" w:hAnsi="Times New Roman" w:eastAsia="宋体" w:cs="Times New Roman"/>
                      <w:color w:val="auto"/>
                      <w:spacing w:val="0"/>
                      <w:sz w:val="21"/>
                      <w:szCs w:val="21"/>
                      <w:highlight w:val="none"/>
                      <w:lang w:eastAsia="zh-CN"/>
                    </w:rPr>
                  </w:pPr>
                </w:p>
              </w:tc>
              <w:tc>
                <w:tcPr>
                  <w:tcW w:w="790" w:type="pct"/>
                  <w:gridSpan w:val="2"/>
                  <w:vMerge w:val="continue"/>
                  <w:vAlign w:val="center"/>
                </w:tcPr>
                <w:p w14:paraId="75E47F30">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color w:val="auto"/>
                      <w:spacing w:val="0"/>
                      <w:sz w:val="21"/>
                      <w:szCs w:val="21"/>
                      <w:highlight w:val="none"/>
                    </w:rPr>
                  </w:pPr>
                </w:p>
              </w:tc>
              <w:tc>
                <w:tcPr>
                  <w:tcW w:w="526" w:type="pct"/>
                  <w:vAlign w:val="center"/>
                </w:tcPr>
                <w:p w14:paraId="75F4A7E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10.10</w:t>
                  </w:r>
                </w:p>
              </w:tc>
              <w:tc>
                <w:tcPr>
                  <w:tcW w:w="566" w:type="pct"/>
                  <w:vAlign w:val="center"/>
                </w:tcPr>
                <w:p w14:paraId="2EC1377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10.11</w:t>
                  </w:r>
                </w:p>
              </w:tc>
              <w:tc>
                <w:tcPr>
                  <w:tcW w:w="462" w:type="pct"/>
                  <w:vAlign w:val="center"/>
                </w:tcPr>
                <w:p w14:paraId="2D6F31F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10.12</w:t>
                  </w:r>
                </w:p>
              </w:tc>
              <w:tc>
                <w:tcPr>
                  <w:tcW w:w="1324" w:type="pct"/>
                  <w:vMerge w:val="continue"/>
                  <w:vAlign w:val="center"/>
                </w:tcPr>
                <w:p w14:paraId="70286BD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kern w:val="2"/>
                      <w:sz w:val="21"/>
                      <w:szCs w:val="21"/>
                      <w:highlight w:val="none"/>
                      <w:lang w:val="en-US" w:eastAsia="zh-CN" w:bidi="ar"/>
                    </w:rPr>
                  </w:pPr>
                </w:p>
              </w:tc>
              <w:tc>
                <w:tcPr>
                  <w:tcW w:w="515" w:type="pct"/>
                  <w:vMerge w:val="continue"/>
                  <w:vAlign w:val="center"/>
                </w:tcPr>
                <w:p w14:paraId="5B701F3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spacing w:val="0"/>
                      <w:sz w:val="21"/>
                      <w:szCs w:val="21"/>
                      <w:highlight w:val="none"/>
                      <w:lang w:val="en-US" w:eastAsia="zh-CN"/>
                    </w:rPr>
                  </w:pPr>
                </w:p>
              </w:tc>
            </w:tr>
            <w:tr w14:paraId="5B885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jc w:val="center"/>
              </w:trPr>
              <w:tc>
                <w:tcPr>
                  <w:tcW w:w="815" w:type="pct"/>
                  <w:vAlign w:val="center"/>
                </w:tcPr>
                <w:p w14:paraId="1B36FF67">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0"/>
                      <w:sz w:val="21"/>
                      <w:szCs w:val="21"/>
                      <w:lang w:val="en-US" w:eastAsia="zh-CN" w:bidi="ar"/>
                    </w:rPr>
                    <w:t>总悬浮颗粒物（</w:t>
                  </w:r>
                  <w:r>
                    <w:rPr>
                      <w:rFonts w:hint="default" w:ascii="Times New Roman" w:hAnsi="Times New Roman" w:eastAsia="宋体" w:cs="Times New Roman"/>
                      <w:color w:val="auto"/>
                      <w:kern w:val="2"/>
                      <w:sz w:val="21"/>
                      <w:szCs w:val="21"/>
                      <w:lang w:val="en-US" w:eastAsia="zh-CN" w:bidi="ar"/>
                    </w:rPr>
                    <w:t>TSP</w:t>
                  </w:r>
                  <w:r>
                    <w:rPr>
                      <w:rFonts w:hint="default"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sz w:val="21"/>
                      <w:szCs w:val="21"/>
                      <w:highlight w:val="none"/>
                      <w:vertAlign w:val="baseline"/>
                      <w:lang w:val="en-US" w:eastAsia="zh-CN"/>
                    </w:rPr>
                    <w:t>（µg/m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vertAlign w:val="baseline"/>
                      <w:lang w:val="en-US" w:eastAsia="zh-CN"/>
                    </w:rPr>
                    <w:t>）</w:t>
                  </w:r>
                </w:p>
              </w:tc>
              <w:tc>
                <w:tcPr>
                  <w:tcW w:w="790" w:type="pct"/>
                  <w:gridSpan w:val="2"/>
                  <w:vAlign w:val="center"/>
                </w:tcPr>
                <w:p w14:paraId="53CE26D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24</w:t>
                  </w:r>
                  <w:r>
                    <w:rPr>
                      <w:rFonts w:hint="default" w:ascii="Times New Roman" w:hAnsi="Times New Roman" w:eastAsia="宋体" w:cs="Times New Roman"/>
                      <w:color w:val="auto"/>
                      <w:spacing w:val="0"/>
                      <w:sz w:val="21"/>
                      <w:szCs w:val="21"/>
                      <w:highlight w:val="none"/>
                    </w:rPr>
                    <w:t>小时</w:t>
                  </w:r>
                </w:p>
                <w:p w14:paraId="4A6C16E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均值</w:t>
                  </w:r>
                </w:p>
              </w:tc>
              <w:tc>
                <w:tcPr>
                  <w:tcW w:w="526" w:type="pct"/>
                  <w:vAlign w:val="center"/>
                </w:tcPr>
                <w:p w14:paraId="09AAEF1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148</w:t>
                  </w:r>
                </w:p>
              </w:tc>
              <w:tc>
                <w:tcPr>
                  <w:tcW w:w="566" w:type="pct"/>
                  <w:vAlign w:val="center"/>
                </w:tcPr>
                <w:p w14:paraId="7722B6C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89</w:t>
                  </w:r>
                </w:p>
              </w:tc>
              <w:tc>
                <w:tcPr>
                  <w:tcW w:w="462" w:type="pct"/>
                  <w:vAlign w:val="center"/>
                </w:tcPr>
                <w:p w14:paraId="05B24AD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116</w:t>
                  </w:r>
                </w:p>
              </w:tc>
              <w:tc>
                <w:tcPr>
                  <w:tcW w:w="1324" w:type="pct"/>
                  <w:vAlign w:val="center"/>
                </w:tcPr>
                <w:p w14:paraId="4A1B6721">
                  <w:pPr>
                    <w:keepNext w:val="0"/>
                    <w:keepLines w:val="0"/>
                    <w:pageBreakBefore w:val="0"/>
                    <w:widowControl w:val="0"/>
                    <w:suppressLineNumbers w:val="0"/>
                    <w:tabs>
                      <w:tab w:val="left" w:pos="3465"/>
                      <w:tab w:val="left" w:pos="5989"/>
                    </w:tabs>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outlineLvl w:val="0"/>
                    <w:rPr>
                      <w:rFonts w:hint="default" w:ascii="Times New Roman" w:hAnsi="Times New Roman" w:eastAsia="宋体" w:cs="Times New Roman"/>
                      <w:color w:val="auto"/>
                      <w:spacing w:val="0"/>
                      <w:w w:val="100"/>
                      <w:kern w:val="2"/>
                      <w:sz w:val="21"/>
                      <w:szCs w:val="21"/>
                      <w:highlight w:val="none"/>
                      <w:shd w:val="clear" w:color="auto" w:fill="auto"/>
                      <w:lang w:val="en-US" w:eastAsia="zh-CN" w:bidi="ar-SA"/>
                    </w:rPr>
                  </w:pP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kern w:val="0"/>
                      <w:sz w:val="21"/>
                      <w:szCs w:val="21"/>
                      <w:highlight w:val="none"/>
                    </w:rPr>
                    <w:t>GB</w:t>
                  </w:r>
                  <w:r>
                    <w:rPr>
                      <w:rFonts w:hint="default" w:ascii="Times New Roman" w:hAnsi="Times New Roman" w:eastAsia="宋体" w:cs="Times New Roman"/>
                      <w:color w:val="auto"/>
                      <w:kern w:val="0"/>
                      <w:sz w:val="21"/>
                      <w:szCs w:val="21"/>
                      <w:highlight w:val="none"/>
                      <w:lang w:val="en-US" w:eastAsia="zh-CN"/>
                    </w:rPr>
                    <w:t>3095</w:t>
                  </w:r>
                  <w:r>
                    <w:rPr>
                      <w:rFonts w:hint="default" w:ascii="Times New Roman" w:hAnsi="Times New Roman" w:eastAsia="宋体" w:cs="Times New Roman"/>
                      <w:color w:val="auto"/>
                      <w:kern w:val="0"/>
                      <w:sz w:val="21"/>
                      <w:szCs w:val="21"/>
                      <w:highlight w:val="none"/>
                    </w:rPr>
                    <w:t>-20</w:t>
                  </w:r>
                  <w:r>
                    <w:rPr>
                      <w:rFonts w:hint="default" w:ascii="Times New Roman" w:hAnsi="Times New Roman" w:eastAsia="宋体" w:cs="Times New Roman"/>
                      <w:color w:val="auto"/>
                      <w:kern w:val="0"/>
                      <w:sz w:val="21"/>
                      <w:szCs w:val="21"/>
                      <w:highlight w:val="none"/>
                      <w:lang w:val="en-US" w:eastAsia="zh-CN"/>
                    </w:rPr>
                    <w:t>12</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表2二级</w:t>
                  </w:r>
                  <w:r>
                    <w:rPr>
                      <w:rFonts w:hint="default" w:ascii="Times New Roman" w:hAnsi="Times New Roman" w:eastAsia="宋体" w:cs="Times New Roman"/>
                      <w:color w:val="auto"/>
                      <w:spacing w:val="0"/>
                      <w:w w:val="100"/>
                      <w:sz w:val="21"/>
                      <w:szCs w:val="21"/>
                      <w:highlight w:val="none"/>
                      <w:shd w:val="clear" w:color="auto" w:fill="auto"/>
                      <w:lang w:val="en-US" w:eastAsia="zh-CN"/>
                    </w:rPr>
                    <w:t>标准限值≤300</w:t>
                  </w:r>
                </w:p>
              </w:tc>
              <w:tc>
                <w:tcPr>
                  <w:tcW w:w="515" w:type="pct"/>
                  <w:vAlign w:val="center"/>
                </w:tcPr>
                <w:p w14:paraId="35018BD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center"/>
                    <w:outlineLvl w:val="9"/>
                    <w:rPr>
                      <w:rFonts w:hint="default" w:ascii="Times New Roman" w:hAnsi="Times New Roman" w:eastAsia="宋体" w:cs="Times New Roman"/>
                      <w:b w:val="0"/>
                      <w:bCs w:val="0"/>
                      <w:color w:val="auto"/>
                      <w:spacing w:val="0"/>
                      <w:kern w:val="2"/>
                      <w:sz w:val="21"/>
                      <w:szCs w:val="21"/>
                      <w:highlight w:val="none"/>
                      <w:lang w:val="en-US" w:eastAsia="zh-CN" w:bidi="ar-SA"/>
                    </w:rPr>
                  </w:pPr>
                  <w:r>
                    <w:rPr>
                      <w:rFonts w:hint="default" w:ascii="Times New Roman" w:hAnsi="Times New Roman" w:eastAsia="宋体" w:cs="Times New Roman"/>
                      <w:b w:val="0"/>
                      <w:bCs w:val="0"/>
                      <w:color w:val="auto"/>
                      <w:spacing w:val="0"/>
                      <w:sz w:val="21"/>
                      <w:szCs w:val="21"/>
                      <w:highlight w:val="none"/>
                      <w:lang w:val="en-US" w:eastAsia="zh-CN"/>
                    </w:rPr>
                    <w:t>符合</w:t>
                  </w:r>
                </w:p>
              </w:tc>
            </w:tr>
            <w:tr w14:paraId="1F3BB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4" w:hRule="atLeast"/>
                <w:jc w:val="center"/>
              </w:trPr>
              <w:tc>
                <w:tcPr>
                  <w:tcW w:w="815" w:type="pct"/>
                  <w:vAlign w:val="center"/>
                </w:tcPr>
                <w:p w14:paraId="23113D07">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spacing w:val="0"/>
                      <w:sz w:val="21"/>
                      <w:szCs w:val="21"/>
                      <w:highlight w:val="none"/>
                      <w:lang w:val="en-US" w:eastAsia="zh-CN"/>
                    </w:rPr>
                    <w:t>氯化氢</w:t>
                  </w:r>
                  <w:r>
                    <w:rPr>
                      <w:rFonts w:hint="default" w:ascii="Times New Roman" w:hAnsi="Times New Roman" w:eastAsia="宋体" w:cs="Times New Roman"/>
                      <w:color w:val="auto"/>
                      <w:sz w:val="21"/>
                      <w:szCs w:val="21"/>
                      <w:highlight w:val="none"/>
                      <w:vertAlign w:val="baseline"/>
                      <w:lang w:val="en-US" w:eastAsia="zh-CN"/>
                    </w:rPr>
                    <w:t>（µg/m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vertAlign w:val="baseline"/>
                      <w:lang w:val="en-US" w:eastAsia="zh-CN"/>
                    </w:rPr>
                    <w:t>）</w:t>
                  </w:r>
                </w:p>
              </w:tc>
              <w:tc>
                <w:tcPr>
                  <w:tcW w:w="790" w:type="pct"/>
                  <w:gridSpan w:val="2"/>
                  <w:vAlign w:val="center"/>
                </w:tcPr>
                <w:p w14:paraId="1CE6723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24</w:t>
                  </w:r>
                  <w:r>
                    <w:rPr>
                      <w:rFonts w:hint="default" w:ascii="Times New Roman" w:hAnsi="Times New Roman" w:eastAsia="宋体" w:cs="Times New Roman"/>
                      <w:color w:val="auto"/>
                      <w:spacing w:val="0"/>
                      <w:sz w:val="21"/>
                      <w:szCs w:val="21"/>
                      <w:highlight w:val="none"/>
                    </w:rPr>
                    <w:t>小时</w:t>
                  </w:r>
                </w:p>
                <w:p w14:paraId="03C0430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均值</w:t>
                  </w:r>
                </w:p>
              </w:tc>
              <w:tc>
                <w:tcPr>
                  <w:tcW w:w="526" w:type="pct"/>
                  <w:vAlign w:val="center"/>
                </w:tcPr>
                <w:p w14:paraId="36002C1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&lt;8</w:t>
                  </w:r>
                </w:p>
              </w:tc>
              <w:tc>
                <w:tcPr>
                  <w:tcW w:w="566" w:type="pct"/>
                  <w:vAlign w:val="center"/>
                </w:tcPr>
                <w:p w14:paraId="15DFAA1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&lt;8</w:t>
                  </w:r>
                </w:p>
              </w:tc>
              <w:tc>
                <w:tcPr>
                  <w:tcW w:w="462" w:type="pct"/>
                  <w:vAlign w:val="center"/>
                </w:tcPr>
                <w:p w14:paraId="46B87E1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&lt;8</w:t>
                  </w:r>
                </w:p>
              </w:tc>
              <w:tc>
                <w:tcPr>
                  <w:tcW w:w="1324" w:type="pct"/>
                  <w:vAlign w:val="center"/>
                </w:tcPr>
                <w:p w14:paraId="0CB9906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spacing w:val="0"/>
                      <w:w w:val="100"/>
                      <w:sz w:val="21"/>
                      <w:szCs w:val="21"/>
                      <w:highlight w:val="none"/>
                      <w:shd w:val="clear" w:color="auto" w:fill="auto"/>
                      <w:lang w:val="en-US" w:eastAsia="zh-CN"/>
                    </w:rPr>
                  </w:pPr>
                  <w:r>
                    <w:rPr>
                      <w:rFonts w:hint="default" w:ascii="Times New Roman" w:hAnsi="Times New Roman" w:eastAsia="宋体" w:cs="Times New Roman"/>
                      <w:color w:val="auto"/>
                      <w:spacing w:val="0"/>
                      <w:w w:val="100"/>
                      <w:sz w:val="21"/>
                      <w:szCs w:val="21"/>
                      <w:highlight w:val="none"/>
                      <w:shd w:val="clear" w:color="auto" w:fill="auto"/>
                      <w:lang w:val="en-US" w:eastAsia="zh-CN"/>
                    </w:rPr>
                    <w:t>≤15</w:t>
                  </w:r>
                </w:p>
              </w:tc>
              <w:tc>
                <w:tcPr>
                  <w:tcW w:w="515" w:type="pct"/>
                  <w:vAlign w:val="center"/>
                </w:tcPr>
                <w:p w14:paraId="52076CC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center"/>
                    <w:outlineLvl w:val="9"/>
                    <w:rPr>
                      <w:rFonts w:hint="default" w:ascii="Times New Roman" w:hAnsi="Times New Roman" w:eastAsia="宋体" w:cs="Times New Roman"/>
                      <w:b w:val="0"/>
                      <w:bCs w:val="0"/>
                      <w:color w:val="auto"/>
                      <w:spacing w:val="0"/>
                      <w:sz w:val="21"/>
                      <w:szCs w:val="21"/>
                      <w:highlight w:val="none"/>
                      <w:lang w:val="en-US" w:eastAsia="zh-CN"/>
                    </w:rPr>
                  </w:pPr>
                  <w:r>
                    <w:rPr>
                      <w:rFonts w:hint="default" w:ascii="Times New Roman" w:hAnsi="Times New Roman" w:eastAsia="宋体" w:cs="Times New Roman"/>
                      <w:b w:val="0"/>
                      <w:bCs w:val="0"/>
                      <w:color w:val="auto"/>
                      <w:spacing w:val="0"/>
                      <w:sz w:val="21"/>
                      <w:szCs w:val="21"/>
                      <w:highlight w:val="none"/>
                      <w:lang w:val="en-US" w:eastAsia="zh-CN"/>
                    </w:rPr>
                    <w:t>符合</w:t>
                  </w:r>
                </w:p>
              </w:tc>
            </w:tr>
            <w:tr w14:paraId="08DF1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815" w:type="pct"/>
                  <w:vMerge w:val="restart"/>
                  <w:vAlign w:val="center"/>
                </w:tcPr>
                <w:p w14:paraId="4DE24511">
                  <w:pPr>
                    <w:pStyle w:val="4"/>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氯化氢（</w:t>
                  </w:r>
                  <w:r>
                    <w:rPr>
                      <w:rFonts w:hint="default" w:ascii="Times New Roman" w:hAnsi="Times New Roman" w:eastAsia="宋体" w:cs="Times New Roman"/>
                      <w:color w:val="auto"/>
                      <w:sz w:val="21"/>
                      <w:szCs w:val="21"/>
                      <w:highlight w:val="none"/>
                      <w:vertAlign w:val="baseline"/>
                      <w:lang w:val="en-US" w:eastAsia="zh-CN"/>
                    </w:rPr>
                    <w:t>µg/m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pacing w:val="0"/>
                      <w:sz w:val="21"/>
                      <w:szCs w:val="21"/>
                      <w:highlight w:val="none"/>
                      <w:lang w:val="en-US" w:eastAsia="zh-CN"/>
                    </w:rPr>
                    <w:t>）</w:t>
                  </w:r>
                </w:p>
              </w:tc>
              <w:tc>
                <w:tcPr>
                  <w:tcW w:w="372" w:type="pct"/>
                  <w:vMerge w:val="restart"/>
                  <w:vAlign w:val="center"/>
                </w:tcPr>
                <w:p w14:paraId="428BD6FF">
                  <w:pPr>
                    <w:pStyle w:val="4"/>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小时</w:t>
                  </w:r>
                </w:p>
                <w:p w14:paraId="77218873">
                  <w:pPr>
                    <w:pStyle w:val="4"/>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均值</w:t>
                  </w:r>
                </w:p>
              </w:tc>
              <w:tc>
                <w:tcPr>
                  <w:tcW w:w="418" w:type="pct"/>
                  <w:vAlign w:val="center"/>
                </w:tcPr>
                <w:p w14:paraId="1E457AF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2:00</w:t>
                  </w:r>
                </w:p>
              </w:tc>
              <w:tc>
                <w:tcPr>
                  <w:tcW w:w="526" w:type="pct"/>
                  <w:vAlign w:val="center"/>
                </w:tcPr>
                <w:p w14:paraId="77DAB50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spacing w:val="0"/>
                      <w:w w:val="100"/>
                      <w:kern w:val="2"/>
                      <w:sz w:val="21"/>
                      <w:szCs w:val="21"/>
                      <w:highlight w:val="none"/>
                      <w:shd w:val="clear" w:color="auto" w:fill="auto"/>
                      <w:lang w:val="en-US" w:eastAsia="zh-CN" w:bidi="ar-SA"/>
                    </w:rPr>
                  </w:pPr>
                  <w:r>
                    <w:rPr>
                      <w:rFonts w:hint="default" w:ascii="Times New Roman" w:hAnsi="Times New Roman" w:eastAsia="宋体" w:cs="Times New Roman"/>
                      <w:b w:val="0"/>
                      <w:bCs w:val="0"/>
                      <w:color w:val="auto"/>
                      <w:sz w:val="21"/>
                      <w:szCs w:val="21"/>
                      <w:highlight w:val="none"/>
                      <w:lang w:val="en-US" w:eastAsia="zh-CN"/>
                    </w:rPr>
                    <w:t>&lt;20</w:t>
                  </w:r>
                </w:p>
              </w:tc>
              <w:tc>
                <w:tcPr>
                  <w:tcW w:w="566" w:type="pct"/>
                  <w:vAlign w:val="center"/>
                </w:tcPr>
                <w:p w14:paraId="3F44E75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b w:val="0"/>
                      <w:bCs w:val="0"/>
                      <w:color w:val="auto"/>
                      <w:spacing w:val="0"/>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&lt;20</w:t>
                  </w:r>
                </w:p>
              </w:tc>
              <w:tc>
                <w:tcPr>
                  <w:tcW w:w="462" w:type="pct"/>
                  <w:vAlign w:val="center"/>
                </w:tcPr>
                <w:p w14:paraId="039BE4A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&lt;20</w:t>
                  </w:r>
                </w:p>
              </w:tc>
              <w:tc>
                <w:tcPr>
                  <w:tcW w:w="1324" w:type="pct"/>
                  <w:vAlign w:val="center"/>
                </w:tcPr>
                <w:p w14:paraId="18B26AA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b w:val="0"/>
                      <w:bCs w:val="0"/>
                      <w:color w:val="auto"/>
                      <w:spacing w:val="0"/>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vertAlign w:val="baseline"/>
                      <w:lang w:val="en-US" w:eastAsia="zh-CN"/>
                    </w:rPr>
                    <w:t>≤50</w:t>
                  </w:r>
                </w:p>
              </w:tc>
              <w:tc>
                <w:tcPr>
                  <w:tcW w:w="515" w:type="pct"/>
                  <w:vAlign w:val="center"/>
                </w:tcPr>
                <w:p w14:paraId="06F68F4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b w:val="0"/>
                      <w:bCs w:val="0"/>
                      <w:color w:val="auto"/>
                      <w:spacing w:val="0"/>
                      <w:kern w:val="2"/>
                      <w:sz w:val="21"/>
                      <w:szCs w:val="21"/>
                      <w:highlight w:val="none"/>
                      <w:lang w:val="en-US" w:eastAsia="zh-CN" w:bidi="ar-SA"/>
                    </w:rPr>
                  </w:pPr>
                  <w:r>
                    <w:rPr>
                      <w:rFonts w:hint="default" w:ascii="Times New Roman" w:hAnsi="Times New Roman" w:eastAsia="宋体" w:cs="Times New Roman"/>
                      <w:b w:val="0"/>
                      <w:bCs w:val="0"/>
                      <w:color w:val="auto"/>
                      <w:spacing w:val="0"/>
                      <w:sz w:val="21"/>
                      <w:szCs w:val="21"/>
                      <w:highlight w:val="none"/>
                      <w:lang w:val="en-US" w:eastAsia="zh-CN"/>
                    </w:rPr>
                    <w:t>符合</w:t>
                  </w:r>
                </w:p>
              </w:tc>
            </w:tr>
            <w:tr w14:paraId="42E76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815" w:type="pct"/>
                  <w:vMerge w:val="continue"/>
                  <w:vAlign w:val="center"/>
                </w:tcPr>
                <w:p w14:paraId="27DA3A44">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lang w:val="en-US" w:eastAsia="zh-CN"/>
                    </w:rPr>
                  </w:pPr>
                </w:p>
              </w:tc>
              <w:tc>
                <w:tcPr>
                  <w:tcW w:w="372" w:type="pct"/>
                  <w:vMerge w:val="continue"/>
                  <w:vAlign w:val="center"/>
                </w:tcPr>
                <w:p w14:paraId="235E941E">
                  <w:pPr>
                    <w:pStyle w:val="4"/>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color w:val="auto"/>
                      <w:spacing w:val="0"/>
                      <w:kern w:val="2"/>
                      <w:sz w:val="21"/>
                      <w:szCs w:val="21"/>
                      <w:highlight w:val="none"/>
                      <w:lang w:val="en-US" w:eastAsia="zh-CN" w:bidi="ar-SA"/>
                    </w:rPr>
                  </w:pPr>
                </w:p>
              </w:tc>
              <w:tc>
                <w:tcPr>
                  <w:tcW w:w="418" w:type="pct"/>
                  <w:vAlign w:val="center"/>
                </w:tcPr>
                <w:p w14:paraId="5E1D7A6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8:00</w:t>
                  </w:r>
                </w:p>
              </w:tc>
              <w:tc>
                <w:tcPr>
                  <w:tcW w:w="526" w:type="pct"/>
                  <w:vAlign w:val="center"/>
                </w:tcPr>
                <w:p w14:paraId="5EFFE79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spacing w:val="0"/>
                      <w:w w:val="100"/>
                      <w:kern w:val="2"/>
                      <w:sz w:val="21"/>
                      <w:szCs w:val="21"/>
                      <w:highlight w:val="none"/>
                      <w:shd w:val="clear" w:color="auto" w:fill="auto"/>
                      <w:lang w:val="en-US" w:eastAsia="zh-CN" w:bidi="ar-SA"/>
                    </w:rPr>
                  </w:pPr>
                  <w:r>
                    <w:rPr>
                      <w:rFonts w:hint="default" w:ascii="Times New Roman" w:hAnsi="Times New Roman" w:eastAsia="宋体" w:cs="Times New Roman"/>
                      <w:b w:val="0"/>
                      <w:bCs w:val="0"/>
                      <w:color w:val="auto"/>
                      <w:sz w:val="21"/>
                      <w:szCs w:val="21"/>
                      <w:highlight w:val="none"/>
                      <w:lang w:val="en-US" w:eastAsia="zh-CN"/>
                    </w:rPr>
                    <w:t>&lt;20</w:t>
                  </w:r>
                </w:p>
              </w:tc>
              <w:tc>
                <w:tcPr>
                  <w:tcW w:w="566" w:type="pct"/>
                  <w:vAlign w:val="center"/>
                </w:tcPr>
                <w:p w14:paraId="437DF6B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b w:val="0"/>
                      <w:bCs w:val="0"/>
                      <w:color w:val="auto"/>
                      <w:spacing w:val="0"/>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&lt;20</w:t>
                  </w:r>
                </w:p>
              </w:tc>
              <w:tc>
                <w:tcPr>
                  <w:tcW w:w="462" w:type="pct"/>
                  <w:vAlign w:val="center"/>
                </w:tcPr>
                <w:p w14:paraId="1F26419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&lt;20</w:t>
                  </w:r>
                </w:p>
              </w:tc>
              <w:tc>
                <w:tcPr>
                  <w:tcW w:w="1324" w:type="pct"/>
                  <w:vAlign w:val="center"/>
                </w:tcPr>
                <w:p w14:paraId="612B96E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b w:val="0"/>
                      <w:bCs w:val="0"/>
                      <w:color w:val="auto"/>
                      <w:spacing w:val="0"/>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vertAlign w:val="baseline"/>
                      <w:lang w:val="en-US" w:eastAsia="zh-CN"/>
                    </w:rPr>
                    <w:t>≤50</w:t>
                  </w:r>
                </w:p>
              </w:tc>
              <w:tc>
                <w:tcPr>
                  <w:tcW w:w="515" w:type="pct"/>
                  <w:vAlign w:val="center"/>
                </w:tcPr>
                <w:p w14:paraId="3698BDC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b w:val="0"/>
                      <w:bCs w:val="0"/>
                      <w:color w:val="auto"/>
                      <w:spacing w:val="0"/>
                      <w:kern w:val="2"/>
                      <w:sz w:val="21"/>
                      <w:szCs w:val="21"/>
                      <w:highlight w:val="none"/>
                      <w:lang w:val="en-US" w:eastAsia="zh-CN" w:bidi="ar-SA"/>
                    </w:rPr>
                  </w:pPr>
                  <w:r>
                    <w:rPr>
                      <w:rFonts w:hint="default" w:ascii="Times New Roman" w:hAnsi="Times New Roman" w:eastAsia="宋体" w:cs="Times New Roman"/>
                      <w:b w:val="0"/>
                      <w:bCs w:val="0"/>
                      <w:color w:val="auto"/>
                      <w:spacing w:val="0"/>
                      <w:sz w:val="21"/>
                      <w:szCs w:val="21"/>
                      <w:highlight w:val="none"/>
                      <w:lang w:val="en-US" w:eastAsia="zh-CN"/>
                    </w:rPr>
                    <w:t>符合</w:t>
                  </w:r>
                </w:p>
              </w:tc>
            </w:tr>
            <w:tr w14:paraId="74FA8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 w:hRule="atLeast"/>
                <w:jc w:val="center"/>
              </w:trPr>
              <w:tc>
                <w:tcPr>
                  <w:tcW w:w="815" w:type="pct"/>
                  <w:vMerge w:val="continue"/>
                  <w:vAlign w:val="center"/>
                </w:tcPr>
                <w:p w14:paraId="6809912F">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lang w:val="en-US" w:eastAsia="zh-CN"/>
                    </w:rPr>
                  </w:pPr>
                </w:p>
              </w:tc>
              <w:tc>
                <w:tcPr>
                  <w:tcW w:w="372" w:type="pct"/>
                  <w:vMerge w:val="continue"/>
                  <w:vAlign w:val="center"/>
                </w:tcPr>
                <w:p w14:paraId="32E51498">
                  <w:pPr>
                    <w:pStyle w:val="4"/>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color w:val="auto"/>
                      <w:spacing w:val="0"/>
                      <w:kern w:val="2"/>
                      <w:sz w:val="21"/>
                      <w:szCs w:val="21"/>
                      <w:highlight w:val="none"/>
                      <w:lang w:val="en-US" w:eastAsia="zh-CN" w:bidi="ar-SA"/>
                    </w:rPr>
                  </w:pPr>
                </w:p>
              </w:tc>
              <w:tc>
                <w:tcPr>
                  <w:tcW w:w="418" w:type="pct"/>
                  <w:vAlign w:val="center"/>
                </w:tcPr>
                <w:p w14:paraId="7D72F3F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14:00</w:t>
                  </w:r>
                </w:p>
              </w:tc>
              <w:tc>
                <w:tcPr>
                  <w:tcW w:w="526" w:type="pct"/>
                  <w:vAlign w:val="center"/>
                </w:tcPr>
                <w:p w14:paraId="14F970D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spacing w:val="0"/>
                      <w:w w:val="100"/>
                      <w:kern w:val="2"/>
                      <w:sz w:val="21"/>
                      <w:szCs w:val="21"/>
                      <w:highlight w:val="none"/>
                      <w:shd w:val="clear" w:color="auto" w:fill="auto"/>
                      <w:lang w:val="en-US" w:eastAsia="zh-CN" w:bidi="ar-SA"/>
                    </w:rPr>
                  </w:pPr>
                  <w:r>
                    <w:rPr>
                      <w:rFonts w:hint="default" w:ascii="Times New Roman" w:hAnsi="Times New Roman" w:eastAsia="宋体" w:cs="Times New Roman"/>
                      <w:b w:val="0"/>
                      <w:bCs w:val="0"/>
                      <w:color w:val="auto"/>
                      <w:sz w:val="21"/>
                      <w:szCs w:val="21"/>
                      <w:highlight w:val="none"/>
                      <w:lang w:val="en-US" w:eastAsia="zh-CN"/>
                    </w:rPr>
                    <w:t>&lt;20</w:t>
                  </w:r>
                </w:p>
              </w:tc>
              <w:tc>
                <w:tcPr>
                  <w:tcW w:w="566" w:type="pct"/>
                  <w:vAlign w:val="center"/>
                </w:tcPr>
                <w:p w14:paraId="16ED81F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b w:val="0"/>
                      <w:bCs w:val="0"/>
                      <w:color w:val="auto"/>
                      <w:kern w:val="2"/>
                      <w:sz w:val="21"/>
                      <w:szCs w:val="21"/>
                      <w:highlight w:val="none"/>
                      <w:vertAlign w:val="baseline"/>
                      <w:lang w:val="en-US" w:eastAsia="zh-CN" w:bidi="ar-SA"/>
                    </w:rPr>
                  </w:pPr>
                  <w:r>
                    <w:rPr>
                      <w:rFonts w:hint="default" w:ascii="Times New Roman" w:hAnsi="Times New Roman" w:eastAsia="宋体" w:cs="Times New Roman"/>
                      <w:b w:val="0"/>
                      <w:bCs w:val="0"/>
                      <w:color w:val="auto"/>
                      <w:sz w:val="21"/>
                      <w:szCs w:val="21"/>
                      <w:highlight w:val="none"/>
                      <w:lang w:val="en-US" w:eastAsia="zh-CN"/>
                    </w:rPr>
                    <w:t>&lt;20</w:t>
                  </w:r>
                </w:p>
              </w:tc>
              <w:tc>
                <w:tcPr>
                  <w:tcW w:w="462" w:type="pct"/>
                  <w:vAlign w:val="center"/>
                </w:tcPr>
                <w:p w14:paraId="60771B1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&lt;20</w:t>
                  </w:r>
                </w:p>
              </w:tc>
              <w:tc>
                <w:tcPr>
                  <w:tcW w:w="1324" w:type="pct"/>
                  <w:vAlign w:val="center"/>
                </w:tcPr>
                <w:p w14:paraId="6CB134C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b w:val="0"/>
                      <w:bCs w:val="0"/>
                      <w:color w:val="auto"/>
                      <w:kern w:val="2"/>
                      <w:sz w:val="21"/>
                      <w:szCs w:val="21"/>
                      <w:highlight w:val="none"/>
                      <w:vertAlign w:val="baseline"/>
                      <w:lang w:val="en-US" w:eastAsia="zh-CN" w:bidi="ar-SA"/>
                    </w:rPr>
                  </w:pPr>
                  <w:r>
                    <w:rPr>
                      <w:rFonts w:hint="default" w:ascii="Times New Roman" w:hAnsi="Times New Roman" w:eastAsia="宋体" w:cs="Times New Roman"/>
                      <w:b w:val="0"/>
                      <w:bCs w:val="0"/>
                      <w:color w:val="auto"/>
                      <w:sz w:val="21"/>
                      <w:szCs w:val="21"/>
                      <w:highlight w:val="none"/>
                      <w:vertAlign w:val="baseline"/>
                      <w:lang w:val="en-US" w:eastAsia="zh-CN"/>
                    </w:rPr>
                    <w:t>≤50</w:t>
                  </w:r>
                </w:p>
              </w:tc>
              <w:tc>
                <w:tcPr>
                  <w:tcW w:w="515" w:type="pct"/>
                  <w:vAlign w:val="center"/>
                </w:tcPr>
                <w:p w14:paraId="5A5E0CA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b w:val="0"/>
                      <w:bCs w:val="0"/>
                      <w:color w:val="auto"/>
                      <w:spacing w:val="0"/>
                      <w:sz w:val="21"/>
                      <w:szCs w:val="21"/>
                      <w:highlight w:val="none"/>
                      <w:lang w:val="en-US" w:eastAsia="zh-CN"/>
                    </w:rPr>
                    <w:t>符合</w:t>
                  </w:r>
                </w:p>
              </w:tc>
            </w:tr>
            <w:tr w14:paraId="10F14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815" w:type="pct"/>
                  <w:vMerge w:val="continue"/>
                  <w:vAlign w:val="center"/>
                </w:tcPr>
                <w:p w14:paraId="64388610">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lang w:val="en-US" w:eastAsia="zh-CN"/>
                    </w:rPr>
                  </w:pPr>
                </w:p>
              </w:tc>
              <w:tc>
                <w:tcPr>
                  <w:tcW w:w="372" w:type="pct"/>
                  <w:vMerge w:val="continue"/>
                  <w:vAlign w:val="center"/>
                </w:tcPr>
                <w:p w14:paraId="222FB0E9">
                  <w:pPr>
                    <w:pStyle w:val="4"/>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color w:val="auto"/>
                      <w:spacing w:val="0"/>
                      <w:kern w:val="2"/>
                      <w:sz w:val="21"/>
                      <w:szCs w:val="21"/>
                      <w:highlight w:val="none"/>
                      <w:lang w:val="en-US" w:eastAsia="zh-CN" w:bidi="ar-SA"/>
                    </w:rPr>
                  </w:pPr>
                </w:p>
              </w:tc>
              <w:tc>
                <w:tcPr>
                  <w:tcW w:w="418" w:type="pct"/>
                  <w:vAlign w:val="center"/>
                </w:tcPr>
                <w:p w14:paraId="4FFFF41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20:00</w:t>
                  </w:r>
                </w:p>
              </w:tc>
              <w:tc>
                <w:tcPr>
                  <w:tcW w:w="526" w:type="pct"/>
                  <w:vAlign w:val="center"/>
                </w:tcPr>
                <w:p w14:paraId="762D2A3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spacing w:val="0"/>
                      <w:w w:val="100"/>
                      <w:kern w:val="2"/>
                      <w:sz w:val="21"/>
                      <w:szCs w:val="21"/>
                      <w:highlight w:val="none"/>
                      <w:shd w:val="clear" w:color="auto" w:fill="auto"/>
                      <w:lang w:val="en-US" w:eastAsia="zh-CN" w:bidi="ar-SA"/>
                    </w:rPr>
                  </w:pPr>
                  <w:r>
                    <w:rPr>
                      <w:rFonts w:hint="default" w:ascii="Times New Roman" w:hAnsi="Times New Roman" w:eastAsia="宋体" w:cs="Times New Roman"/>
                      <w:b w:val="0"/>
                      <w:bCs w:val="0"/>
                      <w:color w:val="auto"/>
                      <w:sz w:val="21"/>
                      <w:szCs w:val="21"/>
                      <w:highlight w:val="none"/>
                      <w:lang w:val="en-US" w:eastAsia="zh-CN"/>
                    </w:rPr>
                    <w:t>&lt;20</w:t>
                  </w:r>
                </w:p>
              </w:tc>
              <w:tc>
                <w:tcPr>
                  <w:tcW w:w="566" w:type="pct"/>
                  <w:vAlign w:val="center"/>
                </w:tcPr>
                <w:p w14:paraId="5EE55D5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b w:val="0"/>
                      <w:bCs w:val="0"/>
                      <w:color w:val="auto"/>
                      <w:kern w:val="2"/>
                      <w:sz w:val="21"/>
                      <w:szCs w:val="21"/>
                      <w:highlight w:val="none"/>
                      <w:vertAlign w:val="baseline"/>
                      <w:lang w:val="en-US" w:eastAsia="zh-CN" w:bidi="ar-SA"/>
                    </w:rPr>
                  </w:pPr>
                  <w:r>
                    <w:rPr>
                      <w:rFonts w:hint="default" w:ascii="Times New Roman" w:hAnsi="Times New Roman" w:eastAsia="宋体" w:cs="Times New Roman"/>
                      <w:b w:val="0"/>
                      <w:bCs w:val="0"/>
                      <w:color w:val="auto"/>
                      <w:sz w:val="21"/>
                      <w:szCs w:val="21"/>
                      <w:highlight w:val="none"/>
                      <w:lang w:val="en-US" w:eastAsia="zh-CN"/>
                    </w:rPr>
                    <w:t>&lt;20</w:t>
                  </w:r>
                </w:p>
              </w:tc>
              <w:tc>
                <w:tcPr>
                  <w:tcW w:w="462" w:type="pct"/>
                  <w:vAlign w:val="center"/>
                </w:tcPr>
                <w:p w14:paraId="723DF86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&lt;20</w:t>
                  </w:r>
                </w:p>
              </w:tc>
              <w:tc>
                <w:tcPr>
                  <w:tcW w:w="1324" w:type="pct"/>
                  <w:vAlign w:val="center"/>
                </w:tcPr>
                <w:p w14:paraId="32F19AA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b w:val="0"/>
                      <w:bCs w:val="0"/>
                      <w:color w:val="auto"/>
                      <w:kern w:val="2"/>
                      <w:sz w:val="21"/>
                      <w:szCs w:val="21"/>
                      <w:highlight w:val="none"/>
                      <w:vertAlign w:val="baseline"/>
                      <w:lang w:val="en-US" w:eastAsia="zh-CN" w:bidi="ar-SA"/>
                    </w:rPr>
                  </w:pPr>
                  <w:r>
                    <w:rPr>
                      <w:rFonts w:hint="default" w:ascii="Times New Roman" w:hAnsi="Times New Roman" w:eastAsia="宋体" w:cs="Times New Roman"/>
                      <w:b w:val="0"/>
                      <w:bCs w:val="0"/>
                      <w:color w:val="auto"/>
                      <w:sz w:val="21"/>
                      <w:szCs w:val="21"/>
                      <w:highlight w:val="none"/>
                      <w:vertAlign w:val="baseline"/>
                      <w:lang w:val="en-US" w:eastAsia="zh-CN"/>
                    </w:rPr>
                    <w:t>≤50</w:t>
                  </w:r>
                </w:p>
              </w:tc>
              <w:tc>
                <w:tcPr>
                  <w:tcW w:w="515" w:type="pct"/>
                  <w:vAlign w:val="center"/>
                </w:tcPr>
                <w:p w14:paraId="46B1613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b w:val="0"/>
                      <w:bCs w:val="0"/>
                      <w:color w:val="auto"/>
                      <w:spacing w:val="0"/>
                      <w:sz w:val="21"/>
                      <w:szCs w:val="21"/>
                      <w:highlight w:val="none"/>
                      <w:lang w:val="en-US" w:eastAsia="zh-CN"/>
                    </w:rPr>
                    <w:t>符合</w:t>
                  </w:r>
                </w:p>
              </w:tc>
            </w:tr>
          </w:tbl>
          <w:p w14:paraId="09E5FA4D">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jc w:val="both"/>
              <w:textAlignment w:val="auto"/>
              <w:outlineLvl w:val="9"/>
              <w:rPr>
                <w:color w:val="auto"/>
                <w:sz w:val="28"/>
                <w:szCs w:val="28"/>
                <w:highlight w:val="none"/>
              </w:rPr>
            </w:pPr>
            <w:r>
              <w:rPr>
                <w:rFonts w:hint="default" w:ascii="Times New Roman" w:hAnsi="Times New Roman" w:eastAsia="宋体" w:cs="Times New Roman"/>
                <w:b w:val="0"/>
                <w:bCs/>
                <w:color w:val="auto"/>
                <w:kern w:val="2"/>
                <w:sz w:val="24"/>
                <w:szCs w:val="21"/>
                <w:highlight w:val="none"/>
                <w:lang w:val="en-US" w:eastAsia="zh-CN" w:bidi="ar-SA"/>
              </w:rPr>
              <w:t>根据</w:t>
            </w:r>
            <w:r>
              <w:rPr>
                <w:rFonts w:hint="eastAsia" w:ascii="Times New Roman" w:hAnsi="Times New Roman" w:eastAsia="宋体" w:cs="Times New Roman"/>
                <w:b w:val="0"/>
                <w:bCs/>
                <w:color w:val="auto"/>
                <w:kern w:val="2"/>
                <w:sz w:val="24"/>
                <w:szCs w:val="21"/>
                <w:highlight w:val="none"/>
                <w:lang w:val="en-US" w:eastAsia="zh-CN" w:bidi="ar-SA"/>
              </w:rPr>
              <w:t>以上数据可知，项目所在区域</w:t>
            </w:r>
            <w:r>
              <w:rPr>
                <w:rFonts w:hint="eastAsia" w:cs="Times New Roman"/>
                <w:b w:val="0"/>
                <w:bCs/>
                <w:color w:val="auto"/>
                <w:kern w:val="2"/>
                <w:sz w:val="24"/>
                <w:szCs w:val="21"/>
                <w:highlight w:val="none"/>
                <w:lang w:val="en-US" w:eastAsia="zh-CN" w:bidi="ar-SA"/>
              </w:rPr>
              <w:t>氯化氢</w:t>
            </w:r>
            <w:r>
              <w:rPr>
                <w:rFonts w:hint="default" w:ascii="Times New Roman" w:hAnsi="Times New Roman" w:eastAsia="宋体" w:cs="Times New Roman"/>
                <w:b w:val="0"/>
                <w:bCs/>
                <w:color w:val="auto"/>
                <w:kern w:val="2"/>
                <w:sz w:val="24"/>
                <w:szCs w:val="21"/>
                <w:highlight w:val="none"/>
                <w:lang w:val="en-US" w:eastAsia="zh-CN" w:bidi="ar-SA"/>
              </w:rPr>
              <w:t>满足《</w:t>
            </w:r>
            <w:r>
              <w:rPr>
                <w:rFonts w:hint="default" w:ascii="Times New Roman" w:hAnsi="Times New Roman" w:eastAsia="宋体" w:cs="Times New Roman"/>
                <w:b w:val="0"/>
                <w:bCs/>
                <w:color w:val="auto"/>
                <w:kern w:val="2"/>
                <w:sz w:val="24"/>
                <w:szCs w:val="21"/>
                <w:highlight w:val="none"/>
                <w:lang w:val="en-US" w:eastAsia="zh-CN" w:bidi="ar-SA"/>
              </w:rPr>
              <w:fldChar w:fldCharType="begin"/>
            </w:r>
            <w:r>
              <w:rPr>
                <w:rFonts w:hint="default" w:ascii="Times New Roman" w:hAnsi="Times New Roman" w:eastAsia="宋体" w:cs="Times New Roman"/>
                <w:b w:val="0"/>
                <w:bCs/>
                <w:color w:val="auto"/>
                <w:kern w:val="2"/>
                <w:sz w:val="24"/>
                <w:szCs w:val="21"/>
                <w:highlight w:val="none"/>
                <w:lang w:val="en-US" w:eastAsia="zh-CN" w:bidi="ar-SA"/>
              </w:rPr>
              <w:instrText xml:space="preserve"> HYPERLINK "https://www.eiacloud.com/hpyzs/lawsRegulations/searchDetail?id=9c6306f42b8c438b86c40ec35de9fb59&amp;modelName=" \t "https://www.eiacloud.com/hpyzs/lawsRegulations/_blank" </w:instrText>
            </w:r>
            <w:r>
              <w:rPr>
                <w:rFonts w:hint="default" w:ascii="Times New Roman" w:hAnsi="Times New Roman" w:eastAsia="宋体" w:cs="Times New Roman"/>
                <w:b w:val="0"/>
                <w:bCs/>
                <w:color w:val="auto"/>
                <w:kern w:val="2"/>
                <w:sz w:val="24"/>
                <w:szCs w:val="21"/>
                <w:highlight w:val="none"/>
                <w:lang w:val="en-US" w:eastAsia="zh-CN" w:bidi="ar-SA"/>
              </w:rPr>
              <w:fldChar w:fldCharType="separate"/>
            </w:r>
            <w:r>
              <w:rPr>
                <w:rFonts w:hint="default" w:ascii="Times New Roman" w:hAnsi="Times New Roman" w:eastAsia="宋体" w:cs="Times New Roman"/>
                <w:b w:val="0"/>
                <w:bCs/>
                <w:color w:val="auto"/>
                <w:kern w:val="2"/>
                <w:sz w:val="24"/>
                <w:szCs w:val="21"/>
                <w:highlight w:val="none"/>
                <w:lang w:val="en-US" w:eastAsia="zh-CN" w:bidi="ar-SA"/>
              </w:rPr>
              <w:t>环境影响评价技术导则 大气环境</w:t>
            </w:r>
            <w:r>
              <w:rPr>
                <w:rFonts w:hint="default" w:ascii="Times New Roman" w:hAnsi="Times New Roman" w:eastAsia="宋体" w:cs="Times New Roman"/>
                <w:b w:val="0"/>
                <w:bCs/>
                <w:color w:val="auto"/>
                <w:kern w:val="2"/>
                <w:sz w:val="24"/>
                <w:szCs w:val="21"/>
                <w:highlight w:val="none"/>
                <w:lang w:val="en-US" w:eastAsia="zh-CN" w:bidi="ar-SA"/>
              </w:rPr>
              <w:fldChar w:fldCharType="end"/>
            </w:r>
            <w:r>
              <w:rPr>
                <w:rFonts w:hint="default" w:ascii="Times New Roman" w:hAnsi="Times New Roman" w:eastAsia="宋体" w:cs="Times New Roman"/>
                <w:b w:val="0"/>
                <w:bCs/>
                <w:color w:val="auto"/>
                <w:kern w:val="2"/>
                <w:sz w:val="24"/>
                <w:szCs w:val="21"/>
                <w:highlight w:val="none"/>
                <w:lang w:val="en-US" w:eastAsia="zh-CN" w:bidi="ar-SA"/>
              </w:rPr>
              <w:t>》（HJ2.2-2018）要求</w:t>
            </w:r>
            <w:r>
              <w:rPr>
                <w:rFonts w:hint="eastAsia" w:ascii="Times New Roman" w:hAnsi="Times New Roman" w:eastAsia="宋体" w:cs="Times New Roman"/>
                <w:b w:val="0"/>
                <w:bCs/>
                <w:color w:val="auto"/>
                <w:kern w:val="2"/>
                <w:sz w:val="24"/>
                <w:szCs w:val="21"/>
                <w:highlight w:val="none"/>
                <w:lang w:val="en-US" w:eastAsia="zh-CN" w:bidi="ar-SA"/>
              </w:rPr>
              <w:t>；</w:t>
            </w:r>
            <w:r>
              <w:rPr>
                <w:rFonts w:hint="eastAsia" w:cs="Times New Roman"/>
                <w:b w:val="0"/>
                <w:bCs/>
                <w:color w:val="auto"/>
                <w:kern w:val="2"/>
                <w:sz w:val="24"/>
                <w:szCs w:val="21"/>
                <w:highlight w:val="none"/>
                <w:lang w:val="en-US" w:eastAsia="zh-CN" w:bidi="ar-SA"/>
              </w:rPr>
              <w:t>基本因子除</w:t>
            </w:r>
            <w:r>
              <w:rPr>
                <w:rFonts w:hint="eastAsia" w:cs="Times New Roman"/>
                <w:b w:val="0"/>
                <w:bCs/>
                <w:color w:val="auto"/>
                <w:sz w:val="24"/>
                <w:highlight w:val="none"/>
                <w:lang w:val="en-US" w:eastAsia="zh-CN"/>
              </w:rPr>
              <w:t>臭氧外，均</w:t>
            </w:r>
            <w:r>
              <w:rPr>
                <w:rFonts w:hint="eastAsia" w:ascii="Times New Roman" w:hAnsi="Times New Roman" w:eastAsia="宋体" w:cs="Times New Roman"/>
                <w:b w:val="0"/>
                <w:bCs/>
                <w:color w:val="auto"/>
                <w:kern w:val="2"/>
                <w:sz w:val="24"/>
                <w:szCs w:val="21"/>
                <w:highlight w:val="none"/>
                <w:lang w:val="en-US" w:eastAsia="zh-CN" w:bidi="ar-SA"/>
              </w:rPr>
              <w:t>满足《环境空气质量标准》(GB3095-2012)中二级标准及其修改单要求，</w:t>
            </w:r>
            <w:r>
              <w:rPr>
                <w:rFonts w:hint="eastAsia" w:cs="Times New Roman"/>
                <w:b w:val="0"/>
                <w:bCs/>
                <w:color w:val="auto"/>
                <w:sz w:val="24"/>
                <w:highlight w:val="none"/>
                <w:lang w:val="en-US" w:eastAsia="zh-CN"/>
              </w:rPr>
              <w:t>项目所在区域为不达标区</w:t>
            </w:r>
            <w:r>
              <w:rPr>
                <w:rFonts w:hint="default" w:ascii="Times New Roman" w:hAnsi="Times New Roman" w:cs="Times New Roman"/>
                <w:b w:val="0"/>
                <w:bCs/>
                <w:color w:val="auto"/>
                <w:sz w:val="24"/>
                <w:highlight w:val="none"/>
              </w:rPr>
              <w:t>。</w:t>
            </w:r>
          </w:p>
          <w:p w14:paraId="7C09C022">
            <w:pPr>
              <w:pStyle w:val="8"/>
              <w:spacing w:line="360" w:lineRule="auto"/>
              <w:rPr>
                <w:color w:val="auto"/>
                <w:sz w:val="28"/>
                <w:szCs w:val="28"/>
                <w:highlight w:val="none"/>
              </w:rPr>
            </w:pPr>
            <w:r>
              <w:rPr>
                <w:color w:val="auto"/>
                <w:sz w:val="28"/>
                <w:szCs w:val="28"/>
                <w:highlight w:val="none"/>
              </w:rPr>
              <w:t xml:space="preserve">2 声环境质量现状  </w:t>
            </w:r>
          </w:p>
          <w:p w14:paraId="5F6AF5F8">
            <w:pPr>
              <w:ind w:firstLine="480" w:firstLineChars="200"/>
              <w:rPr>
                <w:color w:val="auto"/>
                <w:highlight w:val="none"/>
              </w:rPr>
            </w:pPr>
            <w:r>
              <w:rPr>
                <w:rFonts w:hint="eastAsia"/>
                <w:color w:val="auto"/>
                <w:highlight w:val="none"/>
                <w:lang w:val="en-US" w:eastAsia="zh-CN"/>
              </w:rPr>
              <w:t>项目所在区域</w:t>
            </w:r>
            <w:r>
              <w:rPr>
                <w:color w:val="auto"/>
                <w:highlight w:val="none"/>
              </w:rPr>
              <w:t>环境质量符合《声环境质量标准》（GB3096-2008）</w:t>
            </w:r>
            <w:r>
              <w:rPr>
                <w:rFonts w:hint="eastAsia"/>
                <w:color w:val="auto"/>
                <w:highlight w:val="none"/>
                <w:lang w:val="en-US" w:eastAsia="zh-CN"/>
              </w:rPr>
              <w:t>2</w:t>
            </w:r>
            <w:r>
              <w:rPr>
                <w:color w:val="auto"/>
                <w:highlight w:val="none"/>
              </w:rPr>
              <w:t xml:space="preserve"> 类标准。</w:t>
            </w:r>
          </w:p>
        </w:tc>
      </w:tr>
      <w:tr w14:paraId="1BABE24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58" w:hRule="atLeast"/>
          <w:jc w:val="center"/>
        </w:trPr>
        <w:tc>
          <w:tcPr>
            <w:tcW w:w="517" w:type="dxa"/>
            <w:vAlign w:val="center"/>
          </w:tcPr>
          <w:p w14:paraId="74326262">
            <w:pPr>
              <w:pStyle w:val="7"/>
              <w:rPr>
                <w:color w:val="auto"/>
                <w:highlight w:val="none"/>
              </w:rPr>
            </w:pPr>
            <w:r>
              <w:rPr>
                <w:color w:val="auto"/>
                <w:highlight w:val="none"/>
              </w:rPr>
              <w:t>环境</w:t>
            </w:r>
          </w:p>
          <w:p w14:paraId="62240A8E">
            <w:pPr>
              <w:pStyle w:val="7"/>
              <w:rPr>
                <w:color w:val="auto"/>
                <w:highlight w:val="none"/>
              </w:rPr>
            </w:pPr>
            <w:r>
              <w:rPr>
                <w:color w:val="auto"/>
                <w:highlight w:val="none"/>
              </w:rPr>
              <w:t>保护</w:t>
            </w:r>
          </w:p>
          <w:p w14:paraId="0088B18F">
            <w:pPr>
              <w:pStyle w:val="7"/>
              <w:rPr>
                <w:color w:val="auto"/>
                <w:highlight w:val="none"/>
              </w:rPr>
            </w:pPr>
            <w:r>
              <w:rPr>
                <w:color w:val="auto"/>
                <w:highlight w:val="none"/>
              </w:rPr>
              <w:t>目标</w:t>
            </w:r>
          </w:p>
        </w:tc>
        <w:tc>
          <w:tcPr>
            <w:tcW w:w="8554" w:type="dxa"/>
            <w:vAlign w:val="center"/>
          </w:tcPr>
          <w:p w14:paraId="2F084256">
            <w:pPr>
              <w:ind w:firstLine="480" w:firstLineChars="200"/>
              <w:rPr>
                <w:rFonts w:hint="default"/>
                <w:color w:val="auto"/>
                <w:highlight w:val="none"/>
                <w:lang w:val="en-US" w:eastAsia="zh-CN"/>
              </w:rPr>
            </w:pPr>
            <w:r>
              <w:rPr>
                <w:rFonts w:hint="eastAsia"/>
                <w:color w:val="auto"/>
                <w:highlight w:val="none"/>
                <w:lang w:val="en-US" w:eastAsia="zh-CN"/>
              </w:rPr>
              <w:t>1、</w:t>
            </w:r>
            <w:r>
              <w:rPr>
                <w:color w:val="auto"/>
                <w:highlight w:val="none"/>
              </w:rPr>
              <w:t>大气环境</w:t>
            </w:r>
            <w:r>
              <w:rPr>
                <w:rFonts w:hint="eastAsia"/>
                <w:color w:val="auto"/>
                <w:highlight w:val="none"/>
              </w:rPr>
              <w:t>：</w:t>
            </w:r>
            <w:r>
              <w:rPr>
                <w:rFonts w:hint="eastAsia"/>
                <w:color w:val="auto"/>
                <w:highlight w:val="none"/>
                <w:lang w:val="en-US" w:eastAsia="zh-CN"/>
              </w:rPr>
              <w:t>本项目500m范围内大气环境保护目标主要为刘庄村。</w:t>
            </w:r>
          </w:p>
          <w:p w14:paraId="4EA2109B">
            <w:pPr>
              <w:ind w:firstLine="480" w:firstLineChars="200"/>
              <w:rPr>
                <w:color w:val="auto"/>
                <w:highlight w:val="none"/>
              </w:rPr>
            </w:pPr>
            <w:r>
              <w:rPr>
                <w:color w:val="auto"/>
                <w:highlight w:val="none"/>
              </w:rPr>
              <w:t>2、声环境</w:t>
            </w:r>
            <w:r>
              <w:rPr>
                <w:rFonts w:hint="eastAsia"/>
                <w:color w:val="auto"/>
                <w:highlight w:val="none"/>
              </w:rPr>
              <w:t>：</w:t>
            </w:r>
            <w:r>
              <w:rPr>
                <w:color w:val="auto"/>
                <w:highlight w:val="none"/>
              </w:rPr>
              <w:t xml:space="preserve">厂界外 50 米范围内无声环境保护目标。 </w:t>
            </w:r>
          </w:p>
          <w:p w14:paraId="6878D047">
            <w:pPr>
              <w:ind w:firstLine="480" w:firstLineChars="200"/>
              <w:rPr>
                <w:rFonts w:hint="eastAsia"/>
                <w:color w:val="auto"/>
                <w:highlight w:val="none"/>
                <w:lang w:val="en-US" w:eastAsia="zh-CN"/>
              </w:rPr>
            </w:pPr>
            <w:r>
              <w:rPr>
                <w:rFonts w:hint="eastAsia"/>
                <w:color w:val="auto"/>
                <w:highlight w:val="none"/>
              </w:rPr>
              <w:t>3</w:t>
            </w:r>
            <w:r>
              <w:rPr>
                <w:color w:val="auto"/>
                <w:highlight w:val="none"/>
              </w:rPr>
              <w:t>、生态环境</w:t>
            </w:r>
            <w:r>
              <w:rPr>
                <w:rFonts w:hint="eastAsia"/>
                <w:color w:val="auto"/>
                <w:highlight w:val="none"/>
              </w:rPr>
              <w:t>：</w:t>
            </w:r>
            <w:r>
              <w:rPr>
                <w:rFonts w:hint="eastAsia"/>
                <w:color w:val="auto"/>
                <w:highlight w:val="none"/>
                <w:lang w:val="en-US" w:eastAsia="zh-CN"/>
              </w:rPr>
              <w:t>项目在现有车间进行建设，不会对生态环境造成影响。</w:t>
            </w:r>
          </w:p>
          <w:p w14:paraId="1074EA0E">
            <w:pPr>
              <w:ind w:firstLine="480" w:firstLineChars="200"/>
              <w:rPr>
                <w:color w:val="auto"/>
                <w:highlight w:val="none"/>
              </w:rPr>
            </w:pPr>
            <w:r>
              <w:rPr>
                <w:rFonts w:hint="eastAsia"/>
                <w:color w:val="auto"/>
                <w:highlight w:val="none"/>
                <w:lang w:val="en-US" w:eastAsia="zh-CN"/>
              </w:rPr>
              <w:t>4、地下水：</w:t>
            </w:r>
            <w:r>
              <w:rPr>
                <w:color w:val="auto"/>
                <w:sz w:val="24"/>
                <w:szCs w:val="24"/>
                <w:highlight w:val="none"/>
              </w:rPr>
              <w:t>本项目厂界外500米范围内无地下水集中式饮用水水源和热水、矿泉水、温泉等特殊地下水资源</w:t>
            </w:r>
            <w:r>
              <w:rPr>
                <w:color w:val="auto"/>
                <w:highlight w:val="none"/>
              </w:rPr>
              <w:t xml:space="preserve">。 </w:t>
            </w:r>
          </w:p>
          <w:p w14:paraId="2171B37C">
            <w:pPr>
              <w:spacing w:line="240" w:lineRule="auto"/>
              <w:jc w:val="center"/>
              <w:rPr>
                <w:rFonts w:hint="default" w:eastAsia="宋体"/>
                <w:b/>
                <w:bCs/>
                <w:color w:val="auto"/>
                <w:highlight w:val="none"/>
                <w:lang w:val="en-US" w:eastAsia="zh-CN"/>
              </w:rPr>
            </w:pPr>
            <w:r>
              <w:rPr>
                <w:rFonts w:hint="eastAsia"/>
                <w:b/>
                <w:bCs/>
                <w:color w:val="auto"/>
                <w:highlight w:val="none"/>
                <w:lang w:val="en-US" w:eastAsia="zh-CN"/>
              </w:rPr>
              <w:t>表3-4  项目大气环境保护目标一览表</w:t>
            </w:r>
          </w:p>
          <w:tbl>
            <w:tblPr>
              <w:tblStyle w:val="34"/>
              <w:tblpPr w:leftFromText="180" w:rightFromText="180" w:vertAnchor="text" w:tblpXSpec="center" w:tblpY="1"/>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6"/>
              <w:gridCol w:w="882"/>
              <w:gridCol w:w="990"/>
              <w:gridCol w:w="690"/>
              <w:gridCol w:w="2535"/>
              <w:gridCol w:w="1080"/>
              <w:gridCol w:w="690"/>
              <w:gridCol w:w="715"/>
            </w:tblGrid>
            <w:tr w14:paraId="0C5F8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 w:hRule="atLeast"/>
              </w:trPr>
              <w:tc>
                <w:tcPr>
                  <w:tcW w:w="447" w:type="pct"/>
                  <w:vMerge w:val="restart"/>
                  <w:vAlign w:val="center"/>
                </w:tcPr>
                <w:p w14:paraId="6050560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名称</w:t>
                  </w:r>
                </w:p>
              </w:tc>
              <w:tc>
                <w:tcPr>
                  <w:tcW w:w="1123" w:type="pct"/>
                  <w:gridSpan w:val="2"/>
                  <w:vAlign w:val="center"/>
                </w:tcPr>
                <w:p w14:paraId="37A05B1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坐标</w:t>
                  </w:r>
                </w:p>
              </w:tc>
              <w:tc>
                <w:tcPr>
                  <w:tcW w:w="414" w:type="pct"/>
                  <w:vMerge w:val="restart"/>
                  <w:vAlign w:val="center"/>
                </w:tcPr>
                <w:p w14:paraId="73CC787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保护</w:t>
                  </w:r>
                </w:p>
                <w:p w14:paraId="260B0D2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对象</w:t>
                  </w:r>
                </w:p>
              </w:tc>
              <w:tc>
                <w:tcPr>
                  <w:tcW w:w="1521" w:type="pct"/>
                  <w:vMerge w:val="restart"/>
                  <w:vAlign w:val="center"/>
                </w:tcPr>
                <w:p w14:paraId="26C11B1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保护</w:t>
                  </w:r>
                </w:p>
                <w:p w14:paraId="0A87865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内容</w:t>
                  </w:r>
                </w:p>
              </w:tc>
              <w:tc>
                <w:tcPr>
                  <w:tcW w:w="648" w:type="pct"/>
                  <w:vMerge w:val="restart"/>
                  <w:vAlign w:val="center"/>
                </w:tcPr>
                <w:p w14:paraId="599798D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环境</w:t>
                  </w:r>
                </w:p>
                <w:p w14:paraId="44F55CB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功能区</w:t>
                  </w:r>
                </w:p>
              </w:tc>
              <w:tc>
                <w:tcPr>
                  <w:tcW w:w="414" w:type="pct"/>
                  <w:vMerge w:val="restart"/>
                  <w:vAlign w:val="center"/>
                </w:tcPr>
                <w:p w14:paraId="1B535AA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相对厂址方位</w:t>
                  </w:r>
                </w:p>
              </w:tc>
              <w:tc>
                <w:tcPr>
                  <w:tcW w:w="429" w:type="pct"/>
                  <w:vMerge w:val="restart"/>
                  <w:vAlign w:val="center"/>
                </w:tcPr>
                <w:p w14:paraId="56133EA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相对厂界距离m</w:t>
                  </w:r>
                </w:p>
              </w:tc>
            </w:tr>
            <w:tr w14:paraId="1E530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447" w:type="pct"/>
                  <w:vMerge w:val="continue"/>
                  <w:vAlign w:val="center"/>
                </w:tcPr>
                <w:p w14:paraId="69E820D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p>
              </w:tc>
              <w:tc>
                <w:tcPr>
                  <w:tcW w:w="529" w:type="pct"/>
                  <w:vAlign w:val="center"/>
                </w:tcPr>
                <w:p w14:paraId="23143D5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经度</w:t>
                  </w:r>
                </w:p>
              </w:tc>
              <w:tc>
                <w:tcPr>
                  <w:tcW w:w="594" w:type="pct"/>
                  <w:vAlign w:val="center"/>
                </w:tcPr>
                <w:p w14:paraId="446399DD">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纬度</w:t>
                  </w:r>
                </w:p>
              </w:tc>
              <w:tc>
                <w:tcPr>
                  <w:tcW w:w="414" w:type="pct"/>
                  <w:vMerge w:val="continue"/>
                  <w:vAlign w:val="center"/>
                </w:tcPr>
                <w:p w14:paraId="78B9F15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p>
              </w:tc>
              <w:tc>
                <w:tcPr>
                  <w:tcW w:w="1521" w:type="pct"/>
                  <w:vMerge w:val="continue"/>
                  <w:vAlign w:val="center"/>
                </w:tcPr>
                <w:p w14:paraId="1BA4A8F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p>
              </w:tc>
              <w:tc>
                <w:tcPr>
                  <w:tcW w:w="648" w:type="pct"/>
                  <w:vMerge w:val="continue"/>
                  <w:vAlign w:val="center"/>
                </w:tcPr>
                <w:p w14:paraId="76C8406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p>
              </w:tc>
              <w:tc>
                <w:tcPr>
                  <w:tcW w:w="414" w:type="pct"/>
                  <w:vMerge w:val="continue"/>
                  <w:vAlign w:val="center"/>
                </w:tcPr>
                <w:p w14:paraId="2ED9FED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p>
              </w:tc>
              <w:tc>
                <w:tcPr>
                  <w:tcW w:w="429" w:type="pct"/>
                  <w:vMerge w:val="continue"/>
                  <w:vAlign w:val="center"/>
                </w:tcPr>
                <w:p w14:paraId="4091165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p>
              </w:tc>
            </w:tr>
            <w:tr w14:paraId="1BBEB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8" w:hRule="atLeast"/>
              </w:trPr>
              <w:tc>
                <w:tcPr>
                  <w:tcW w:w="447" w:type="pct"/>
                  <w:vAlign w:val="center"/>
                </w:tcPr>
                <w:p w14:paraId="63B6BE8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刘庄村</w:t>
                  </w:r>
                </w:p>
              </w:tc>
              <w:tc>
                <w:tcPr>
                  <w:tcW w:w="529" w:type="pct"/>
                  <w:vAlign w:val="center"/>
                </w:tcPr>
                <w:p w14:paraId="10227D7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119.309025</w:t>
                  </w:r>
                </w:p>
              </w:tc>
              <w:tc>
                <w:tcPr>
                  <w:tcW w:w="594" w:type="pct"/>
                  <w:vAlign w:val="center"/>
                </w:tcPr>
                <w:p w14:paraId="2E8DD5A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39.882983</w:t>
                  </w:r>
                </w:p>
              </w:tc>
              <w:tc>
                <w:tcPr>
                  <w:tcW w:w="414" w:type="pct"/>
                  <w:vAlign w:val="center"/>
                </w:tcPr>
                <w:p w14:paraId="7C7DDFE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居民</w:t>
                  </w:r>
                </w:p>
              </w:tc>
              <w:tc>
                <w:tcPr>
                  <w:tcW w:w="1521" w:type="pct"/>
                  <w:vAlign w:val="center"/>
                </w:tcPr>
                <w:p w14:paraId="7B27D9B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《环境空气质量标准》（GB3095-2012）二级</w:t>
                  </w:r>
                </w:p>
                <w:p w14:paraId="1EF2D0B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rFonts w:hint="eastAsia"/>
                      <w:color w:val="auto"/>
                      <w:sz w:val="21"/>
                      <w:szCs w:val="21"/>
                      <w:highlight w:val="none"/>
                    </w:rPr>
                    <w:t>《声环境质量标准》（GB3096-2008）中1类</w:t>
                  </w:r>
                </w:p>
              </w:tc>
              <w:tc>
                <w:tcPr>
                  <w:tcW w:w="648" w:type="pct"/>
                  <w:vAlign w:val="center"/>
                </w:tcPr>
                <w:p w14:paraId="2403A3F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大气环境二类功能区</w:t>
                  </w:r>
                  <w:r>
                    <w:rPr>
                      <w:rFonts w:hint="eastAsia"/>
                      <w:color w:val="auto"/>
                      <w:sz w:val="21"/>
                      <w:szCs w:val="21"/>
                      <w:highlight w:val="none"/>
                    </w:rPr>
                    <w:t>/</w:t>
                  </w:r>
                </w:p>
                <w:p w14:paraId="0B0B1A6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rFonts w:hint="eastAsia"/>
                      <w:color w:val="auto"/>
                      <w:sz w:val="21"/>
                      <w:szCs w:val="21"/>
                      <w:highlight w:val="none"/>
                    </w:rPr>
                    <w:t>声环境一类功能区</w:t>
                  </w:r>
                </w:p>
              </w:tc>
              <w:tc>
                <w:tcPr>
                  <w:tcW w:w="414" w:type="pct"/>
                  <w:vAlign w:val="center"/>
                </w:tcPr>
                <w:p w14:paraId="5BD77FC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NE</w:t>
                  </w:r>
                </w:p>
              </w:tc>
              <w:tc>
                <w:tcPr>
                  <w:tcW w:w="429" w:type="pct"/>
                  <w:vAlign w:val="center"/>
                </w:tcPr>
                <w:p w14:paraId="3776280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423</w:t>
                  </w:r>
                </w:p>
              </w:tc>
            </w:tr>
          </w:tbl>
          <w:p w14:paraId="11ADC2DD">
            <w:pPr>
              <w:ind w:firstLine="480" w:firstLineChars="200"/>
              <w:rPr>
                <w:color w:val="auto"/>
                <w:highlight w:val="none"/>
              </w:rPr>
            </w:pPr>
          </w:p>
        </w:tc>
      </w:tr>
      <w:tr w14:paraId="0F264B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17" w:type="dxa"/>
            <w:tcMar>
              <w:left w:w="28" w:type="dxa"/>
              <w:right w:w="28" w:type="dxa"/>
            </w:tcMar>
            <w:vAlign w:val="center"/>
          </w:tcPr>
          <w:p w14:paraId="3984BDB7">
            <w:pPr>
              <w:pStyle w:val="7"/>
              <w:rPr>
                <w:color w:val="auto"/>
                <w:highlight w:val="none"/>
              </w:rPr>
            </w:pPr>
          </w:p>
          <w:p w14:paraId="62BBDFA2">
            <w:pPr>
              <w:pStyle w:val="7"/>
              <w:rPr>
                <w:color w:val="auto"/>
                <w:highlight w:val="none"/>
              </w:rPr>
            </w:pPr>
          </w:p>
          <w:p w14:paraId="1BE48FD7">
            <w:pPr>
              <w:pStyle w:val="7"/>
              <w:rPr>
                <w:color w:val="auto"/>
                <w:highlight w:val="none"/>
              </w:rPr>
            </w:pPr>
          </w:p>
          <w:p w14:paraId="61A10FE9">
            <w:pPr>
              <w:pStyle w:val="7"/>
              <w:rPr>
                <w:color w:val="auto"/>
                <w:highlight w:val="none"/>
              </w:rPr>
            </w:pPr>
          </w:p>
          <w:p w14:paraId="431DEA3F">
            <w:pPr>
              <w:pStyle w:val="7"/>
              <w:rPr>
                <w:color w:val="auto"/>
                <w:highlight w:val="none"/>
              </w:rPr>
            </w:pPr>
          </w:p>
          <w:p w14:paraId="7C75E5FD">
            <w:pPr>
              <w:pStyle w:val="7"/>
              <w:rPr>
                <w:color w:val="auto"/>
                <w:highlight w:val="none"/>
              </w:rPr>
            </w:pPr>
            <w:r>
              <w:rPr>
                <w:color w:val="auto"/>
                <w:highlight w:val="none"/>
              </w:rPr>
              <w:t>污染</w:t>
            </w:r>
          </w:p>
          <w:p w14:paraId="1DE19B11">
            <w:pPr>
              <w:pStyle w:val="7"/>
              <w:rPr>
                <w:color w:val="auto"/>
                <w:highlight w:val="none"/>
              </w:rPr>
            </w:pPr>
            <w:r>
              <w:rPr>
                <w:color w:val="auto"/>
                <w:highlight w:val="none"/>
              </w:rPr>
              <w:t>物排</w:t>
            </w:r>
          </w:p>
          <w:p w14:paraId="31D6F4CF">
            <w:pPr>
              <w:pStyle w:val="7"/>
              <w:rPr>
                <w:color w:val="auto"/>
                <w:highlight w:val="none"/>
              </w:rPr>
            </w:pPr>
            <w:r>
              <w:rPr>
                <w:color w:val="auto"/>
                <w:highlight w:val="none"/>
              </w:rPr>
              <w:t>放控</w:t>
            </w:r>
          </w:p>
          <w:p w14:paraId="5D890481">
            <w:pPr>
              <w:pStyle w:val="7"/>
              <w:rPr>
                <w:color w:val="auto"/>
                <w:highlight w:val="none"/>
              </w:rPr>
            </w:pPr>
            <w:r>
              <w:rPr>
                <w:color w:val="auto"/>
                <w:highlight w:val="none"/>
              </w:rPr>
              <w:t>制标</w:t>
            </w:r>
          </w:p>
          <w:p w14:paraId="6D6FF766">
            <w:pPr>
              <w:pStyle w:val="7"/>
              <w:rPr>
                <w:color w:val="auto"/>
                <w:highlight w:val="none"/>
              </w:rPr>
            </w:pPr>
            <w:r>
              <w:rPr>
                <w:color w:val="auto"/>
                <w:highlight w:val="none"/>
              </w:rPr>
              <w:t>准</w:t>
            </w:r>
          </w:p>
          <w:p w14:paraId="5E364410">
            <w:pPr>
              <w:pStyle w:val="7"/>
              <w:rPr>
                <w:color w:val="auto"/>
                <w:highlight w:val="none"/>
              </w:rPr>
            </w:pPr>
          </w:p>
          <w:p w14:paraId="1FC2F70E">
            <w:pPr>
              <w:pStyle w:val="7"/>
              <w:rPr>
                <w:color w:val="auto"/>
                <w:highlight w:val="none"/>
              </w:rPr>
            </w:pPr>
          </w:p>
          <w:p w14:paraId="3B1FC06F">
            <w:pPr>
              <w:pStyle w:val="7"/>
              <w:rPr>
                <w:color w:val="auto"/>
                <w:highlight w:val="none"/>
              </w:rPr>
            </w:pPr>
          </w:p>
          <w:p w14:paraId="3F2355F2">
            <w:pPr>
              <w:pStyle w:val="7"/>
              <w:rPr>
                <w:color w:val="auto"/>
                <w:highlight w:val="none"/>
              </w:rPr>
            </w:pPr>
          </w:p>
          <w:p w14:paraId="7F7075EE">
            <w:pPr>
              <w:pStyle w:val="7"/>
              <w:rPr>
                <w:color w:val="auto"/>
                <w:highlight w:val="none"/>
              </w:rPr>
            </w:pPr>
          </w:p>
          <w:p w14:paraId="065333C2">
            <w:pPr>
              <w:pStyle w:val="7"/>
              <w:rPr>
                <w:color w:val="auto"/>
                <w:highlight w:val="none"/>
              </w:rPr>
            </w:pPr>
          </w:p>
          <w:p w14:paraId="4B1EB9CA">
            <w:pPr>
              <w:pStyle w:val="7"/>
              <w:rPr>
                <w:color w:val="auto"/>
                <w:highlight w:val="none"/>
              </w:rPr>
            </w:pPr>
          </w:p>
          <w:p w14:paraId="101EEE23">
            <w:pPr>
              <w:pStyle w:val="7"/>
              <w:rPr>
                <w:color w:val="auto"/>
                <w:highlight w:val="none"/>
              </w:rPr>
            </w:pPr>
          </w:p>
          <w:p w14:paraId="09B9C679">
            <w:pPr>
              <w:pStyle w:val="7"/>
              <w:jc w:val="both"/>
              <w:rPr>
                <w:rFonts w:hint="eastAsia" w:eastAsia="宋体"/>
                <w:color w:val="auto"/>
                <w:highlight w:val="none"/>
                <w:lang w:val="en-US" w:eastAsia="zh-CN"/>
              </w:rPr>
            </w:pPr>
          </w:p>
        </w:tc>
        <w:tc>
          <w:tcPr>
            <w:tcW w:w="8554" w:type="dxa"/>
            <w:vAlign w:val="center"/>
          </w:tcPr>
          <w:p w14:paraId="096F63A3">
            <w:pPr>
              <w:pStyle w:val="8"/>
              <w:keepNext/>
              <w:keepLines/>
              <w:pageBreakBefore w:val="0"/>
              <w:widowControl w:val="0"/>
              <w:kinsoku/>
              <w:wordWrap/>
              <w:overflowPunct/>
              <w:topLinePunct w:val="0"/>
              <w:autoSpaceDE/>
              <w:autoSpaceDN/>
              <w:bidi w:val="0"/>
              <w:adjustRightInd w:val="0"/>
              <w:snapToGrid w:val="0"/>
              <w:textAlignment w:val="auto"/>
              <w:rPr>
                <w:color w:val="auto"/>
                <w:sz w:val="24"/>
                <w:szCs w:val="22"/>
                <w:highlight w:val="none"/>
              </w:rPr>
            </w:pPr>
            <w:r>
              <w:rPr>
                <w:color w:val="auto"/>
                <w:sz w:val="24"/>
                <w:szCs w:val="22"/>
                <w:highlight w:val="none"/>
              </w:rPr>
              <w:t>1 施工期</w:t>
            </w:r>
          </w:p>
          <w:p w14:paraId="0DE8CB15">
            <w:pPr>
              <w:pStyle w:val="24"/>
              <w:pageBreakBefore w:val="0"/>
              <w:widowControl w:val="0"/>
              <w:numPr>
                <w:ilvl w:val="0"/>
                <w:numId w:val="4"/>
              </w:numPr>
              <w:kinsoku/>
              <w:wordWrap/>
              <w:overflowPunct/>
              <w:topLinePunct w:val="0"/>
              <w:autoSpaceDE/>
              <w:autoSpaceDN/>
              <w:bidi w:val="0"/>
              <w:adjustRightInd w:val="0"/>
              <w:snapToGrid w:val="0"/>
              <w:ind w:left="0" w:leftChars="0" w:firstLine="480" w:firstLineChars="200"/>
              <w:textAlignment w:val="auto"/>
              <w:rPr>
                <w:rFonts w:hint="eastAsia"/>
                <w:color w:val="auto"/>
                <w:highlight w:val="none"/>
                <w:lang w:val="zh-CN" w:eastAsia="zh-CN"/>
              </w:rPr>
            </w:pPr>
            <w:r>
              <w:rPr>
                <w:color w:val="auto"/>
                <w:highlight w:val="none"/>
              </w:rPr>
              <w:t>项目施工期噪声执行</w:t>
            </w:r>
            <w:r>
              <w:rPr>
                <w:rFonts w:hint="default" w:ascii="Times New Roman" w:hAnsi="Times New Roman" w:cs="Times New Roman"/>
                <w:color w:val="auto"/>
                <w:highlight w:val="none"/>
                <w:lang w:val="en-US" w:eastAsia="zh-CN"/>
              </w:rPr>
              <w:t>《建筑施工场界环境噪声排放标准》</w:t>
            </w:r>
            <w:r>
              <w:rPr>
                <w:color w:val="auto"/>
                <w:highlight w:val="none"/>
              </w:rPr>
              <w:t>(GB12523－2011)昼间≤70dB(A)</w:t>
            </w:r>
            <w:r>
              <w:rPr>
                <w:rFonts w:hint="eastAsia"/>
                <w:color w:val="auto"/>
                <w:highlight w:val="none"/>
                <w:lang w:eastAsia="zh-CN"/>
              </w:rPr>
              <w:t>、</w:t>
            </w:r>
            <w:r>
              <w:rPr>
                <w:rFonts w:hint="eastAsia"/>
                <w:color w:val="auto"/>
                <w:highlight w:val="none"/>
                <w:lang w:val="zh-CN" w:eastAsia="zh-CN"/>
              </w:rPr>
              <w:t>夜间55dB（A）；</w:t>
            </w:r>
          </w:p>
          <w:p w14:paraId="35650B10">
            <w:pPr>
              <w:pStyle w:val="105"/>
              <w:spacing w:line="400" w:lineRule="exact"/>
              <w:ind w:firstLine="480"/>
              <w:rPr>
                <w:color w:val="auto"/>
                <w:highlight w:val="none"/>
              </w:rPr>
            </w:pPr>
            <w:r>
              <w:rPr>
                <w:rFonts w:hint="eastAsia"/>
                <w:color w:val="auto"/>
                <w:highlight w:val="none"/>
                <w:lang w:val="en-US" w:eastAsia="zh-CN"/>
              </w:rPr>
              <w:t>2、</w:t>
            </w:r>
            <w:r>
              <w:rPr>
                <w:color w:val="auto"/>
                <w:highlight w:val="none"/>
              </w:rPr>
              <w:t>施工期扬尘排放执行《施工场地扬尘排放标准》（DB13/2934-2019）表1扬尘排放浓度限值。</w:t>
            </w:r>
          </w:p>
          <w:p w14:paraId="57215A20">
            <w:pPr>
              <w:spacing w:line="240" w:lineRule="auto"/>
              <w:jc w:val="center"/>
              <w:rPr>
                <w:color w:val="auto"/>
                <w:sz w:val="24"/>
                <w:highlight w:val="none"/>
              </w:rPr>
            </w:pPr>
            <w:r>
              <w:rPr>
                <w:b/>
                <w:color w:val="auto"/>
                <w:sz w:val="24"/>
                <w:highlight w:val="none"/>
              </w:rPr>
              <w:t>表3-</w:t>
            </w:r>
            <w:r>
              <w:rPr>
                <w:rFonts w:hint="eastAsia"/>
                <w:b/>
                <w:color w:val="auto"/>
                <w:sz w:val="24"/>
                <w:highlight w:val="none"/>
                <w:lang w:val="en-US" w:eastAsia="zh-CN"/>
              </w:rPr>
              <w:t>5</w:t>
            </w:r>
            <w:r>
              <w:rPr>
                <w:b/>
                <w:color w:val="auto"/>
                <w:sz w:val="24"/>
                <w:highlight w:val="none"/>
              </w:rPr>
              <w:t xml:space="preserve">   施工期废气排放标准</w:t>
            </w:r>
          </w:p>
          <w:tbl>
            <w:tblPr>
              <w:tblStyle w:val="3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7"/>
              <w:gridCol w:w="1835"/>
              <w:gridCol w:w="5053"/>
            </w:tblGrid>
            <w:tr w14:paraId="0475F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3" w:type="pct"/>
                  <w:noWrap w:val="0"/>
                  <w:vAlign w:val="center"/>
                </w:tcPr>
                <w:p w14:paraId="3D79243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b/>
                      <w:bCs/>
                      <w:color w:val="auto"/>
                      <w:kern w:val="0"/>
                      <w:szCs w:val="21"/>
                      <w:highlight w:val="none"/>
                    </w:rPr>
                  </w:pPr>
                  <w:r>
                    <w:rPr>
                      <w:b/>
                      <w:bCs/>
                      <w:color w:val="auto"/>
                      <w:kern w:val="0"/>
                      <w:szCs w:val="21"/>
                      <w:highlight w:val="none"/>
                    </w:rPr>
                    <w:t>污染物名称</w:t>
                  </w:r>
                </w:p>
              </w:tc>
              <w:tc>
                <w:tcPr>
                  <w:tcW w:w="1102" w:type="pct"/>
                  <w:noWrap w:val="0"/>
                  <w:vAlign w:val="center"/>
                </w:tcPr>
                <w:p w14:paraId="15B2AB02">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b/>
                      <w:bCs/>
                      <w:color w:val="auto"/>
                      <w:kern w:val="0"/>
                      <w:szCs w:val="21"/>
                      <w:highlight w:val="none"/>
                    </w:rPr>
                  </w:pPr>
                  <w:r>
                    <w:rPr>
                      <w:b/>
                      <w:bCs/>
                      <w:color w:val="auto"/>
                      <w:kern w:val="0"/>
                      <w:szCs w:val="21"/>
                      <w:highlight w:val="none"/>
                    </w:rPr>
                    <w:t>执行标准</w:t>
                  </w:r>
                </w:p>
              </w:tc>
              <w:tc>
                <w:tcPr>
                  <w:tcW w:w="3034" w:type="pct"/>
                  <w:noWrap w:val="0"/>
                  <w:vAlign w:val="center"/>
                </w:tcPr>
                <w:p w14:paraId="1D126DC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b/>
                      <w:bCs/>
                      <w:color w:val="auto"/>
                      <w:kern w:val="0"/>
                      <w:szCs w:val="21"/>
                      <w:highlight w:val="none"/>
                    </w:rPr>
                  </w:pPr>
                  <w:r>
                    <w:rPr>
                      <w:b/>
                      <w:bCs/>
                      <w:color w:val="auto"/>
                      <w:kern w:val="0"/>
                      <w:szCs w:val="21"/>
                      <w:highlight w:val="none"/>
                    </w:rPr>
                    <w:t>标准来源</w:t>
                  </w:r>
                </w:p>
              </w:tc>
            </w:tr>
            <w:tr w14:paraId="0F104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3" w:type="pct"/>
                  <w:noWrap w:val="0"/>
                  <w:vAlign w:val="center"/>
                </w:tcPr>
                <w:p w14:paraId="6F4A07E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kern w:val="0"/>
                      <w:szCs w:val="21"/>
                      <w:highlight w:val="none"/>
                    </w:rPr>
                  </w:pPr>
                  <w:r>
                    <w:rPr>
                      <w:color w:val="auto"/>
                      <w:kern w:val="0"/>
                      <w:szCs w:val="21"/>
                      <w:highlight w:val="none"/>
                    </w:rPr>
                    <w:t>颗粒物</w:t>
                  </w:r>
                </w:p>
              </w:tc>
              <w:tc>
                <w:tcPr>
                  <w:tcW w:w="1102" w:type="pct"/>
                  <w:noWrap w:val="0"/>
                  <w:vAlign w:val="center"/>
                </w:tcPr>
                <w:p w14:paraId="6C20F82D">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kern w:val="0"/>
                      <w:szCs w:val="21"/>
                      <w:highlight w:val="none"/>
                    </w:rPr>
                  </w:pPr>
                  <w:r>
                    <w:rPr>
                      <w:color w:val="auto"/>
                      <w:kern w:val="0"/>
                      <w:szCs w:val="21"/>
                      <w:highlight w:val="none"/>
                    </w:rPr>
                    <w:t>≤80</w:t>
                  </w:r>
                  <w:r>
                    <w:rPr>
                      <w:color w:val="auto"/>
                      <w:szCs w:val="21"/>
                      <w:highlight w:val="none"/>
                    </w:rPr>
                    <w:t>μg/m</w:t>
                  </w:r>
                  <w:r>
                    <w:rPr>
                      <w:color w:val="auto"/>
                      <w:szCs w:val="21"/>
                      <w:highlight w:val="none"/>
                      <w:vertAlign w:val="superscript"/>
                    </w:rPr>
                    <w:t>3</w:t>
                  </w:r>
                </w:p>
              </w:tc>
              <w:tc>
                <w:tcPr>
                  <w:tcW w:w="3034" w:type="pct"/>
                  <w:noWrap w:val="0"/>
                  <w:vAlign w:val="center"/>
                </w:tcPr>
                <w:p w14:paraId="4E7C304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kern w:val="0"/>
                      <w:szCs w:val="21"/>
                      <w:highlight w:val="none"/>
                    </w:rPr>
                  </w:pPr>
                  <w:r>
                    <w:rPr>
                      <w:color w:val="auto"/>
                      <w:kern w:val="0"/>
                      <w:szCs w:val="21"/>
                      <w:highlight w:val="none"/>
                    </w:rPr>
                    <w:t>《施工场地扬尘排放标准》（DB13/2934-2019）中表1扬尘排放浓度限值</w:t>
                  </w:r>
                </w:p>
              </w:tc>
            </w:tr>
          </w:tbl>
          <w:p w14:paraId="0FB08F59">
            <w:pPr>
              <w:pStyle w:val="8"/>
              <w:pageBreakBefore w:val="0"/>
              <w:widowControl w:val="0"/>
              <w:kinsoku/>
              <w:wordWrap/>
              <w:overflowPunct/>
              <w:topLinePunct w:val="0"/>
              <w:autoSpaceDE/>
              <w:autoSpaceDN/>
              <w:bidi w:val="0"/>
              <w:adjustRightInd w:val="0"/>
              <w:snapToGrid w:val="0"/>
              <w:textAlignment w:val="auto"/>
              <w:rPr>
                <w:color w:val="auto"/>
                <w:sz w:val="24"/>
                <w:szCs w:val="24"/>
                <w:highlight w:val="none"/>
              </w:rPr>
            </w:pPr>
            <w:r>
              <w:rPr>
                <w:color w:val="auto"/>
                <w:sz w:val="24"/>
                <w:szCs w:val="24"/>
                <w:highlight w:val="none"/>
              </w:rPr>
              <w:t>2 运营期</w:t>
            </w:r>
          </w:p>
          <w:p w14:paraId="416F8F3C">
            <w:pPr>
              <w:pStyle w:val="85"/>
              <w:ind w:firstLine="480"/>
              <w:rPr>
                <w:rFonts w:hint="default" w:cs="Times New Roman"/>
                <w:bCs/>
                <w:color w:val="auto"/>
                <w:highlight w:val="none"/>
                <w:lang w:val="en-US" w:eastAsia="zh-CN"/>
              </w:rPr>
            </w:pPr>
            <w:r>
              <w:rPr>
                <w:rFonts w:hint="eastAsia" w:cs="Times New Roman"/>
                <w:bCs/>
                <w:color w:val="auto"/>
                <w:highlight w:val="none"/>
                <w:lang w:val="en-US" w:eastAsia="zh-CN"/>
              </w:rPr>
              <w:t>1、有组织废气</w:t>
            </w:r>
          </w:p>
          <w:p w14:paraId="27268A1C">
            <w:pPr>
              <w:pStyle w:val="85"/>
              <w:ind w:firstLine="480"/>
              <w:rPr>
                <w:rFonts w:hint="default" w:eastAsia="宋体" w:cs="Times New Roman"/>
                <w:bCs/>
                <w:color w:val="auto"/>
                <w:highlight w:val="none"/>
                <w:vertAlign w:val="baseline"/>
                <w:lang w:val="en-US" w:eastAsia="zh-CN"/>
              </w:rPr>
            </w:pPr>
            <w:r>
              <w:rPr>
                <w:rFonts w:hint="eastAsia" w:cs="Times New Roman"/>
                <w:bCs/>
                <w:color w:val="auto"/>
                <w:highlight w:val="none"/>
                <w:lang w:val="en-US" w:eastAsia="zh-CN"/>
              </w:rPr>
              <w:t>运营期有组织氯化氢排放执行</w:t>
            </w:r>
            <w:r>
              <w:rPr>
                <w:rFonts w:hint="eastAsia"/>
                <w:color w:val="auto"/>
                <w:highlight w:val="none"/>
              </w:rPr>
              <w:t>《大气污染物综合排放标准》（GB16297-1996）</w:t>
            </w:r>
            <w:r>
              <w:rPr>
                <w:color w:val="auto"/>
                <w:highlight w:val="none"/>
              </w:rPr>
              <w:t xml:space="preserve"> 表</w:t>
            </w:r>
            <w:r>
              <w:rPr>
                <w:rFonts w:hint="eastAsia"/>
                <w:color w:val="auto"/>
                <w:highlight w:val="none"/>
              </w:rPr>
              <w:t>2</w:t>
            </w:r>
            <w:r>
              <w:rPr>
                <w:color w:val="auto"/>
                <w:highlight w:val="none"/>
              </w:rPr>
              <w:t>排放限值要求</w:t>
            </w:r>
            <w:r>
              <w:rPr>
                <w:rFonts w:hint="eastAsia"/>
                <w:color w:val="auto"/>
                <w:highlight w:val="none"/>
                <w:lang w:eastAsia="zh-CN"/>
              </w:rPr>
              <w:t>：</w:t>
            </w:r>
            <w:r>
              <w:rPr>
                <w:rFonts w:hint="eastAsia"/>
                <w:color w:val="auto"/>
                <w:highlight w:val="none"/>
                <w:lang w:val="en-US" w:eastAsia="zh-CN"/>
              </w:rPr>
              <w:t>150mg/m</w:t>
            </w:r>
            <w:r>
              <w:rPr>
                <w:rFonts w:hint="eastAsia"/>
                <w:color w:val="auto"/>
                <w:highlight w:val="none"/>
                <w:vertAlign w:val="superscript"/>
                <w:lang w:val="en-US" w:eastAsia="zh-CN"/>
              </w:rPr>
              <w:t>3</w:t>
            </w:r>
            <w:r>
              <w:rPr>
                <w:rFonts w:hint="eastAsia"/>
                <w:color w:val="auto"/>
                <w:highlight w:val="none"/>
                <w:vertAlign w:val="baseline"/>
                <w:lang w:val="en-US" w:eastAsia="zh-CN"/>
              </w:rPr>
              <w:t>，排放速率：0.3kg/h。</w:t>
            </w:r>
          </w:p>
          <w:p w14:paraId="6B63E969">
            <w:pPr>
              <w:pStyle w:val="85"/>
              <w:ind w:firstLine="480"/>
              <w:rPr>
                <w:rFonts w:hint="default" w:cs="Times New Roman"/>
                <w:bCs/>
                <w:color w:val="auto"/>
                <w:highlight w:val="none"/>
                <w:lang w:val="en-US" w:eastAsia="zh-CN"/>
              </w:rPr>
            </w:pPr>
            <w:r>
              <w:rPr>
                <w:rFonts w:hint="eastAsia" w:cs="Times New Roman"/>
                <w:bCs/>
                <w:color w:val="auto"/>
                <w:highlight w:val="none"/>
                <w:lang w:val="en-US" w:eastAsia="zh-CN"/>
              </w:rPr>
              <w:t>2、无组织废气</w:t>
            </w:r>
          </w:p>
          <w:p w14:paraId="10AAC44A">
            <w:pPr>
              <w:pStyle w:val="85"/>
              <w:ind w:firstLine="480"/>
              <w:rPr>
                <w:rFonts w:hint="default" w:cs="Times New Roman"/>
                <w:bCs/>
                <w:color w:val="auto"/>
                <w:highlight w:val="none"/>
                <w:lang w:val="en-US" w:eastAsia="zh-CN"/>
              </w:rPr>
            </w:pPr>
            <w:r>
              <w:rPr>
                <w:rFonts w:hint="eastAsia" w:cs="Times New Roman"/>
                <w:bCs/>
                <w:color w:val="auto"/>
                <w:highlight w:val="none"/>
                <w:lang w:val="en-US" w:eastAsia="zh-CN"/>
              </w:rPr>
              <w:t>厂界无组织氯化氢执行</w:t>
            </w:r>
            <w:r>
              <w:rPr>
                <w:rFonts w:hint="eastAsia"/>
                <w:color w:val="auto"/>
                <w:highlight w:val="none"/>
              </w:rPr>
              <w:t>《大气污染物综合排放标准》（GB16297-1996）</w:t>
            </w:r>
            <w:r>
              <w:rPr>
                <w:color w:val="auto"/>
                <w:highlight w:val="none"/>
              </w:rPr>
              <w:t xml:space="preserve"> 表</w:t>
            </w:r>
            <w:r>
              <w:rPr>
                <w:rFonts w:hint="eastAsia"/>
                <w:color w:val="auto"/>
                <w:highlight w:val="none"/>
              </w:rPr>
              <w:t>2</w:t>
            </w:r>
            <w:r>
              <w:rPr>
                <w:color w:val="auto"/>
                <w:highlight w:val="none"/>
              </w:rPr>
              <w:t>排放限值要求</w:t>
            </w:r>
            <w:r>
              <w:rPr>
                <w:rFonts w:hint="eastAsia"/>
                <w:color w:val="auto"/>
                <w:highlight w:val="none"/>
                <w:lang w:val="en-US" w:eastAsia="zh-CN"/>
              </w:rPr>
              <w:t>0.25</w:t>
            </w:r>
            <w:r>
              <w:rPr>
                <w:color w:val="auto"/>
                <w:highlight w:val="none"/>
              </w:rPr>
              <w:t>mg/m³</w:t>
            </w:r>
            <w:r>
              <w:rPr>
                <w:rFonts w:hint="eastAsia" w:cs="Times New Roman"/>
                <w:bCs/>
                <w:color w:val="auto"/>
                <w:highlight w:val="none"/>
                <w:lang w:val="en-US" w:eastAsia="zh-CN"/>
              </w:rPr>
              <w:t>。</w:t>
            </w:r>
          </w:p>
          <w:p w14:paraId="399EF25C">
            <w:pPr>
              <w:pStyle w:val="85"/>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具体标准值见下表：</w:t>
            </w:r>
          </w:p>
          <w:p w14:paraId="0E15CA4F">
            <w:pPr>
              <w:pStyle w:val="47"/>
              <w:rPr>
                <w:rFonts w:hint="default" w:ascii="Times New Roman" w:hAnsi="Times New Roman" w:cs="Times New Roman"/>
                <w:color w:val="auto"/>
                <w:szCs w:val="24"/>
                <w:highlight w:val="none"/>
                <w:lang w:val="en-US" w:eastAsia="zh-CN"/>
              </w:rPr>
            </w:pPr>
          </w:p>
          <w:p w14:paraId="3B3787F7">
            <w:pPr>
              <w:pStyle w:val="47"/>
              <w:rPr>
                <w:rFonts w:hint="default" w:ascii="Times New Roman" w:hAnsi="Times New Roman" w:cs="Times New Roman"/>
                <w:color w:val="auto"/>
                <w:szCs w:val="24"/>
                <w:highlight w:val="none"/>
                <w:lang w:val="en-US" w:eastAsia="zh-CN"/>
              </w:rPr>
            </w:pPr>
          </w:p>
          <w:p w14:paraId="18740CA5">
            <w:pPr>
              <w:pStyle w:val="47"/>
              <w:rPr>
                <w:rFonts w:hint="default" w:ascii="Times New Roman" w:hAnsi="Times New Roman" w:cs="Times New Roman"/>
                <w:color w:val="auto"/>
                <w:kern w:val="2"/>
                <w:sz w:val="24"/>
                <w:szCs w:val="24"/>
                <w:highlight w:val="none"/>
                <w:lang w:val="en-US" w:eastAsia="zh-CN"/>
              </w:rPr>
            </w:pPr>
            <w:r>
              <w:rPr>
                <w:rFonts w:hint="default" w:ascii="Times New Roman" w:hAnsi="Times New Roman" w:cs="Times New Roman"/>
                <w:color w:val="auto"/>
                <w:szCs w:val="24"/>
                <w:highlight w:val="none"/>
                <w:lang w:val="en-US" w:eastAsia="zh-CN"/>
              </w:rPr>
              <w:t>表3-</w:t>
            </w:r>
            <w:r>
              <w:rPr>
                <w:rFonts w:hint="eastAsia" w:cs="Times New Roman"/>
                <w:color w:val="auto"/>
                <w:szCs w:val="24"/>
                <w:highlight w:val="none"/>
                <w:lang w:val="en-US" w:eastAsia="zh-CN"/>
              </w:rPr>
              <w:t>6</w:t>
            </w:r>
            <w:r>
              <w:rPr>
                <w:rFonts w:hint="default" w:ascii="Times New Roman" w:hAnsi="Times New Roman" w:cs="Times New Roman"/>
                <w:color w:val="auto"/>
                <w:szCs w:val="24"/>
                <w:highlight w:val="none"/>
                <w:lang w:val="en-US" w:eastAsia="zh-CN"/>
              </w:rPr>
              <w:t xml:space="preserve">  运营期</w:t>
            </w:r>
            <w:r>
              <w:rPr>
                <w:rFonts w:hint="default" w:ascii="Times New Roman" w:hAnsi="Times New Roman" w:cs="Times New Roman"/>
                <w:color w:val="auto"/>
                <w:kern w:val="2"/>
                <w:sz w:val="24"/>
                <w:szCs w:val="24"/>
                <w:highlight w:val="none"/>
                <w:lang w:val="en-US" w:eastAsia="zh-CN"/>
              </w:rPr>
              <w:t xml:space="preserve">大气污染物排放标准一览表 </w:t>
            </w:r>
            <w:r>
              <w:rPr>
                <w:rFonts w:hint="eastAsia" w:ascii="Times New Roman" w:hAnsi="Times New Roman" w:cs="Times New Roman"/>
                <w:color w:val="auto"/>
                <w:kern w:val="2"/>
                <w:sz w:val="24"/>
                <w:szCs w:val="24"/>
                <w:highlight w:val="none"/>
                <w:lang w:val="en-US" w:eastAsia="zh-CN"/>
              </w:rPr>
              <w:t xml:space="preserve">  单位：</w:t>
            </w:r>
            <w:r>
              <w:rPr>
                <w:rFonts w:hint="default" w:ascii="Times New Roman" w:hAnsi="Times New Roman" w:cs="Times New Roman"/>
                <w:color w:val="auto"/>
                <w:kern w:val="2"/>
                <w:sz w:val="21"/>
                <w:szCs w:val="21"/>
                <w:highlight w:val="none"/>
                <w:lang w:val="en-US" w:eastAsia="zh-CN"/>
              </w:rPr>
              <w:t>mg/m³</w:t>
            </w:r>
          </w:p>
          <w:tbl>
            <w:tblPr>
              <w:tblStyle w:val="3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5"/>
              <w:gridCol w:w="1023"/>
              <w:gridCol w:w="1023"/>
              <w:gridCol w:w="1801"/>
              <w:gridCol w:w="3513"/>
            </w:tblGrid>
            <w:tr w14:paraId="2D7C6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0" w:type="pct"/>
                  <w:vAlign w:val="center"/>
                </w:tcPr>
                <w:p w14:paraId="0E51A86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2"/>
                      <w:sz w:val="21"/>
                      <w:szCs w:val="21"/>
                      <w:highlight w:val="none"/>
                      <w:vertAlign w:val="baseline"/>
                      <w:lang w:val="en-US" w:eastAsia="zh-CN"/>
                    </w:rPr>
                  </w:pPr>
                  <w:r>
                    <w:rPr>
                      <w:rFonts w:hint="eastAsia" w:ascii="Times New Roman" w:hAnsi="Times New Roman" w:cs="Times New Roman"/>
                      <w:color w:val="auto"/>
                      <w:kern w:val="2"/>
                      <w:sz w:val="21"/>
                      <w:szCs w:val="21"/>
                      <w:highlight w:val="none"/>
                      <w:vertAlign w:val="baseline"/>
                      <w:lang w:val="en-US" w:eastAsia="zh-CN"/>
                    </w:rPr>
                    <w:t>污染源</w:t>
                  </w:r>
                </w:p>
              </w:tc>
              <w:tc>
                <w:tcPr>
                  <w:tcW w:w="614" w:type="pct"/>
                  <w:vAlign w:val="center"/>
                </w:tcPr>
                <w:p w14:paraId="1179260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2"/>
                      <w:sz w:val="21"/>
                      <w:szCs w:val="21"/>
                      <w:highlight w:val="none"/>
                      <w:vertAlign w:val="baseline"/>
                      <w:lang w:val="en-US" w:eastAsia="zh-CN"/>
                    </w:rPr>
                  </w:pPr>
                  <w:r>
                    <w:rPr>
                      <w:rFonts w:hint="eastAsia" w:cs="Times New Roman"/>
                      <w:color w:val="auto"/>
                      <w:kern w:val="2"/>
                      <w:sz w:val="21"/>
                      <w:szCs w:val="21"/>
                      <w:highlight w:val="none"/>
                      <w:vertAlign w:val="baseline"/>
                      <w:lang w:val="en-US" w:eastAsia="zh-CN"/>
                    </w:rPr>
                    <w:t>排放形式</w:t>
                  </w:r>
                </w:p>
              </w:tc>
              <w:tc>
                <w:tcPr>
                  <w:tcW w:w="614" w:type="pct"/>
                  <w:vAlign w:val="center"/>
                </w:tcPr>
                <w:p w14:paraId="6B4BC00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2"/>
                      <w:sz w:val="21"/>
                      <w:szCs w:val="21"/>
                      <w:highlight w:val="none"/>
                      <w:vertAlign w:val="baseline"/>
                      <w:lang w:val="en-US" w:eastAsia="zh-CN"/>
                    </w:rPr>
                  </w:pPr>
                  <w:r>
                    <w:rPr>
                      <w:rFonts w:hint="eastAsia" w:ascii="Times New Roman" w:hAnsi="Times New Roman" w:cs="Times New Roman"/>
                      <w:color w:val="auto"/>
                      <w:kern w:val="2"/>
                      <w:sz w:val="21"/>
                      <w:szCs w:val="21"/>
                      <w:highlight w:val="none"/>
                      <w:vertAlign w:val="baseline"/>
                      <w:lang w:val="en-US" w:eastAsia="zh-CN"/>
                    </w:rPr>
                    <w:t>污染物</w:t>
                  </w:r>
                </w:p>
              </w:tc>
              <w:tc>
                <w:tcPr>
                  <w:tcW w:w="1081" w:type="pct"/>
                  <w:vAlign w:val="center"/>
                </w:tcPr>
                <w:p w14:paraId="77FBC66D">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2"/>
                      <w:sz w:val="21"/>
                      <w:szCs w:val="21"/>
                      <w:highlight w:val="none"/>
                      <w:vertAlign w:val="baseline"/>
                      <w:lang w:val="en-US" w:eastAsia="zh-CN"/>
                    </w:rPr>
                  </w:pPr>
                  <w:r>
                    <w:rPr>
                      <w:rFonts w:hint="eastAsia" w:cs="Times New Roman"/>
                      <w:color w:val="auto"/>
                      <w:kern w:val="2"/>
                      <w:sz w:val="21"/>
                      <w:szCs w:val="21"/>
                      <w:highlight w:val="none"/>
                      <w:vertAlign w:val="baseline"/>
                      <w:lang w:val="en-US" w:eastAsia="zh-CN"/>
                    </w:rPr>
                    <w:t>标准限制</w:t>
                  </w:r>
                </w:p>
              </w:tc>
              <w:tc>
                <w:tcPr>
                  <w:tcW w:w="2109" w:type="pct"/>
                  <w:vAlign w:val="center"/>
                </w:tcPr>
                <w:p w14:paraId="6A96241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2"/>
                      <w:sz w:val="21"/>
                      <w:szCs w:val="21"/>
                      <w:highlight w:val="none"/>
                      <w:vertAlign w:val="baseline"/>
                      <w:lang w:val="en-US" w:eastAsia="zh-CN"/>
                    </w:rPr>
                  </w:pPr>
                  <w:r>
                    <w:rPr>
                      <w:rFonts w:hint="eastAsia" w:ascii="Times New Roman" w:hAnsi="Times New Roman" w:cs="Times New Roman"/>
                      <w:color w:val="auto"/>
                      <w:kern w:val="2"/>
                      <w:sz w:val="21"/>
                      <w:szCs w:val="21"/>
                      <w:highlight w:val="none"/>
                      <w:vertAlign w:val="baseline"/>
                      <w:lang w:val="en-US" w:eastAsia="zh-CN"/>
                    </w:rPr>
                    <w:t>执行标准</w:t>
                  </w:r>
                </w:p>
              </w:tc>
            </w:tr>
            <w:tr w14:paraId="75005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 w:hRule="atLeast"/>
              </w:trPr>
              <w:tc>
                <w:tcPr>
                  <w:tcW w:w="580" w:type="pct"/>
                  <w:vMerge w:val="restart"/>
                  <w:vAlign w:val="center"/>
                </w:tcPr>
                <w:p w14:paraId="37696BE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2"/>
                      <w:sz w:val="21"/>
                      <w:szCs w:val="21"/>
                      <w:highlight w:val="none"/>
                      <w:vertAlign w:val="baseline"/>
                      <w:lang w:val="en-US" w:eastAsia="zh-CN"/>
                    </w:rPr>
                  </w:pPr>
                  <w:r>
                    <w:rPr>
                      <w:rFonts w:hint="eastAsia" w:cs="Times New Roman"/>
                      <w:color w:val="auto"/>
                      <w:kern w:val="2"/>
                      <w:sz w:val="21"/>
                      <w:szCs w:val="21"/>
                      <w:highlight w:val="none"/>
                      <w:vertAlign w:val="baseline"/>
                      <w:lang w:val="en-US" w:eastAsia="zh-CN"/>
                    </w:rPr>
                    <w:t>酸洗</w:t>
                  </w:r>
                </w:p>
              </w:tc>
              <w:tc>
                <w:tcPr>
                  <w:tcW w:w="614" w:type="pct"/>
                  <w:vMerge w:val="restart"/>
                  <w:vAlign w:val="center"/>
                </w:tcPr>
                <w:p w14:paraId="2BC02AB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2"/>
                      <w:sz w:val="21"/>
                      <w:szCs w:val="21"/>
                      <w:highlight w:val="none"/>
                      <w:vertAlign w:val="baseline"/>
                      <w:lang w:val="en-US" w:eastAsia="zh-CN"/>
                    </w:rPr>
                  </w:pPr>
                  <w:r>
                    <w:rPr>
                      <w:rFonts w:hint="eastAsia" w:cs="Times New Roman"/>
                      <w:color w:val="auto"/>
                      <w:kern w:val="2"/>
                      <w:sz w:val="21"/>
                      <w:szCs w:val="21"/>
                      <w:highlight w:val="none"/>
                      <w:vertAlign w:val="baseline"/>
                      <w:lang w:val="en-US" w:eastAsia="zh-CN"/>
                    </w:rPr>
                    <w:t>有组织</w:t>
                  </w:r>
                </w:p>
              </w:tc>
              <w:tc>
                <w:tcPr>
                  <w:tcW w:w="614" w:type="pct"/>
                  <w:vMerge w:val="restart"/>
                  <w:vAlign w:val="center"/>
                </w:tcPr>
                <w:p w14:paraId="255E31D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2"/>
                      <w:sz w:val="21"/>
                      <w:szCs w:val="21"/>
                      <w:highlight w:val="none"/>
                      <w:vertAlign w:val="baseline"/>
                      <w:lang w:val="en-US" w:eastAsia="zh-CN"/>
                    </w:rPr>
                  </w:pPr>
                  <w:r>
                    <w:rPr>
                      <w:rFonts w:hint="eastAsia" w:cs="Times New Roman"/>
                      <w:color w:val="auto"/>
                      <w:kern w:val="2"/>
                      <w:sz w:val="21"/>
                      <w:szCs w:val="21"/>
                      <w:highlight w:val="none"/>
                      <w:vertAlign w:val="baseline"/>
                      <w:lang w:val="en-US" w:eastAsia="zh-CN"/>
                    </w:rPr>
                    <w:t>氯化氢</w:t>
                  </w:r>
                </w:p>
              </w:tc>
              <w:tc>
                <w:tcPr>
                  <w:tcW w:w="1081" w:type="pct"/>
                  <w:vAlign w:val="center"/>
                </w:tcPr>
                <w:p w14:paraId="2E89D052">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2"/>
                      <w:sz w:val="21"/>
                      <w:szCs w:val="21"/>
                      <w:highlight w:val="none"/>
                      <w:vertAlign w:val="baseline"/>
                      <w:lang w:val="en-US" w:eastAsia="zh-CN"/>
                    </w:rPr>
                  </w:pPr>
                  <w:r>
                    <w:rPr>
                      <w:rFonts w:hint="eastAsia" w:cs="Times New Roman"/>
                      <w:color w:val="auto"/>
                      <w:kern w:val="2"/>
                      <w:sz w:val="21"/>
                      <w:szCs w:val="21"/>
                      <w:highlight w:val="none"/>
                      <w:vertAlign w:val="baseline"/>
                      <w:lang w:val="en-US" w:eastAsia="zh-CN"/>
                    </w:rPr>
                    <w:t>150</w:t>
                  </w:r>
                </w:p>
              </w:tc>
              <w:tc>
                <w:tcPr>
                  <w:tcW w:w="2109" w:type="pct"/>
                  <w:vMerge w:val="restart"/>
                  <w:vAlign w:val="center"/>
                </w:tcPr>
                <w:p w14:paraId="4AD1252E">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color w:val="auto"/>
                      <w:sz w:val="21"/>
                      <w:szCs w:val="21"/>
                      <w:highlight w:val="none"/>
                      <w:lang w:val="en-US" w:eastAsia="zh-CN"/>
                    </w:rPr>
                    <w:t>《大气污染物综合排放标准》（GB16297-1996）</w:t>
                  </w:r>
                  <w:r>
                    <w:rPr>
                      <w:bCs/>
                      <w:color w:val="auto"/>
                      <w:sz w:val="21"/>
                      <w:szCs w:val="21"/>
                      <w:highlight w:val="none"/>
                    </w:rPr>
                    <w:t xml:space="preserve"> 表</w:t>
                  </w:r>
                  <w:r>
                    <w:rPr>
                      <w:rFonts w:hint="eastAsia"/>
                      <w:bCs/>
                      <w:color w:val="auto"/>
                      <w:sz w:val="21"/>
                      <w:szCs w:val="21"/>
                      <w:highlight w:val="none"/>
                      <w:lang w:val="en-US" w:eastAsia="zh-CN"/>
                    </w:rPr>
                    <w:t>2</w:t>
                  </w:r>
                  <w:r>
                    <w:rPr>
                      <w:color w:val="auto"/>
                      <w:sz w:val="21"/>
                      <w:szCs w:val="21"/>
                      <w:highlight w:val="none"/>
                      <w:lang w:val="en-US" w:eastAsia="zh-CN"/>
                    </w:rPr>
                    <w:t>排放限值要求</w:t>
                  </w:r>
                </w:p>
              </w:tc>
            </w:tr>
            <w:tr w14:paraId="10C25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 w:hRule="atLeast"/>
              </w:trPr>
              <w:tc>
                <w:tcPr>
                  <w:tcW w:w="580" w:type="pct"/>
                  <w:vMerge w:val="continue"/>
                  <w:vAlign w:val="center"/>
                </w:tcPr>
                <w:p w14:paraId="0C9A2A62">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s="Times New Roman"/>
                      <w:color w:val="auto"/>
                      <w:kern w:val="2"/>
                      <w:sz w:val="21"/>
                      <w:szCs w:val="21"/>
                      <w:highlight w:val="none"/>
                      <w:vertAlign w:val="baseline"/>
                      <w:lang w:val="en-US" w:eastAsia="zh-CN"/>
                    </w:rPr>
                  </w:pPr>
                </w:p>
              </w:tc>
              <w:tc>
                <w:tcPr>
                  <w:tcW w:w="614" w:type="pct"/>
                  <w:vMerge w:val="continue"/>
                  <w:vAlign w:val="center"/>
                </w:tcPr>
                <w:p w14:paraId="54B0AD4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s="Times New Roman"/>
                      <w:color w:val="auto"/>
                      <w:kern w:val="2"/>
                      <w:sz w:val="21"/>
                      <w:szCs w:val="21"/>
                      <w:highlight w:val="none"/>
                      <w:vertAlign w:val="baseline"/>
                      <w:lang w:val="en-US" w:eastAsia="zh-CN"/>
                    </w:rPr>
                  </w:pPr>
                </w:p>
              </w:tc>
              <w:tc>
                <w:tcPr>
                  <w:tcW w:w="614" w:type="pct"/>
                  <w:vMerge w:val="continue"/>
                  <w:vAlign w:val="center"/>
                </w:tcPr>
                <w:p w14:paraId="4E499E5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s="Times New Roman"/>
                      <w:color w:val="auto"/>
                      <w:kern w:val="2"/>
                      <w:sz w:val="21"/>
                      <w:szCs w:val="21"/>
                      <w:highlight w:val="none"/>
                      <w:vertAlign w:val="baseline"/>
                      <w:lang w:val="en-US" w:eastAsia="zh-CN"/>
                    </w:rPr>
                  </w:pPr>
                </w:p>
              </w:tc>
              <w:tc>
                <w:tcPr>
                  <w:tcW w:w="1081" w:type="pct"/>
                  <w:vAlign w:val="center"/>
                </w:tcPr>
                <w:p w14:paraId="39D68F4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2"/>
                      <w:sz w:val="21"/>
                      <w:szCs w:val="21"/>
                      <w:highlight w:val="none"/>
                      <w:vertAlign w:val="baseline"/>
                      <w:lang w:val="en-US" w:eastAsia="zh-CN"/>
                    </w:rPr>
                  </w:pPr>
                  <w:r>
                    <w:rPr>
                      <w:rFonts w:hint="eastAsia" w:cs="Times New Roman"/>
                      <w:color w:val="auto"/>
                      <w:kern w:val="2"/>
                      <w:sz w:val="21"/>
                      <w:szCs w:val="21"/>
                      <w:highlight w:val="none"/>
                      <w:vertAlign w:val="baseline"/>
                      <w:lang w:val="en-US" w:eastAsia="zh-CN"/>
                    </w:rPr>
                    <w:t>排放速率：0.3kg/h</w:t>
                  </w:r>
                </w:p>
              </w:tc>
              <w:tc>
                <w:tcPr>
                  <w:tcW w:w="2109" w:type="pct"/>
                  <w:vMerge w:val="continue"/>
                  <w:vAlign w:val="center"/>
                </w:tcPr>
                <w:p w14:paraId="03826D45">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cs="Times New Roman"/>
                      <w:color w:val="auto"/>
                      <w:sz w:val="21"/>
                      <w:szCs w:val="21"/>
                      <w:highlight w:val="none"/>
                      <w:vertAlign w:val="baseline"/>
                    </w:rPr>
                  </w:pPr>
                </w:p>
              </w:tc>
            </w:tr>
            <w:tr w14:paraId="56813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trPr>
              <w:tc>
                <w:tcPr>
                  <w:tcW w:w="580" w:type="pct"/>
                  <w:vMerge w:val="continue"/>
                  <w:vAlign w:val="center"/>
                </w:tcPr>
                <w:p w14:paraId="557D4F2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s="Times New Roman"/>
                      <w:color w:val="auto"/>
                      <w:kern w:val="2"/>
                      <w:sz w:val="21"/>
                      <w:szCs w:val="21"/>
                      <w:highlight w:val="none"/>
                      <w:vertAlign w:val="baseline"/>
                      <w:lang w:val="en-US" w:eastAsia="zh-CN"/>
                    </w:rPr>
                  </w:pPr>
                </w:p>
              </w:tc>
              <w:tc>
                <w:tcPr>
                  <w:tcW w:w="614" w:type="pct"/>
                  <w:shd w:val="clear" w:color="auto" w:fill="auto"/>
                  <w:vAlign w:val="center"/>
                </w:tcPr>
                <w:p w14:paraId="1E54904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s="Times New Roman"/>
                      <w:color w:val="auto"/>
                      <w:kern w:val="2"/>
                      <w:sz w:val="21"/>
                      <w:szCs w:val="21"/>
                      <w:highlight w:val="none"/>
                      <w:vertAlign w:val="baseline"/>
                      <w:lang w:val="en-US" w:eastAsia="zh-CN"/>
                    </w:rPr>
                  </w:pPr>
                  <w:r>
                    <w:rPr>
                      <w:rFonts w:hint="eastAsia" w:cs="Times New Roman"/>
                      <w:color w:val="auto"/>
                      <w:kern w:val="2"/>
                      <w:sz w:val="21"/>
                      <w:szCs w:val="21"/>
                      <w:highlight w:val="none"/>
                      <w:vertAlign w:val="baseline"/>
                      <w:lang w:val="en-US" w:eastAsia="zh-CN"/>
                    </w:rPr>
                    <w:t>无组织</w:t>
                  </w:r>
                </w:p>
              </w:tc>
              <w:tc>
                <w:tcPr>
                  <w:tcW w:w="614" w:type="pct"/>
                  <w:shd w:val="clear" w:color="auto" w:fill="auto"/>
                  <w:vAlign w:val="center"/>
                </w:tcPr>
                <w:p w14:paraId="5DEECB1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cs="Times New Roman"/>
                      <w:color w:val="auto"/>
                      <w:kern w:val="2"/>
                      <w:sz w:val="21"/>
                      <w:szCs w:val="21"/>
                      <w:highlight w:val="none"/>
                      <w:vertAlign w:val="baseline"/>
                      <w:lang w:val="en-US" w:eastAsia="zh-CN"/>
                    </w:rPr>
                    <w:t>氯化氢</w:t>
                  </w:r>
                </w:p>
              </w:tc>
              <w:tc>
                <w:tcPr>
                  <w:tcW w:w="1081" w:type="pct"/>
                  <w:shd w:val="clear" w:color="auto" w:fill="auto"/>
                  <w:vAlign w:val="center"/>
                </w:tcPr>
                <w:p w14:paraId="7BCB597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cs="Times New Roman"/>
                      <w:color w:val="auto"/>
                      <w:kern w:val="2"/>
                      <w:sz w:val="21"/>
                      <w:szCs w:val="21"/>
                      <w:highlight w:val="none"/>
                      <w:vertAlign w:val="baseline"/>
                      <w:lang w:val="en-US" w:eastAsia="zh-CN"/>
                    </w:rPr>
                    <w:t>0.25</w:t>
                  </w:r>
                </w:p>
              </w:tc>
              <w:tc>
                <w:tcPr>
                  <w:tcW w:w="2109" w:type="pct"/>
                  <w:vMerge w:val="continue"/>
                  <w:shd w:val="clear" w:color="auto" w:fill="auto"/>
                  <w:vAlign w:val="center"/>
                </w:tcPr>
                <w:p w14:paraId="4788E7B6">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eastAsia" w:ascii="Times New Roman" w:hAnsi="Times New Roman" w:eastAsia="宋体" w:cs="Times New Roman"/>
                      <w:color w:val="auto"/>
                      <w:kern w:val="2"/>
                      <w:sz w:val="21"/>
                      <w:szCs w:val="21"/>
                      <w:highlight w:val="none"/>
                      <w:vertAlign w:val="baseline"/>
                      <w:lang w:val="en-US" w:eastAsia="zh-CN" w:bidi="ar-SA"/>
                    </w:rPr>
                  </w:pPr>
                </w:p>
              </w:tc>
            </w:tr>
          </w:tbl>
          <w:p w14:paraId="46F890A7">
            <w:pPr>
              <w:pageBreakBefore w:val="0"/>
              <w:widowControl w:val="0"/>
              <w:kinsoku/>
              <w:wordWrap/>
              <w:overflowPunct/>
              <w:topLinePunct w:val="0"/>
              <w:autoSpaceDE/>
              <w:autoSpaceDN/>
              <w:bidi w:val="0"/>
              <w:adjustRightInd w:val="0"/>
              <w:snapToGrid w:val="0"/>
              <w:ind w:firstLine="480" w:firstLineChars="200"/>
              <w:textAlignment w:val="auto"/>
              <w:rPr>
                <w:color w:val="auto"/>
                <w:highlight w:val="none"/>
              </w:rPr>
            </w:pPr>
            <w:r>
              <w:rPr>
                <w:rFonts w:hint="eastAsia"/>
                <w:color w:val="auto"/>
                <w:highlight w:val="none"/>
                <w:lang w:val="en-US" w:eastAsia="zh-CN"/>
              </w:rPr>
              <w:t>3、</w:t>
            </w:r>
            <w:r>
              <w:rPr>
                <w:rFonts w:hint="eastAsia"/>
                <w:color w:val="auto"/>
                <w:highlight w:val="none"/>
              </w:rPr>
              <w:t>项目运营期</w:t>
            </w:r>
            <w:r>
              <w:rPr>
                <w:rFonts w:hint="eastAsia"/>
                <w:color w:val="auto"/>
                <w:highlight w:val="none"/>
                <w:lang w:val="en-US" w:eastAsia="zh-CN"/>
              </w:rPr>
              <w:t>东、西、南</w:t>
            </w:r>
            <w:r>
              <w:rPr>
                <w:rFonts w:hint="eastAsia"/>
                <w:color w:val="auto"/>
                <w:highlight w:val="none"/>
              </w:rPr>
              <w:t>厂界噪声执行《工业企业厂界环境噪声排放标准》（GB12348—2008）中</w:t>
            </w:r>
            <w:r>
              <w:rPr>
                <w:rFonts w:hint="eastAsia"/>
                <w:color w:val="auto"/>
                <w:highlight w:val="none"/>
                <w:lang w:val="en-US" w:eastAsia="zh-CN"/>
              </w:rPr>
              <w:t>2</w:t>
            </w:r>
            <w:r>
              <w:rPr>
                <w:rFonts w:hint="eastAsia"/>
                <w:color w:val="auto"/>
                <w:highlight w:val="none"/>
              </w:rPr>
              <w:t>类标准，昼间≤6</w:t>
            </w:r>
            <w:r>
              <w:rPr>
                <w:rFonts w:hint="eastAsia"/>
                <w:color w:val="auto"/>
                <w:highlight w:val="none"/>
                <w:lang w:val="en-US" w:eastAsia="zh-CN"/>
              </w:rPr>
              <w:t>0</w:t>
            </w:r>
            <w:r>
              <w:rPr>
                <w:rFonts w:hint="eastAsia"/>
                <w:color w:val="auto"/>
                <w:highlight w:val="none"/>
              </w:rPr>
              <w:t>dB(A)</w:t>
            </w:r>
            <w:r>
              <w:rPr>
                <w:rFonts w:hint="eastAsia"/>
                <w:color w:val="auto"/>
                <w:highlight w:val="none"/>
                <w:lang w:eastAsia="zh-CN"/>
              </w:rPr>
              <w:t>、</w:t>
            </w:r>
            <w:r>
              <w:rPr>
                <w:rFonts w:hint="eastAsia"/>
                <w:color w:val="auto"/>
                <w:highlight w:val="none"/>
                <w:lang w:val="en-US" w:eastAsia="zh-CN"/>
              </w:rPr>
              <w:t>夜间≤50</w:t>
            </w:r>
            <w:r>
              <w:rPr>
                <w:rFonts w:hint="eastAsia"/>
                <w:color w:val="auto"/>
                <w:highlight w:val="none"/>
              </w:rPr>
              <w:t>dB(A)</w:t>
            </w:r>
            <w:r>
              <w:rPr>
                <w:rFonts w:hint="eastAsia"/>
                <w:color w:val="auto"/>
                <w:highlight w:val="none"/>
                <w:lang w:eastAsia="zh-CN"/>
              </w:rPr>
              <w:t>；</w:t>
            </w:r>
            <w:r>
              <w:rPr>
                <w:rFonts w:hint="eastAsia"/>
                <w:color w:val="auto"/>
                <w:highlight w:val="none"/>
                <w:lang w:val="en-US" w:eastAsia="zh-CN"/>
              </w:rPr>
              <w:t>北厂界执行4</w:t>
            </w:r>
            <w:r>
              <w:rPr>
                <w:rFonts w:hint="eastAsia"/>
                <w:color w:val="auto"/>
                <w:highlight w:val="none"/>
              </w:rPr>
              <w:t>类标准，昼间≤</w:t>
            </w:r>
            <w:r>
              <w:rPr>
                <w:rFonts w:hint="eastAsia"/>
                <w:color w:val="auto"/>
                <w:highlight w:val="none"/>
                <w:lang w:val="en-US" w:eastAsia="zh-CN"/>
              </w:rPr>
              <w:t>70</w:t>
            </w:r>
            <w:r>
              <w:rPr>
                <w:rFonts w:hint="eastAsia"/>
                <w:color w:val="auto"/>
                <w:highlight w:val="none"/>
              </w:rPr>
              <w:t>dB(A)</w:t>
            </w:r>
            <w:r>
              <w:rPr>
                <w:rFonts w:hint="eastAsia"/>
                <w:color w:val="auto"/>
                <w:highlight w:val="none"/>
                <w:lang w:eastAsia="zh-CN"/>
              </w:rPr>
              <w:t>、</w:t>
            </w:r>
            <w:r>
              <w:rPr>
                <w:rFonts w:hint="eastAsia"/>
                <w:color w:val="auto"/>
                <w:highlight w:val="none"/>
                <w:lang w:val="en-US" w:eastAsia="zh-CN"/>
              </w:rPr>
              <w:t>夜间≤55</w:t>
            </w:r>
            <w:r>
              <w:rPr>
                <w:rFonts w:hint="eastAsia"/>
                <w:color w:val="auto"/>
                <w:highlight w:val="none"/>
              </w:rPr>
              <w:t>dB(A)。</w:t>
            </w:r>
          </w:p>
          <w:p w14:paraId="5923BF17">
            <w:pPr>
              <w:keepNext/>
              <w:keepLines/>
              <w:pageBreakBefore w:val="0"/>
              <w:widowControl w:val="0"/>
              <w:kinsoku/>
              <w:wordWrap/>
              <w:overflowPunct/>
              <w:topLinePunct w:val="0"/>
              <w:autoSpaceDE/>
              <w:autoSpaceDN/>
              <w:bidi w:val="0"/>
              <w:adjustRightInd w:val="0"/>
              <w:snapToGrid w:val="0"/>
              <w:ind w:firstLine="480" w:firstLineChars="200"/>
              <w:jc w:val="both"/>
              <w:textAlignment w:val="auto"/>
              <w:outlineLvl w:val="9"/>
              <w:rPr>
                <w:rFonts w:hint="eastAsia" w:cs="Times New Roman"/>
                <w:b w:val="0"/>
                <w:color w:val="auto"/>
                <w:kern w:val="2"/>
                <w:sz w:val="24"/>
                <w:szCs w:val="24"/>
                <w:highlight w:val="none"/>
                <w:lang w:val="en-US" w:eastAsia="zh-CN" w:bidi="ar-SA"/>
              </w:rPr>
            </w:pPr>
            <w:r>
              <w:rPr>
                <w:rFonts w:hint="eastAsia" w:cs="Times New Roman"/>
                <w:b w:val="0"/>
                <w:color w:val="auto"/>
                <w:kern w:val="2"/>
                <w:sz w:val="24"/>
                <w:szCs w:val="24"/>
                <w:highlight w:val="none"/>
                <w:lang w:val="en-US" w:eastAsia="zh-CN" w:bidi="ar-SA"/>
              </w:rPr>
              <w:t>4、</w:t>
            </w:r>
            <w:r>
              <w:rPr>
                <w:rFonts w:hint="eastAsia" w:ascii="Times New Roman" w:hAnsi="Times New Roman" w:eastAsia="宋体" w:cs="Times New Roman"/>
                <w:b w:val="0"/>
                <w:color w:val="auto"/>
                <w:kern w:val="2"/>
                <w:sz w:val="24"/>
                <w:szCs w:val="24"/>
                <w:highlight w:val="none"/>
                <w:lang w:val="en-US" w:eastAsia="zh-CN" w:bidi="ar-SA"/>
              </w:rPr>
              <w:t>一般固体废物做到防扬散、防流失、防渗漏措施；危险废物执行《危险废物贮存污染控制标准》（GB18597-2023）相关要求</w:t>
            </w:r>
            <w:r>
              <w:rPr>
                <w:rFonts w:hint="eastAsia" w:cs="Times New Roman"/>
                <w:b w:val="0"/>
                <w:color w:val="auto"/>
                <w:kern w:val="2"/>
                <w:sz w:val="24"/>
                <w:szCs w:val="24"/>
                <w:highlight w:val="none"/>
                <w:lang w:val="en-US" w:eastAsia="zh-CN" w:bidi="ar-SA"/>
              </w:rPr>
              <w:t>。</w:t>
            </w:r>
          </w:p>
          <w:p w14:paraId="0BD6BCAF">
            <w:pPr>
              <w:pageBreakBefore w:val="0"/>
              <w:widowControl w:val="0"/>
              <w:kinsoku/>
              <w:wordWrap/>
              <w:overflowPunct/>
              <w:topLinePunct w:val="0"/>
              <w:autoSpaceDE/>
              <w:autoSpaceDN/>
              <w:bidi w:val="0"/>
              <w:adjustRightInd w:val="0"/>
              <w:snapToGrid w:val="0"/>
              <w:ind w:firstLine="480" w:firstLineChars="200"/>
              <w:textAlignment w:val="auto"/>
              <w:rPr>
                <w:rFonts w:hint="default"/>
                <w:color w:val="auto"/>
                <w:highlight w:val="none"/>
                <w:lang w:val="en-US" w:eastAsia="zh-CN"/>
              </w:rPr>
            </w:pPr>
            <w:r>
              <w:rPr>
                <w:rFonts w:hint="eastAsia"/>
                <w:color w:val="auto"/>
                <w:highlight w:val="none"/>
                <w:lang w:val="en-US" w:eastAsia="zh-CN"/>
              </w:rPr>
              <w:t>5、运营期废水执行《污水综合排放标准》 （GB8978-1996）表四中三级标准、《污水排入城镇下水道水质标准》(GB/T31962-2015)表1中A级及秦皇岛市抚宁区中冶水务有限公司收水水质要求。</w:t>
            </w:r>
          </w:p>
          <w:p w14:paraId="59216A5C">
            <w:pPr>
              <w:pageBreakBefore w:val="0"/>
              <w:widowControl w:val="0"/>
              <w:kinsoku/>
              <w:wordWrap/>
              <w:overflowPunct/>
              <w:topLinePunct w:val="0"/>
              <w:autoSpaceDE/>
              <w:autoSpaceDN/>
              <w:bidi w:val="0"/>
              <w:adjustRightInd w:val="0"/>
              <w:snapToGrid w:val="0"/>
              <w:spacing w:line="240" w:lineRule="auto"/>
              <w:jc w:val="center"/>
              <w:textAlignment w:val="auto"/>
              <w:rPr>
                <w:rFonts w:hint="default"/>
                <w:b/>
                <w:bCs/>
                <w:color w:val="auto"/>
                <w:highlight w:val="none"/>
                <w:lang w:val="en-US" w:eastAsia="zh-CN"/>
              </w:rPr>
            </w:pPr>
            <w:r>
              <w:rPr>
                <w:rFonts w:hint="eastAsia"/>
                <w:b/>
                <w:bCs/>
                <w:color w:val="auto"/>
                <w:highlight w:val="none"/>
                <w:lang w:val="en-US" w:eastAsia="zh-CN"/>
              </w:rPr>
              <w:t xml:space="preserve">表3-7  废水排放执行标准   </w:t>
            </w:r>
            <w:r>
              <w:rPr>
                <w:rFonts w:ascii="Times New Roman" w:hAnsi="Times New Roman" w:cs="Times New Roman"/>
                <w:b/>
                <w:color w:val="auto"/>
                <w:sz w:val="24"/>
                <w:highlight w:val="none"/>
              </w:rPr>
              <w:t>单位：mg/L</w:t>
            </w:r>
          </w:p>
          <w:tbl>
            <w:tblPr>
              <w:tblStyle w:val="3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4"/>
              <w:gridCol w:w="2190"/>
              <w:gridCol w:w="1800"/>
              <w:gridCol w:w="2490"/>
              <w:gridCol w:w="781"/>
            </w:tblGrid>
            <w:tr w14:paraId="2A914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pct"/>
                  <w:vAlign w:val="center"/>
                </w:tcPr>
                <w:p w14:paraId="59F7D278">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项目</w:t>
                  </w:r>
                </w:p>
              </w:tc>
              <w:tc>
                <w:tcPr>
                  <w:tcW w:w="1315" w:type="pct"/>
                  <w:vAlign w:val="center"/>
                </w:tcPr>
                <w:p w14:paraId="06C34485">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default"/>
                      <w:color w:val="auto"/>
                      <w:sz w:val="21"/>
                      <w:szCs w:val="21"/>
                      <w:highlight w:val="none"/>
                      <w:vertAlign w:val="baseline"/>
                      <w:lang w:val="en-US" w:eastAsia="zh-CN"/>
                    </w:rPr>
                    <w:t>《</w:t>
                  </w:r>
                  <w:r>
                    <w:rPr>
                      <w:rFonts w:hint="eastAsia"/>
                      <w:color w:val="auto"/>
                      <w:sz w:val="21"/>
                      <w:szCs w:val="21"/>
                      <w:highlight w:val="none"/>
                      <w:vertAlign w:val="baseline"/>
                      <w:lang w:val="en-US" w:eastAsia="zh-CN"/>
                    </w:rPr>
                    <w:t>污水综合排放标准</w:t>
                  </w:r>
                  <w:r>
                    <w:rPr>
                      <w:rFonts w:hint="default"/>
                      <w:color w:val="auto"/>
                      <w:sz w:val="21"/>
                      <w:szCs w:val="21"/>
                      <w:highlight w:val="none"/>
                      <w:vertAlign w:val="baseline"/>
                      <w:lang w:val="en-US" w:eastAsia="zh-CN"/>
                    </w:rPr>
                    <w:t xml:space="preserve">》 </w:t>
                  </w:r>
                  <w:r>
                    <w:rPr>
                      <w:rFonts w:hint="eastAsia"/>
                      <w:color w:val="auto"/>
                      <w:sz w:val="21"/>
                      <w:szCs w:val="21"/>
                      <w:highlight w:val="none"/>
                      <w:vertAlign w:val="baseline"/>
                      <w:lang w:val="en-US" w:eastAsia="zh-CN"/>
                    </w:rPr>
                    <w:t>GB8978-1996</w:t>
                  </w:r>
                </w:p>
              </w:tc>
              <w:tc>
                <w:tcPr>
                  <w:tcW w:w="1081" w:type="pct"/>
                  <w:vAlign w:val="center"/>
                </w:tcPr>
                <w:p w14:paraId="7513A102">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highlight w:val="none"/>
                      <w:vertAlign w:val="baseline"/>
                      <w:lang w:val="en-US" w:eastAsia="zh-CN"/>
                    </w:rPr>
                  </w:pPr>
                  <w:r>
                    <w:rPr>
                      <w:rFonts w:hint="eastAsia"/>
                      <w:color w:val="auto"/>
                      <w:sz w:val="21"/>
                      <w:szCs w:val="21"/>
                      <w:highlight w:val="none"/>
                      <w:vertAlign w:val="baseline"/>
                      <w:lang w:val="en-US" w:eastAsia="zh-CN"/>
                    </w:rPr>
                    <w:t>《污水排入城镇下水道水质标准》GB/T31962-2015</w:t>
                  </w:r>
                </w:p>
              </w:tc>
              <w:tc>
                <w:tcPr>
                  <w:tcW w:w="1495" w:type="pct"/>
                  <w:vAlign w:val="center"/>
                </w:tcPr>
                <w:p w14:paraId="556FF839">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秦皇岛市抚宁区中冶水务有限公司进水标准</w:t>
                  </w:r>
                </w:p>
              </w:tc>
              <w:tc>
                <w:tcPr>
                  <w:tcW w:w="469" w:type="pct"/>
                  <w:vAlign w:val="center"/>
                </w:tcPr>
                <w:p w14:paraId="11E20D80">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执行标准</w:t>
                  </w:r>
                </w:p>
              </w:tc>
            </w:tr>
            <w:tr w14:paraId="2E777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pct"/>
                  <w:vAlign w:val="center"/>
                </w:tcPr>
                <w:p w14:paraId="2D7F2FAF">
                  <w:pPr>
                    <w:spacing w:line="240" w:lineRule="auto"/>
                    <w:jc w:val="center"/>
                    <w:rPr>
                      <w:rFonts w:hint="default"/>
                      <w:color w:val="auto"/>
                      <w:sz w:val="21"/>
                      <w:szCs w:val="21"/>
                      <w:highlight w:val="none"/>
                      <w:vertAlign w:val="baseline"/>
                      <w:lang w:val="en-US" w:eastAsia="zh-CN"/>
                    </w:rPr>
                  </w:pPr>
                  <w:r>
                    <w:rPr>
                      <w:rFonts w:ascii="Times New Roman" w:hAnsi="Times New Roman" w:cs="Times New Roman"/>
                      <w:color w:val="auto"/>
                      <w:sz w:val="21"/>
                      <w:szCs w:val="21"/>
                      <w:highlight w:val="none"/>
                    </w:rPr>
                    <w:t>pH</w:t>
                  </w:r>
                </w:p>
              </w:tc>
              <w:tc>
                <w:tcPr>
                  <w:tcW w:w="1315" w:type="pct"/>
                  <w:vAlign w:val="center"/>
                </w:tcPr>
                <w:p w14:paraId="07DA7DB5">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6-9</w:t>
                  </w:r>
                </w:p>
              </w:tc>
              <w:tc>
                <w:tcPr>
                  <w:tcW w:w="1081" w:type="pct"/>
                  <w:vAlign w:val="center"/>
                </w:tcPr>
                <w:p w14:paraId="5BF4A2F8">
                  <w:pPr>
                    <w:spacing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6.5-9.5</w:t>
                  </w:r>
                </w:p>
              </w:tc>
              <w:tc>
                <w:tcPr>
                  <w:tcW w:w="1495" w:type="pct"/>
                  <w:vAlign w:val="center"/>
                </w:tcPr>
                <w:p w14:paraId="498B8043">
                  <w:pPr>
                    <w:spacing w:line="240" w:lineRule="auto"/>
                    <w:jc w:val="center"/>
                    <w:rPr>
                      <w:rFonts w:hint="default"/>
                      <w:color w:val="auto"/>
                      <w:sz w:val="21"/>
                      <w:szCs w:val="21"/>
                      <w:highlight w:val="none"/>
                      <w:vertAlign w:val="baseline"/>
                      <w:lang w:val="en-US" w:eastAsia="zh-CN"/>
                    </w:rPr>
                  </w:pPr>
                  <w:r>
                    <w:rPr>
                      <w:rFonts w:hint="eastAsia" w:ascii="Times New Roman" w:hAnsi="Times New Roman" w:cs="Times New Roman"/>
                      <w:color w:val="auto"/>
                      <w:sz w:val="21"/>
                      <w:szCs w:val="21"/>
                      <w:highlight w:val="none"/>
                    </w:rPr>
                    <w:t>6-9</w:t>
                  </w:r>
                </w:p>
              </w:tc>
              <w:tc>
                <w:tcPr>
                  <w:tcW w:w="469" w:type="pct"/>
                  <w:vAlign w:val="center"/>
                </w:tcPr>
                <w:p w14:paraId="7FABFF9F">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6-9</w:t>
                  </w:r>
                </w:p>
              </w:tc>
            </w:tr>
            <w:tr w14:paraId="4772C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pct"/>
                  <w:vAlign w:val="center"/>
                </w:tcPr>
                <w:p w14:paraId="60F8C873">
                  <w:pPr>
                    <w:spacing w:line="240" w:lineRule="auto"/>
                    <w:jc w:val="center"/>
                    <w:rPr>
                      <w:rFonts w:hint="default"/>
                      <w:color w:val="auto"/>
                      <w:sz w:val="21"/>
                      <w:szCs w:val="21"/>
                      <w:highlight w:val="none"/>
                      <w:vertAlign w:val="baseline"/>
                      <w:lang w:val="en-US" w:eastAsia="zh-CN"/>
                    </w:rPr>
                  </w:pPr>
                  <w:r>
                    <w:rPr>
                      <w:rFonts w:ascii="Times New Roman" w:hAnsi="Times New Roman" w:cs="Times New Roman"/>
                      <w:color w:val="auto"/>
                      <w:sz w:val="21"/>
                      <w:szCs w:val="21"/>
                      <w:highlight w:val="none"/>
                    </w:rPr>
                    <w:t>COD</w:t>
                  </w:r>
                </w:p>
              </w:tc>
              <w:tc>
                <w:tcPr>
                  <w:tcW w:w="1315" w:type="pct"/>
                  <w:vAlign w:val="center"/>
                </w:tcPr>
                <w:p w14:paraId="3C2D6A18">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500</w:t>
                  </w:r>
                </w:p>
              </w:tc>
              <w:tc>
                <w:tcPr>
                  <w:tcW w:w="1081" w:type="pct"/>
                  <w:vAlign w:val="center"/>
                </w:tcPr>
                <w:p w14:paraId="67CBDE4A">
                  <w:pPr>
                    <w:spacing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500</w:t>
                  </w:r>
                </w:p>
              </w:tc>
              <w:tc>
                <w:tcPr>
                  <w:tcW w:w="1495" w:type="pct"/>
                  <w:vAlign w:val="center"/>
                </w:tcPr>
                <w:p w14:paraId="1232B94A">
                  <w:pPr>
                    <w:spacing w:line="240" w:lineRule="auto"/>
                    <w:jc w:val="center"/>
                    <w:rPr>
                      <w:rFonts w:hint="default"/>
                      <w:color w:val="auto"/>
                      <w:sz w:val="21"/>
                      <w:szCs w:val="21"/>
                      <w:highlight w:val="none"/>
                      <w:vertAlign w:val="baseline"/>
                      <w:lang w:val="en-US" w:eastAsia="zh-CN"/>
                    </w:rPr>
                  </w:pPr>
                  <w:r>
                    <w:rPr>
                      <w:rFonts w:hint="eastAsia" w:ascii="Times New Roman" w:hAnsi="Times New Roman" w:cs="Times New Roman"/>
                      <w:color w:val="auto"/>
                      <w:sz w:val="21"/>
                      <w:szCs w:val="21"/>
                      <w:highlight w:val="none"/>
                    </w:rPr>
                    <w:t>500</w:t>
                  </w:r>
                </w:p>
              </w:tc>
              <w:tc>
                <w:tcPr>
                  <w:tcW w:w="469" w:type="pct"/>
                  <w:vAlign w:val="center"/>
                </w:tcPr>
                <w:p w14:paraId="49530204">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500</w:t>
                  </w:r>
                </w:p>
              </w:tc>
            </w:tr>
            <w:tr w14:paraId="4661A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pct"/>
                  <w:vAlign w:val="center"/>
                </w:tcPr>
                <w:p w14:paraId="002C78AE">
                  <w:pPr>
                    <w:spacing w:line="240" w:lineRule="auto"/>
                    <w:jc w:val="center"/>
                    <w:rPr>
                      <w:rFonts w:hint="default"/>
                      <w:color w:val="auto"/>
                      <w:sz w:val="21"/>
                      <w:szCs w:val="21"/>
                      <w:highlight w:val="none"/>
                      <w:vertAlign w:val="baseline"/>
                      <w:lang w:val="en-US" w:eastAsia="zh-CN"/>
                    </w:rPr>
                  </w:pPr>
                  <w:r>
                    <w:rPr>
                      <w:rFonts w:ascii="Times New Roman" w:hAnsi="Times New Roman" w:cs="Times New Roman"/>
                      <w:color w:val="auto"/>
                      <w:sz w:val="21"/>
                      <w:szCs w:val="21"/>
                      <w:highlight w:val="none"/>
                    </w:rPr>
                    <w:t>BOD</w:t>
                  </w:r>
                  <w:r>
                    <w:rPr>
                      <w:rFonts w:ascii="Times New Roman" w:hAnsi="Times New Roman" w:cs="Times New Roman"/>
                      <w:color w:val="auto"/>
                      <w:sz w:val="21"/>
                      <w:szCs w:val="21"/>
                      <w:highlight w:val="none"/>
                      <w:vertAlign w:val="subscript"/>
                    </w:rPr>
                    <w:t>5</w:t>
                  </w:r>
                </w:p>
              </w:tc>
              <w:tc>
                <w:tcPr>
                  <w:tcW w:w="1315" w:type="pct"/>
                  <w:vAlign w:val="center"/>
                </w:tcPr>
                <w:p w14:paraId="18F8C792">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300</w:t>
                  </w:r>
                </w:p>
              </w:tc>
              <w:tc>
                <w:tcPr>
                  <w:tcW w:w="1081" w:type="pct"/>
                  <w:vAlign w:val="center"/>
                </w:tcPr>
                <w:p w14:paraId="7B9907B6">
                  <w:pPr>
                    <w:spacing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350</w:t>
                  </w:r>
                </w:p>
              </w:tc>
              <w:tc>
                <w:tcPr>
                  <w:tcW w:w="1495" w:type="pct"/>
                  <w:vAlign w:val="center"/>
                </w:tcPr>
                <w:p w14:paraId="6B3C9D00">
                  <w:pPr>
                    <w:spacing w:line="240" w:lineRule="auto"/>
                    <w:jc w:val="center"/>
                    <w:rPr>
                      <w:rFonts w:hint="default"/>
                      <w:color w:val="auto"/>
                      <w:sz w:val="21"/>
                      <w:szCs w:val="21"/>
                      <w:highlight w:val="none"/>
                      <w:vertAlign w:val="baseline"/>
                      <w:lang w:val="en-US" w:eastAsia="zh-CN"/>
                    </w:rPr>
                  </w:pPr>
                  <w:r>
                    <w:rPr>
                      <w:rFonts w:hint="eastAsia" w:ascii="Times New Roman" w:hAnsi="Times New Roman" w:cs="Times New Roman"/>
                      <w:color w:val="auto"/>
                      <w:sz w:val="21"/>
                      <w:szCs w:val="21"/>
                      <w:highlight w:val="none"/>
                    </w:rPr>
                    <w:t>200</w:t>
                  </w:r>
                </w:p>
              </w:tc>
              <w:tc>
                <w:tcPr>
                  <w:tcW w:w="469" w:type="pct"/>
                  <w:vAlign w:val="center"/>
                </w:tcPr>
                <w:p w14:paraId="6EDA114C">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200</w:t>
                  </w:r>
                </w:p>
              </w:tc>
            </w:tr>
            <w:tr w14:paraId="674AA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 w:hRule="atLeast"/>
              </w:trPr>
              <w:tc>
                <w:tcPr>
                  <w:tcW w:w="639" w:type="pct"/>
                  <w:vAlign w:val="center"/>
                </w:tcPr>
                <w:p w14:paraId="5F332557">
                  <w:pPr>
                    <w:spacing w:line="240" w:lineRule="auto"/>
                    <w:jc w:val="center"/>
                    <w:rPr>
                      <w:rFonts w:hint="eastAsia"/>
                      <w:color w:val="auto"/>
                      <w:sz w:val="21"/>
                      <w:szCs w:val="21"/>
                      <w:highlight w:val="none"/>
                      <w:vertAlign w:val="baseline"/>
                      <w:lang w:val="en-US" w:eastAsia="zh-CN"/>
                    </w:rPr>
                  </w:pPr>
                  <w:r>
                    <w:rPr>
                      <w:rFonts w:ascii="Times New Roman" w:hAnsi="Times New Roman" w:cs="Times New Roman"/>
                      <w:color w:val="auto"/>
                      <w:sz w:val="21"/>
                      <w:szCs w:val="21"/>
                      <w:highlight w:val="none"/>
                    </w:rPr>
                    <w:t>SS</w:t>
                  </w:r>
                </w:p>
              </w:tc>
              <w:tc>
                <w:tcPr>
                  <w:tcW w:w="1315" w:type="pct"/>
                  <w:vAlign w:val="center"/>
                </w:tcPr>
                <w:p w14:paraId="39DEF15D">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400</w:t>
                  </w:r>
                </w:p>
              </w:tc>
              <w:tc>
                <w:tcPr>
                  <w:tcW w:w="1081" w:type="pct"/>
                  <w:vAlign w:val="center"/>
                </w:tcPr>
                <w:p w14:paraId="63532177">
                  <w:pPr>
                    <w:spacing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400</w:t>
                  </w:r>
                </w:p>
              </w:tc>
              <w:tc>
                <w:tcPr>
                  <w:tcW w:w="1495" w:type="pct"/>
                  <w:vAlign w:val="center"/>
                </w:tcPr>
                <w:p w14:paraId="7072EB8F">
                  <w:pPr>
                    <w:spacing w:line="240" w:lineRule="auto"/>
                    <w:jc w:val="center"/>
                    <w:rPr>
                      <w:rFonts w:hint="eastAsia"/>
                      <w:color w:val="auto"/>
                      <w:sz w:val="21"/>
                      <w:szCs w:val="21"/>
                      <w:highlight w:val="none"/>
                      <w:vertAlign w:val="baseline"/>
                      <w:lang w:val="en-US" w:eastAsia="zh-CN"/>
                    </w:rPr>
                  </w:pPr>
                  <w:r>
                    <w:rPr>
                      <w:rFonts w:hint="eastAsia" w:ascii="Times New Roman" w:hAnsi="Times New Roman" w:cs="Times New Roman"/>
                      <w:color w:val="auto"/>
                      <w:sz w:val="21"/>
                      <w:szCs w:val="21"/>
                      <w:highlight w:val="none"/>
                    </w:rPr>
                    <w:t>300</w:t>
                  </w:r>
                </w:p>
              </w:tc>
              <w:tc>
                <w:tcPr>
                  <w:tcW w:w="469" w:type="pct"/>
                  <w:vAlign w:val="center"/>
                </w:tcPr>
                <w:p w14:paraId="65D2EB08">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300</w:t>
                  </w:r>
                </w:p>
              </w:tc>
            </w:tr>
            <w:tr w14:paraId="0E8FE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pct"/>
                  <w:vAlign w:val="center"/>
                </w:tcPr>
                <w:p w14:paraId="72EA9892">
                  <w:pPr>
                    <w:spacing w:line="240" w:lineRule="auto"/>
                    <w:jc w:val="center"/>
                    <w:rPr>
                      <w:rFonts w:hint="eastAsia"/>
                      <w:color w:val="auto"/>
                      <w:sz w:val="21"/>
                      <w:szCs w:val="21"/>
                      <w:highlight w:val="none"/>
                      <w:vertAlign w:val="baseline"/>
                      <w:lang w:val="en-US" w:eastAsia="zh-CN"/>
                    </w:rPr>
                  </w:pPr>
                  <w:r>
                    <w:rPr>
                      <w:rFonts w:ascii="Times New Roman" w:hAnsi="Times New Roman" w:cs="Times New Roman"/>
                      <w:color w:val="auto"/>
                      <w:sz w:val="21"/>
                      <w:szCs w:val="21"/>
                      <w:highlight w:val="none"/>
                    </w:rPr>
                    <w:t>氨氮</w:t>
                  </w:r>
                </w:p>
              </w:tc>
              <w:tc>
                <w:tcPr>
                  <w:tcW w:w="1315" w:type="pct"/>
                  <w:vAlign w:val="center"/>
                </w:tcPr>
                <w:p w14:paraId="695BDB51">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w:t>
                  </w:r>
                </w:p>
              </w:tc>
              <w:tc>
                <w:tcPr>
                  <w:tcW w:w="1081" w:type="pct"/>
                  <w:vAlign w:val="center"/>
                </w:tcPr>
                <w:p w14:paraId="2FD501CF">
                  <w:pPr>
                    <w:spacing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45</w:t>
                  </w:r>
                </w:p>
              </w:tc>
              <w:tc>
                <w:tcPr>
                  <w:tcW w:w="1495" w:type="pct"/>
                  <w:vAlign w:val="center"/>
                </w:tcPr>
                <w:p w14:paraId="51F80EF8">
                  <w:pPr>
                    <w:spacing w:line="240" w:lineRule="auto"/>
                    <w:jc w:val="center"/>
                    <w:rPr>
                      <w:rFonts w:hint="eastAsia"/>
                      <w:color w:val="auto"/>
                      <w:sz w:val="21"/>
                      <w:szCs w:val="21"/>
                      <w:highlight w:val="none"/>
                      <w:vertAlign w:val="baseline"/>
                      <w:lang w:val="en-US" w:eastAsia="zh-CN"/>
                    </w:rPr>
                  </w:pPr>
                  <w:r>
                    <w:rPr>
                      <w:rFonts w:hint="eastAsia" w:ascii="Times New Roman" w:hAnsi="Times New Roman" w:cs="Times New Roman"/>
                      <w:color w:val="auto"/>
                      <w:sz w:val="21"/>
                      <w:szCs w:val="21"/>
                      <w:highlight w:val="none"/>
                    </w:rPr>
                    <w:t>22</w:t>
                  </w:r>
                </w:p>
              </w:tc>
              <w:tc>
                <w:tcPr>
                  <w:tcW w:w="469" w:type="pct"/>
                  <w:vAlign w:val="center"/>
                </w:tcPr>
                <w:p w14:paraId="28F2A082">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22</w:t>
                  </w:r>
                </w:p>
              </w:tc>
            </w:tr>
            <w:tr w14:paraId="07694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pct"/>
                  <w:vAlign w:val="center"/>
                </w:tcPr>
                <w:p w14:paraId="27FBABC4">
                  <w:pPr>
                    <w:spacing w:line="240" w:lineRule="auto"/>
                    <w:jc w:val="center"/>
                    <w:rPr>
                      <w:rFonts w:hint="eastAsia" w:eastAsia="宋体"/>
                      <w:color w:val="auto"/>
                      <w:sz w:val="21"/>
                      <w:szCs w:val="21"/>
                      <w:highlight w:val="none"/>
                      <w:vertAlign w:val="baseline"/>
                      <w:lang w:val="en-US" w:eastAsia="zh-CN"/>
                    </w:rPr>
                  </w:pPr>
                  <w:r>
                    <w:rPr>
                      <w:rFonts w:hint="eastAsia" w:cs="Times New Roman"/>
                      <w:color w:val="auto"/>
                      <w:sz w:val="21"/>
                      <w:szCs w:val="21"/>
                      <w:highlight w:val="none"/>
                      <w:lang w:val="en-US" w:eastAsia="zh-CN"/>
                    </w:rPr>
                    <w:t>石油类</w:t>
                  </w:r>
                </w:p>
              </w:tc>
              <w:tc>
                <w:tcPr>
                  <w:tcW w:w="1315" w:type="pct"/>
                  <w:vAlign w:val="center"/>
                </w:tcPr>
                <w:p w14:paraId="669118CC">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20</w:t>
                  </w:r>
                </w:p>
              </w:tc>
              <w:tc>
                <w:tcPr>
                  <w:tcW w:w="1081" w:type="pct"/>
                  <w:vAlign w:val="center"/>
                </w:tcPr>
                <w:p w14:paraId="3A88B786">
                  <w:pPr>
                    <w:spacing w:line="240" w:lineRule="auto"/>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15</w:t>
                  </w:r>
                </w:p>
              </w:tc>
              <w:tc>
                <w:tcPr>
                  <w:tcW w:w="1495" w:type="pct"/>
                  <w:vAlign w:val="center"/>
                </w:tcPr>
                <w:p w14:paraId="3F3A31BC">
                  <w:pPr>
                    <w:spacing w:line="240" w:lineRule="auto"/>
                    <w:jc w:val="center"/>
                    <w:rPr>
                      <w:rFonts w:hint="default" w:eastAsia="宋体"/>
                      <w:color w:val="auto"/>
                      <w:sz w:val="21"/>
                      <w:szCs w:val="21"/>
                      <w:highlight w:val="none"/>
                      <w:vertAlign w:val="baseline"/>
                      <w:lang w:val="en-US" w:eastAsia="zh-CN"/>
                    </w:rPr>
                  </w:pPr>
                  <w:r>
                    <w:rPr>
                      <w:rFonts w:hint="eastAsia" w:cs="Times New Roman"/>
                      <w:color w:val="auto"/>
                      <w:sz w:val="21"/>
                      <w:szCs w:val="21"/>
                      <w:highlight w:val="none"/>
                      <w:lang w:val="en-US" w:eastAsia="zh-CN"/>
                    </w:rPr>
                    <w:t>/</w:t>
                  </w:r>
                </w:p>
              </w:tc>
              <w:tc>
                <w:tcPr>
                  <w:tcW w:w="469" w:type="pct"/>
                  <w:vAlign w:val="center"/>
                </w:tcPr>
                <w:p w14:paraId="7A2E3244">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15</w:t>
                  </w:r>
                </w:p>
              </w:tc>
            </w:tr>
            <w:tr w14:paraId="3D7AD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pct"/>
                  <w:vAlign w:val="center"/>
                </w:tcPr>
                <w:p w14:paraId="6F260B6D">
                  <w:pPr>
                    <w:spacing w:line="240" w:lineRule="auto"/>
                    <w:jc w:val="center"/>
                    <w:rPr>
                      <w:rFonts w:hint="eastAsia"/>
                      <w:color w:val="auto"/>
                      <w:sz w:val="21"/>
                      <w:szCs w:val="21"/>
                      <w:highlight w:val="none"/>
                      <w:vertAlign w:val="baseline"/>
                      <w:lang w:val="en-US" w:eastAsia="zh-CN"/>
                    </w:rPr>
                  </w:pPr>
                  <w:r>
                    <w:rPr>
                      <w:rFonts w:hint="eastAsia" w:ascii="Times New Roman" w:hAnsi="Times New Roman" w:cs="Times New Roman"/>
                      <w:color w:val="auto"/>
                      <w:sz w:val="21"/>
                      <w:szCs w:val="21"/>
                      <w:highlight w:val="none"/>
                    </w:rPr>
                    <w:t>TP</w:t>
                  </w:r>
                </w:p>
              </w:tc>
              <w:tc>
                <w:tcPr>
                  <w:tcW w:w="1315" w:type="pct"/>
                  <w:vAlign w:val="center"/>
                </w:tcPr>
                <w:p w14:paraId="0CFD4D4B">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w:t>
                  </w:r>
                </w:p>
              </w:tc>
              <w:tc>
                <w:tcPr>
                  <w:tcW w:w="1081" w:type="pct"/>
                  <w:vAlign w:val="center"/>
                </w:tcPr>
                <w:p w14:paraId="5CA1ABA3">
                  <w:pPr>
                    <w:spacing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8</w:t>
                  </w:r>
                </w:p>
              </w:tc>
              <w:tc>
                <w:tcPr>
                  <w:tcW w:w="1495" w:type="pct"/>
                  <w:vAlign w:val="center"/>
                </w:tcPr>
                <w:p w14:paraId="7423B758">
                  <w:pPr>
                    <w:spacing w:line="240" w:lineRule="auto"/>
                    <w:jc w:val="center"/>
                    <w:rPr>
                      <w:rFonts w:hint="eastAsia"/>
                      <w:color w:val="auto"/>
                      <w:sz w:val="21"/>
                      <w:szCs w:val="21"/>
                      <w:highlight w:val="none"/>
                      <w:vertAlign w:val="baseline"/>
                      <w:lang w:val="en-US" w:eastAsia="zh-CN"/>
                    </w:rPr>
                  </w:pPr>
                  <w:r>
                    <w:rPr>
                      <w:rFonts w:hint="eastAsia" w:ascii="Times New Roman" w:hAnsi="Times New Roman" w:cs="Times New Roman"/>
                      <w:color w:val="auto"/>
                      <w:sz w:val="21"/>
                      <w:szCs w:val="21"/>
                      <w:highlight w:val="none"/>
                    </w:rPr>
                    <w:t>4</w:t>
                  </w:r>
                </w:p>
              </w:tc>
              <w:tc>
                <w:tcPr>
                  <w:tcW w:w="469" w:type="pct"/>
                  <w:vAlign w:val="center"/>
                </w:tcPr>
                <w:p w14:paraId="716755E5">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4</w:t>
                  </w:r>
                </w:p>
              </w:tc>
            </w:tr>
            <w:tr w14:paraId="3F786C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pct"/>
                  <w:vAlign w:val="center"/>
                </w:tcPr>
                <w:p w14:paraId="0EE9E994">
                  <w:pPr>
                    <w:spacing w:line="240" w:lineRule="auto"/>
                    <w:jc w:val="center"/>
                    <w:rPr>
                      <w:rFonts w:hint="eastAsia"/>
                      <w:color w:val="auto"/>
                      <w:sz w:val="21"/>
                      <w:szCs w:val="21"/>
                      <w:highlight w:val="none"/>
                      <w:vertAlign w:val="baseline"/>
                      <w:lang w:val="en-US" w:eastAsia="zh-CN"/>
                    </w:rPr>
                  </w:pPr>
                  <w:r>
                    <w:rPr>
                      <w:rFonts w:hint="eastAsia" w:ascii="Times New Roman" w:hAnsi="Times New Roman" w:cs="Times New Roman"/>
                      <w:color w:val="auto"/>
                      <w:sz w:val="21"/>
                      <w:szCs w:val="21"/>
                      <w:highlight w:val="none"/>
                    </w:rPr>
                    <w:t>TN</w:t>
                  </w:r>
                </w:p>
              </w:tc>
              <w:tc>
                <w:tcPr>
                  <w:tcW w:w="1315" w:type="pct"/>
                  <w:vAlign w:val="center"/>
                </w:tcPr>
                <w:p w14:paraId="06C3D775">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w:t>
                  </w:r>
                </w:p>
              </w:tc>
              <w:tc>
                <w:tcPr>
                  <w:tcW w:w="1081" w:type="pct"/>
                  <w:vAlign w:val="center"/>
                </w:tcPr>
                <w:p w14:paraId="34A96C18">
                  <w:pPr>
                    <w:spacing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70</w:t>
                  </w:r>
                </w:p>
              </w:tc>
              <w:tc>
                <w:tcPr>
                  <w:tcW w:w="1495" w:type="pct"/>
                  <w:vAlign w:val="center"/>
                </w:tcPr>
                <w:p w14:paraId="6BCACC72">
                  <w:pPr>
                    <w:spacing w:line="240" w:lineRule="auto"/>
                    <w:jc w:val="center"/>
                    <w:rPr>
                      <w:rFonts w:hint="eastAsia"/>
                      <w:color w:val="auto"/>
                      <w:sz w:val="21"/>
                      <w:szCs w:val="21"/>
                      <w:highlight w:val="none"/>
                      <w:vertAlign w:val="baseline"/>
                      <w:lang w:val="en-US" w:eastAsia="zh-CN"/>
                    </w:rPr>
                  </w:pPr>
                  <w:r>
                    <w:rPr>
                      <w:rFonts w:hint="eastAsia" w:ascii="Times New Roman" w:hAnsi="Times New Roman" w:cs="Times New Roman"/>
                      <w:color w:val="auto"/>
                      <w:sz w:val="21"/>
                      <w:szCs w:val="21"/>
                      <w:highlight w:val="none"/>
                    </w:rPr>
                    <w:t>30</w:t>
                  </w:r>
                </w:p>
              </w:tc>
              <w:tc>
                <w:tcPr>
                  <w:tcW w:w="469" w:type="pct"/>
                  <w:vAlign w:val="center"/>
                </w:tcPr>
                <w:p w14:paraId="3480B75A">
                  <w:pPr>
                    <w:pStyle w:val="2"/>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30</w:t>
                  </w:r>
                </w:p>
              </w:tc>
            </w:tr>
          </w:tbl>
          <w:p w14:paraId="6BBB6BD3">
            <w:pPr>
              <w:pStyle w:val="15"/>
              <w:rPr>
                <w:rFonts w:hint="default"/>
                <w:lang w:val="en-US" w:eastAsia="zh-CN"/>
              </w:rPr>
            </w:pPr>
          </w:p>
          <w:p w14:paraId="3A33B2F1">
            <w:pPr>
              <w:pStyle w:val="15"/>
              <w:rPr>
                <w:rFonts w:hint="eastAsia" w:cs="Times New Roman"/>
                <w:b w:val="0"/>
                <w:color w:val="auto"/>
                <w:kern w:val="2"/>
                <w:sz w:val="24"/>
                <w:szCs w:val="24"/>
                <w:highlight w:val="none"/>
                <w:lang w:val="en-US" w:eastAsia="zh-CN" w:bidi="ar-SA"/>
              </w:rPr>
            </w:pPr>
          </w:p>
          <w:p w14:paraId="38C10C88">
            <w:pPr>
              <w:pStyle w:val="15"/>
              <w:rPr>
                <w:rFonts w:hint="eastAsia" w:cs="Times New Roman"/>
                <w:b w:val="0"/>
                <w:color w:val="auto"/>
                <w:kern w:val="2"/>
                <w:sz w:val="24"/>
                <w:szCs w:val="24"/>
                <w:highlight w:val="none"/>
                <w:lang w:val="en-US" w:eastAsia="zh-CN" w:bidi="ar-SA"/>
              </w:rPr>
            </w:pPr>
          </w:p>
          <w:p w14:paraId="3AF8959C">
            <w:pPr>
              <w:pStyle w:val="15"/>
              <w:rPr>
                <w:rFonts w:hint="eastAsia" w:cs="Times New Roman"/>
                <w:b w:val="0"/>
                <w:color w:val="auto"/>
                <w:kern w:val="2"/>
                <w:sz w:val="24"/>
                <w:szCs w:val="24"/>
                <w:highlight w:val="none"/>
                <w:lang w:val="en-US" w:eastAsia="zh-CN" w:bidi="ar-SA"/>
              </w:rPr>
            </w:pPr>
          </w:p>
          <w:p w14:paraId="32492B78">
            <w:pPr>
              <w:pStyle w:val="15"/>
              <w:rPr>
                <w:rFonts w:hint="eastAsia" w:cs="Times New Roman"/>
                <w:b w:val="0"/>
                <w:color w:val="auto"/>
                <w:kern w:val="2"/>
                <w:sz w:val="24"/>
                <w:szCs w:val="24"/>
                <w:highlight w:val="none"/>
                <w:lang w:val="en-US" w:eastAsia="zh-CN" w:bidi="ar-SA"/>
              </w:rPr>
            </w:pPr>
          </w:p>
          <w:p w14:paraId="042C3DE4">
            <w:pPr>
              <w:pStyle w:val="15"/>
              <w:rPr>
                <w:rFonts w:hint="eastAsia" w:cs="Times New Roman"/>
                <w:b w:val="0"/>
                <w:color w:val="auto"/>
                <w:kern w:val="2"/>
                <w:sz w:val="24"/>
                <w:szCs w:val="24"/>
                <w:highlight w:val="none"/>
                <w:lang w:val="en-US" w:eastAsia="zh-CN" w:bidi="ar-SA"/>
              </w:rPr>
            </w:pPr>
          </w:p>
          <w:p w14:paraId="57E4CCE6">
            <w:pPr>
              <w:pStyle w:val="15"/>
              <w:rPr>
                <w:rFonts w:hint="eastAsia" w:cs="Times New Roman"/>
                <w:b w:val="0"/>
                <w:color w:val="auto"/>
                <w:kern w:val="2"/>
                <w:sz w:val="24"/>
                <w:szCs w:val="24"/>
                <w:highlight w:val="none"/>
                <w:lang w:val="en-US" w:eastAsia="zh-CN" w:bidi="ar-SA"/>
              </w:rPr>
            </w:pPr>
          </w:p>
          <w:p w14:paraId="2D9AA135">
            <w:pPr>
              <w:pStyle w:val="15"/>
              <w:rPr>
                <w:rFonts w:hint="eastAsia" w:cs="Times New Roman"/>
                <w:b w:val="0"/>
                <w:color w:val="auto"/>
                <w:kern w:val="2"/>
                <w:sz w:val="24"/>
                <w:szCs w:val="24"/>
                <w:highlight w:val="none"/>
                <w:lang w:val="en-US" w:eastAsia="zh-CN" w:bidi="ar-SA"/>
              </w:rPr>
            </w:pPr>
          </w:p>
          <w:p w14:paraId="6B13B4D4">
            <w:pPr>
              <w:pStyle w:val="15"/>
              <w:rPr>
                <w:rFonts w:hint="eastAsia" w:cs="Times New Roman"/>
                <w:b w:val="0"/>
                <w:color w:val="auto"/>
                <w:kern w:val="2"/>
                <w:sz w:val="24"/>
                <w:szCs w:val="24"/>
                <w:highlight w:val="none"/>
                <w:lang w:val="en-US" w:eastAsia="zh-CN" w:bidi="ar-SA"/>
              </w:rPr>
            </w:pPr>
          </w:p>
          <w:p w14:paraId="28AB65A7">
            <w:pPr>
              <w:pStyle w:val="15"/>
              <w:rPr>
                <w:rFonts w:hint="eastAsia" w:cs="Times New Roman"/>
                <w:b w:val="0"/>
                <w:color w:val="auto"/>
                <w:kern w:val="2"/>
                <w:sz w:val="24"/>
                <w:szCs w:val="24"/>
                <w:highlight w:val="none"/>
                <w:lang w:val="en-US" w:eastAsia="zh-CN" w:bidi="ar-SA"/>
              </w:rPr>
            </w:pPr>
          </w:p>
          <w:p w14:paraId="66953FA2">
            <w:pPr>
              <w:pStyle w:val="15"/>
              <w:rPr>
                <w:rFonts w:hint="eastAsia" w:cs="Times New Roman"/>
                <w:b w:val="0"/>
                <w:color w:val="auto"/>
                <w:kern w:val="2"/>
                <w:sz w:val="24"/>
                <w:szCs w:val="24"/>
                <w:highlight w:val="none"/>
                <w:lang w:val="en-US" w:eastAsia="zh-CN" w:bidi="ar-SA"/>
              </w:rPr>
            </w:pPr>
          </w:p>
          <w:p w14:paraId="57B6FA0A">
            <w:pPr>
              <w:pStyle w:val="15"/>
              <w:rPr>
                <w:rFonts w:hint="eastAsia" w:cs="Times New Roman"/>
                <w:b w:val="0"/>
                <w:color w:val="auto"/>
                <w:kern w:val="2"/>
                <w:sz w:val="24"/>
                <w:szCs w:val="24"/>
                <w:highlight w:val="none"/>
                <w:lang w:val="en-US" w:eastAsia="zh-CN" w:bidi="ar-SA"/>
              </w:rPr>
            </w:pPr>
          </w:p>
          <w:p w14:paraId="767805D4">
            <w:pPr>
              <w:pStyle w:val="15"/>
              <w:rPr>
                <w:rFonts w:hint="eastAsia" w:cs="Times New Roman"/>
                <w:b w:val="0"/>
                <w:color w:val="auto"/>
                <w:kern w:val="2"/>
                <w:sz w:val="24"/>
                <w:szCs w:val="24"/>
                <w:highlight w:val="none"/>
                <w:lang w:val="en-US" w:eastAsia="zh-CN" w:bidi="ar-SA"/>
              </w:rPr>
            </w:pPr>
          </w:p>
        </w:tc>
      </w:tr>
      <w:tr w14:paraId="2ABFCA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64" w:hRule="atLeast"/>
          <w:jc w:val="center"/>
        </w:trPr>
        <w:tc>
          <w:tcPr>
            <w:tcW w:w="517" w:type="dxa"/>
            <w:tcMar>
              <w:left w:w="28" w:type="dxa"/>
              <w:right w:w="28" w:type="dxa"/>
            </w:tcMar>
            <w:vAlign w:val="center"/>
          </w:tcPr>
          <w:p w14:paraId="654A2465">
            <w:pPr>
              <w:pStyle w:val="7"/>
              <w:rPr>
                <w:color w:val="auto"/>
                <w:highlight w:val="none"/>
              </w:rPr>
            </w:pPr>
            <w:r>
              <w:rPr>
                <w:color w:val="auto"/>
                <w:highlight w:val="none"/>
              </w:rPr>
              <w:t>总量</w:t>
            </w:r>
          </w:p>
          <w:p w14:paraId="475F228E">
            <w:pPr>
              <w:pStyle w:val="7"/>
              <w:rPr>
                <w:color w:val="auto"/>
                <w:highlight w:val="none"/>
              </w:rPr>
            </w:pPr>
            <w:r>
              <w:rPr>
                <w:color w:val="auto"/>
                <w:highlight w:val="none"/>
              </w:rPr>
              <w:t>控制</w:t>
            </w:r>
          </w:p>
          <w:p w14:paraId="5DE2F482">
            <w:pPr>
              <w:pStyle w:val="7"/>
              <w:rPr>
                <w:color w:val="auto"/>
                <w:highlight w:val="none"/>
              </w:rPr>
            </w:pPr>
            <w:r>
              <w:rPr>
                <w:color w:val="auto"/>
                <w:highlight w:val="none"/>
              </w:rPr>
              <w:t>指标</w:t>
            </w:r>
          </w:p>
        </w:tc>
        <w:tc>
          <w:tcPr>
            <w:tcW w:w="8554" w:type="dxa"/>
            <w:vAlign w:val="center"/>
          </w:tcPr>
          <w:p w14:paraId="547615CA">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default"/>
                <w:color w:val="auto"/>
                <w:sz w:val="24"/>
                <w:szCs w:val="24"/>
                <w:highlight w:val="none"/>
                <w:lang w:val="en-US"/>
              </w:rPr>
            </w:pPr>
            <w:r>
              <w:rPr>
                <w:rFonts w:hint="default"/>
                <w:color w:val="auto"/>
                <w:sz w:val="24"/>
                <w:szCs w:val="24"/>
                <w:highlight w:val="none"/>
              </w:rPr>
              <w:t>根据《</w:t>
            </w:r>
            <w:r>
              <w:rPr>
                <w:rFonts w:hint="eastAsia"/>
                <w:color w:val="auto"/>
                <w:sz w:val="24"/>
                <w:szCs w:val="24"/>
                <w:highlight w:val="none"/>
                <w:lang w:val="en-US" w:eastAsia="zh-CN"/>
              </w:rPr>
              <w:t>河北省生态环境保护“十四五”规划</w:t>
            </w:r>
            <w:r>
              <w:rPr>
                <w:rFonts w:hint="default"/>
                <w:color w:val="auto"/>
                <w:sz w:val="24"/>
                <w:szCs w:val="24"/>
                <w:highlight w:val="none"/>
                <w:lang w:val="en-US" w:eastAsia="zh-CN"/>
              </w:rPr>
              <w:t>》</w:t>
            </w:r>
            <w:r>
              <w:rPr>
                <w:rFonts w:hint="eastAsia"/>
                <w:color w:val="auto"/>
                <w:sz w:val="24"/>
                <w:szCs w:val="24"/>
                <w:highlight w:val="none"/>
                <w:lang w:val="en-US" w:eastAsia="zh-CN"/>
              </w:rPr>
              <w:t>(冀政字〔2022〕2号)</w:t>
            </w:r>
            <w:r>
              <w:rPr>
                <w:rFonts w:hint="default"/>
                <w:color w:val="auto"/>
                <w:sz w:val="24"/>
                <w:szCs w:val="24"/>
                <w:highlight w:val="none"/>
                <w:lang w:val="en-US" w:eastAsia="zh-CN"/>
              </w:rPr>
              <w:t>，“</w:t>
            </w:r>
            <w:r>
              <w:rPr>
                <w:rFonts w:hint="default"/>
                <w:color w:val="auto"/>
                <w:sz w:val="24"/>
                <w:szCs w:val="24"/>
                <w:highlight w:val="none"/>
              </w:rPr>
              <w:t>十</w:t>
            </w:r>
            <w:r>
              <w:rPr>
                <w:rFonts w:hint="eastAsia"/>
                <w:color w:val="auto"/>
                <w:sz w:val="24"/>
                <w:szCs w:val="24"/>
                <w:highlight w:val="none"/>
                <w:lang w:val="en-US" w:eastAsia="zh-CN"/>
              </w:rPr>
              <w:t>四</w:t>
            </w:r>
            <w:r>
              <w:rPr>
                <w:rFonts w:hint="default"/>
                <w:color w:val="auto"/>
                <w:sz w:val="24"/>
                <w:szCs w:val="24"/>
                <w:highlight w:val="none"/>
              </w:rPr>
              <w:t>五”期间国家</w:t>
            </w:r>
            <w:r>
              <w:rPr>
                <w:rFonts w:hint="eastAsia"/>
                <w:color w:val="auto"/>
                <w:sz w:val="24"/>
                <w:szCs w:val="24"/>
                <w:highlight w:val="none"/>
                <w:lang w:val="en-US" w:eastAsia="zh-CN"/>
              </w:rPr>
              <w:t>约束性指标为</w:t>
            </w:r>
            <w:r>
              <w:rPr>
                <w:rFonts w:hint="default"/>
                <w:color w:val="auto"/>
                <w:sz w:val="24"/>
                <w:szCs w:val="24"/>
                <w:highlight w:val="none"/>
              </w:rPr>
              <w:t>化学需氧量(COD)、氨氮(NH3-N)、氮氧化物(NO</w:t>
            </w:r>
            <w:r>
              <w:rPr>
                <w:rFonts w:hint="eastAsia"/>
                <w:color w:val="auto"/>
                <w:sz w:val="24"/>
                <w:szCs w:val="24"/>
                <w:highlight w:val="none"/>
                <w:lang w:val="en-US" w:eastAsia="zh-CN"/>
              </w:rPr>
              <w:t>x</w:t>
            </w:r>
            <w:r>
              <w:rPr>
                <w:rFonts w:hint="default"/>
                <w:color w:val="auto"/>
                <w:sz w:val="24"/>
                <w:szCs w:val="24"/>
                <w:highlight w:val="none"/>
              </w:rPr>
              <w:t>)</w:t>
            </w:r>
            <w:r>
              <w:rPr>
                <w:rFonts w:hint="eastAsia"/>
                <w:color w:val="auto"/>
                <w:sz w:val="24"/>
                <w:szCs w:val="24"/>
                <w:highlight w:val="none"/>
                <w:lang w:eastAsia="zh-CN"/>
              </w:rPr>
              <w:t>、</w:t>
            </w:r>
            <w:r>
              <w:rPr>
                <w:rFonts w:hint="eastAsia"/>
                <w:color w:val="auto"/>
                <w:sz w:val="24"/>
                <w:szCs w:val="24"/>
                <w:highlight w:val="none"/>
                <w:lang w:val="en-US" w:eastAsia="zh-CN"/>
              </w:rPr>
              <w:t>VOCs，对沿海城市的总氮实行排放控制，除以上五个因子外，根据河北省生态环境厅办公室《关于开展排污许可持证单位主要污染物排污权确权工作“回头看”的通知》([2021]-429)，二氧化硫为排污确权的污染物之一，并提出适时将颗粒物纳入确权种类。</w:t>
            </w:r>
          </w:p>
          <w:p w14:paraId="690C024C">
            <w:pPr>
              <w:spacing w:line="360" w:lineRule="auto"/>
              <w:ind w:firstLine="480" w:firstLineChars="200"/>
              <w:rPr>
                <w:rFonts w:hint="eastAsia" w:cs="Times New Roman"/>
                <w:b w:val="0"/>
                <w:bCs/>
                <w:color w:val="auto"/>
                <w:sz w:val="24"/>
                <w:szCs w:val="22"/>
                <w:highlight w:val="none"/>
                <w:lang w:val="en-US" w:eastAsia="zh-CN"/>
              </w:rPr>
            </w:pPr>
            <w:r>
              <w:rPr>
                <w:rFonts w:hint="eastAsia" w:cs="Times New Roman"/>
                <w:b w:val="0"/>
                <w:bCs/>
                <w:color w:val="auto"/>
                <w:sz w:val="24"/>
                <w:szCs w:val="22"/>
                <w:highlight w:val="none"/>
                <w:lang w:val="en-US" w:eastAsia="zh-CN"/>
              </w:rPr>
              <w:t>本项目不涉及锅炉，不涉及二氧化硫、氮氧化物。</w:t>
            </w:r>
          </w:p>
          <w:p w14:paraId="122AD98A">
            <w:pPr>
              <w:spacing w:line="360" w:lineRule="auto"/>
              <w:ind w:firstLine="480" w:firstLineChars="200"/>
              <w:rPr>
                <w:rFonts w:hint="default" w:cs="Times New Roman"/>
                <w:b w:val="0"/>
                <w:bCs/>
                <w:color w:val="auto"/>
                <w:sz w:val="24"/>
                <w:szCs w:val="22"/>
                <w:highlight w:val="none"/>
                <w:lang w:val="en-US" w:eastAsia="zh-CN"/>
              </w:rPr>
            </w:pPr>
            <w:r>
              <w:rPr>
                <w:rFonts w:hint="eastAsia" w:cs="Times New Roman"/>
                <w:b w:val="0"/>
                <w:bCs/>
                <w:color w:val="auto"/>
                <w:sz w:val="24"/>
                <w:szCs w:val="22"/>
                <w:highlight w:val="none"/>
                <w:lang w:val="en-US" w:eastAsia="zh-CN"/>
              </w:rPr>
              <w:t>生产废水主要为冲洗废水，废水排放量为120</w:t>
            </w:r>
            <w:r>
              <w:rPr>
                <w:rFonts w:hint="default" w:ascii="Times New Roman" w:hAnsi="Times New Roman" w:cs="Times New Roman"/>
                <w:color w:val="auto"/>
                <w:highlight w:val="none"/>
                <w:lang w:eastAsia="zh-CN"/>
              </w:rPr>
              <w:t>m³/a，</w:t>
            </w:r>
            <w:r>
              <w:rPr>
                <w:rFonts w:hint="eastAsia" w:cs="Times New Roman"/>
                <w:color w:val="auto"/>
                <w:highlight w:val="none"/>
                <w:lang w:val="en-US" w:eastAsia="zh-CN"/>
              </w:rPr>
              <w:t>废水定期拉至秦皇岛市抚宁区中冶水务有限公司进行处理</w:t>
            </w:r>
            <w:r>
              <w:rPr>
                <w:rFonts w:hint="default" w:ascii="Times New Roman" w:hAnsi="Times New Roman" w:cs="Times New Roman"/>
                <w:color w:val="auto"/>
                <w:highlight w:val="none"/>
                <w:lang w:eastAsia="zh-CN"/>
              </w:rPr>
              <w:t>。</w:t>
            </w:r>
          </w:p>
          <w:p w14:paraId="5D226A67">
            <w:pPr>
              <w:ind w:firstLine="480" w:firstLineChars="200"/>
              <w:rPr>
                <w:rFonts w:hint="default" w:ascii="Times New Roman" w:hAnsi="Times New Roman" w:cs="Times New Roman"/>
                <w:b w:val="0"/>
                <w:bCs w:val="0"/>
                <w:color w:val="auto"/>
                <w:highlight w:val="none"/>
                <w:lang w:eastAsia="zh-CN"/>
              </w:rPr>
            </w:pPr>
            <w:r>
              <w:rPr>
                <w:rFonts w:hint="default" w:ascii="Times New Roman" w:hAnsi="Times New Roman" w:cs="Times New Roman"/>
                <w:b w:val="0"/>
                <w:bCs w:val="0"/>
                <w:color w:val="auto"/>
                <w:highlight w:val="none"/>
                <w:lang w:eastAsia="zh-CN"/>
              </w:rPr>
              <w:t>（</w:t>
            </w:r>
            <w:r>
              <w:rPr>
                <w:rFonts w:hint="default" w:ascii="Times New Roman" w:hAnsi="Times New Roman" w:cs="Times New Roman"/>
                <w:b w:val="0"/>
                <w:bCs w:val="0"/>
                <w:color w:val="auto"/>
                <w:highlight w:val="none"/>
                <w:lang w:val="en-US" w:eastAsia="zh-CN"/>
              </w:rPr>
              <w:t>1</w:t>
            </w:r>
            <w:r>
              <w:rPr>
                <w:rFonts w:hint="default" w:ascii="Times New Roman" w:hAnsi="Times New Roman" w:cs="Times New Roman"/>
                <w:b w:val="0"/>
                <w:bCs w:val="0"/>
                <w:color w:val="auto"/>
                <w:highlight w:val="none"/>
                <w:lang w:eastAsia="zh-CN"/>
              </w:rPr>
              <w:t>）采用企业废水排放口排放标准核算量</w:t>
            </w:r>
          </w:p>
          <w:p w14:paraId="39CDBC55">
            <w:pPr>
              <w:ind w:firstLine="480" w:firstLineChars="200"/>
              <w:jc w:val="both"/>
              <w:rPr>
                <w:rFonts w:hint="default" w:ascii="Times New Roman" w:hAnsi="Times New Roman" w:cs="Times New Roman"/>
                <w:color w:val="auto"/>
                <w:highlight w:val="none"/>
              </w:rPr>
            </w:pPr>
            <w:r>
              <w:rPr>
                <w:rFonts w:hint="eastAsia" w:cs="Times New Roman"/>
                <w:color w:val="auto"/>
                <w:highlight w:val="none"/>
                <w:lang w:val="en-US" w:eastAsia="zh-CN"/>
              </w:rPr>
              <w:t>生产废水污染物执行《污水综合排放标准》 （GB8978-1996）</w:t>
            </w:r>
            <w:r>
              <w:rPr>
                <w:rFonts w:hint="eastAsia"/>
                <w:color w:val="auto"/>
                <w:highlight w:val="none"/>
                <w:lang w:val="en-US" w:eastAsia="zh-CN"/>
              </w:rPr>
              <w:t>表4三级标准、《污水排入城镇下水道水质标准》（GB/T31962-2015）</w:t>
            </w:r>
            <w:r>
              <w:rPr>
                <w:rFonts w:hint="eastAsia" w:cs="Times New Roman"/>
                <w:color w:val="auto"/>
                <w:highlight w:val="none"/>
                <w:lang w:val="en-US" w:eastAsia="zh-CN"/>
              </w:rPr>
              <w:t>及秦皇岛市抚宁区中冶水务有限公司</w:t>
            </w:r>
            <w:r>
              <w:rPr>
                <w:rFonts w:hint="default" w:ascii="Times New Roman" w:hAnsi="Times New Roman" w:cs="Times New Roman"/>
                <w:color w:val="auto"/>
                <w:highlight w:val="none"/>
                <w:lang w:eastAsia="zh-CN"/>
              </w:rPr>
              <w:t>收水水质要求，即COD≤</w:t>
            </w:r>
            <w:r>
              <w:rPr>
                <w:rFonts w:hint="eastAsia" w:cs="Times New Roman"/>
                <w:color w:val="auto"/>
                <w:highlight w:val="none"/>
                <w:lang w:val="en-US" w:eastAsia="zh-CN"/>
              </w:rPr>
              <w:t>500</w:t>
            </w:r>
            <w:r>
              <w:rPr>
                <w:rFonts w:hint="default" w:ascii="Times New Roman" w:hAnsi="Times New Roman" w:cs="Times New Roman"/>
                <w:color w:val="auto"/>
                <w:highlight w:val="none"/>
                <w:lang w:eastAsia="zh-CN"/>
              </w:rPr>
              <w:t>mg/L、 氨氮≤</w:t>
            </w:r>
            <w:r>
              <w:rPr>
                <w:rFonts w:hint="eastAsia" w:cs="Times New Roman"/>
                <w:color w:val="auto"/>
                <w:highlight w:val="none"/>
                <w:lang w:val="en-US" w:eastAsia="zh-CN"/>
              </w:rPr>
              <w:t>22</w:t>
            </w:r>
            <w:r>
              <w:rPr>
                <w:rFonts w:hint="default" w:ascii="Times New Roman" w:hAnsi="Times New Roman" w:cs="Times New Roman"/>
                <w:color w:val="auto"/>
                <w:highlight w:val="none"/>
                <w:lang w:eastAsia="zh-CN"/>
              </w:rPr>
              <w:t>mg/L，则</w:t>
            </w:r>
            <w:r>
              <w:rPr>
                <w:rFonts w:hint="default" w:ascii="Times New Roman" w:hAnsi="Times New Roman" w:cs="Times New Roman"/>
                <w:color w:val="auto"/>
                <w:highlight w:val="none"/>
                <w:lang w:val="en-US" w:eastAsia="zh-CN"/>
              </w:rPr>
              <w:t>本</w:t>
            </w:r>
            <w:r>
              <w:rPr>
                <w:rFonts w:hint="default" w:ascii="Times New Roman" w:hAnsi="Times New Roman" w:cs="Times New Roman"/>
                <w:color w:val="auto"/>
                <w:highlight w:val="none"/>
                <w:lang w:eastAsia="zh-CN"/>
              </w:rPr>
              <w:t>项目采用企业生产废水总排放口排放标准核算COD、氨氮排放量为：</w:t>
            </w:r>
          </w:p>
          <w:p w14:paraId="685F3A1E">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COD：</w:t>
            </w:r>
            <w:r>
              <w:rPr>
                <w:rFonts w:hint="eastAsia" w:cs="Times New Roman"/>
                <w:color w:val="auto"/>
                <w:highlight w:val="none"/>
                <w:lang w:val="en-US" w:eastAsia="zh-CN"/>
              </w:rPr>
              <w:t>120</w:t>
            </w:r>
            <w:r>
              <w:rPr>
                <w:rFonts w:hint="default" w:ascii="Times New Roman" w:hAnsi="Times New Roman" w:cs="Times New Roman"/>
                <w:color w:val="auto"/>
                <w:highlight w:val="none"/>
              </w:rPr>
              <w:t>m³/a×</w:t>
            </w:r>
            <w:r>
              <w:rPr>
                <w:rFonts w:hint="eastAsia" w:cs="Times New Roman"/>
                <w:color w:val="auto"/>
                <w:highlight w:val="none"/>
                <w:lang w:val="en-US" w:eastAsia="zh-CN"/>
              </w:rPr>
              <w:t>500</w:t>
            </w:r>
            <w:r>
              <w:rPr>
                <w:rFonts w:hint="default" w:ascii="Times New Roman" w:hAnsi="Times New Roman" w:cs="Times New Roman"/>
                <w:color w:val="auto"/>
                <w:highlight w:val="none"/>
              </w:rPr>
              <w:t>mg/L×10</w:t>
            </w:r>
            <w:r>
              <w:rPr>
                <w:rFonts w:hint="default" w:ascii="Times New Roman" w:hAnsi="Times New Roman" w:cs="Times New Roman"/>
                <w:color w:val="auto"/>
                <w:highlight w:val="none"/>
                <w:vertAlign w:val="superscript"/>
              </w:rPr>
              <w:t>-</w:t>
            </w:r>
            <w:r>
              <w:rPr>
                <w:rFonts w:hint="eastAsia" w:cs="Times New Roman"/>
                <w:color w:val="auto"/>
                <w:highlight w:val="none"/>
                <w:vertAlign w:val="superscript"/>
                <w:lang w:val="en-US" w:eastAsia="zh-CN"/>
              </w:rPr>
              <w:t>9</w:t>
            </w:r>
            <w:r>
              <w:rPr>
                <w:rFonts w:hint="default" w:ascii="Times New Roman" w:hAnsi="Times New Roman" w:cs="Times New Roman"/>
                <w:color w:val="auto"/>
                <w:highlight w:val="none"/>
              </w:rPr>
              <w:t>＝</w:t>
            </w:r>
            <w:r>
              <w:rPr>
                <w:rFonts w:hint="eastAsia" w:cs="Times New Roman"/>
                <w:color w:val="auto"/>
                <w:highlight w:val="none"/>
                <w:lang w:val="en-US" w:eastAsia="zh-CN"/>
              </w:rPr>
              <w:t>0.06</w:t>
            </w:r>
            <w:r>
              <w:rPr>
                <w:rFonts w:hint="default" w:ascii="Times New Roman" w:hAnsi="Times New Roman" w:cs="Times New Roman"/>
                <w:color w:val="auto"/>
                <w:highlight w:val="none"/>
              </w:rPr>
              <w:t xml:space="preserve">t/a。 </w:t>
            </w:r>
          </w:p>
          <w:p w14:paraId="1A6D9ED6">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氨氮：</w:t>
            </w:r>
            <w:r>
              <w:rPr>
                <w:rFonts w:hint="eastAsia" w:cs="Times New Roman"/>
                <w:color w:val="auto"/>
                <w:highlight w:val="none"/>
                <w:lang w:val="en-US" w:eastAsia="zh-CN"/>
              </w:rPr>
              <w:t>120</w:t>
            </w:r>
            <w:r>
              <w:rPr>
                <w:rFonts w:hint="default" w:ascii="Times New Roman" w:hAnsi="Times New Roman" w:cs="Times New Roman"/>
                <w:color w:val="auto"/>
                <w:highlight w:val="none"/>
              </w:rPr>
              <w:t>m³/a×</w:t>
            </w:r>
            <w:r>
              <w:rPr>
                <w:rFonts w:hint="eastAsia" w:cs="Times New Roman"/>
                <w:color w:val="auto"/>
                <w:highlight w:val="none"/>
                <w:lang w:val="en-US" w:eastAsia="zh-CN"/>
              </w:rPr>
              <w:t>22</w:t>
            </w:r>
            <w:r>
              <w:rPr>
                <w:rFonts w:hint="default" w:ascii="Times New Roman" w:hAnsi="Times New Roman" w:cs="Times New Roman"/>
                <w:color w:val="auto"/>
                <w:highlight w:val="none"/>
              </w:rPr>
              <w:t>mg/L×10</w:t>
            </w:r>
            <w:r>
              <w:rPr>
                <w:rFonts w:hint="default" w:ascii="Times New Roman" w:hAnsi="Times New Roman" w:cs="Times New Roman"/>
                <w:color w:val="auto"/>
                <w:highlight w:val="none"/>
                <w:vertAlign w:val="superscript"/>
              </w:rPr>
              <w:t>-</w:t>
            </w:r>
            <w:r>
              <w:rPr>
                <w:rFonts w:hint="eastAsia" w:cs="Times New Roman"/>
                <w:color w:val="auto"/>
                <w:highlight w:val="none"/>
                <w:vertAlign w:val="superscript"/>
                <w:lang w:val="en-US" w:eastAsia="zh-CN"/>
              </w:rPr>
              <w:t>9</w:t>
            </w:r>
            <w:r>
              <w:rPr>
                <w:rFonts w:hint="default" w:ascii="Times New Roman" w:hAnsi="Times New Roman" w:cs="Times New Roman"/>
                <w:color w:val="auto"/>
                <w:highlight w:val="none"/>
              </w:rPr>
              <w:t>＝</w:t>
            </w:r>
            <w:r>
              <w:rPr>
                <w:rFonts w:hint="eastAsia" w:cs="Times New Roman"/>
                <w:color w:val="auto"/>
                <w:highlight w:val="none"/>
                <w:lang w:val="en-US" w:eastAsia="zh-CN"/>
              </w:rPr>
              <w:t>0.003</w:t>
            </w:r>
            <w:r>
              <w:rPr>
                <w:rFonts w:hint="default" w:ascii="Times New Roman" w:hAnsi="Times New Roman" w:cs="Times New Roman"/>
                <w:color w:val="auto"/>
                <w:highlight w:val="none"/>
              </w:rPr>
              <w:t>/a。</w:t>
            </w:r>
          </w:p>
          <w:p w14:paraId="3B84BD6D">
            <w:pPr>
              <w:pStyle w:val="8"/>
              <w:ind w:firstLine="480" w:firstLineChars="200"/>
              <w:rPr>
                <w:rFonts w:hint="default" w:ascii="Times New Roman" w:hAnsi="Times New Roman" w:cs="Times New Roman"/>
                <w:color w:val="auto"/>
                <w:highlight w:val="none"/>
                <w:lang w:val="en-US" w:eastAsia="zh-CN"/>
              </w:rPr>
            </w:pPr>
            <w:r>
              <w:rPr>
                <w:rFonts w:hint="default" w:ascii="Times New Roman" w:hAnsi="Times New Roman" w:cs="Times New Roman"/>
                <w:b w:val="0"/>
                <w:bCs/>
                <w:color w:val="auto"/>
                <w:sz w:val="24"/>
                <w:szCs w:val="22"/>
                <w:highlight w:val="none"/>
                <w:lang w:val="en-US" w:eastAsia="zh-CN"/>
              </w:rPr>
              <w:t>（2）根据秦皇岛市抚宁区中冶水务有限公司出水标准核算COD、氨氮排放量为</w:t>
            </w:r>
            <w:r>
              <w:rPr>
                <w:rFonts w:hint="default" w:ascii="Times New Roman" w:hAnsi="Times New Roman" w:eastAsia="宋体" w:cs="Times New Roman"/>
                <w:b w:val="0"/>
                <w:bCs/>
                <w:color w:val="auto"/>
                <w:sz w:val="24"/>
                <w:szCs w:val="22"/>
                <w:highlight w:val="none"/>
                <w:lang w:val="en-US" w:eastAsia="zh-CN"/>
              </w:rPr>
              <w:t>：《</w:t>
            </w:r>
            <w:r>
              <w:rPr>
                <w:rFonts w:hint="eastAsia" w:cs="Times New Roman"/>
                <w:b w:val="0"/>
                <w:bCs/>
                <w:color w:val="auto"/>
                <w:sz w:val="24"/>
                <w:szCs w:val="22"/>
                <w:highlight w:val="none"/>
                <w:lang w:val="en-US" w:eastAsia="zh-CN"/>
              </w:rPr>
              <w:t>城镇污水处理厂污染物排放标准</w:t>
            </w:r>
            <w:r>
              <w:rPr>
                <w:rFonts w:hint="default" w:ascii="Times New Roman" w:hAnsi="Times New Roman" w:eastAsia="宋体" w:cs="Times New Roman"/>
                <w:b w:val="0"/>
                <w:bCs/>
                <w:color w:val="auto"/>
                <w:sz w:val="24"/>
                <w:szCs w:val="22"/>
                <w:highlight w:val="none"/>
                <w:lang w:val="en-US" w:eastAsia="zh-CN"/>
              </w:rPr>
              <w:t>》（GB18918-2002）表1一级A标准，即COD≤50mg/L、 氨氮≤5mg/L，排放量为：</w:t>
            </w:r>
          </w:p>
          <w:p w14:paraId="6A9568E0">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COD：</w:t>
            </w:r>
            <w:r>
              <w:rPr>
                <w:rFonts w:hint="eastAsia" w:cs="Times New Roman"/>
                <w:color w:val="auto"/>
                <w:highlight w:val="none"/>
                <w:lang w:val="en-US" w:eastAsia="zh-CN"/>
              </w:rPr>
              <w:t>120</w:t>
            </w:r>
            <w:r>
              <w:rPr>
                <w:rFonts w:hint="default" w:ascii="Times New Roman" w:hAnsi="Times New Roman" w:cs="Times New Roman"/>
                <w:color w:val="auto"/>
                <w:highlight w:val="none"/>
              </w:rPr>
              <w:t>m³/a×</w:t>
            </w:r>
            <w:r>
              <w:rPr>
                <w:rFonts w:hint="eastAsia" w:cs="Times New Roman"/>
                <w:color w:val="auto"/>
                <w:highlight w:val="none"/>
                <w:lang w:val="en-US" w:eastAsia="zh-CN"/>
              </w:rPr>
              <w:t>50</w:t>
            </w:r>
            <w:r>
              <w:rPr>
                <w:rFonts w:hint="default" w:ascii="Times New Roman" w:hAnsi="Times New Roman" w:cs="Times New Roman"/>
                <w:color w:val="auto"/>
                <w:highlight w:val="none"/>
              </w:rPr>
              <w:t>mg/L×10</w:t>
            </w:r>
            <w:r>
              <w:rPr>
                <w:rFonts w:hint="default" w:ascii="Times New Roman" w:hAnsi="Times New Roman" w:cs="Times New Roman"/>
                <w:color w:val="auto"/>
                <w:highlight w:val="none"/>
                <w:vertAlign w:val="superscript"/>
              </w:rPr>
              <w:t>-6</w:t>
            </w:r>
            <w:r>
              <w:rPr>
                <w:rFonts w:hint="default" w:ascii="Times New Roman" w:hAnsi="Times New Roman" w:cs="Times New Roman"/>
                <w:color w:val="auto"/>
                <w:highlight w:val="none"/>
              </w:rPr>
              <w:t>＝</w:t>
            </w:r>
            <w:r>
              <w:rPr>
                <w:rFonts w:hint="eastAsia" w:cs="Times New Roman"/>
                <w:color w:val="auto"/>
                <w:highlight w:val="none"/>
                <w:lang w:val="en-US" w:eastAsia="zh-CN"/>
              </w:rPr>
              <w:t>0.006</w:t>
            </w:r>
            <w:r>
              <w:rPr>
                <w:rFonts w:hint="default" w:ascii="Times New Roman" w:hAnsi="Times New Roman" w:cs="Times New Roman"/>
                <w:color w:val="auto"/>
                <w:highlight w:val="none"/>
              </w:rPr>
              <w:t xml:space="preserve">t/a。 </w:t>
            </w:r>
          </w:p>
          <w:p w14:paraId="54B2196B">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氨氮：</w:t>
            </w:r>
            <w:r>
              <w:rPr>
                <w:rFonts w:hint="eastAsia" w:cs="Times New Roman"/>
                <w:color w:val="auto"/>
                <w:highlight w:val="none"/>
                <w:lang w:val="en-US" w:eastAsia="zh-CN"/>
              </w:rPr>
              <w:t>120</w:t>
            </w:r>
            <w:r>
              <w:rPr>
                <w:rFonts w:hint="default" w:ascii="Times New Roman" w:hAnsi="Times New Roman" w:cs="Times New Roman"/>
                <w:color w:val="auto"/>
                <w:highlight w:val="none"/>
              </w:rPr>
              <w:t>m³/a×</w:t>
            </w:r>
            <w:r>
              <w:rPr>
                <w:rFonts w:hint="eastAsia" w:cs="Times New Roman"/>
                <w:color w:val="auto"/>
                <w:highlight w:val="none"/>
                <w:lang w:val="en-US" w:eastAsia="zh-CN"/>
              </w:rPr>
              <w:t>5</w:t>
            </w:r>
            <w:r>
              <w:rPr>
                <w:rFonts w:hint="default" w:ascii="Times New Roman" w:hAnsi="Times New Roman" w:cs="Times New Roman"/>
                <w:color w:val="auto"/>
                <w:highlight w:val="none"/>
              </w:rPr>
              <w:t>mg/L×10</w:t>
            </w:r>
            <w:r>
              <w:rPr>
                <w:rFonts w:hint="default" w:ascii="Times New Roman" w:hAnsi="Times New Roman" w:cs="Times New Roman"/>
                <w:color w:val="auto"/>
                <w:highlight w:val="none"/>
                <w:vertAlign w:val="superscript"/>
              </w:rPr>
              <w:t>-6</w:t>
            </w:r>
            <w:r>
              <w:rPr>
                <w:rFonts w:hint="default" w:ascii="Times New Roman" w:hAnsi="Times New Roman" w:cs="Times New Roman"/>
                <w:color w:val="auto"/>
                <w:highlight w:val="none"/>
              </w:rPr>
              <w:t>＝</w:t>
            </w:r>
            <w:r>
              <w:rPr>
                <w:rFonts w:hint="eastAsia" w:cs="Times New Roman"/>
                <w:color w:val="auto"/>
                <w:highlight w:val="none"/>
                <w:lang w:val="en-US" w:eastAsia="zh-CN"/>
              </w:rPr>
              <w:t>0.001</w:t>
            </w:r>
            <w:r>
              <w:rPr>
                <w:rFonts w:hint="default" w:ascii="Times New Roman" w:hAnsi="Times New Roman" w:cs="Times New Roman"/>
                <w:color w:val="auto"/>
                <w:highlight w:val="none"/>
              </w:rPr>
              <w:t>t/a。</w:t>
            </w:r>
          </w:p>
          <w:p w14:paraId="0C3D1DFF">
            <w:pPr>
              <w:tabs>
                <w:tab w:val="left" w:pos="451"/>
              </w:tabs>
              <w:spacing w:line="440" w:lineRule="exact"/>
              <w:ind w:firstLine="480" w:firstLineChars="200"/>
              <w:jc w:val="both"/>
              <w:rPr>
                <w:rFonts w:hint="default" w:ascii="Times New Roman" w:hAnsi="Times New Roman" w:eastAsia="宋体" w:cs="Times New Roman"/>
                <w:b w:val="0"/>
                <w:bCs w:val="0"/>
                <w:color w:val="auto"/>
                <w:sz w:val="24"/>
                <w:szCs w:val="24"/>
                <w:highlight w:val="none"/>
                <w:lang w:val="en-US" w:eastAsia="zh-CN"/>
              </w:rPr>
            </w:pPr>
            <w:r>
              <w:rPr>
                <w:rFonts w:hint="eastAsia" w:cs="Times New Roman"/>
                <w:b w:val="0"/>
                <w:bCs w:val="0"/>
                <w:color w:val="auto"/>
                <w:sz w:val="24"/>
                <w:szCs w:val="24"/>
                <w:highlight w:val="none"/>
                <w:lang w:val="en-US" w:eastAsia="zh-CN"/>
              </w:rPr>
              <w:t>三、本项目总量控制指标详见下表：</w:t>
            </w:r>
          </w:p>
          <w:p w14:paraId="291EDA4D">
            <w:pPr>
              <w:tabs>
                <w:tab w:val="left" w:pos="451"/>
              </w:tabs>
              <w:spacing w:line="440" w:lineRule="exact"/>
              <w:jc w:val="center"/>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eastAsia="zh-CN"/>
              </w:rPr>
              <w:t>表</w:t>
            </w:r>
            <w:r>
              <w:rPr>
                <w:rFonts w:hint="default" w:ascii="Times New Roman" w:hAnsi="Times New Roman" w:eastAsia="宋体" w:cs="Times New Roman"/>
                <w:b/>
                <w:bCs/>
                <w:color w:val="auto"/>
                <w:sz w:val="24"/>
                <w:szCs w:val="24"/>
                <w:highlight w:val="none"/>
                <w:lang w:val="en-US" w:eastAsia="zh-CN"/>
              </w:rPr>
              <w:t>3</w:t>
            </w:r>
            <w:r>
              <w:rPr>
                <w:rFonts w:hint="eastAsia" w:cs="Times New Roman"/>
                <w:b/>
                <w:bCs/>
                <w:color w:val="auto"/>
                <w:sz w:val="24"/>
                <w:szCs w:val="24"/>
                <w:highlight w:val="none"/>
                <w:lang w:val="en-US" w:eastAsia="zh-CN"/>
              </w:rPr>
              <w:t>-8</w:t>
            </w:r>
            <w:r>
              <w:rPr>
                <w:rFonts w:hint="default" w:ascii="Times New Roman" w:hAnsi="Times New Roman" w:eastAsia="宋体" w:cs="Times New Roman"/>
                <w:b/>
                <w:bCs/>
                <w:color w:val="auto"/>
                <w:sz w:val="24"/>
                <w:szCs w:val="24"/>
                <w:highlight w:val="none"/>
                <w:lang w:val="en-US" w:eastAsia="zh-CN"/>
              </w:rPr>
              <w:t xml:space="preserve">   项目污染物</w:t>
            </w:r>
            <w:r>
              <w:rPr>
                <w:rFonts w:hint="default" w:ascii="Times New Roman" w:hAnsi="Times New Roman" w:eastAsia="宋体" w:cs="Times New Roman"/>
                <w:b/>
                <w:bCs/>
                <w:color w:val="auto"/>
                <w:sz w:val="24"/>
                <w:szCs w:val="24"/>
                <w:highlight w:val="none"/>
              </w:rPr>
              <w:t>总量计算</w:t>
            </w:r>
            <w:r>
              <w:rPr>
                <w:rFonts w:hint="default" w:ascii="Times New Roman" w:hAnsi="Times New Roman" w:eastAsia="宋体" w:cs="Times New Roman"/>
                <w:b/>
                <w:bCs/>
                <w:color w:val="auto"/>
                <w:sz w:val="24"/>
                <w:szCs w:val="24"/>
                <w:highlight w:val="none"/>
                <w:lang w:eastAsia="zh-CN"/>
              </w:rPr>
              <w:t>一览表</w:t>
            </w:r>
          </w:p>
          <w:tbl>
            <w:tblPr>
              <w:tblStyle w:val="35"/>
              <w:tblW w:w="4998"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2585"/>
              <w:gridCol w:w="1929"/>
              <w:gridCol w:w="1945"/>
              <w:gridCol w:w="1866"/>
            </w:tblGrid>
            <w:tr w14:paraId="1ACAB0F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552" w:type="pct"/>
                  <w:tcBorders>
                    <w:tl2br w:val="nil"/>
                    <w:tr2bl w:val="nil"/>
                  </w:tcBorders>
                  <w:noWrap w:val="0"/>
                  <w:vAlign w:val="center"/>
                </w:tcPr>
                <w:p w14:paraId="14ABFA7B">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rPr>
                      <w:rFonts w:hint="default" w:ascii="Times New Roman" w:hAnsi="Times New Roman" w:cs="Times New Roman"/>
                      <w:bCs/>
                      <w:color w:val="auto"/>
                      <w:sz w:val="21"/>
                      <w:szCs w:val="21"/>
                      <w:highlight w:val="none"/>
                      <w:u w:val="none"/>
                      <w:vertAlign w:val="baseline"/>
                      <w:lang w:val="en-US" w:eastAsia="zh-CN"/>
                    </w:rPr>
                  </w:pPr>
                  <w:r>
                    <w:rPr>
                      <w:rFonts w:hint="default" w:ascii="Times New Roman" w:hAnsi="Times New Roman" w:cs="Times New Roman"/>
                      <w:bCs/>
                      <w:color w:val="auto"/>
                      <w:sz w:val="21"/>
                      <w:szCs w:val="21"/>
                      <w:highlight w:val="none"/>
                      <w:u w:val="none"/>
                      <w:vertAlign w:val="baseline"/>
                      <w:lang w:val="en-US" w:eastAsia="zh-CN"/>
                    </w:rPr>
                    <w:t>排放口名称及编号</w:t>
                  </w:r>
                </w:p>
              </w:tc>
              <w:tc>
                <w:tcPr>
                  <w:tcW w:w="1158" w:type="pct"/>
                  <w:tcBorders>
                    <w:tl2br w:val="nil"/>
                    <w:tr2bl w:val="nil"/>
                  </w:tcBorders>
                  <w:noWrap w:val="0"/>
                  <w:vAlign w:val="center"/>
                </w:tcPr>
                <w:p w14:paraId="787ADC9B">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rPr>
                      <w:rFonts w:hint="default" w:ascii="Times New Roman" w:hAnsi="Times New Roman" w:cs="Times New Roman"/>
                      <w:bCs/>
                      <w:color w:val="auto"/>
                      <w:sz w:val="21"/>
                      <w:szCs w:val="21"/>
                      <w:highlight w:val="none"/>
                      <w:u w:val="none"/>
                      <w:vertAlign w:val="baseline"/>
                      <w:lang w:val="en-US" w:eastAsia="zh-CN"/>
                    </w:rPr>
                  </w:pPr>
                  <w:r>
                    <w:rPr>
                      <w:rFonts w:hint="default" w:ascii="Times New Roman" w:hAnsi="Times New Roman" w:cs="Times New Roman"/>
                      <w:bCs/>
                      <w:color w:val="auto"/>
                      <w:sz w:val="21"/>
                      <w:szCs w:val="21"/>
                      <w:highlight w:val="none"/>
                      <w:u w:val="none"/>
                      <w:vertAlign w:val="baseline"/>
                      <w:lang w:val="en-US" w:eastAsia="zh-CN"/>
                    </w:rPr>
                    <w:t>污染物种类</w:t>
                  </w:r>
                </w:p>
              </w:tc>
              <w:tc>
                <w:tcPr>
                  <w:tcW w:w="1168" w:type="pct"/>
                  <w:tcBorders>
                    <w:tl2br w:val="nil"/>
                    <w:tr2bl w:val="nil"/>
                  </w:tcBorders>
                  <w:noWrap w:val="0"/>
                  <w:vAlign w:val="center"/>
                </w:tcPr>
                <w:p w14:paraId="68FBD117">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rPr>
                      <w:rFonts w:hint="default" w:ascii="Times New Roman" w:hAnsi="Times New Roman" w:cs="Times New Roman"/>
                      <w:bCs/>
                      <w:color w:val="auto"/>
                      <w:sz w:val="21"/>
                      <w:szCs w:val="21"/>
                      <w:highlight w:val="none"/>
                      <w:u w:val="none"/>
                      <w:vertAlign w:val="baseline"/>
                      <w:lang w:val="en-US" w:eastAsia="zh-CN"/>
                    </w:rPr>
                  </w:pPr>
                  <w:r>
                    <w:rPr>
                      <w:rFonts w:hint="default" w:ascii="Times New Roman" w:hAnsi="Times New Roman" w:cs="Times New Roman"/>
                      <w:bCs/>
                      <w:color w:val="auto"/>
                      <w:sz w:val="21"/>
                      <w:szCs w:val="21"/>
                      <w:highlight w:val="none"/>
                      <w:u w:val="none"/>
                      <w:vertAlign w:val="baseline"/>
                      <w:lang w:val="en-US" w:eastAsia="zh-CN"/>
                    </w:rPr>
                    <w:t>排放量（t/a）</w:t>
                  </w:r>
                </w:p>
              </w:tc>
              <w:tc>
                <w:tcPr>
                  <w:tcW w:w="1120" w:type="pct"/>
                  <w:tcBorders>
                    <w:tl2br w:val="nil"/>
                    <w:tr2bl w:val="nil"/>
                  </w:tcBorders>
                  <w:noWrap w:val="0"/>
                  <w:vAlign w:val="center"/>
                </w:tcPr>
                <w:p w14:paraId="43FD7988">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rPr>
                      <w:rFonts w:hint="default" w:ascii="Times New Roman" w:hAnsi="Times New Roman" w:cs="Times New Roman"/>
                      <w:bCs/>
                      <w:color w:val="auto"/>
                      <w:sz w:val="21"/>
                      <w:szCs w:val="21"/>
                      <w:highlight w:val="none"/>
                      <w:u w:val="none"/>
                      <w:vertAlign w:val="baseline"/>
                      <w:lang w:val="en-US" w:eastAsia="zh-CN"/>
                    </w:rPr>
                  </w:pPr>
                  <w:r>
                    <w:rPr>
                      <w:rFonts w:hint="default" w:ascii="Times New Roman" w:hAnsi="Times New Roman" w:cs="Times New Roman"/>
                      <w:bCs/>
                      <w:color w:val="auto"/>
                      <w:sz w:val="21"/>
                      <w:szCs w:val="21"/>
                      <w:highlight w:val="none"/>
                      <w:u w:val="none"/>
                      <w:vertAlign w:val="baseline"/>
                      <w:lang w:val="en-US" w:eastAsia="zh-CN"/>
                    </w:rPr>
                    <w:t>排放标准（mg/m</w:t>
                  </w:r>
                  <w:r>
                    <w:rPr>
                      <w:rFonts w:hint="default" w:ascii="Times New Roman" w:hAnsi="Times New Roman" w:cs="Times New Roman"/>
                      <w:bCs/>
                      <w:color w:val="auto"/>
                      <w:sz w:val="21"/>
                      <w:szCs w:val="21"/>
                      <w:highlight w:val="none"/>
                      <w:u w:val="none"/>
                      <w:vertAlign w:val="superscript"/>
                      <w:lang w:val="en-US" w:eastAsia="zh-CN"/>
                    </w:rPr>
                    <w:t>3</w:t>
                  </w:r>
                  <w:r>
                    <w:rPr>
                      <w:rFonts w:hint="default" w:ascii="Times New Roman" w:hAnsi="Times New Roman" w:cs="Times New Roman"/>
                      <w:bCs/>
                      <w:color w:val="auto"/>
                      <w:sz w:val="21"/>
                      <w:szCs w:val="21"/>
                      <w:highlight w:val="none"/>
                      <w:u w:val="none"/>
                      <w:vertAlign w:val="baseline"/>
                      <w:lang w:val="en-US" w:eastAsia="zh-CN"/>
                    </w:rPr>
                    <w:t>）</w:t>
                  </w:r>
                </w:p>
              </w:tc>
            </w:tr>
            <w:tr w14:paraId="2A5B89A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552" w:type="pct"/>
                  <w:vMerge w:val="restart"/>
                  <w:tcBorders>
                    <w:tl2br w:val="nil"/>
                    <w:tr2bl w:val="nil"/>
                  </w:tcBorders>
                  <w:noWrap w:val="0"/>
                  <w:vAlign w:val="center"/>
                </w:tcPr>
                <w:p w14:paraId="4416287B">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废水</w:t>
                  </w:r>
                </w:p>
              </w:tc>
              <w:tc>
                <w:tcPr>
                  <w:tcW w:w="1158" w:type="pct"/>
                  <w:tcBorders>
                    <w:tl2br w:val="nil"/>
                    <w:tr2bl w:val="nil"/>
                  </w:tcBorders>
                  <w:noWrap w:val="0"/>
                  <w:vAlign w:val="center"/>
                </w:tcPr>
                <w:p w14:paraId="230EE648">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rPr>
                      <w:rFonts w:hint="default" w:ascii="Times New Roman" w:hAnsi="Times New Roman" w:cs="Times New Roman"/>
                      <w:bCs/>
                      <w:color w:val="auto"/>
                      <w:sz w:val="21"/>
                      <w:szCs w:val="21"/>
                      <w:highlight w:val="none"/>
                      <w:u w:val="none"/>
                      <w:vertAlign w:val="baseline"/>
                      <w:lang w:val="en-US" w:eastAsia="zh-CN"/>
                    </w:rPr>
                  </w:pPr>
                  <w:r>
                    <w:rPr>
                      <w:rFonts w:hint="default" w:ascii="Times New Roman" w:hAnsi="Times New Roman" w:cs="Times New Roman"/>
                      <w:bCs/>
                      <w:color w:val="auto"/>
                      <w:sz w:val="21"/>
                      <w:szCs w:val="21"/>
                      <w:highlight w:val="none"/>
                      <w:u w:val="none"/>
                      <w:vertAlign w:val="baseline"/>
                      <w:lang w:val="en-US" w:eastAsia="zh-CN"/>
                    </w:rPr>
                    <w:t>COD</w:t>
                  </w:r>
                </w:p>
              </w:tc>
              <w:tc>
                <w:tcPr>
                  <w:tcW w:w="1168" w:type="pct"/>
                  <w:tcBorders>
                    <w:tl2br w:val="nil"/>
                    <w:tr2bl w:val="nil"/>
                  </w:tcBorders>
                  <w:noWrap w:val="0"/>
                  <w:vAlign w:val="center"/>
                </w:tcPr>
                <w:p w14:paraId="6B443630">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0.006</w:t>
                  </w:r>
                </w:p>
              </w:tc>
              <w:tc>
                <w:tcPr>
                  <w:tcW w:w="1120" w:type="pct"/>
                  <w:tcBorders>
                    <w:tl2br w:val="nil"/>
                    <w:tr2bl w:val="nil"/>
                  </w:tcBorders>
                  <w:noWrap w:val="0"/>
                  <w:vAlign w:val="center"/>
                </w:tcPr>
                <w:p w14:paraId="3EFA532E">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default" w:ascii="Times New Roman" w:hAnsi="Times New Roman"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50</w:t>
                  </w:r>
                </w:p>
              </w:tc>
            </w:tr>
            <w:tr w14:paraId="56998C7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552" w:type="pct"/>
                  <w:vMerge w:val="continue"/>
                  <w:tcBorders>
                    <w:tl2br w:val="nil"/>
                    <w:tr2bl w:val="nil"/>
                  </w:tcBorders>
                  <w:noWrap w:val="0"/>
                  <w:vAlign w:val="center"/>
                </w:tcPr>
                <w:p w14:paraId="00AE595E">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p>
              </w:tc>
              <w:tc>
                <w:tcPr>
                  <w:tcW w:w="1158" w:type="pct"/>
                  <w:tcBorders>
                    <w:tl2br w:val="nil"/>
                    <w:tr2bl w:val="nil"/>
                  </w:tcBorders>
                  <w:noWrap w:val="0"/>
                  <w:vAlign w:val="center"/>
                </w:tcPr>
                <w:p w14:paraId="22692858">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rPr>
                      <w:rFonts w:hint="default" w:ascii="Times New Roman" w:hAnsi="Times New Roman" w:cs="Times New Roman"/>
                      <w:bCs/>
                      <w:color w:val="auto"/>
                      <w:sz w:val="21"/>
                      <w:szCs w:val="21"/>
                      <w:highlight w:val="none"/>
                      <w:u w:val="none"/>
                      <w:vertAlign w:val="baseline"/>
                      <w:lang w:val="en-US" w:eastAsia="zh-CN"/>
                    </w:rPr>
                  </w:pPr>
                  <w:r>
                    <w:rPr>
                      <w:rFonts w:hint="default" w:ascii="Times New Roman" w:hAnsi="Times New Roman" w:cs="Times New Roman"/>
                      <w:bCs/>
                      <w:color w:val="auto"/>
                      <w:sz w:val="21"/>
                      <w:szCs w:val="21"/>
                      <w:highlight w:val="none"/>
                      <w:u w:val="none"/>
                      <w:vertAlign w:val="baseline"/>
                      <w:lang w:val="en-US" w:eastAsia="zh-CN"/>
                    </w:rPr>
                    <w:t>氨氮</w:t>
                  </w:r>
                </w:p>
              </w:tc>
              <w:tc>
                <w:tcPr>
                  <w:tcW w:w="1168" w:type="pct"/>
                  <w:tcBorders>
                    <w:tl2br w:val="nil"/>
                    <w:tr2bl w:val="nil"/>
                  </w:tcBorders>
                  <w:noWrap w:val="0"/>
                  <w:vAlign w:val="center"/>
                </w:tcPr>
                <w:p w14:paraId="0CC57662">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0.001</w:t>
                  </w:r>
                </w:p>
              </w:tc>
              <w:tc>
                <w:tcPr>
                  <w:tcW w:w="1120" w:type="pct"/>
                  <w:tcBorders>
                    <w:tl2br w:val="nil"/>
                    <w:tr2bl w:val="nil"/>
                  </w:tcBorders>
                  <w:noWrap w:val="0"/>
                  <w:vAlign w:val="center"/>
                </w:tcPr>
                <w:p w14:paraId="3282E6C8">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default" w:ascii="Times New Roman" w:hAnsi="Times New Roman"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5</w:t>
                  </w:r>
                </w:p>
              </w:tc>
            </w:tr>
          </w:tbl>
          <w:p w14:paraId="2BD6DDF2">
            <w:pPr>
              <w:spacing w:line="360" w:lineRule="auto"/>
              <w:ind w:firstLine="480" w:firstLineChars="200"/>
              <w:rPr>
                <w:rFonts w:hint="default" w:ascii="Times New Roman" w:hAnsi="Times New Roman" w:cs="Times New Roman"/>
                <w:color w:val="auto"/>
                <w:highlight w:val="none"/>
                <w:lang w:val="en-US" w:eastAsia="zh-CN"/>
              </w:rPr>
            </w:pPr>
            <w:r>
              <w:rPr>
                <w:rFonts w:hint="eastAsia" w:cs="Times New Roman"/>
                <w:b w:val="0"/>
                <w:bCs/>
                <w:color w:val="auto"/>
                <w:sz w:val="24"/>
                <w:szCs w:val="22"/>
                <w:highlight w:val="none"/>
                <w:lang w:val="en-US" w:eastAsia="zh-CN"/>
              </w:rPr>
              <w:t>根据秦皇岛市生态环境局出具的总量确认书，本项目新增COD、氨氮总量指标从抚宁区中冶水务二期扩建项目减排工程中调剂。</w:t>
            </w:r>
          </w:p>
        </w:tc>
      </w:tr>
    </w:tbl>
    <w:p w14:paraId="3E9DC67D">
      <w:pPr>
        <w:pStyle w:val="6"/>
        <w:rPr>
          <w:snapToGrid w:val="0"/>
          <w:color w:val="auto"/>
          <w:highlight w:val="none"/>
        </w:rPr>
      </w:pPr>
      <w:r>
        <w:rPr>
          <w:snapToGrid w:val="0"/>
          <w:color w:val="auto"/>
          <w:sz w:val="36"/>
          <w:szCs w:val="36"/>
          <w:highlight w:val="none"/>
        </w:rPr>
        <w:br w:type="page"/>
      </w:r>
      <w:r>
        <w:rPr>
          <w:snapToGrid w:val="0"/>
          <w:color w:val="auto"/>
          <w:highlight w:val="none"/>
        </w:rPr>
        <w:t>四、主要环境影响和保护措施</w:t>
      </w:r>
    </w:p>
    <w:tbl>
      <w:tblPr>
        <w:tblStyle w:val="34"/>
        <w:tblW w:w="907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381"/>
        <w:gridCol w:w="8690"/>
      </w:tblGrid>
      <w:tr w14:paraId="3F537B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22" w:hRule="atLeast"/>
          <w:jc w:val="center"/>
        </w:trPr>
        <w:tc>
          <w:tcPr>
            <w:tcW w:w="381" w:type="dxa"/>
            <w:tcMar>
              <w:left w:w="28" w:type="dxa"/>
              <w:right w:w="28" w:type="dxa"/>
            </w:tcMar>
            <w:vAlign w:val="center"/>
          </w:tcPr>
          <w:p w14:paraId="7A7A4E2B">
            <w:pPr>
              <w:pStyle w:val="7"/>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施工</w:t>
            </w:r>
          </w:p>
          <w:p w14:paraId="22D3E074">
            <w:pPr>
              <w:pStyle w:val="7"/>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0DAEA2E2">
            <w:pPr>
              <w:pStyle w:val="7"/>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境保</w:t>
            </w:r>
          </w:p>
          <w:p w14:paraId="535B23B4">
            <w:pPr>
              <w:pStyle w:val="7"/>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护措</w:t>
            </w:r>
          </w:p>
          <w:p w14:paraId="02235776">
            <w:pPr>
              <w:pStyle w:val="7"/>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施</w:t>
            </w:r>
          </w:p>
        </w:tc>
        <w:tc>
          <w:tcPr>
            <w:tcW w:w="8690" w:type="dxa"/>
            <w:vAlign w:val="center"/>
          </w:tcPr>
          <w:p w14:paraId="3C877FF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outlineLvl w:val="9"/>
              <w:rPr>
                <w:rFonts w:hint="default" w:ascii="Times New Roman" w:hAnsi="Times New Roman" w:cs="Times New Roman"/>
                <w:snapToGrid w:val="0"/>
                <w:color w:val="auto"/>
                <w:sz w:val="24"/>
                <w:highlight w:val="none"/>
              </w:rPr>
            </w:pPr>
            <w:r>
              <w:rPr>
                <w:rFonts w:hint="default" w:ascii="Times New Roman" w:hAnsi="Times New Roman" w:cs="Times New Roman"/>
                <w:snapToGrid w:val="0"/>
                <w:color w:val="auto"/>
                <w:sz w:val="24"/>
                <w:highlight w:val="none"/>
              </w:rPr>
              <w:t>一、施工期工艺流程</w:t>
            </w:r>
          </w:p>
          <w:p w14:paraId="5EFC0C41">
            <w:pPr>
              <w:pStyle w:val="104"/>
              <w:keepNext w:val="0"/>
              <w:keepLines w:val="0"/>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施工扬尘主要产生于</w:t>
            </w:r>
            <w:r>
              <w:rPr>
                <w:rFonts w:hint="default" w:ascii="Times New Roman" w:hAnsi="Times New Roman" w:cs="Times New Roman"/>
                <w:color w:val="auto"/>
                <w:sz w:val="24"/>
                <w:highlight w:val="none"/>
                <w:lang w:val="en-US" w:eastAsia="zh-CN"/>
              </w:rPr>
              <w:t>废水池、盐酸库建设</w:t>
            </w:r>
            <w:r>
              <w:rPr>
                <w:rFonts w:hint="default" w:ascii="Times New Roman" w:hAnsi="Times New Roman" w:cs="Times New Roman"/>
                <w:color w:val="auto"/>
                <w:sz w:val="24"/>
                <w:highlight w:val="none"/>
              </w:rPr>
              <w:t>、汽车运输扬尘、散放的建筑材料，如石灰、水泥、沙子等也容易起扬尘，造成粉尘飞扬，污染施工现场空气环境，影响施工人员和附近人员的健康和作业。项目施工造成的不利影响是局部的、短期的，项目建设完成之后影响就会消失，因此施工扬尘对周围环境空气和居民的影响可以接受。</w:t>
            </w:r>
          </w:p>
          <w:p w14:paraId="0D5BF55C">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针对施工期扬尘污染问题，根据《河北省2024年建筑施工扬尘污染防治工作方案》、《河北省建筑施工扬尘防治强化措施18条》，本评价要求建设单位采取如下控制措施：</w:t>
            </w:r>
          </w:p>
          <w:p w14:paraId="796E2E41">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①在施工现场出入口明显位置设置公示牌，公示施工现场负责人、环保监督员、防尘措施、扬尘监督管理部门、举报投诉电话等信息；</w:t>
            </w:r>
          </w:p>
          <w:p w14:paraId="6305C1F8">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②在施工现场周边设置硬质封闭围挡或者围墙，高度不低于2.5米，位于一般路段的，高度不低于1.8米，并在围挡底端设置不低于0.2米的防溢座；</w:t>
            </w:r>
          </w:p>
          <w:p w14:paraId="0D1DACDA">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③对施工现场出入口、场内施工道路、材料加工堆放区、办公区、生活区进行硬化处理，并保持地面整洁；</w:t>
            </w:r>
          </w:p>
          <w:p w14:paraId="0216FDED">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④在施工现场出口处设置车辆清洗设施并配套设置排水、泥浆沉淀设施，车辆冲洗干净后方可驶出；</w:t>
            </w:r>
          </w:p>
          <w:p w14:paraId="150EFAF5">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⑤使用预拌混凝土、预拌砂浆等建筑材料，不进行现场拌和；</w:t>
            </w:r>
          </w:p>
          <w:p w14:paraId="69E8E080">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⑥在施工工地内堆放水泥、灰土、砂石、建筑土方等易产生扬尘的粉状、粒状建筑材料的，应当采取密闭或者遮盖等防尘措施，装卸、搬运时应当采取防尘措施；</w:t>
            </w:r>
          </w:p>
          <w:p w14:paraId="39A7A398">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⑦建筑垃圾应当及时清运，在场地内堆存的，应当集中堆放并采取密闭或者遮盖等防尘措施；合理布设料场位置，建筑材料专用堆放地用篷布遮挡，定期洒水抑尘。</w:t>
            </w:r>
          </w:p>
          <w:p w14:paraId="114D121C">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⑧在施工工地同步安装视频监控设备和扬尘污染物在线监测设备，分别与建设主管部门、生态环境主管部门的监控设备联网，并保证系统正常运行，发生故障应当在二十四小时内修复；</w:t>
            </w:r>
          </w:p>
          <w:p w14:paraId="2AE4514B">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⑨施工时尽量减少土地开挖面积，降低开挖土量；土地挖掘、平整及施工建设过程中采用洒水措施，及时向易产生扬尘的施工场地、路面洒水，每天洒水次数不低于2次，大风天增加洒水量及洒水次数，减少扬尘产生；</w:t>
            </w:r>
          </w:p>
          <w:p w14:paraId="7443D540">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⑩建筑材料、设备的运输及建筑垃圾清运过程中，运输车辆减速慢行，运输建筑垃圾采用蓬布遮盖，以避免沿途洒落，对运输道路及时进行清扫，减少运输扬尘。</w:t>
            </w:r>
          </w:p>
          <w:p w14:paraId="4F1DFE55">
            <w:pPr>
              <w:adjustRightInd w:val="0"/>
              <w:snapToGrid w:val="0"/>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eastAsia="微软雅黑" w:cs="Times New Roman"/>
                <w:color w:val="000000"/>
                <w:sz w:val="24"/>
                <w:highlight w:val="none"/>
              </w:rPr>
              <w:t>⑪</w:t>
            </w:r>
            <w:r>
              <w:rPr>
                <w:rFonts w:hint="default" w:ascii="Times New Roman" w:hAnsi="Times New Roman" w:cs="Times New Roman"/>
                <w:color w:val="000000"/>
                <w:sz w:val="24"/>
                <w:highlight w:val="none"/>
              </w:rPr>
              <w:t>施工工地扬尘防治“六个百分之百”：即施工工地100%围挡、物料堆放100%覆盖、出入车辆100%冲洗、施工现场地面100%硬化、拆迁工地100%湿法作业、渣土车辆100%密闭运输及党的组织覆盖和工作覆盖。</w:t>
            </w:r>
          </w:p>
          <w:p w14:paraId="5A01329F">
            <w:pPr>
              <w:adjustRightInd w:val="0"/>
              <w:snapToGrid w:val="0"/>
              <w:spacing w:line="360" w:lineRule="auto"/>
              <w:ind w:firstLine="480" w:firstLineChars="200"/>
              <w:rPr>
                <w:rFonts w:hint="default" w:ascii="Times New Roman" w:hAnsi="Times New Roman" w:cs="Times New Roman"/>
                <w:color w:val="000000"/>
                <w:kern w:val="0"/>
                <w:sz w:val="24"/>
                <w:highlight w:val="none"/>
              </w:rPr>
            </w:pPr>
            <w:r>
              <w:rPr>
                <w:rFonts w:hint="default" w:ascii="Times New Roman" w:hAnsi="Times New Roman" w:cs="Times New Roman"/>
                <w:color w:val="000000"/>
                <w:sz w:val="24"/>
                <w:highlight w:val="none"/>
              </w:rPr>
              <w:t>根据《施工场地扬尘排放标准》(DB13/2934-2019)在施工现场设置</w:t>
            </w:r>
            <w:r>
              <w:rPr>
                <w:rFonts w:hint="default" w:ascii="Times New Roman" w:hAnsi="Times New Roman" w:cs="Times New Roman"/>
                <w:color w:val="000000"/>
                <w:sz w:val="24"/>
                <w:highlight w:val="none"/>
                <w:lang w:val="en-US" w:eastAsia="zh-CN"/>
              </w:rPr>
              <w:t>1</w:t>
            </w:r>
            <w:r>
              <w:rPr>
                <w:rFonts w:hint="default" w:ascii="Times New Roman" w:hAnsi="Times New Roman" w:cs="Times New Roman"/>
                <w:color w:val="000000"/>
                <w:sz w:val="24"/>
                <w:highlight w:val="none"/>
              </w:rPr>
              <w:t>个施工场地扬尘监测点，在厂区车辆出入口布设。</w:t>
            </w:r>
          </w:p>
          <w:p w14:paraId="4A0A1231">
            <w:pPr>
              <w:widowControl/>
              <w:spacing w:line="360" w:lineRule="auto"/>
              <w:ind w:firstLine="480" w:firstLineChars="200"/>
              <w:jc w:val="left"/>
              <w:rPr>
                <w:rFonts w:hint="default" w:ascii="Times New Roman" w:hAnsi="Times New Roman" w:cs="Times New Roman"/>
                <w:color w:val="000000"/>
                <w:highlight w:val="none"/>
              </w:rPr>
            </w:pPr>
            <w:r>
              <w:rPr>
                <w:rFonts w:hint="default" w:ascii="Times New Roman" w:hAnsi="Times New Roman" w:cs="Times New Roman"/>
                <w:color w:val="000000"/>
                <w:kern w:val="0"/>
                <w:sz w:val="24"/>
                <w:highlight w:val="none"/>
                <w:lang w:bidi="ar"/>
              </w:rPr>
              <w:t xml:space="preserve">综上所述，为有效控制施工期间的扬尘影响，根据本项目具体情况，加强管 </w:t>
            </w:r>
          </w:p>
          <w:p w14:paraId="0FA74F27">
            <w:pPr>
              <w:widowControl/>
              <w:spacing w:line="360" w:lineRule="auto"/>
              <w:jc w:val="left"/>
              <w:rPr>
                <w:rFonts w:hint="default" w:ascii="Times New Roman" w:hAnsi="Times New Roman" w:cs="Times New Roman"/>
                <w:color w:val="000000"/>
                <w:highlight w:val="none"/>
              </w:rPr>
            </w:pPr>
            <w:r>
              <w:rPr>
                <w:rFonts w:hint="default" w:ascii="Times New Roman" w:hAnsi="Times New Roman" w:cs="Times New Roman"/>
                <w:color w:val="000000"/>
                <w:kern w:val="0"/>
                <w:sz w:val="24"/>
                <w:highlight w:val="none"/>
                <w:lang w:bidi="ar"/>
              </w:rPr>
              <w:t xml:space="preserve">理，切实落实好上述措施，施工扬尘对环境的影响将会大大降低，可使施工场地 </w:t>
            </w:r>
          </w:p>
          <w:p w14:paraId="610F65CF">
            <w:pPr>
              <w:widowControl/>
              <w:spacing w:line="360" w:lineRule="auto"/>
              <w:jc w:val="left"/>
              <w:rPr>
                <w:rFonts w:hint="default" w:ascii="Times New Roman" w:hAnsi="Times New Roman" w:cs="Times New Roman"/>
                <w:color w:val="000000"/>
                <w:highlight w:val="none"/>
              </w:rPr>
            </w:pPr>
            <w:r>
              <w:rPr>
                <w:rFonts w:hint="default" w:ascii="Times New Roman" w:hAnsi="Times New Roman" w:cs="Times New Roman"/>
                <w:color w:val="000000"/>
                <w:kern w:val="0"/>
                <w:sz w:val="24"/>
                <w:highlight w:val="none"/>
                <w:lang w:bidi="ar"/>
              </w:rPr>
              <w:t xml:space="preserve">扬尘排放浓度满足《施工场地扬尘排放标准》（DB132934-2019）表1扬尘排放 </w:t>
            </w:r>
          </w:p>
          <w:p w14:paraId="7342A4AD">
            <w:pPr>
              <w:widowControl/>
              <w:spacing w:line="360" w:lineRule="auto"/>
              <w:jc w:val="left"/>
              <w:rPr>
                <w:rFonts w:hint="default" w:ascii="Times New Roman" w:hAnsi="Times New Roman" w:cs="Times New Roman"/>
                <w:color w:val="000000"/>
                <w:highlight w:val="none"/>
              </w:rPr>
            </w:pPr>
            <w:r>
              <w:rPr>
                <w:rFonts w:hint="default" w:ascii="Times New Roman" w:hAnsi="Times New Roman" w:cs="Times New Roman"/>
                <w:color w:val="000000"/>
                <w:kern w:val="0"/>
                <w:sz w:val="24"/>
                <w:highlight w:val="none"/>
                <w:lang w:bidi="ar"/>
              </w:rPr>
              <w:t xml:space="preserve">浓度限值，对敏感点不会产生明显影响。 </w:t>
            </w:r>
          </w:p>
          <w:p w14:paraId="17CA5B7B">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000000"/>
                <w:kern w:val="0"/>
                <w:sz w:val="24"/>
                <w:highlight w:val="none"/>
                <w:lang w:bidi="ar"/>
              </w:rPr>
              <w:t>因此，本项目施工期对大气环境不会造成明显影响</w:t>
            </w:r>
          </w:p>
          <w:p w14:paraId="47A448F6">
            <w:pPr>
              <w:pageBreakBefore w:val="0"/>
              <w:widowControl w:val="0"/>
              <w:kinsoku/>
              <w:wordWrap/>
              <w:overflowPunct/>
              <w:topLinePunct w:val="0"/>
              <w:autoSpaceDE/>
              <w:autoSpaceDN/>
              <w:bidi w:val="0"/>
              <w:adjustRightInd w:val="0"/>
              <w:snapToGrid w:val="0"/>
              <w:spacing w:line="360" w:lineRule="auto"/>
              <w:ind w:firstLine="482" w:firstLineChars="200"/>
              <w:jc w:val="both"/>
              <w:textAlignment w:val="auto"/>
              <w:outlineLvl w:val="9"/>
              <w:rPr>
                <w:rFonts w:hint="default" w:ascii="Times New Roman" w:hAnsi="Times New Roman" w:cs="Times New Roman"/>
                <w:b/>
                <w:bCs/>
                <w:color w:val="auto"/>
                <w:sz w:val="24"/>
                <w:szCs w:val="32"/>
                <w:highlight w:val="none"/>
              </w:rPr>
            </w:pPr>
            <w:r>
              <w:rPr>
                <w:rFonts w:hint="default" w:ascii="Times New Roman" w:hAnsi="Times New Roman" w:cs="Times New Roman"/>
                <w:b/>
                <w:bCs/>
                <w:color w:val="auto"/>
                <w:sz w:val="24"/>
                <w:szCs w:val="32"/>
                <w:highlight w:val="none"/>
              </w:rPr>
              <w:t>2、施工废水</w:t>
            </w:r>
          </w:p>
          <w:p w14:paraId="297B25F5">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本项目施工期废水主要为施工人员生活污水和施工废水。施工人员生活污水用于施工场地内道路泼洒抑尘，不外排；施工废水主要为施工设备清洗排水，但水量较小，主要污染物为泥沙，收集沉淀后泼洒地面抑尘，对环境影响较小。</w:t>
            </w:r>
          </w:p>
          <w:p w14:paraId="75C034A1">
            <w:pPr>
              <w:pageBreakBefore w:val="0"/>
              <w:widowControl w:val="0"/>
              <w:kinsoku/>
              <w:wordWrap/>
              <w:overflowPunct/>
              <w:topLinePunct w:val="0"/>
              <w:autoSpaceDE/>
              <w:autoSpaceDN/>
              <w:bidi w:val="0"/>
              <w:adjustRightInd w:val="0"/>
              <w:snapToGrid w:val="0"/>
              <w:spacing w:line="360" w:lineRule="auto"/>
              <w:ind w:firstLine="482" w:firstLineChars="200"/>
              <w:jc w:val="both"/>
              <w:textAlignment w:val="auto"/>
              <w:outlineLvl w:val="9"/>
              <w:rPr>
                <w:rFonts w:hint="default" w:ascii="Times New Roman" w:hAnsi="Times New Roman" w:cs="Times New Roman"/>
                <w:b/>
                <w:bCs/>
                <w:color w:val="auto"/>
                <w:sz w:val="24"/>
                <w:szCs w:val="32"/>
                <w:highlight w:val="none"/>
              </w:rPr>
            </w:pPr>
            <w:r>
              <w:rPr>
                <w:rFonts w:hint="default" w:ascii="Times New Roman" w:hAnsi="Times New Roman" w:cs="Times New Roman"/>
                <w:b/>
                <w:bCs/>
                <w:color w:val="auto"/>
                <w:sz w:val="24"/>
                <w:szCs w:val="32"/>
                <w:highlight w:val="none"/>
              </w:rPr>
              <w:t>3、施工噪声</w:t>
            </w:r>
          </w:p>
          <w:p w14:paraId="458D64C2">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施工噪声主要为设备场地平整、建筑基础挖掘、建筑材料运输等施工机械产生的噪声。结合本工程的施工特点，根据调查分析，施工设备产噪声级值为70～105dB(A)。合理安排施工时间方可满足《建筑施工场界环境噪声排放标准》（GB12523-2011）中的相应标准。为减少噪声影响，建设单位拟采取的措施如下：</w:t>
            </w:r>
          </w:p>
          <w:p w14:paraId="77454137">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①施工时尽量使用低噪声机械设备，在施工过程中安排专人对设备进行定期保养维护，对施工人员进行操作培训，严格按照操作规程使用各类机械设备。</w:t>
            </w:r>
          </w:p>
          <w:p w14:paraId="581286D8">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②运输车辆通过要减速慢行以减低噪声。</w:t>
            </w:r>
          </w:p>
          <w:p w14:paraId="5E08D4FE">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③合理选择运输建筑材料的道路，尽可能避开敏感点。运输车辆穿越环境敏感点时限速、禁鸣。</w:t>
            </w:r>
          </w:p>
          <w:p w14:paraId="70E0742E">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④合理安排施工时间，高噪声工期必须避开敏感时段。</w:t>
            </w:r>
          </w:p>
          <w:p w14:paraId="04A5CB07">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⑤加强施工期管理，施工单位设专人负责施工机械的保养和维护，保养和维护要有切实可行的规章制度，要定期对现场工作人员进行培训，每个工人都要严格按照规范使用各类机械，避免因故障产生突发噪声。</w:t>
            </w:r>
          </w:p>
          <w:p w14:paraId="6AF23EB9">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采取以上措施后，项目施工期产生的噪声可满足《建筑施工场界环境噪声排放标准》（GB12523-2011）的要求，施工期噪声达标排放。</w:t>
            </w:r>
          </w:p>
          <w:p w14:paraId="15541B37">
            <w:pPr>
              <w:pageBreakBefore w:val="0"/>
              <w:widowControl w:val="0"/>
              <w:kinsoku/>
              <w:wordWrap/>
              <w:overflowPunct/>
              <w:topLinePunct w:val="0"/>
              <w:autoSpaceDE/>
              <w:autoSpaceDN/>
              <w:bidi w:val="0"/>
              <w:adjustRightInd w:val="0"/>
              <w:snapToGrid w:val="0"/>
              <w:spacing w:line="360" w:lineRule="auto"/>
              <w:ind w:firstLine="482" w:firstLineChars="200"/>
              <w:jc w:val="both"/>
              <w:textAlignment w:val="auto"/>
              <w:outlineLvl w:val="9"/>
              <w:rPr>
                <w:rFonts w:hint="default" w:ascii="Times New Roman" w:hAnsi="Times New Roman" w:cs="Times New Roman"/>
                <w:b/>
                <w:bCs/>
                <w:color w:val="auto"/>
                <w:sz w:val="24"/>
                <w:szCs w:val="32"/>
                <w:highlight w:val="none"/>
              </w:rPr>
            </w:pPr>
            <w:r>
              <w:rPr>
                <w:rFonts w:hint="default" w:ascii="Times New Roman" w:hAnsi="Times New Roman" w:cs="Times New Roman"/>
                <w:b/>
                <w:bCs/>
                <w:color w:val="auto"/>
                <w:sz w:val="24"/>
                <w:szCs w:val="32"/>
                <w:highlight w:val="none"/>
              </w:rPr>
              <w:t>4、固体废物</w:t>
            </w:r>
          </w:p>
          <w:p w14:paraId="0C71AA36">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本工程施工期产生的固体废物主要为建筑物拆除产生的废砖等建筑垃圾，建筑垃圾、设备安装产生的废包装材料和人员产生的生活垃圾。施工过程中产生的固体废物均为I类一般固体废物。废砖、废钢板等建筑垃圾委托有资质单位利用；生活垃圾产生量较小，统一收集后由环卫部门处理，不会对周围环境产生明显影响。</w:t>
            </w:r>
          </w:p>
          <w:p w14:paraId="7378364B">
            <w:pPr>
              <w:ind w:firstLine="480" w:firstLineChars="200"/>
              <w:jc w:val="both"/>
              <w:rPr>
                <w:rFonts w:hint="default" w:ascii="Times New Roman" w:hAnsi="Times New Roman" w:eastAsia="宋体" w:cs="Times New Roman"/>
                <w:color w:val="auto"/>
                <w:sz w:val="24"/>
                <w:highlight w:val="none"/>
              </w:rPr>
            </w:pPr>
            <w:r>
              <w:rPr>
                <w:rFonts w:hint="default" w:ascii="Times New Roman" w:hAnsi="Times New Roman" w:cs="Times New Roman"/>
                <w:color w:val="auto"/>
                <w:sz w:val="24"/>
                <w:highlight w:val="none"/>
              </w:rPr>
              <w:t>综上所述，项目在施工期虽然会对当地的环境会造成一定的影响，但是这种影响可以</w:t>
            </w:r>
            <w:r>
              <w:rPr>
                <w:rFonts w:hint="default" w:ascii="Times New Roman" w:hAnsi="Times New Roman" w:eastAsia="宋体" w:cs="Times New Roman"/>
                <w:color w:val="auto"/>
                <w:sz w:val="24"/>
                <w:highlight w:val="none"/>
              </w:rPr>
              <w:t>通过采取适当的措施减小或者避免，并且这种影响是暂时的，将随着工程的结束而消失。</w:t>
            </w:r>
          </w:p>
          <w:p w14:paraId="6C54FADA">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eastAsia="宋体" w:cs="Times New Roman"/>
                <w:color w:val="auto"/>
                <w:sz w:val="24"/>
                <w:highlight w:val="none"/>
              </w:rPr>
            </w:pPr>
          </w:p>
          <w:p w14:paraId="3B42841C">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eastAsia="宋体" w:cs="Times New Roman"/>
                <w:color w:val="auto"/>
                <w:sz w:val="24"/>
                <w:highlight w:val="none"/>
              </w:rPr>
            </w:pPr>
          </w:p>
          <w:p w14:paraId="350E57F9">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eastAsia="宋体" w:cs="Times New Roman"/>
                <w:color w:val="auto"/>
                <w:sz w:val="24"/>
                <w:highlight w:val="none"/>
              </w:rPr>
            </w:pPr>
          </w:p>
          <w:p w14:paraId="5401E191">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eastAsia="宋体" w:cs="Times New Roman"/>
                <w:color w:val="auto"/>
                <w:sz w:val="24"/>
                <w:highlight w:val="none"/>
              </w:rPr>
            </w:pPr>
          </w:p>
          <w:p w14:paraId="102497CE">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eastAsia="宋体" w:cs="Times New Roman"/>
                <w:color w:val="auto"/>
                <w:sz w:val="24"/>
                <w:highlight w:val="none"/>
              </w:rPr>
            </w:pPr>
          </w:p>
          <w:p w14:paraId="3A0AF837">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eastAsia="宋体" w:cs="Times New Roman"/>
                <w:color w:val="auto"/>
                <w:sz w:val="24"/>
                <w:highlight w:val="none"/>
              </w:rPr>
            </w:pPr>
          </w:p>
          <w:p w14:paraId="5664B521">
            <w:pPr>
              <w:pStyle w:val="104"/>
              <w:pageBreakBefore w:val="0"/>
              <w:widowControl w:val="0"/>
              <w:kinsoku/>
              <w:wordWrap/>
              <w:overflowPunct/>
              <w:topLinePunct w:val="0"/>
              <w:autoSpaceDE/>
              <w:autoSpaceDN/>
              <w:bidi w:val="0"/>
              <w:adjustRightInd w:val="0"/>
              <w:snapToGrid w:val="0"/>
              <w:spacing w:line="360" w:lineRule="auto"/>
              <w:ind w:firstLine="480"/>
              <w:jc w:val="both"/>
              <w:textAlignment w:val="auto"/>
              <w:outlineLvl w:val="9"/>
              <w:rPr>
                <w:rFonts w:hint="default" w:ascii="Times New Roman" w:hAnsi="Times New Roman" w:eastAsia="宋体" w:cs="Times New Roman"/>
                <w:color w:val="auto"/>
                <w:sz w:val="24"/>
                <w:highlight w:val="none"/>
              </w:rPr>
            </w:pPr>
          </w:p>
          <w:p w14:paraId="7900BD47">
            <w:pPr>
              <w:pStyle w:val="104"/>
              <w:pageBreakBefore w:val="0"/>
              <w:widowControl w:val="0"/>
              <w:kinsoku/>
              <w:wordWrap/>
              <w:overflowPunct/>
              <w:topLinePunct w:val="0"/>
              <w:autoSpaceDE/>
              <w:autoSpaceDN/>
              <w:bidi w:val="0"/>
              <w:adjustRightInd w:val="0"/>
              <w:snapToGrid w:val="0"/>
              <w:spacing w:line="360" w:lineRule="auto"/>
              <w:ind w:left="0" w:leftChars="0" w:firstLine="0" w:firstLineChars="0"/>
              <w:jc w:val="both"/>
              <w:textAlignment w:val="auto"/>
              <w:outlineLvl w:val="9"/>
              <w:rPr>
                <w:rFonts w:hint="default" w:ascii="Times New Roman" w:hAnsi="Times New Roman" w:eastAsia="宋体" w:cs="Times New Roman"/>
                <w:color w:val="auto"/>
                <w:sz w:val="24"/>
                <w:highlight w:val="none"/>
              </w:rPr>
            </w:pPr>
          </w:p>
        </w:tc>
      </w:tr>
      <w:tr w14:paraId="4336B1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969" w:hRule="atLeast"/>
          <w:jc w:val="center"/>
        </w:trPr>
        <w:tc>
          <w:tcPr>
            <w:tcW w:w="381" w:type="dxa"/>
            <w:tcMar>
              <w:left w:w="28" w:type="dxa"/>
              <w:right w:w="28" w:type="dxa"/>
            </w:tcMar>
            <w:vAlign w:val="center"/>
          </w:tcPr>
          <w:p w14:paraId="1899EE2E">
            <w:pPr>
              <w:pStyle w:val="7"/>
              <w:rPr>
                <w:rFonts w:hint="default" w:ascii="Times New Roman" w:hAnsi="Times New Roman" w:cs="Times New Roman"/>
                <w:color w:val="auto"/>
                <w:highlight w:val="none"/>
              </w:rPr>
            </w:pPr>
          </w:p>
          <w:p w14:paraId="34C12450">
            <w:pPr>
              <w:rPr>
                <w:rFonts w:hint="default" w:ascii="Times New Roman" w:hAnsi="Times New Roman" w:cs="Times New Roman"/>
                <w:color w:val="auto"/>
                <w:highlight w:val="none"/>
              </w:rPr>
            </w:pPr>
          </w:p>
          <w:p w14:paraId="21C5BEB6">
            <w:pPr>
              <w:rPr>
                <w:rFonts w:hint="default" w:ascii="Times New Roman" w:hAnsi="Times New Roman" w:cs="Times New Roman"/>
                <w:color w:val="auto"/>
                <w:highlight w:val="none"/>
              </w:rPr>
            </w:pPr>
          </w:p>
          <w:p w14:paraId="2DB24B4A">
            <w:pPr>
              <w:rPr>
                <w:rFonts w:hint="default" w:ascii="Times New Roman" w:hAnsi="Times New Roman" w:cs="Times New Roman"/>
                <w:color w:val="auto"/>
                <w:highlight w:val="none"/>
              </w:rPr>
            </w:pPr>
          </w:p>
          <w:p w14:paraId="7AC2CE5A">
            <w:pPr>
              <w:rPr>
                <w:rFonts w:hint="default" w:ascii="Times New Roman" w:hAnsi="Times New Roman" w:cs="Times New Roman"/>
                <w:color w:val="auto"/>
                <w:highlight w:val="none"/>
              </w:rPr>
            </w:pPr>
          </w:p>
          <w:p w14:paraId="38175CEE">
            <w:pPr>
              <w:rPr>
                <w:rFonts w:hint="default" w:ascii="Times New Roman" w:hAnsi="Times New Roman" w:cs="Times New Roman"/>
                <w:color w:val="auto"/>
                <w:highlight w:val="none"/>
              </w:rPr>
            </w:pPr>
          </w:p>
          <w:p w14:paraId="78949910">
            <w:pPr>
              <w:rPr>
                <w:rFonts w:hint="default" w:ascii="Times New Roman" w:hAnsi="Times New Roman" w:cs="Times New Roman"/>
                <w:color w:val="auto"/>
                <w:highlight w:val="none"/>
              </w:rPr>
            </w:pPr>
          </w:p>
          <w:p w14:paraId="4E5A1219">
            <w:pPr>
              <w:pStyle w:val="7"/>
              <w:rPr>
                <w:rFonts w:hint="default" w:ascii="Times New Roman" w:hAnsi="Times New Roman" w:cs="Times New Roman"/>
                <w:color w:val="auto"/>
                <w:highlight w:val="none"/>
              </w:rPr>
            </w:pPr>
          </w:p>
          <w:p w14:paraId="0180457E">
            <w:pPr>
              <w:pStyle w:val="7"/>
              <w:rPr>
                <w:rFonts w:hint="default" w:ascii="Times New Roman" w:hAnsi="Times New Roman" w:cs="Times New Roman"/>
                <w:color w:val="auto"/>
                <w:highlight w:val="none"/>
              </w:rPr>
            </w:pPr>
          </w:p>
          <w:p w14:paraId="2C9519F2">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运营</w:t>
            </w:r>
          </w:p>
          <w:p w14:paraId="0AB967B7">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61E5DDCE">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境影</w:t>
            </w:r>
          </w:p>
          <w:p w14:paraId="4D981AD9">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响和</w:t>
            </w:r>
          </w:p>
          <w:p w14:paraId="7C337E50">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保护</w:t>
            </w:r>
          </w:p>
          <w:p w14:paraId="71EDEFA3">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措施</w:t>
            </w:r>
          </w:p>
          <w:p w14:paraId="25C9CC2D">
            <w:pPr>
              <w:pStyle w:val="7"/>
              <w:rPr>
                <w:rFonts w:hint="default" w:ascii="Times New Roman" w:hAnsi="Times New Roman" w:cs="Times New Roman"/>
                <w:color w:val="auto"/>
                <w:highlight w:val="none"/>
              </w:rPr>
            </w:pPr>
          </w:p>
          <w:p w14:paraId="6F077BF5">
            <w:pPr>
              <w:rPr>
                <w:rFonts w:hint="default" w:ascii="Times New Roman" w:hAnsi="Times New Roman" w:cs="Times New Roman"/>
                <w:color w:val="auto"/>
                <w:highlight w:val="none"/>
              </w:rPr>
            </w:pPr>
          </w:p>
          <w:p w14:paraId="20EB490D">
            <w:pPr>
              <w:pStyle w:val="6"/>
              <w:rPr>
                <w:rFonts w:hint="default" w:ascii="Times New Roman" w:hAnsi="Times New Roman" w:cs="Times New Roman"/>
                <w:color w:val="auto"/>
                <w:highlight w:val="none"/>
              </w:rPr>
            </w:pPr>
          </w:p>
          <w:p w14:paraId="63C29A67">
            <w:pPr>
              <w:rPr>
                <w:rFonts w:hint="default" w:ascii="Times New Roman" w:hAnsi="Times New Roman" w:cs="Times New Roman"/>
                <w:color w:val="auto"/>
                <w:highlight w:val="none"/>
              </w:rPr>
            </w:pPr>
          </w:p>
          <w:p w14:paraId="75316452">
            <w:pPr>
              <w:pStyle w:val="6"/>
              <w:rPr>
                <w:rFonts w:hint="default" w:ascii="Times New Roman" w:hAnsi="Times New Roman" w:cs="Times New Roman"/>
                <w:color w:val="auto"/>
                <w:highlight w:val="none"/>
              </w:rPr>
            </w:pPr>
          </w:p>
          <w:p w14:paraId="509FB22A">
            <w:pPr>
              <w:pStyle w:val="7"/>
              <w:jc w:val="both"/>
              <w:rPr>
                <w:rFonts w:hint="default" w:ascii="Times New Roman" w:hAnsi="Times New Roman" w:cs="Times New Roman"/>
                <w:color w:val="auto"/>
                <w:highlight w:val="none"/>
              </w:rPr>
            </w:pPr>
          </w:p>
          <w:p w14:paraId="07F448D0">
            <w:pPr>
              <w:rPr>
                <w:rFonts w:hint="default" w:ascii="Times New Roman" w:hAnsi="Times New Roman" w:cs="Times New Roman"/>
                <w:color w:val="auto"/>
                <w:highlight w:val="none"/>
              </w:rPr>
            </w:pPr>
          </w:p>
          <w:p w14:paraId="48CA9F31">
            <w:pPr>
              <w:rPr>
                <w:rFonts w:hint="default" w:ascii="Times New Roman" w:hAnsi="Times New Roman" w:cs="Times New Roman"/>
                <w:color w:val="auto"/>
                <w:highlight w:val="none"/>
              </w:rPr>
            </w:pPr>
          </w:p>
          <w:p w14:paraId="75249878">
            <w:pPr>
              <w:rPr>
                <w:rFonts w:hint="default" w:ascii="Times New Roman" w:hAnsi="Times New Roman" w:cs="Times New Roman"/>
                <w:color w:val="auto"/>
                <w:highlight w:val="none"/>
              </w:rPr>
            </w:pPr>
          </w:p>
          <w:p w14:paraId="3E0A755D">
            <w:pPr>
              <w:rPr>
                <w:rFonts w:hint="default" w:ascii="Times New Roman" w:hAnsi="Times New Roman" w:cs="Times New Roman"/>
                <w:color w:val="auto"/>
                <w:highlight w:val="none"/>
              </w:rPr>
            </w:pPr>
          </w:p>
          <w:p w14:paraId="7E89C973">
            <w:pPr>
              <w:rPr>
                <w:rFonts w:hint="default" w:ascii="Times New Roman" w:hAnsi="Times New Roman" w:cs="Times New Roman"/>
                <w:color w:val="auto"/>
                <w:highlight w:val="none"/>
              </w:rPr>
            </w:pPr>
          </w:p>
        </w:tc>
        <w:tc>
          <w:tcPr>
            <w:tcW w:w="8690" w:type="dxa"/>
            <w:vAlign w:val="top"/>
          </w:tcPr>
          <w:p w14:paraId="4C45D0FC">
            <w:pPr>
              <w:pStyle w:val="8"/>
              <w:pageBreakBefore w:val="0"/>
              <w:kinsoku/>
              <w:wordWrap/>
              <w:overflowPunct/>
              <w:topLinePunct w:val="0"/>
              <w:autoSpaceDE/>
              <w:autoSpaceDN/>
              <w:bidi w:val="0"/>
              <w:adjustRightInd w:val="0"/>
              <w:snapToGrid w:val="0"/>
              <w:spacing w:line="360" w:lineRule="auto"/>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1 大气环境影响分析</w:t>
            </w:r>
          </w:p>
          <w:p w14:paraId="08703065">
            <w:pPr>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1</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有组织废气</w:t>
            </w:r>
          </w:p>
          <w:p w14:paraId="2B0DEAED">
            <w:pPr>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cs="Times New Roman"/>
                <w:color w:val="auto"/>
                <w:sz w:val="24"/>
                <w:highlight w:val="none"/>
                <w:lang w:val="en-US" w:eastAsia="zh-CN"/>
              </w:rPr>
              <w:t>项目酸洗过程中使用浓度为30%得盐酸，年使用量为6t/a，酸洗过程中氯化氢的产生量按照年用量的30% 进行核算，则氯化氢的产生量为1.8t/a，产生速率为0.25kg/h，经废气经收集后进入碱喷淋塔进行治理（风机风量为2000m</w:t>
            </w:r>
            <w:r>
              <w:rPr>
                <w:rFonts w:hint="default" w:ascii="Times New Roman" w:hAnsi="Times New Roman" w:cs="Times New Roman"/>
                <w:color w:val="auto"/>
                <w:sz w:val="24"/>
                <w:highlight w:val="none"/>
                <w:vertAlign w:val="superscript"/>
                <w:lang w:val="en-US" w:eastAsia="zh-CN"/>
              </w:rPr>
              <w:t>3</w:t>
            </w:r>
            <w:r>
              <w:rPr>
                <w:rFonts w:hint="default" w:ascii="Times New Roman" w:hAnsi="Times New Roman" w:cs="Times New Roman"/>
                <w:color w:val="auto"/>
                <w:sz w:val="24"/>
                <w:highlight w:val="none"/>
                <w:lang w:val="en-US" w:eastAsia="zh-CN"/>
              </w:rPr>
              <w:t>/h），治理后的废气经1根15m高排气筒排放，废气收集效率按照85%进行计算，废气治理效率为90%，则氯化氢的排放量为0.153t/a，排放速率为0.02kg/h，排放浓度为10.63mg/m</w:t>
            </w:r>
            <w:r>
              <w:rPr>
                <w:rFonts w:hint="default" w:ascii="Times New Roman" w:hAnsi="Times New Roman" w:cs="Times New Roman"/>
                <w:color w:val="auto"/>
                <w:sz w:val="24"/>
                <w:highlight w:val="none"/>
                <w:vertAlign w:val="superscript"/>
                <w:lang w:val="en-US" w:eastAsia="zh-CN"/>
              </w:rPr>
              <w:t>3</w:t>
            </w:r>
            <w:r>
              <w:rPr>
                <w:rFonts w:hint="default" w:ascii="Times New Roman" w:hAnsi="Times New Roman" w:cs="Times New Roman"/>
                <w:color w:val="auto"/>
                <w:sz w:val="24"/>
                <w:highlight w:val="none"/>
                <w:vertAlign w:val="baseline"/>
                <w:lang w:val="en-US" w:eastAsia="zh-CN"/>
              </w:rPr>
              <w:t>。</w:t>
            </w:r>
          </w:p>
          <w:p w14:paraId="4E18D691">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（2）无组织废气</w:t>
            </w:r>
          </w:p>
          <w:p w14:paraId="05E7E176">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酸洗过程中未被收集的氯化氢在封闭车间内无组织排放，排放量为0.27t/a，排放速率为0.037hg/h。</w:t>
            </w:r>
          </w:p>
          <w:p w14:paraId="3A1D5158">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（3）达标情况分析</w:t>
            </w:r>
          </w:p>
          <w:p w14:paraId="484896D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本次评价采用《环境影响评价技术导则大气环境》（HJ2.2-2018）中的估算运营期环境影响和保护措施模式（AERSCREEN）对厂界浓度进行预测。根据预测结果，无组织排放的</w:t>
            </w:r>
            <w:r>
              <w:rPr>
                <w:rFonts w:hint="default" w:ascii="Times New Roman" w:hAnsi="Times New Roman" w:cs="Times New Roman"/>
                <w:color w:val="auto"/>
                <w:sz w:val="24"/>
                <w:szCs w:val="24"/>
                <w:highlight w:val="none"/>
                <w:lang w:val="en-US" w:eastAsia="zh-CN"/>
              </w:rPr>
              <w:t>氯化氢</w:t>
            </w:r>
            <w:r>
              <w:rPr>
                <w:rFonts w:hint="default" w:ascii="Times New Roman" w:hAnsi="Times New Roman" w:eastAsia="宋体" w:cs="Times New Roman"/>
                <w:color w:val="auto"/>
                <w:sz w:val="24"/>
                <w:szCs w:val="24"/>
                <w:highlight w:val="none"/>
              </w:rPr>
              <w:t>下风向最大落地浓度为32.2830μg/m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由此推断，</w:t>
            </w:r>
            <w:r>
              <w:rPr>
                <w:rFonts w:hint="default" w:ascii="Times New Roman" w:hAnsi="Times New Roman" w:cs="Times New Roman"/>
                <w:color w:val="auto"/>
                <w:sz w:val="24"/>
                <w:szCs w:val="24"/>
                <w:highlight w:val="none"/>
                <w:lang w:val="en-US" w:eastAsia="zh-CN"/>
              </w:rPr>
              <w:t>氯化氢</w:t>
            </w:r>
            <w:r>
              <w:rPr>
                <w:rFonts w:hint="default" w:ascii="Times New Roman" w:hAnsi="Times New Roman" w:eastAsia="宋体" w:cs="Times New Roman"/>
                <w:color w:val="auto"/>
                <w:sz w:val="24"/>
                <w:szCs w:val="24"/>
                <w:highlight w:val="none"/>
              </w:rPr>
              <w:t>无组织监控点处浓度可以满足</w:t>
            </w:r>
            <w:r>
              <w:rPr>
                <w:rFonts w:hint="default" w:ascii="Times New Roman" w:hAnsi="Times New Roman" w:cs="Times New Roman"/>
                <w:color w:val="auto"/>
                <w:highlight w:val="none"/>
              </w:rPr>
              <w:t>《大气污染物综合排放标准》（GB16297-1996） 表2排放限值要求</w:t>
            </w:r>
            <w:r>
              <w:rPr>
                <w:rFonts w:hint="default" w:ascii="Times New Roman" w:hAnsi="Times New Roman" w:cs="Times New Roman"/>
                <w:color w:val="auto"/>
                <w:highlight w:val="none"/>
                <w:lang w:val="en-US" w:eastAsia="zh-CN"/>
              </w:rPr>
              <w:t>0.25</w:t>
            </w:r>
            <w:r>
              <w:rPr>
                <w:rFonts w:hint="default" w:ascii="Times New Roman" w:hAnsi="Times New Roman" w:cs="Times New Roman"/>
                <w:color w:val="auto"/>
                <w:highlight w:val="none"/>
              </w:rPr>
              <w:t>mg/m³</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厂界外无超标点，</w:t>
            </w:r>
            <w:r>
              <w:rPr>
                <w:rFonts w:hint="default" w:ascii="Times New Roman" w:hAnsi="Times New Roman" w:cs="Times New Roman"/>
                <w:color w:val="auto"/>
                <w:sz w:val="24"/>
                <w:szCs w:val="24"/>
                <w:highlight w:val="none"/>
                <w:lang w:eastAsia="zh-CN"/>
              </w:rPr>
              <w:t>项目无组织排放的废气对周围环境影响不大，</w:t>
            </w:r>
            <w:r>
              <w:rPr>
                <w:rFonts w:hint="default" w:ascii="Times New Roman" w:hAnsi="Times New Roman" w:cs="Times New Roman"/>
                <w:color w:val="auto"/>
                <w:sz w:val="24"/>
                <w:szCs w:val="24"/>
                <w:highlight w:val="none"/>
                <w:lang w:val="en-US" w:eastAsia="zh-CN"/>
              </w:rPr>
              <w:t>故本项目不设置大气防护距离。</w:t>
            </w:r>
            <w:r>
              <w:rPr>
                <w:rFonts w:hint="default" w:ascii="Times New Roman" w:hAnsi="Times New Roman" w:eastAsia="宋体" w:cs="Times New Roman"/>
                <w:color w:val="auto"/>
                <w:sz w:val="24"/>
                <w:szCs w:val="24"/>
                <w:highlight w:val="none"/>
                <w:lang w:val="en-US" w:eastAsia="zh-CN"/>
              </w:rPr>
              <w:t>因此，项目无组织排放的废气对周围环境影响不大。</w:t>
            </w:r>
          </w:p>
          <w:p w14:paraId="0A68710D">
            <w:pPr>
              <w:spacing w:line="240" w:lineRule="auto"/>
              <w:jc w:val="center"/>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表4-</w:t>
            </w:r>
            <w:r>
              <w:rPr>
                <w:rFonts w:hint="default" w:ascii="Times New Roman" w:hAnsi="Times New Roman" w:cs="Times New Roman"/>
                <w:b/>
                <w:bCs/>
                <w:color w:val="auto"/>
                <w:sz w:val="24"/>
                <w:highlight w:val="none"/>
                <w:lang w:val="en-US" w:eastAsia="zh-CN"/>
              </w:rPr>
              <w:t>1</w:t>
            </w:r>
            <w:r>
              <w:rPr>
                <w:rFonts w:hint="default" w:ascii="Times New Roman" w:hAnsi="Times New Roman" w:cs="Times New Roman"/>
                <w:b/>
                <w:bCs/>
                <w:color w:val="auto"/>
                <w:sz w:val="24"/>
                <w:highlight w:val="none"/>
              </w:rPr>
              <w:t xml:space="preserve">  废气监测计划一览表</w:t>
            </w:r>
          </w:p>
          <w:tbl>
            <w:tblPr>
              <w:tblStyle w:val="34"/>
              <w:tblpPr w:leftFromText="180" w:rightFromText="180" w:vertAnchor="text" w:tblpXSpec="center" w:tblpY="1"/>
              <w:tblOverlap w:val="never"/>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11"/>
              <w:gridCol w:w="2314"/>
              <w:gridCol w:w="2241"/>
              <w:gridCol w:w="2298"/>
            </w:tblGrid>
            <w:tr w14:paraId="553D9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jc w:val="center"/>
              </w:trPr>
              <w:tc>
                <w:tcPr>
                  <w:tcW w:w="1576" w:type="dxa"/>
                  <w:noWrap w:val="0"/>
                  <w:vAlign w:val="center"/>
                </w:tcPr>
                <w:p w14:paraId="43ACF5DF">
                  <w:pPr>
                    <w:adjustRightInd w:val="0"/>
                    <w:snapToGrid w:val="0"/>
                    <w:spacing w:line="240" w:lineRule="auto"/>
                    <w:jc w:val="center"/>
                    <w:rPr>
                      <w:rFonts w:hint="default" w:ascii="Times New Roman" w:hAnsi="Times New Roman" w:cs="Times New Roman"/>
                      <w:snapToGrid w:val="0"/>
                      <w:color w:val="auto"/>
                      <w:sz w:val="21"/>
                      <w:szCs w:val="18"/>
                      <w:highlight w:val="none"/>
                    </w:rPr>
                  </w:pPr>
                  <w:r>
                    <w:rPr>
                      <w:rFonts w:hint="default" w:ascii="Times New Roman" w:hAnsi="Times New Roman" w:cs="Times New Roman"/>
                      <w:snapToGrid w:val="0"/>
                      <w:color w:val="auto"/>
                      <w:sz w:val="21"/>
                      <w:szCs w:val="18"/>
                      <w:highlight w:val="none"/>
                    </w:rPr>
                    <w:t>项目</w:t>
                  </w:r>
                </w:p>
              </w:tc>
              <w:tc>
                <w:tcPr>
                  <w:tcW w:w="2263" w:type="dxa"/>
                  <w:noWrap w:val="0"/>
                  <w:vAlign w:val="center"/>
                </w:tcPr>
                <w:p w14:paraId="612754D8">
                  <w:pPr>
                    <w:adjustRightInd w:val="0"/>
                    <w:snapToGrid w:val="0"/>
                    <w:spacing w:line="240" w:lineRule="auto"/>
                    <w:jc w:val="center"/>
                    <w:rPr>
                      <w:rFonts w:hint="default" w:ascii="Times New Roman" w:hAnsi="Times New Roman" w:cs="Times New Roman"/>
                      <w:snapToGrid w:val="0"/>
                      <w:color w:val="auto"/>
                      <w:sz w:val="21"/>
                      <w:szCs w:val="18"/>
                      <w:highlight w:val="none"/>
                    </w:rPr>
                  </w:pPr>
                  <w:r>
                    <w:rPr>
                      <w:rFonts w:hint="default" w:ascii="Times New Roman" w:hAnsi="Times New Roman" w:cs="Times New Roman"/>
                      <w:snapToGrid w:val="0"/>
                      <w:color w:val="auto"/>
                      <w:sz w:val="21"/>
                      <w:szCs w:val="18"/>
                      <w:highlight w:val="none"/>
                    </w:rPr>
                    <w:t>监测点位</w:t>
                  </w:r>
                </w:p>
              </w:tc>
              <w:tc>
                <w:tcPr>
                  <w:tcW w:w="2192" w:type="dxa"/>
                  <w:noWrap w:val="0"/>
                  <w:vAlign w:val="center"/>
                </w:tcPr>
                <w:p w14:paraId="77F749ED">
                  <w:pPr>
                    <w:adjustRightInd w:val="0"/>
                    <w:snapToGrid w:val="0"/>
                    <w:spacing w:line="240" w:lineRule="auto"/>
                    <w:jc w:val="center"/>
                    <w:rPr>
                      <w:rFonts w:hint="default" w:ascii="Times New Roman" w:hAnsi="Times New Roman" w:cs="Times New Roman"/>
                      <w:snapToGrid w:val="0"/>
                      <w:color w:val="auto"/>
                      <w:sz w:val="21"/>
                      <w:szCs w:val="18"/>
                      <w:highlight w:val="none"/>
                    </w:rPr>
                  </w:pPr>
                  <w:r>
                    <w:rPr>
                      <w:rFonts w:hint="default" w:ascii="Times New Roman" w:hAnsi="Times New Roman" w:cs="Times New Roman"/>
                      <w:snapToGrid w:val="0"/>
                      <w:color w:val="auto"/>
                      <w:sz w:val="21"/>
                      <w:szCs w:val="18"/>
                      <w:highlight w:val="none"/>
                    </w:rPr>
                    <w:t>监测因子</w:t>
                  </w:r>
                </w:p>
              </w:tc>
              <w:tc>
                <w:tcPr>
                  <w:tcW w:w="2248" w:type="dxa"/>
                  <w:noWrap w:val="0"/>
                  <w:vAlign w:val="center"/>
                </w:tcPr>
                <w:p w14:paraId="594ACF9F">
                  <w:pPr>
                    <w:adjustRightInd w:val="0"/>
                    <w:snapToGrid w:val="0"/>
                    <w:spacing w:line="240" w:lineRule="auto"/>
                    <w:jc w:val="center"/>
                    <w:rPr>
                      <w:rFonts w:hint="default" w:ascii="Times New Roman" w:hAnsi="Times New Roman" w:cs="Times New Roman"/>
                      <w:snapToGrid w:val="0"/>
                      <w:color w:val="auto"/>
                      <w:sz w:val="21"/>
                      <w:szCs w:val="18"/>
                      <w:highlight w:val="none"/>
                    </w:rPr>
                  </w:pPr>
                  <w:r>
                    <w:rPr>
                      <w:rFonts w:hint="default" w:ascii="Times New Roman" w:hAnsi="Times New Roman" w:cs="Times New Roman"/>
                      <w:snapToGrid w:val="0"/>
                      <w:color w:val="auto"/>
                      <w:sz w:val="21"/>
                      <w:szCs w:val="18"/>
                      <w:highlight w:val="none"/>
                    </w:rPr>
                    <w:t>监测频次</w:t>
                  </w:r>
                </w:p>
              </w:tc>
            </w:tr>
            <w:tr w14:paraId="247BC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76" w:type="dxa"/>
                  <w:noWrap w:val="0"/>
                  <w:vAlign w:val="center"/>
                </w:tcPr>
                <w:p w14:paraId="13A594D3">
                  <w:pPr>
                    <w:adjustRightInd w:val="0"/>
                    <w:snapToGrid w:val="0"/>
                    <w:spacing w:line="240" w:lineRule="auto"/>
                    <w:jc w:val="center"/>
                    <w:rPr>
                      <w:rFonts w:hint="default" w:ascii="Times New Roman" w:hAnsi="Times New Roman" w:cs="Times New Roman"/>
                      <w:bCs/>
                      <w:snapToGrid w:val="0"/>
                      <w:color w:val="auto"/>
                      <w:sz w:val="21"/>
                      <w:szCs w:val="18"/>
                      <w:highlight w:val="none"/>
                    </w:rPr>
                  </w:pPr>
                  <w:r>
                    <w:rPr>
                      <w:rFonts w:hint="default" w:ascii="Times New Roman" w:hAnsi="Times New Roman" w:cs="Times New Roman"/>
                      <w:bCs/>
                      <w:snapToGrid w:val="0"/>
                      <w:color w:val="auto"/>
                      <w:sz w:val="21"/>
                      <w:szCs w:val="18"/>
                      <w:highlight w:val="none"/>
                    </w:rPr>
                    <w:t>无组织废气</w:t>
                  </w:r>
                </w:p>
              </w:tc>
              <w:tc>
                <w:tcPr>
                  <w:tcW w:w="2263" w:type="dxa"/>
                  <w:noWrap w:val="0"/>
                  <w:vAlign w:val="center"/>
                </w:tcPr>
                <w:p w14:paraId="2BB48AFC">
                  <w:pPr>
                    <w:adjustRightInd w:val="0"/>
                    <w:snapToGrid w:val="0"/>
                    <w:spacing w:line="240" w:lineRule="auto"/>
                    <w:jc w:val="center"/>
                    <w:rPr>
                      <w:rFonts w:hint="default" w:ascii="Times New Roman" w:hAnsi="Times New Roman" w:cs="Times New Roman"/>
                      <w:bCs/>
                      <w:snapToGrid w:val="0"/>
                      <w:color w:val="auto"/>
                      <w:sz w:val="21"/>
                      <w:szCs w:val="18"/>
                      <w:highlight w:val="none"/>
                    </w:rPr>
                  </w:pPr>
                  <w:r>
                    <w:rPr>
                      <w:rFonts w:hint="default" w:ascii="Times New Roman" w:hAnsi="Times New Roman" w:cs="Times New Roman"/>
                      <w:bCs/>
                      <w:snapToGrid w:val="0"/>
                      <w:color w:val="auto"/>
                      <w:sz w:val="21"/>
                      <w:szCs w:val="18"/>
                      <w:highlight w:val="none"/>
                    </w:rPr>
                    <w:t>厂界</w:t>
                  </w:r>
                </w:p>
              </w:tc>
              <w:tc>
                <w:tcPr>
                  <w:tcW w:w="2192" w:type="dxa"/>
                  <w:noWrap w:val="0"/>
                  <w:vAlign w:val="center"/>
                </w:tcPr>
                <w:p w14:paraId="54B1B3E6">
                  <w:pPr>
                    <w:adjustRightInd w:val="0"/>
                    <w:snapToGrid w:val="0"/>
                    <w:spacing w:line="240" w:lineRule="auto"/>
                    <w:jc w:val="center"/>
                    <w:rPr>
                      <w:rFonts w:hint="default" w:ascii="Times New Roman" w:hAnsi="Times New Roman" w:eastAsia="宋体" w:cs="Times New Roman"/>
                      <w:bCs/>
                      <w:snapToGrid w:val="0"/>
                      <w:color w:val="auto"/>
                      <w:sz w:val="21"/>
                      <w:szCs w:val="18"/>
                      <w:highlight w:val="none"/>
                      <w:lang w:val="en-US" w:eastAsia="zh-CN"/>
                    </w:rPr>
                  </w:pPr>
                  <w:r>
                    <w:rPr>
                      <w:rFonts w:hint="default" w:ascii="Times New Roman" w:hAnsi="Times New Roman" w:cs="Times New Roman"/>
                      <w:bCs/>
                      <w:snapToGrid w:val="0"/>
                      <w:color w:val="auto"/>
                      <w:sz w:val="21"/>
                      <w:szCs w:val="18"/>
                      <w:highlight w:val="none"/>
                      <w:lang w:val="en-US" w:eastAsia="zh-CN"/>
                    </w:rPr>
                    <w:t>氯化氢</w:t>
                  </w:r>
                </w:p>
              </w:tc>
              <w:tc>
                <w:tcPr>
                  <w:tcW w:w="2248" w:type="dxa"/>
                  <w:noWrap w:val="0"/>
                  <w:vAlign w:val="center"/>
                </w:tcPr>
                <w:p w14:paraId="6D5B28D5">
                  <w:pPr>
                    <w:adjustRightInd w:val="0"/>
                    <w:snapToGrid w:val="0"/>
                    <w:spacing w:line="240" w:lineRule="auto"/>
                    <w:jc w:val="center"/>
                    <w:rPr>
                      <w:rFonts w:hint="default" w:ascii="Times New Roman" w:hAnsi="Times New Roman" w:cs="Times New Roman"/>
                      <w:bCs/>
                      <w:snapToGrid w:val="0"/>
                      <w:color w:val="auto"/>
                      <w:sz w:val="21"/>
                      <w:szCs w:val="18"/>
                      <w:highlight w:val="none"/>
                    </w:rPr>
                  </w:pPr>
                  <w:r>
                    <w:rPr>
                      <w:rFonts w:hint="default" w:ascii="Times New Roman" w:hAnsi="Times New Roman" w:cs="Times New Roman"/>
                      <w:bCs/>
                      <w:snapToGrid w:val="0"/>
                      <w:color w:val="auto"/>
                      <w:sz w:val="21"/>
                      <w:szCs w:val="18"/>
                      <w:highlight w:val="none"/>
                    </w:rPr>
                    <w:t>1次/年</w:t>
                  </w:r>
                </w:p>
              </w:tc>
            </w:tr>
            <w:tr w14:paraId="6BC1F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76" w:type="dxa"/>
                  <w:noWrap w:val="0"/>
                  <w:vAlign w:val="center"/>
                </w:tcPr>
                <w:p w14:paraId="605E4CD9">
                  <w:pPr>
                    <w:adjustRightInd w:val="0"/>
                    <w:snapToGrid w:val="0"/>
                    <w:spacing w:line="240" w:lineRule="auto"/>
                    <w:jc w:val="center"/>
                    <w:rPr>
                      <w:rFonts w:hint="default" w:ascii="Times New Roman" w:hAnsi="Times New Roman" w:eastAsia="宋体" w:cs="Times New Roman"/>
                      <w:bCs/>
                      <w:snapToGrid w:val="0"/>
                      <w:color w:val="auto"/>
                      <w:sz w:val="21"/>
                      <w:szCs w:val="18"/>
                      <w:highlight w:val="none"/>
                      <w:lang w:val="en-US" w:eastAsia="zh-CN"/>
                    </w:rPr>
                  </w:pPr>
                  <w:r>
                    <w:rPr>
                      <w:rFonts w:hint="default" w:ascii="Times New Roman" w:hAnsi="Times New Roman" w:cs="Times New Roman"/>
                      <w:bCs/>
                      <w:snapToGrid w:val="0"/>
                      <w:color w:val="auto"/>
                      <w:sz w:val="21"/>
                      <w:szCs w:val="18"/>
                      <w:highlight w:val="none"/>
                      <w:lang w:val="en-US" w:eastAsia="zh-CN"/>
                    </w:rPr>
                    <w:t>有组织废气</w:t>
                  </w:r>
                </w:p>
              </w:tc>
              <w:tc>
                <w:tcPr>
                  <w:tcW w:w="2263" w:type="dxa"/>
                  <w:noWrap w:val="0"/>
                  <w:vAlign w:val="center"/>
                </w:tcPr>
                <w:p w14:paraId="3326EE39">
                  <w:pPr>
                    <w:adjustRightInd w:val="0"/>
                    <w:snapToGrid w:val="0"/>
                    <w:spacing w:line="240" w:lineRule="auto"/>
                    <w:jc w:val="center"/>
                    <w:rPr>
                      <w:rFonts w:hint="default" w:ascii="Times New Roman" w:hAnsi="Times New Roman" w:eastAsia="宋体" w:cs="Times New Roman"/>
                      <w:bCs/>
                      <w:snapToGrid w:val="0"/>
                      <w:color w:val="auto"/>
                      <w:sz w:val="21"/>
                      <w:szCs w:val="18"/>
                      <w:highlight w:val="none"/>
                      <w:lang w:val="en-US" w:eastAsia="zh-CN"/>
                    </w:rPr>
                  </w:pPr>
                  <w:r>
                    <w:rPr>
                      <w:rFonts w:hint="default" w:ascii="Times New Roman" w:hAnsi="Times New Roman" w:cs="Times New Roman"/>
                      <w:bCs/>
                      <w:snapToGrid w:val="0"/>
                      <w:color w:val="auto"/>
                      <w:sz w:val="21"/>
                      <w:szCs w:val="18"/>
                      <w:highlight w:val="none"/>
                      <w:lang w:val="en-US" w:eastAsia="zh-CN"/>
                    </w:rPr>
                    <w:t>氯化氢排气筒</w:t>
                  </w:r>
                </w:p>
              </w:tc>
              <w:tc>
                <w:tcPr>
                  <w:tcW w:w="2192" w:type="dxa"/>
                  <w:noWrap w:val="0"/>
                  <w:vAlign w:val="center"/>
                </w:tcPr>
                <w:p w14:paraId="221DF14C">
                  <w:pPr>
                    <w:adjustRightInd w:val="0"/>
                    <w:snapToGrid w:val="0"/>
                    <w:spacing w:line="240" w:lineRule="auto"/>
                    <w:jc w:val="center"/>
                    <w:rPr>
                      <w:rFonts w:hint="default" w:ascii="Times New Roman" w:hAnsi="Times New Roman" w:cs="Times New Roman"/>
                      <w:bCs/>
                      <w:snapToGrid w:val="0"/>
                      <w:color w:val="auto"/>
                      <w:sz w:val="21"/>
                      <w:szCs w:val="18"/>
                      <w:highlight w:val="none"/>
                      <w:lang w:val="en-US" w:eastAsia="zh-CN"/>
                    </w:rPr>
                  </w:pPr>
                  <w:r>
                    <w:rPr>
                      <w:rFonts w:hint="default" w:ascii="Times New Roman" w:hAnsi="Times New Roman" w:cs="Times New Roman"/>
                      <w:bCs/>
                      <w:snapToGrid w:val="0"/>
                      <w:color w:val="auto"/>
                      <w:sz w:val="21"/>
                      <w:szCs w:val="18"/>
                      <w:highlight w:val="none"/>
                      <w:lang w:val="en-US" w:eastAsia="zh-CN"/>
                    </w:rPr>
                    <w:t>氯化氢</w:t>
                  </w:r>
                </w:p>
              </w:tc>
              <w:tc>
                <w:tcPr>
                  <w:tcW w:w="2248" w:type="dxa"/>
                  <w:noWrap w:val="0"/>
                  <w:vAlign w:val="center"/>
                </w:tcPr>
                <w:p w14:paraId="5DF3DA57">
                  <w:pPr>
                    <w:adjustRightInd w:val="0"/>
                    <w:snapToGrid w:val="0"/>
                    <w:spacing w:line="240" w:lineRule="auto"/>
                    <w:jc w:val="center"/>
                    <w:rPr>
                      <w:rFonts w:hint="default" w:ascii="Times New Roman" w:hAnsi="Times New Roman" w:cs="Times New Roman"/>
                      <w:bCs/>
                      <w:snapToGrid w:val="0"/>
                      <w:color w:val="auto"/>
                      <w:sz w:val="21"/>
                      <w:szCs w:val="18"/>
                      <w:highlight w:val="none"/>
                    </w:rPr>
                  </w:pPr>
                  <w:r>
                    <w:rPr>
                      <w:rFonts w:hint="default" w:ascii="Times New Roman" w:hAnsi="Times New Roman" w:cs="Times New Roman"/>
                      <w:bCs/>
                      <w:snapToGrid w:val="0"/>
                      <w:color w:val="auto"/>
                      <w:sz w:val="21"/>
                      <w:szCs w:val="18"/>
                      <w:highlight w:val="none"/>
                    </w:rPr>
                    <w:t>1次/年</w:t>
                  </w:r>
                </w:p>
              </w:tc>
            </w:tr>
          </w:tbl>
          <w:p w14:paraId="1143A757">
            <w:pPr>
              <w:adjustRightInd w:val="0"/>
              <w:snapToGrid w:val="0"/>
              <w:spacing w:line="360" w:lineRule="auto"/>
              <w:ind w:firstLine="480" w:firstLineChars="200"/>
              <w:jc w:val="left"/>
              <w:rPr>
                <w:rFonts w:hint="default" w:ascii="Times New Roman" w:hAnsi="Times New Roman" w:cs="Times New Roman"/>
                <w:b/>
                <w:color w:val="auto"/>
                <w:sz w:val="24"/>
                <w:highlight w:val="none"/>
                <w:lang w:val="en-US" w:eastAsia="zh-CN"/>
              </w:rPr>
            </w:pPr>
            <w:r>
              <w:rPr>
                <w:rFonts w:hint="default" w:ascii="Times New Roman" w:hAnsi="Times New Roman" w:cs="Times New Roman"/>
                <w:color w:val="auto"/>
                <w:highlight w:val="none"/>
                <w:lang w:val="en-US" w:eastAsia="zh-CN"/>
              </w:rPr>
              <w:t>（4）</w:t>
            </w:r>
            <w:r>
              <w:rPr>
                <w:rFonts w:hint="default" w:ascii="Times New Roman" w:hAnsi="Times New Roman" w:cs="Times New Roman"/>
                <w:b w:val="0"/>
                <w:bCs/>
                <w:color w:val="auto"/>
                <w:sz w:val="24"/>
                <w:highlight w:val="none"/>
                <w:lang w:val="en-US" w:eastAsia="zh-CN"/>
              </w:rPr>
              <w:t>防治措施可行性分析</w:t>
            </w:r>
          </w:p>
          <w:p w14:paraId="6621B0F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
                <w:color w:val="auto"/>
                <w:sz w:val="24"/>
                <w:highlight w:val="none"/>
                <w:lang w:val="en-US" w:eastAsia="zh-CN"/>
              </w:rPr>
            </w:pPr>
            <w:r>
              <w:rPr>
                <w:rFonts w:hint="default" w:ascii="Times New Roman" w:hAnsi="Times New Roman" w:cs="Times New Roman"/>
                <w:bCs/>
                <w:color w:val="auto"/>
                <w:sz w:val="24"/>
                <w:highlight w:val="none"/>
                <w:lang w:val="en-US" w:eastAsia="zh-CN"/>
              </w:rPr>
              <w:t>碱喷淋塔去除酸雾是现阶段通用的可行性技术。</w:t>
            </w:r>
          </w:p>
          <w:p w14:paraId="733D7418">
            <w:pPr>
              <w:adjustRightInd w:val="0"/>
              <w:snapToGrid w:val="0"/>
              <w:spacing w:line="360" w:lineRule="auto"/>
              <w:ind w:firstLine="480" w:firstLineChars="200"/>
              <w:jc w:val="left"/>
              <w:rPr>
                <w:rFonts w:hint="default" w:ascii="Times New Roman" w:hAnsi="Times New Roman" w:cs="Times New Roman"/>
                <w:b/>
                <w:color w:val="auto"/>
                <w:sz w:val="24"/>
                <w:highlight w:val="none"/>
              </w:rPr>
            </w:pPr>
            <w:r>
              <w:rPr>
                <w:rFonts w:hint="default" w:ascii="Times New Roman" w:hAnsi="Times New Roman" w:cs="Times New Roman"/>
                <w:color w:val="auto"/>
                <w:highlight w:val="none"/>
                <w:lang w:val="en-US" w:eastAsia="zh-CN"/>
              </w:rPr>
              <w:t>（5</w:t>
            </w:r>
            <w:r>
              <w:rPr>
                <w:rFonts w:hint="default" w:ascii="Times New Roman" w:hAnsi="Times New Roman" w:cs="Times New Roman"/>
                <w:b w:val="0"/>
                <w:bCs w:val="0"/>
                <w:color w:val="auto"/>
                <w:highlight w:val="none"/>
                <w:lang w:val="en-US" w:eastAsia="zh-CN"/>
              </w:rPr>
              <w:t>）</w:t>
            </w:r>
            <w:r>
              <w:rPr>
                <w:rFonts w:hint="default" w:ascii="Times New Roman" w:hAnsi="Times New Roman" w:cs="Times New Roman"/>
                <w:b w:val="0"/>
                <w:bCs w:val="0"/>
                <w:color w:val="auto"/>
                <w:sz w:val="24"/>
                <w:highlight w:val="none"/>
              </w:rPr>
              <w:t>非正常工况</w:t>
            </w:r>
          </w:p>
          <w:p w14:paraId="0C841ADA">
            <w:pPr>
              <w:adjustRightInd w:val="0"/>
              <w:snapToGrid w:val="0"/>
              <w:spacing w:line="360" w:lineRule="auto"/>
              <w:ind w:firstLine="480" w:firstLineChars="200"/>
              <w:jc w:val="left"/>
              <w:rPr>
                <w:rFonts w:hint="default" w:ascii="Times New Roman" w:hAnsi="Times New Roman" w:cs="Times New Roman"/>
                <w:bCs/>
                <w:color w:val="auto"/>
                <w:sz w:val="24"/>
                <w:highlight w:val="none"/>
              </w:rPr>
            </w:pPr>
            <w:r>
              <w:rPr>
                <w:rFonts w:hint="default" w:ascii="Times New Roman" w:hAnsi="Times New Roman" w:cs="Times New Roman"/>
                <w:bCs/>
                <w:color w:val="auto"/>
                <w:sz w:val="24"/>
                <w:highlight w:val="none"/>
              </w:rPr>
              <w:t>非正常生产排污包括开车、停车、检修和非正常工况的污染物排放，如工艺设备和环保设施不能正常运行时污染物的排放等。在某些非正常生产工况时，污染源强会发生很大的变化，致使污染物产生量在短期内大幅增加。</w:t>
            </w:r>
          </w:p>
          <w:p w14:paraId="1ADC0DDD">
            <w:pPr>
              <w:adjustRightInd w:val="0"/>
              <w:snapToGrid w:val="0"/>
              <w:spacing w:line="360" w:lineRule="auto"/>
              <w:ind w:firstLine="480" w:firstLineChars="200"/>
              <w:jc w:val="left"/>
              <w:rPr>
                <w:rFonts w:hint="default" w:ascii="Times New Roman" w:hAnsi="Times New Roman" w:cs="Times New Roman"/>
                <w:bCs/>
                <w:color w:val="auto"/>
                <w:sz w:val="24"/>
                <w:highlight w:val="none"/>
              </w:rPr>
            </w:pPr>
            <w:r>
              <w:rPr>
                <w:rFonts w:hint="default" w:ascii="Times New Roman" w:hAnsi="Times New Roman" w:cs="Times New Roman"/>
                <w:bCs/>
                <w:color w:val="auto"/>
                <w:sz w:val="24"/>
                <w:highlight w:val="none"/>
              </w:rPr>
              <w:t>（1）停电、停气故障</w:t>
            </w:r>
          </w:p>
          <w:p w14:paraId="27ECD367">
            <w:pPr>
              <w:adjustRightInd w:val="0"/>
              <w:snapToGrid w:val="0"/>
              <w:spacing w:line="360" w:lineRule="auto"/>
              <w:ind w:firstLine="480" w:firstLineChars="200"/>
              <w:jc w:val="left"/>
              <w:rPr>
                <w:rFonts w:hint="default" w:ascii="Times New Roman" w:hAnsi="Times New Roman" w:cs="Times New Roman"/>
                <w:bCs/>
                <w:color w:val="auto"/>
                <w:sz w:val="24"/>
                <w:highlight w:val="none"/>
              </w:rPr>
            </w:pPr>
            <w:r>
              <w:rPr>
                <w:rFonts w:hint="default" w:ascii="Times New Roman" w:hAnsi="Times New Roman" w:cs="Times New Roman"/>
                <w:bCs/>
                <w:color w:val="auto"/>
                <w:sz w:val="24"/>
                <w:highlight w:val="none"/>
              </w:rPr>
              <w:t>项目生产使用电能。停电即停止运行。污染物会持续产生，会对周边环境造成影响。</w:t>
            </w:r>
          </w:p>
          <w:p w14:paraId="3701D5C6">
            <w:pPr>
              <w:adjustRightInd w:val="0"/>
              <w:snapToGrid w:val="0"/>
              <w:spacing w:line="360" w:lineRule="auto"/>
              <w:ind w:firstLine="480" w:firstLineChars="200"/>
              <w:jc w:val="left"/>
              <w:rPr>
                <w:rFonts w:hint="default" w:ascii="Times New Roman" w:hAnsi="Times New Roman" w:cs="Times New Roman"/>
                <w:bCs/>
                <w:color w:val="auto"/>
                <w:sz w:val="24"/>
                <w:highlight w:val="none"/>
              </w:rPr>
            </w:pPr>
            <w:r>
              <w:rPr>
                <w:rFonts w:hint="default" w:ascii="Times New Roman" w:hAnsi="Times New Roman" w:cs="Times New Roman"/>
                <w:bCs/>
                <w:color w:val="auto"/>
                <w:sz w:val="24"/>
                <w:highlight w:val="none"/>
              </w:rPr>
              <w:t>（2）生产线故障</w:t>
            </w:r>
          </w:p>
          <w:p w14:paraId="46548D8E">
            <w:pPr>
              <w:adjustRightInd w:val="0"/>
              <w:snapToGrid w:val="0"/>
              <w:spacing w:line="360" w:lineRule="auto"/>
              <w:ind w:firstLine="480" w:firstLineChars="200"/>
              <w:jc w:val="left"/>
              <w:rPr>
                <w:rFonts w:hint="default" w:ascii="Times New Roman" w:hAnsi="Times New Roman" w:cs="Times New Roman"/>
                <w:bCs/>
                <w:color w:val="auto"/>
                <w:sz w:val="24"/>
                <w:highlight w:val="none"/>
              </w:rPr>
            </w:pPr>
            <w:r>
              <w:rPr>
                <w:rFonts w:hint="default" w:ascii="Times New Roman" w:hAnsi="Times New Roman" w:cs="Times New Roman"/>
                <w:bCs/>
                <w:color w:val="auto"/>
                <w:sz w:val="24"/>
                <w:highlight w:val="none"/>
              </w:rPr>
              <w:t>本项目车间内无完整流水线，各生产设备均为独立工作，单条生产线故障时不会对另外一条造成影响。</w:t>
            </w:r>
          </w:p>
          <w:p w14:paraId="22BDC748">
            <w:pPr>
              <w:adjustRightInd w:val="0"/>
              <w:snapToGrid w:val="0"/>
              <w:spacing w:line="360" w:lineRule="auto"/>
              <w:ind w:firstLine="480" w:firstLineChars="200"/>
              <w:jc w:val="left"/>
              <w:rPr>
                <w:rFonts w:hint="default" w:ascii="Times New Roman" w:hAnsi="Times New Roman" w:cs="Times New Roman"/>
                <w:bCs/>
                <w:color w:val="auto"/>
                <w:sz w:val="24"/>
                <w:highlight w:val="none"/>
              </w:rPr>
            </w:pPr>
            <w:r>
              <w:rPr>
                <w:rFonts w:hint="default" w:ascii="Times New Roman" w:hAnsi="Times New Roman" w:cs="Times New Roman"/>
                <w:bCs/>
                <w:color w:val="auto"/>
                <w:sz w:val="24"/>
                <w:highlight w:val="none"/>
              </w:rPr>
              <w:t>（3）环保设施故障</w:t>
            </w:r>
          </w:p>
          <w:p w14:paraId="1B964F48">
            <w:pPr>
              <w:adjustRightInd w:val="0"/>
              <w:snapToGrid w:val="0"/>
              <w:spacing w:line="360" w:lineRule="auto"/>
              <w:ind w:firstLine="480" w:firstLineChars="200"/>
              <w:jc w:val="left"/>
              <w:rPr>
                <w:rFonts w:hint="default" w:ascii="Times New Roman" w:hAnsi="Times New Roman" w:cs="Times New Roman"/>
                <w:bCs/>
                <w:color w:val="auto"/>
                <w:sz w:val="24"/>
                <w:highlight w:val="none"/>
              </w:rPr>
            </w:pPr>
            <w:r>
              <w:rPr>
                <w:rFonts w:hint="default" w:ascii="Times New Roman" w:hAnsi="Times New Roman" w:cs="Times New Roman"/>
                <w:bCs/>
                <w:color w:val="auto"/>
                <w:sz w:val="24"/>
                <w:highlight w:val="none"/>
              </w:rPr>
              <w:t>项目涉及的环保设施主要包括</w:t>
            </w:r>
            <w:r>
              <w:rPr>
                <w:rFonts w:hint="default" w:ascii="Times New Roman" w:hAnsi="Times New Roman" w:cs="Times New Roman"/>
                <w:bCs/>
                <w:color w:val="auto"/>
                <w:sz w:val="24"/>
                <w:highlight w:val="none"/>
                <w:lang w:val="en-US" w:eastAsia="zh-CN"/>
              </w:rPr>
              <w:t>移动粉尘净化器</w:t>
            </w:r>
            <w:r>
              <w:rPr>
                <w:rFonts w:hint="default" w:ascii="Times New Roman" w:hAnsi="Times New Roman" w:cs="Times New Roman"/>
                <w:bCs/>
                <w:color w:val="auto"/>
                <w:sz w:val="24"/>
                <w:highlight w:val="none"/>
              </w:rPr>
              <w:t>，当单台环保设施发生故障时，可借用其他工序环保设施，不会对外环境造成较大影响。</w:t>
            </w:r>
          </w:p>
          <w:p w14:paraId="7E2E50FC">
            <w:pPr>
              <w:adjustRightInd w:val="0"/>
              <w:snapToGrid w:val="0"/>
              <w:spacing w:line="240" w:lineRule="auto"/>
              <w:jc w:val="center"/>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表4-</w:t>
            </w:r>
            <w:r>
              <w:rPr>
                <w:rFonts w:hint="default" w:ascii="Times New Roman" w:hAnsi="Times New Roman" w:cs="Times New Roman"/>
                <w:b/>
                <w:bCs/>
                <w:color w:val="auto"/>
                <w:sz w:val="24"/>
                <w:highlight w:val="none"/>
                <w:lang w:val="en-US" w:eastAsia="zh-CN"/>
              </w:rPr>
              <w:t>2</w:t>
            </w:r>
            <w:r>
              <w:rPr>
                <w:rFonts w:hint="default" w:ascii="Times New Roman" w:hAnsi="Times New Roman" w:cs="Times New Roman"/>
                <w:b/>
                <w:bCs/>
                <w:color w:val="auto"/>
                <w:sz w:val="24"/>
                <w:highlight w:val="none"/>
              </w:rPr>
              <w:t xml:space="preserve">  项目非正常工况大气污染物源强表</w:t>
            </w:r>
          </w:p>
          <w:tbl>
            <w:tblPr>
              <w:tblStyle w:val="3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5"/>
              <w:gridCol w:w="1358"/>
              <w:gridCol w:w="2196"/>
              <w:gridCol w:w="1817"/>
              <w:gridCol w:w="1285"/>
            </w:tblGrid>
            <w:tr w14:paraId="67A00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66" w:type="pct"/>
                  <w:noWrap w:val="0"/>
                  <w:vAlign w:val="center"/>
                </w:tcPr>
                <w:p w14:paraId="2DC49DE8">
                  <w:pPr>
                    <w:adjustRightInd w:val="0"/>
                    <w:snapToGrid w:val="0"/>
                    <w:spacing w:line="240" w:lineRule="auto"/>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污染源</w:t>
                  </w:r>
                </w:p>
              </w:tc>
              <w:tc>
                <w:tcPr>
                  <w:tcW w:w="802" w:type="pct"/>
                  <w:noWrap w:val="0"/>
                  <w:vAlign w:val="center"/>
                </w:tcPr>
                <w:p w14:paraId="2A699121">
                  <w:pPr>
                    <w:adjustRightInd w:val="0"/>
                    <w:snapToGrid w:val="0"/>
                    <w:spacing w:line="240" w:lineRule="auto"/>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主要污染物</w:t>
                  </w:r>
                </w:p>
              </w:tc>
              <w:tc>
                <w:tcPr>
                  <w:tcW w:w="1297" w:type="pct"/>
                  <w:noWrap w:val="0"/>
                  <w:vAlign w:val="center"/>
                </w:tcPr>
                <w:p w14:paraId="6647B746">
                  <w:pPr>
                    <w:adjustRightInd w:val="0"/>
                    <w:snapToGrid w:val="0"/>
                    <w:spacing w:line="240" w:lineRule="auto"/>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单个工序最大速率（kg/h）</w:t>
                  </w:r>
                </w:p>
              </w:tc>
              <w:tc>
                <w:tcPr>
                  <w:tcW w:w="1073" w:type="pct"/>
                  <w:noWrap w:val="0"/>
                  <w:vAlign w:val="center"/>
                </w:tcPr>
                <w:p w14:paraId="3FD510D3">
                  <w:pPr>
                    <w:adjustRightInd w:val="0"/>
                    <w:snapToGrid w:val="0"/>
                    <w:spacing w:line="240" w:lineRule="auto"/>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单次持续时间（h）</w:t>
                  </w:r>
                </w:p>
              </w:tc>
              <w:tc>
                <w:tcPr>
                  <w:tcW w:w="759" w:type="pct"/>
                  <w:noWrap w:val="0"/>
                  <w:vAlign w:val="center"/>
                </w:tcPr>
                <w:p w14:paraId="1CB3C50B">
                  <w:pPr>
                    <w:adjustRightInd w:val="0"/>
                    <w:snapToGrid w:val="0"/>
                    <w:spacing w:line="240" w:lineRule="auto"/>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年发生频率</w:t>
                  </w:r>
                </w:p>
              </w:tc>
            </w:tr>
            <w:tr w14:paraId="03B9C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66" w:type="pct"/>
                  <w:noWrap w:val="0"/>
                  <w:vAlign w:val="center"/>
                </w:tcPr>
                <w:p w14:paraId="485271B3">
                  <w:pPr>
                    <w:adjustRightInd w:val="0"/>
                    <w:snapToGrid w:val="0"/>
                    <w:spacing w:line="240" w:lineRule="auto"/>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碱喷淋塔</w:t>
                  </w:r>
                </w:p>
              </w:tc>
              <w:tc>
                <w:tcPr>
                  <w:tcW w:w="802" w:type="pct"/>
                  <w:noWrap w:val="0"/>
                  <w:vAlign w:val="center"/>
                </w:tcPr>
                <w:p w14:paraId="27E65D16">
                  <w:pPr>
                    <w:adjustRightInd w:val="0"/>
                    <w:snapToGrid w:val="0"/>
                    <w:spacing w:line="240" w:lineRule="auto"/>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cs="Times New Roman"/>
                      <w:bCs/>
                      <w:color w:val="auto"/>
                      <w:sz w:val="21"/>
                      <w:szCs w:val="21"/>
                      <w:highlight w:val="none"/>
                      <w:lang w:val="en-US" w:eastAsia="zh-CN"/>
                    </w:rPr>
                    <w:t>氯化氢</w:t>
                  </w:r>
                </w:p>
              </w:tc>
              <w:tc>
                <w:tcPr>
                  <w:tcW w:w="1297" w:type="pct"/>
                  <w:noWrap w:val="0"/>
                  <w:vAlign w:val="center"/>
                </w:tcPr>
                <w:p w14:paraId="21007351">
                  <w:pPr>
                    <w:adjustRightInd w:val="0"/>
                    <w:snapToGrid w:val="0"/>
                    <w:spacing w:line="240" w:lineRule="auto"/>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0.25</w:t>
                  </w:r>
                </w:p>
              </w:tc>
              <w:tc>
                <w:tcPr>
                  <w:tcW w:w="1073" w:type="pct"/>
                  <w:noWrap w:val="0"/>
                  <w:vAlign w:val="center"/>
                </w:tcPr>
                <w:p w14:paraId="4D0B5BBC">
                  <w:pPr>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bCs/>
                      <w:color w:val="auto"/>
                      <w:sz w:val="21"/>
                      <w:szCs w:val="21"/>
                      <w:highlight w:val="none"/>
                    </w:rPr>
                    <w:t>0.25</w:t>
                  </w:r>
                </w:p>
              </w:tc>
              <w:tc>
                <w:tcPr>
                  <w:tcW w:w="759" w:type="pct"/>
                  <w:noWrap w:val="0"/>
                  <w:vAlign w:val="center"/>
                </w:tcPr>
                <w:p w14:paraId="3F935E26">
                  <w:pPr>
                    <w:adjustRightInd w:val="0"/>
                    <w:snapToGrid w:val="0"/>
                    <w:spacing w:line="240" w:lineRule="auto"/>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2</w:t>
                  </w:r>
                </w:p>
              </w:tc>
            </w:tr>
          </w:tbl>
          <w:p w14:paraId="77ACE1D6">
            <w:pPr>
              <w:adjustRightInd w:val="0"/>
              <w:snapToGrid w:val="0"/>
              <w:spacing w:line="360" w:lineRule="auto"/>
              <w:ind w:firstLine="480" w:firstLineChars="200"/>
              <w:jc w:val="left"/>
              <w:rPr>
                <w:rFonts w:hint="default" w:ascii="Times New Roman" w:hAnsi="Times New Roman" w:cs="Times New Roman"/>
                <w:bCs/>
                <w:color w:val="auto"/>
                <w:sz w:val="24"/>
                <w:highlight w:val="none"/>
              </w:rPr>
            </w:pPr>
            <w:r>
              <w:rPr>
                <w:rFonts w:hint="default" w:ascii="Times New Roman" w:hAnsi="Times New Roman" w:cs="Times New Roman"/>
                <w:bCs/>
                <w:color w:val="auto"/>
                <w:sz w:val="24"/>
                <w:highlight w:val="none"/>
              </w:rPr>
              <w:t>建议：建设单位在正常生产时应合理安排环保设施的检修时间，同时应加强各环保设施的日常维护的保养。</w:t>
            </w:r>
          </w:p>
          <w:p w14:paraId="223AED82">
            <w:pPr>
              <w:pStyle w:val="8"/>
              <w:pageBreakBefore w:val="0"/>
              <w:widowControl w:val="0"/>
              <w:kinsoku/>
              <w:wordWrap/>
              <w:overflowPunct/>
              <w:topLinePunct w:val="0"/>
              <w:autoSpaceDE/>
              <w:autoSpaceDN/>
              <w:bidi w:val="0"/>
              <w:adjustRightInd w:val="0"/>
              <w:snapToGrid w:val="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2 水环境影响分析</w:t>
            </w:r>
          </w:p>
          <w:p w14:paraId="18D29E3B">
            <w:pPr>
              <w:keepNext/>
              <w:keepLines/>
              <w:pageBreakBefore w:val="0"/>
              <w:widowControl w:val="0"/>
              <w:kinsoku/>
              <w:wordWrap/>
              <w:overflowPunct/>
              <w:topLinePunct w:val="0"/>
              <w:autoSpaceDE/>
              <w:autoSpaceDN/>
              <w:bidi w:val="0"/>
              <w:adjustRightInd w:val="0"/>
              <w:snapToGrid w:val="0"/>
              <w:ind w:firstLine="480" w:firstLineChars="200"/>
              <w:textAlignment w:val="auto"/>
              <w:outlineLvl w:val="9"/>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本次扩建项目不新增劳动定员无新增生活污水；生产废水主要为冲洗废水，废水进入废水池后定期使用封闭罐车运至秦皇岛市抚宁区中冶水务有限公司进行处理。</w:t>
            </w:r>
          </w:p>
          <w:p w14:paraId="761351C1">
            <w:pPr>
              <w:pageBreakBefore w:val="0"/>
              <w:widowControl w:val="0"/>
              <w:kinsoku/>
              <w:wordWrap/>
              <w:overflowPunct/>
              <w:topLinePunct w:val="0"/>
              <w:autoSpaceDE/>
              <w:autoSpaceDN/>
              <w:bidi w:val="0"/>
              <w:adjustRightInd w:val="0"/>
              <w:snapToGrid w:val="0"/>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（1）污染物产生情况</w:t>
            </w:r>
          </w:p>
          <w:p w14:paraId="67931DF3">
            <w:pPr>
              <w:pageBreakBefore w:val="0"/>
              <w:widowControl w:val="0"/>
              <w:kinsoku/>
              <w:wordWrap/>
              <w:overflowPunct/>
              <w:topLinePunct w:val="0"/>
              <w:autoSpaceDE/>
              <w:autoSpaceDN/>
              <w:bidi w:val="0"/>
              <w:adjustRightInd w:val="0"/>
              <w:snapToGrid w:val="0"/>
              <w:ind w:firstLine="480" w:firstLineChars="20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秦皇岛市抚宁区中冶水务有限公司对</w:t>
            </w:r>
            <w:r>
              <w:rPr>
                <w:rFonts w:hint="default" w:ascii="Times New Roman" w:hAnsi="Times New Roman" w:cs="Times New Roman"/>
                <w:color w:val="auto"/>
                <w:sz w:val="24"/>
                <w:szCs w:val="24"/>
                <w:highlight w:val="none"/>
                <w:lang w:val="en-US" w:eastAsia="zh-CN"/>
              </w:rPr>
              <w:t>企业“小试实验”废水样品</w:t>
            </w:r>
            <w:r>
              <w:rPr>
                <w:rFonts w:hint="default" w:ascii="Times New Roman" w:hAnsi="Times New Roman" w:cs="Times New Roman"/>
                <w:color w:val="auto"/>
                <w:highlight w:val="none"/>
                <w:lang w:val="en-US" w:eastAsia="zh-CN"/>
              </w:rPr>
              <w:t>进行检测，主要污染物COD、氨氮、动植物油、悬浮物均可满足《污水综合排放标准》 （GB8978-1996）表4中三级标准</w:t>
            </w:r>
            <w:r>
              <w:rPr>
                <w:rFonts w:hint="default" w:ascii="Times New Roman" w:hAnsi="Times New Roman" w:cs="Times New Roman"/>
                <w:color w:val="auto"/>
                <w:highlight w:val="none"/>
              </w:rPr>
              <w:t>及</w:t>
            </w:r>
            <w:r>
              <w:rPr>
                <w:rFonts w:hint="default" w:ascii="Times New Roman" w:hAnsi="Times New Roman" w:cs="Times New Roman"/>
                <w:color w:val="auto"/>
                <w:highlight w:val="none"/>
                <w:lang w:eastAsia="zh-CN"/>
              </w:rPr>
              <w:t>秦皇岛市抚宁区中冶水务有限公司</w:t>
            </w:r>
            <w:r>
              <w:rPr>
                <w:rFonts w:hint="default" w:ascii="Times New Roman" w:hAnsi="Times New Roman" w:cs="Times New Roman"/>
                <w:color w:val="auto"/>
                <w:highlight w:val="none"/>
              </w:rPr>
              <w:t>收水要求</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本次项目污染物产生总量按照收水标准进行核算，则经治理后各污染物排放浓度及排放量为：</w:t>
            </w:r>
            <w:r>
              <w:rPr>
                <w:rFonts w:hint="default" w:ascii="Times New Roman" w:hAnsi="Times New Roman" w:cs="Times New Roman"/>
                <w:color w:val="auto"/>
                <w:sz w:val="24"/>
                <w:szCs w:val="24"/>
                <w:highlight w:val="none"/>
              </w:rPr>
              <w:t>CODcr：</w:t>
            </w:r>
            <w:r>
              <w:rPr>
                <w:rFonts w:hint="eastAsia" w:cs="Times New Roman"/>
                <w:color w:val="auto"/>
                <w:sz w:val="24"/>
                <w:szCs w:val="24"/>
                <w:highlight w:val="none"/>
                <w:lang w:val="en-US" w:eastAsia="zh-CN"/>
              </w:rPr>
              <w:t>50</w:t>
            </w:r>
            <w:r>
              <w:rPr>
                <w:rFonts w:hint="default" w:ascii="Times New Roman" w:hAnsi="Times New Roman" w:cs="Times New Roman"/>
                <w:color w:val="auto"/>
                <w:sz w:val="24"/>
                <w:szCs w:val="24"/>
                <w:highlight w:val="none"/>
                <w:lang w:val="en-US" w:eastAsia="zh-CN"/>
              </w:rPr>
              <w:t>0</w:t>
            </w:r>
            <w:r>
              <w:rPr>
                <w:rFonts w:hint="default" w:ascii="Times New Roman" w:hAnsi="Times New Roman" w:cs="Times New Roman"/>
                <w:color w:val="auto"/>
                <w:sz w:val="24"/>
                <w:szCs w:val="24"/>
                <w:highlight w:val="none"/>
              </w:rPr>
              <w:t>mg/L，</w:t>
            </w:r>
            <w:r>
              <w:rPr>
                <w:rFonts w:hint="default" w:ascii="Times New Roman" w:hAnsi="Times New Roman" w:cs="Times New Roman"/>
                <w:color w:val="auto"/>
                <w:sz w:val="24"/>
                <w:szCs w:val="24"/>
                <w:highlight w:val="none"/>
                <w:lang w:val="en-US" w:eastAsia="zh-CN"/>
              </w:rPr>
              <w:t>0.0</w:t>
            </w:r>
            <w:r>
              <w:rPr>
                <w:rFonts w:hint="eastAsia" w:cs="Times New Roman"/>
                <w:color w:val="auto"/>
                <w:sz w:val="24"/>
                <w:szCs w:val="24"/>
                <w:highlight w:val="none"/>
                <w:lang w:val="en-US" w:eastAsia="zh-CN"/>
              </w:rPr>
              <w:t>6</w:t>
            </w:r>
            <w:r>
              <w:rPr>
                <w:rFonts w:hint="default" w:ascii="Times New Roman" w:hAnsi="Times New Roman" w:cs="Times New Roman"/>
                <w:color w:val="auto"/>
                <w:sz w:val="24"/>
                <w:szCs w:val="24"/>
                <w:highlight w:val="none"/>
              </w:rPr>
              <w:t>t/a</w:t>
            </w:r>
            <w:r>
              <w:rPr>
                <w:rFonts w:hint="default" w:ascii="Times New Roman" w:hAnsi="Times New Roman" w:cs="Times New Roman"/>
                <w:color w:val="auto"/>
                <w:highlight w:val="none"/>
              </w:rPr>
              <w:t>；氨氮：</w:t>
            </w:r>
            <w:r>
              <w:rPr>
                <w:rFonts w:hint="default" w:ascii="Times New Roman" w:hAnsi="Times New Roman" w:cs="Times New Roman"/>
                <w:color w:val="auto"/>
                <w:highlight w:val="none"/>
                <w:lang w:val="en-US" w:eastAsia="zh-CN"/>
              </w:rPr>
              <w:t>22</w:t>
            </w:r>
            <w:r>
              <w:rPr>
                <w:rFonts w:hint="default" w:ascii="Times New Roman" w:hAnsi="Times New Roman" w:cs="Times New Roman"/>
                <w:color w:val="auto"/>
                <w:highlight w:val="none"/>
              </w:rPr>
              <w:t>mg/L，</w:t>
            </w:r>
            <w:r>
              <w:rPr>
                <w:rFonts w:hint="default" w:ascii="Times New Roman" w:hAnsi="Times New Roman" w:cs="Times New Roman"/>
                <w:color w:val="auto"/>
                <w:highlight w:val="none"/>
                <w:lang w:val="en-US" w:eastAsia="zh-CN"/>
              </w:rPr>
              <w:t>0.003</w:t>
            </w:r>
            <w:r>
              <w:rPr>
                <w:rFonts w:hint="default" w:ascii="Times New Roman" w:hAnsi="Times New Roman" w:cs="Times New Roman"/>
                <w:color w:val="auto"/>
                <w:highlight w:val="none"/>
              </w:rPr>
              <w:t>t/a；</w:t>
            </w:r>
            <w:r>
              <w:rPr>
                <w:rFonts w:hint="default" w:ascii="Times New Roman" w:hAnsi="Times New Roman" w:cs="Times New Roman"/>
                <w:color w:val="auto"/>
                <w:highlight w:val="none"/>
                <w:lang w:val="en-US" w:eastAsia="zh-CN"/>
              </w:rPr>
              <w:t>石油类：15mg/L，0.0018t/a</w:t>
            </w:r>
            <w:r>
              <w:rPr>
                <w:rFonts w:hint="default" w:ascii="Times New Roman" w:hAnsi="Times New Roman" w:cs="Times New Roman"/>
                <w:color w:val="auto"/>
                <w:highlight w:val="none"/>
              </w:rPr>
              <w:t>。</w:t>
            </w:r>
          </w:p>
          <w:p w14:paraId="32CA8E23">
            <w:pPr>
              <w:pageBreakBefore w:val="0"/>
              <w:widowControl w:val="0"/>
              <w:kinsoku/>
              <w:wordWrap/>
              <w:overflowPunct/>
              <w:topLinePunct w:val="0"/>
              <w:autoSpaceDE/>
              <w:autoSpaceDN/>
              <w:bidi w:val="0"/>
              <w:adjustRightInd w:val="0"/>
              <w:snapToGrid w:val="0"/>
              <w:ind w:firstLine="480" w:firstLineChars="20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（2）污染物治理情况</w:t>
            </w:r>
          </w:p>
          <w:p w14:paraId="74D026A9">
            <w:pPr>
              <w:pStyle w:val="12"/>
              <w:keepNext w:val="0"/>
              <w:keepLines w:val="0"/>
              <w:pageBreakBefore w:val="0"/>
              <w:widowControl w:val="0"/>
              <w:kinsoku/>
              <w:wordWrap/>
              <w:overflowPunct/>
              <w:topLinePunct w:val="0"/>
              <w:autoSpaceDE/>
              <w:autoSpaceDN/>
              <w:bidi w:val="0"/>
              <w:adjustRightInd w:val="0"/>
              <w:snapToGrid w:val="0"/>
              <w:ind w:firstLine="480" w:firstLineChars="200"/>
              <w:jc w:val="both"/>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生活污水不新增，依托现有治理设施进行治理；生产废水经管线进入废水池内暂存，废水池容积6</w:t>
            </w:r>
            <w:r>
              <w:rPr>
                <w:rFonts w:hint="default" w:ascii="Times New Roman" w:hAnsi="Times New Roman" w:cs="Times New Roman"/>
                <w:color w:val="auto"/>
                <w:sz w:val="21"/>
                <w:szCs w:val="21"/>
                <w:highlight w:val="none"/>
                <w:vertAlign w:val="baseline"/>
                <w:lang w:val="en-US" w:eastAsia="zh-CN"/>
              </w:rPr>
              <w:t>m</w:t>
            </w:r>
            <w:r>
              <w:rPr>
                <w:rFonts w:hint="default" w:ascii="Times New Roman" w:hAnsi="Times New Roman" w:cs="Times New Roman"/>
                <w:color w:val="auto"/>
                <w:sz w:val="21"/>
                <w:szCs w:val="21"/>
                <w:highlight w:val="none"/>
                <w:vertAlign w:val="superscript"/>
                <w:lang w:val="en-US" w:eastAsia="zh-CN"/>
              </w:rPr>
              <w:t>3</w:t>
            </w:r>
            <w:r>
              <w:rPr>
                <w:rFonts w:hint="default" w:ascii="Times New Roman" w:hAnsi="Times New Roman" w:cs="Times New Roman"/>
                <w:color w:val="auto"/>
                <w:highlight w:val="none"/>
                <w:lang w:val="en-US" w:eastAsia="zh-CN"/>
              </w:rPr>
              <w:t>，废水池设置在地下（兼做事故池），可容纳15天的生产废水，废水定期拉至秦皇岛市抚宁区中冶水务有限公司</w:t>
            </w:r>
            <w:r>
              <w:rPr>
                <w:rFonts w:hint="default" w:ascii="Times New Roman" w:hAnsi="Times New Roman" w:cs="Times New Roman"/>
                <w:color w:val="auto"/>
                <w:highlight w:val="none"/>
              </w:rPr>
              <w:t>进一步处理。各污染物</w:t>
            </w:r>
            <w:r>
              <w:rPr>
                <w:rFonts w:hint="default" w:ascii="Times New Roman" w:hAnsi="Times New Roman" w:cs="Times New Roman"/>
                <w:color w:val="auto"/>
                <w:highlight w:val="none"/>
                <w:lang w:val="en-US" w:eastAsia="zh-CN"/>
              </w:rPr>
              <w:t>预测</w:t>
            </w:r>
            <w:r>
              <w:rPr>
                <w:rFonts w:hint="default" w:ascii="Times New Roman" w:hAnsi="Times New Roman" w:cs="Times New Roman"/>
                <w:color w:val="auto"/>
                <w:highlight w:val="none"/>
              </w:rPr>
              <w:t>的排放浓度满足</w:t>
            </w:r>
            <w:r>
              <w:rPr>
                <w:rFonts w:hint="default" w:ascii="Times New Roman" w:hAnsi="Times New Roman" w:cs="Times New Roman"/>
                <w:color w:val="auto"/>
                <w:highlight w:val="none"/>
                <w:lang w:val="en-US" w:eastAsia="zh-CN"/>
              </w:rPr>
              <w:t>《污水综合排放标准》（GB8978-1996）表4中</w:t>
            </w:r>
            <w:r>
              <w:rPr>
                <w:rFonts w:hint="eastAsia" w:cs="Times New Roman"/>
                <w:color w:val="auto"/>
                <w:highlight w:val="none"/>
                <w:lang w:val="en-US" w:eastAsia="zh-CN"/>
              </w:rPr>
              <w:t>三</w:t>
            </w:r>
            <w:r>
              <w:rPr>
                <w:rFonts w:hint="default" w:ascii="Times New Roman" w:hAnsi="Times New Roman" w:cs="Times New Roman"/>
                <w:color w:val="auto"/>
                <w:highlight w:val="none"/>
                <w:lang w:val="en-US" w:eastAsia="zh-CN"/>
              </w:rPr>
              <w:t>级标准、《污水排入城镇下水道水质标准》（GB/T31962-2015）A级</w:t>
            </w:r>
            <w:r>
              <w:rPr>
                <w:rFonts w:hint="default" w:ascii="Times New Roman" w:hAnsi="Times New Roman" w:cs="Times New Roman"/>
                <w:color w:val="auto"/>
                <w:highlight w:val="none"/>
              </w:rPr>
              <w:t>及</w:t>
            </w:r>
            <w:r>
              <w:rPr>
                <w:rFonts w:hint="default" w:ascii="Times New Roman" w:hAnsi="Times New Roman" w:cs="Times New Roman"/>
                <w:color w:val="auto"/>
                <w:highlight w:val="none"/>
                <w:lang w:eastAsia="zh-CN"/>
              </w:rPr>
              <w:t>秦皇岛市抚宁区中冶水务有限公司</w:t>
            </w:r>
            <w:r>
              <w:rPr>
                <w:rFonts w:hint="default" w:ascii="Times New Roman" w:hAnsi="Times New Roman" w:cs="Times New Roman"/>
                <w:color w:val="auto"/>
                <w:highlight w:val="none"/>
              </w:rPr>
              <w:t>收水要求。</w:t>
            </w:r>
          </w:p>
          <w:p w14:paraId="4AB5E4BB">
            <w:pPr>
              <w:pStyle w:val="8"/>
              <w:pageBreakBefore w:val="0"/>
              <w:widowControl w:val="0"/>
              <w:kinsoku/>
              <w:wordWrap/>
              <w:overflowPunct/>
              <w:topLinePunct w:val="0"/>
              <w:autoSpaceDE/>
              <w:autoSpaceDN/>
              <w:bidi w:val="0"/>
              <w:adjustRightInd w:val="0"/>
              <w:snapToGrid w:val="0"/>
              <w:ind w:firstLine="480" w:firstLineChars="200"/>
              <w:textAlignment w:val="auto"/>
              <w:rPr>
                <w:rFonts w:hint="default" w:ascii="Times New Roman" w:hAnsi="Times New Roman" w:cs="Times New Roman"/>
                <w:b w:val="0"/>
                <w:color w:val="auto"/>
                <w:sz w:val="24"/>
                <w:highlight w:val="none"/>
              </w:rPr>
            </w:pPr>
            <w:r>
              <w:rPr>
                <w:rFonts w:hint="default" w:ascii="Times New Roman" w:hAnsi="Times New Roman" w:cs="Times New Roman"/>
                <w:b w:val="0"/>
                <w:color w:val="auto"/>
                <w:sz w:val="24"/>
                <w:highlight w:val="none"/>
              </w:rPr>
              <w:t>（</w:t>
            </w:r>
            <w:r>
              <w:rPr>
                <w:rFonts w:hint="default" w:ascii="Times New Roman" w:hAnsi="Times New Roman" w:cs="Times New Roman"/>
                <w:b w:val="0"/>
                <w:color w:val="auto"/>
                <w:sz w:val="24"/>
                <w:highlight w:val="none"/>
                <w:lang w:val="en-US" w:eastAsia="zh-CN"/>
              </w:rPr>
              <w:t>3</w:t>
            </w:r>
            <w:r>
              <w:rPr>
                <w:rFonts w:hint="default" w:ascii="Times New Roman" w:hAnsi="Times New Roman" w:cs="Times New Roman"/>
                <w:b w:val="0"/>
                <w:color w:val="auto"/>
                <w:sz w:val="24"/>
                <w:highlight w:val="none"/>
              </w:rPr>
              <w:t>）</w:t>
            </w:r>
            <w:r>
              <w:rPr>
                <w:rFonts w:hint="default" w:ascii="Times New Roman" w:hAnsi="Times New Roman" w:cs="Times New Roman"/>
                <w:b w:val="0"/>
                <w:color w:val="auto"/>
                <w:sz w:val="24"/>
                <w:highlight w:val="none"/>
                <w:lang w:eastAsia="zh-CN"/>
              </w:rPr>
              <w:t>秦皇岛市抚宁区中冶水务有限公司</w:t>
            </w:r>
            <w:r>
              <w:rPr>
                <w:rFonts w:hint="default" w:ascii="Times New Roman" w:hAnsi="Times New Roman" w:cs="Times New Roman"/>
                <w:b w:val="0"/>
                <w:color w:val="auto"/>
                <w:sz w:val="24"/>
                <w:highlight w:val="none"/>
              </w:rPr>
              <w:t>可行性分析</w:t>
            </w:r>
          </w:p>
          <w:p w14:paraId="54CD83E3">
            <w:pPr>
              <w:keepNext w:val="0"/>
              <w:keepLines w:val="0"/>
              <w:pageBreakBefore w:val="0"/>
              <w:widowControl w:val="0"/>
              <w:tabs>
                <w:tab w:val="center" w:pos="4237"/>
              </w:tabs>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cs="Times New Roman"/>
                <w:bCs/>
                <w:color w:val="auto"/>
                <w:sz w:val="24"/>
                <w:highlight w:val="none"/>
              </w:rPr>
            </w:pPr>
            <w:r>
              <w:rPr>
                <w:rFonts w:hint="default" w:ascii="Times New Roman" w:hAnsi="Times New Roman" w:cs="Times New Roman"/>
                <w:bCs/>
                <w:color w:val="auto"/>
                <w:sz w:val="24"/>
                <w:highlight w:val="none"/>
                <w:lang w:eastAsia="zh-CN"/>
              </w:rPr>
              <w:t>秦皇岛市抚宁区中冶水务有限公司</w:t>
            </w:r>
            <w:r>
              <w:rPr>
                <w:rFonts w:hint="default" w:ascii="Times New Roman" w:hAnsi="Times New Roman" w:cs="Times New Roman"/>
                <w:bCs/>
                <w:color w:val="auto"/>
                <w:sz w:val="24"/>
                <w:highlight w:val="none"/>
              </w:rPr>
              <w:t>设计规模为7.5万吨/天，采用氧化沟生物处理+纤维转盘深度处理工艺，处理后的污水排放执行（GB18918-2002）的一级A标准。</w:t>
            </w:r>
            <w:r>
              <w:rPr>
                <w:rFonts w:hint="default" w:ascii="Times New Roman" w:hAnsi="Times New Roman" w:cs="Times New Roman"/>
                <w:bCs/>
                <w:color w:val="auto"/>
                <w:sz w:val="24"/>
                <w:highlight w:val="none"/>
                <w:lang w:val="en-US" w:eastAsia="zh-CN"/>
              </w:rPr>
              <w:t>本项目废水使用封闭罐车运至秦皇岛市抚宁区中冶水务有限公司</w:t>
            </w:r>
            <w:r>
              <w:rPr>
                <w:rFonts w:hint="default" w:ascii="Times New Roman" w:hAnsi="Times New Roman" w:cs="Times New Roman"/>
                <w:bCs/>
                <w:color w:val="auto"/>
                <w:sz w:val="24"/>
                <w:highlight w:val="none"/>
              </w:rPr>
              <w:t>，可操作性强。抚宁</w:t>
            </w:r>
            <w:r>
              <w:rPr>
                <w:rFonts w:hint="default" w:ascii="Times New Roman" w:hAnsi="Times New Roman" w:cs="Times New Roman"/>
                <w:bCs/>
                <w:color w:val="auto"/>
                <w:sz w:val="24"/>
                <w:highlight w:val="none"/>
                <w:lang w:eastAsia="zh-CN"/>
              </w:rPr>
              <w:t>秦皇岛市抚宁区中冶水务有限公司</w:t>
            </w:r>
            <w:r>
              <w:rPr>
                <w:rFonts w:hint="default" w:ascii="Times New Roman" w:hAnsi="Times New Roman" w:cs="Times New Roman"/>
                <w:bCs/>
                <w:color w:val="auto"/>
                <w:sz w:val="24"/>
                <w:highlight w:val="none"/>
              </w:rPr>
              <w:t>处理能力为7.5万t/d，现最大处理水量为5.5万t/d，剩余处理能力2万t/d，本项目单日产生最大废水量为</w:t>
            </w:r>
            <w:r>
              <w:rPr>
                <w:rFonts w:hint="default" w:ascii="Times New Roman" w:hAnsi="Times New Roman" w:cs="Times New Roman"/>
                <w:bCs/>
                <w:color w:val="auto"/>
                <w:sz w:val="24"/>
                <w:highlight w:val="none"/>
                <w:lang w:val="en-US" w:eastAsia="zh-CN"/>
              </w:rPr>
              <w:t>0.4</w:t>
            </w:r>
            <w:r>
              <w:rPr>
                <w:rFonts w:hint="default" w:ascii="Times New Roman" w:hAnsi="Times New Roman" w:cs="Times New Roman"/>
                <w:bCs/>
                <w:color w:val="auto"/>
                <w:sz w:val="24"/>
                <w:highlight w:val="none"/>
              </w:rPr>
              <w:t>m</w:t>
            </w:r>
            <w:r>
              <w:rPr>
                <w:rFonts w:hint="default" w:ascii="Times New Roman" w:hAnsi="Times New Roman" w:cs="Times New Roman"/>
                <w:bCs/>
                <w:color w:val="auto"/>
                <w:sz w:val="24"/>
                <w:highlight w:val="none"/>
                <w:vertAlign w:val="superscript"/>
              </w:rPr>
              <w:t>3</w:t>
            </w:r>
            <w:r>
              <w:rPr>
                <w:rFonts w:hint="default" w:ascii="Times New Roman" w:hAnsi="Times New Roman" w:cs="Times New Roman"/>
                <w:bCs/>
                <w:color w:val="auto"/>
                <w:sz w:val="24"/>
                <w:highlight w:val="none"/>
              </w:rPr>
              <w:t>，小于</w:t>
            </w:r>
            <w:r>
              <w:rPr>
                <w:rFonts w:hint="default" w:ascii="Times New Roman" w:hAnsi="Times New Roman" w:cs="Times New Roman"/>
                <w:bCs/>
                <w:color w:val="auto"/>
                <w:sz w:val="24"/>
                <w:highlight w:val="none"/>
                <w:lang w:eastAsia="zh-CN"/>
              </w:rPr>
              <w:t>秦皇岛市抚宁区中冶水务有限公司</w:t>
            </w:r>
            <w:r>
              <w:rPr>
                <w:rFonts w:hint="default" w:ascii="Times New Roman" w:hAnsi="Times New Roman" w:cs="Times New Roman"/>
                <w:bCs/>
                <w:color w:val="auto"/>
                <w:sz w:val="24"/>
                <w:highlight w:val="none"/>
              </w:rPr>
              <w:t>的剩余处理能力，本项目废水水质较为简单</w:t>
            </w:r>
            <w:r>
              <w:rPr>
                <w:rFonts w:hint="default" w:ascii="Times New Roman" w:hAnsi="Times New Roman" w:cs="Times New Roman"/>
                <w:bCs/>
                <w:color w:val="auto"/>
                <w:sz w:val="24"/>
                <w:highlight w:val="none"/>
                <w:lang w:eastAsia="zh-CN"/>
              </w:rPr>
              <w:t>，</w:t>
            </w:r>
            <w:r>
              <w:rPr>
                <w:rFonts w:hint="default" w:ascii="Times New Roman" w:hAnsi="Times New Roman" w:cs="Times New Roman"/>
                <w:bCs/>
                <w:color w:val="auto"/>
                <w:sz w:val="24"/>
                <w:highlight w:val="none"/>
              </w:rPr>
              <w:t>不会对现有</w:t>
            </w:r>
            <w:r>
              <w:rPr>
                <w:rFonts w:hint="default" w:ascii="Times New Roman" w:hAnsi="Times New Roman" w:cs="Times New Roman"/>
                <w:bCs/>
                <w:color w:val="auto"/>
                <w:sz w:val="24"/>
                <w:highlight w:val="none"/>
                <w:lang w:eastAsia="zh-CN"/>
              </w:rPr>
              <w:t>秦皇岛市抚宁区中冶水务有限公司</w:t>
            </w:r>
            <w:r>
              <w:rPr>
                <w:rFonts w:hint="default" w:ascii="Times New Roman" w:hAnsi="Times New Roman" w:cs="Times New Roman"/>
                <w:bCs/>
                <w:color w:val="auto"/>
                <w:sz w:val="24"/>
                <w:highlight w:val="none"/>
              </w:rPr>
              <w:t>的运行造成冲击，</w:t>
            </w:r>
            <w:r>
              <w:rPr>
                <w:rFonts w:hint="default" w:ascii="Times New Roman" w:hAnsi="Times New Roman" w:cs="Times New Roman"/>
                <w:bCs/>
                <w:color w:val="auto"/>
                <w:sz w:val="24"/>
                <w:highlight w:val="none"/>
                <w:lang w:eastAsia="zh-CN"/>
              </w:rPr>
              <w:t>秦皇岛市抚宁区中冶水务有限公司</w:t>
            </w:r>
            <w:r>
              <w:rPr>
                <w:rFonts w:hint="default" w:ascii="Times New Roman" w:hAnsi="Times New Roman" w:cs="Times New Roman"/>
                <w:bCs/>
                <w:color w:val="auto"/>
                <w:sz w:val="24"/>
                <w:highlight w:val="none"/>
              </w:rPr>
              <w:t>在接收本项目废水后，仍可稳定运行。</w:t>
            </w:r>
          </w:p>
          <w:p w14:paraId="6ACCE53B">
            <w:pPr>
              <w:tabs>
                <w:tab w:val="center" w:pos="4237"/>
              </w:tabs>
              <w:adjustRightInd w:val="0"/>
              <w:snapToGrid w:val="0"/>
              <w:spacing w:line="360" w:lineRule="auto"/>
              <w:ind w:firstLine="480" w:firstLineChars="200"/>
              <w:jc w:val="left"/>
              <w:rPr>
                <w:rFonts w:hint="default" w:ascii="Times New Roman" w:hAnsi="Times New Roman" w:eastAsia="宋体" w:cs="Times New Roman"/>
                <w:bCs/>
                <w:color w:val="auto"/>
                <w:sz w:val="24"/>
                <w:highlight w:val="none"/>
                <w:lang w:eastAsia="zh-CN"/>
              </w:rPr>
            </w:pPr>
            <w:r>
              <w:rPr>
                <w:rFonts w:hint="default" w:ascii="Times New Roman" w:hAnsi="Times New Roman" w:cs="Times New Roman"/>
                <w:bCs/>
                <w:color w:val="auto"/>
                <w:sz w:val="24"/>
                <w:highlight w:val="none"/>
              </w:rPr>
              <w:t>综上，本项目废水排至抚宁</w:t>
            </w:r>
            <w:r>
              <w:rPr>
                <w:rFonts w:hint="default" w:ascii="Times New Roman" w:hAnsi="Times New Roman" w:cs="Times New Roman"/>
                <w:bCs/>
                <w:color w:val="auto"/>
                <w:sz w:val="24"/>
                <w:highlight w:val="none"/>
                <w:lang w:eastAsia="zh-CN"/>
              </w:rPr>
              <w:t>秦皇岛市抚宁区中冶水务有限公司</w:t>
            </w:r>
            <w:r>
              <w:rPr>
                <w:rFonts w:hint="default" w:ascii="Times New Roman" w:hAnsi="Times New Roman" w:cs="Times New Roman"/>
                <w:bCs/>
                <w:color w:val="auto"/>
                <w:sz w:val="24"/>
                <w:highlight w:val="none"/>
              </w:rPr>
              <w:t>处理方法可行</w:t>
            </w:r>
            <w:r>
              <w:rPr>
                <w:rFonts w:hint="default" w:ascii="Times New Roman" w:hAnsi="Times New Roman" w:cs="Times New Roman"/>
                <w:bCs/>
                <w:color w:val="auto"/>
                <w:sz w:val="24"/>
                <w:highlight w:val="none"/>
                <w:lang w:eastAsia="zh-CN"/>
              </w:rPr>
              <w:t>。</w:t>
            </w:r>
          </w:p>
          <w:p w14:paraId="6586F350">
            <w:pPr>
              <w:adjustRightInd w:val="0"/>
              <w:snapToGrid w:val="0"/>
              <w:spacing w:line="240" w:lineRule="auto"/>
              <w:jc w:val="center"/>
              <w:rPr>
                <w:rFonts w:hint="default" w:ascii="Times New Roman" w:hAnsi="Times New Roman" w:cs="Times New Roman"/>
                <w:b/>
                <w:color w:val="auto"/>
                <w:sz w:val="24"/>
                <w:szCs w:val="24"/>
                <w:highlight w:val="none"/>
              </w:rPr>
            </w:pPr>
            <w:r>
              <w:rPr>
                <w:rFonts w:hint="default" w:ascii="Times New Roman" w:hAnsi="Times New Roman" w:cs="Times New Roman"/>
                <w:b/>
                <w:color w:val="auto"/>
                <w:sz w:val="24"/>
                <w:szCs w:val="24"/>
                <w:highlight w:val="none"/>
              </w:rPr>
              <w:t>表4-</w:t>
            </w:r>
            <w:r>
              <w:rPr>
                <w:rFonts w:hint="eastAsia" w:cs="Times New Roman"/>
                <w:b/>
                <w:color w:val="auto"/>
                <w:sz w:val="24"/>
                <w:szCs w:val="24"/>
                <w:highlight w:val="none"/>
                <w:lang w:val="en-US" w:eastAsia="zh-CN"/>
              </w:rPr>
              <w:t>3</w:t>
            </w:r>
            <w:r>
              <w:rPr>
                <w:rFonts w:hint="default" w:ascii="Times New Roman" w:hAnsi="Times New Roman" w:cs="Times New Roman"/>
                <w:b/>
                <w:color w:val="auto"/>
                <w:sz w:val="24"/>
                <w:szCs w:val="24"/>
                <w:highlight w:val="none"/>
              </w:rPr>
              <w:t xml:space="preserve">  </w:t>
            </w:r>
            <w:r>
              <w:rPr>
                <w:rFonts w:hint="default" w:ascii="Times New Roman" w:hAnsi="Times New Roman" w:cs="Times New Roman"/>
                <w:b/>
                <w:color w:val="auto"/>
                <w:sz w:val="24"/>
                <w:szCs w:val="24"/>
                <w:highlight w:val="none"/>
                <w:lang w:val="en-US" w:eastAsia="zh-CN"/>
              </w:rPr>
              <w:t>废水</w:t>
            </w:r>
            <w:r>
              <w:rPr>
                <w:rFonts w:hint="default" w:ascii="Times New Roman" w:hAnsi="Times New Roman" w:cs="Times New Roman"/>
                <w:b/>
                <w:color w:val="auto"/>
                <w:sz w:val="24"/>
                <w:szCs w:val="24"/>
                <w:highlight w:val="none"/>
              </w:rPr>
              <w:t>监测要求一览表</w:t>
            </w:r>
          </w:p>
          <w:tbl>
            <w:tblPr>
              <w:tblStyle w:val="3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6"/>
              <w:gridCol w:w="1798"/>
              <w:gridCol w:w="1307"/>
              <w:gridCol w:w="4243"/>
            </w:tblGrid>
            <w:tr w14:paraId="547D5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9" w:type="pct"/>
                  <w:noWrap w:val="0"/>
                  <w:vAlign w:val="center"/>
                </w:tcPr>
                <w:p w14:paraId="3BE289F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监测点位</w:t>
                  </w:r>
                </w:p>
              </w:tc>
              <w:tc>
                <w:tcPr>
                  <w:tcW w:w="1062" w:type="pct"/>
                  <w:noWrap w:val="0"/>
                  <w:vAlign w:val="center"/>
                </w:tcPr>
                <w:p w14:paraId="6345337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监测指标</w:t>
                  </w:r>
                </w:p>
              </w:tc>
              <w:tc>
                <w:tcPr>
                  <w:tcW w:w="772" w:type="pct"/>
                  <w:noWrap w:val="0"/>
                  <w:vAlign w:val="center"/>
                </w:tcPr>
                <w:p w14:paraId="7BCBC2F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监测频次</w:t>
                  </w:r>
                </w:p>
              </w:tc>
              <w:tc>
                <w:tcPr>
                  <w:tcW w:w="2505" w:type="pct"/>
                  <w:noWrap w:val="0"/>
                  <w:vAlign w:val="center"/>
                </w:tcPr>
                <w:p w14:paraId="5E56472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执行排放标准</w:t>
                  </w:r>
                </w:p>
              </w:tc>
            </w:tr>
            <w:tr w14:paraId="5E378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659" w:type="pct"/>
                  <w:noWrap w:val="0"/>
                  <w:vAlign w:val="center"/>
                </w:tcPr>
                <w:p w14:paraId="00964E8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废水池</w:t>
                  </w:r>
                </w:p>
              </w:tc>
              <w:tc>
                <w:tcPr>
                  <w:tcW w:w="1062" w:type="pct"/>
                  <w:noWrap w:val="0"/>
                  <w:vAlign w:val="center"/>
                </w:tcPr>
                <w:p w14:paraId="17ECE90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PH、COD、SS、氨氮</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lang w:val="en-US" w:eastAsia="zh-CN"/>
                    </w:rPr>
                    <w:t>石油类</w:t>
                  </w:r>
                </w:p>
              </w:tc>
              <w:tc>
                <w:tcPr>
                  <w:tcW w:w="772" w:type="pct"/>
                  <w:noWrap w:val="0"/>
                  <w:vAlign w:val="center"/>
                </w:tcPr>
                <w:p w14:paraId="06FCFF7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每季一次</w:t>
                  </w:r>
                </w:p>
              </w:tc>
              <w:tc>
                <w:tcPr>
                  <w:tcW w:w="2505" w:type="pct"/>
                  <w:noWrap w:val="0"/>
                  <w:vAlign w:val="center"/>
                </w:tcPr>
                <w:p w14:paraId="0E4AD31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《污水综合排放标准》 （GB8978-1996）表4中</w:t>
                  </w:r>
                  <w:r>
                    <w:rPr>
                      <w:rFonts w:hint="eastAsia" w:cs="Times New Roman"/>
                      <w:color w:val="auto"/>
                      <w:sz w:val="21"/>
                      <w:szCs w:val="21"/>
                      <w:highlight w:val="none"/>
                      <w:lang w:val="en-US" w:eastAsia="zh-CN"/>
                    </w:rPr>
                    <w:t>三</w:t>
                  </w:r>
                  <w:r>
                    <w:rPr>
                      <w:rFonts w:hint="default" w:ascii="Times New Roman" w:hAnsi="Times New Roman" w:cs="Times New Roman"/>
                      <w:color w:val="auto"/>
                      <w:sz w:val="21"/>
                      <w:szCs w:val="21"/>
                      <w:highlight w:val="none"/>
                      <w:lang w:val="en-US" w:eastAsia="zh-CN"/>
                    </w:rPr>
                    <w:t>级、《污水排入城镇下水道水质标准》（GB/T31962-2015）A级标准及</w:t>
                  </w:r>
                  <w:r>
                    <w:rPr>
                      <w:rFonts w:hint="default" w:ascii="Times New Roman" w:hAnsi="Times New Roman" w:cs="Times New Roman"/>
                      <w:color w:val="auto"/>
                      <w:sz w:val="21"/>
                      <w:szCs w:val="21"/>
                      <w:highlight w:val="none"/>
                      <w:lang w:eastAsia="zh-CN"/>
                    </w:rPr>
                    <w:t>秦皇岛市抚宁区中冶水务有限公司</w:t>
                  </w:r>
                  <w:r>
                    <w:rPr>
                      <w:rFonts w:hint="default" w:ascii="Times New Roman" w:hAnsi="Times New Roman" w:cs="Times New Roman"/>
                      <w:color w:val="auto"/>
                      <w:sz w:val="21"/>
                      <w:szCs w:val="21"/>
                      <w:highlight w:val="none"/>
                    </w:rPr>
                    <w:t>收水</w:t>
                  </w:r>
                  <w:r>
                    <w:rPr>
                      <w:rFonts w:hint="default" w:ascii="Times New Roman" w:hAnsi="Times New Roman" w:cs="Times New Roman"/>
                      <w:color w:val="auto"/>
                      <w:sz w:val="21"/>
                      <w:szCs w:val="21"/>
                      <w:highlight w:val="none"/>
                      <w:lang w:val="en-US" w:eastAsia="zh-CN"/>
                    </w:rPr>
                    <w:t>水质限值</w:t>
                  </w:r>
                </w:p>
              </w:tc>
            </w:tr>
          </w:tbl>
          <w:p w14:paraId="65C5A529">
            <w:pPr>
              <w:pStyle w:val="8"/>
              <w:rPr>
                <w:rFonts w:hint="default" w:ascii="Times New Roman" w:hAnsi="Times New Roman" w:cs="Times New Roman"/>
                <w:color w:val="auto"/>
                <w:highlight w:val="none"/>
              </w:rPr>
            </w:pPr>
            <w:r>
              <w:rPr>
                <w:rFonts w:hint="default" w:ascii="Times New Roman" w:hAnsi="Times New Roman" w:cs="Times New Roman"/>
                <w:color w:val="auto"/>
                <w:highlight w:val="none"/>
              </w:rPr>
              <w:t>3 声环境影响分析</w:t>
            </w:r>
          </w:p>
          <w:p w14:paraId="1C4CFD5F">
            <w:pPr>
              <w:pStyle w:val="9"/>
              <w:rPr>
                <w:rFonts w:hint="default" w:ascii="Times New Roman" w:hAnsi="Times New Roman" w:cs="Times New Roman"/>
                <w:color w:val="auto"/>
                <w:highlight w:val="none"/>
              </w:rPr>
            </w:pPr>
            <w:r>
              <w:rPr>
                <w:rFonts w:hint="default" w:ascii="Times New Roman" w:hAnsi="Times New Roman" w:cs="Times New Roman"/>
                <w:color w:val="auto"/>
                <w:highlight w:val="none"/>
              </w:rPr>
              <w:t>3.1 噪声源强分析</w:t>
            </w:r>
          </w:p>
          <w:p w14:paraId="6B90F91C">
            <w:pPr>
              <w:widowControl/>
              <w:adjustRightInd w:val="0"/>
              <w:snapToGrid w:val="0"/>
              <w:spacing w:line="360" w:lineRule="auto"/>
              <w:ind w:firstLine="420"/>
              <w:jc w:val="left"/>
              <w:textAlignment w:val="baseline"/>
              <w:rPr>
                <w:rFonts w:hint="default" w:ascii="Times New Roman" w:hAnsi="Times New Roman" w:cs="Times New Roman"/>
                <w:b/>
                <w:bCs/>
                <w:color w:val="auto"/>
                <w:kern w:val="24"/>
                <w:sz w:val="24"/>
                <w:szCs w:val="24"/>
                <w:highlight w:val="none"/>
              </w:rPr>
            </w:pPr>
            <w:r>
              <w:rPr>
                <w:rFonts w:hint="default" w:ascii="Times New Roman" w:hAnsi="Times New Roman" w:cs="Times New Roman"/>
                <w:color w:val="auto"/>
                <w:kern w:val="24"/>
                <w:sz w:val="24"/>
                <w:szCs w:val="24"/>
                <w:highlight w:val="none"/>
              </w:rPr>
              <w:t>（1）</w:t>
            </w:r>
            <w:r>
              <w:rPr>
                <w:rFonts w:hint="default" w:ascii="Times New Roman" w:hAnsi="Times New Roman" w:cs="Times New Roman"/>
                <w:bCs/>
                <w:color w:val="auto"/>
                <w:kern w:val="24"/>
                <w:sz w:val="24"/>
                <w:szCs w:val="24"/>
                <w:highlight w:val="none"/>
              </w:rPr>
              <w:t>声源分析</w:t>
            </w:r>
          </w:p>
          <w:p w14:paraId="4F17E700">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baseline"/>
              <w:rPr>
                <w:rFonts w:hint="default" w:ascii="Times New Roman" w:hAnsi="Times New Roman" w:cs="Times New Roman"/>
                <w:color w:val="auto"/>
                <w:kern w:val="24"/>
                <w:sz w:val="24"/>
                <w:szCs w:val="24"/>
                <w:highlight w:val="none"/>
              </w:rPr>
            </w:pPr>
            <w:r>
              <w:rPr>
                <w:rFonts w:hint="default" w:ascii="Times New Roman" w:hAnsi="Times New Roman" w:cs="Times New Roman"/>
                <w:color w:val="auto"/>
                <w:kern w:val="24"/>
                <w:sz w:val="24"/>
                <w:szCs w:val="24"/>
                <w:highlight w:val="none"/>
                <w:lang w:val="en-US" w:eastAsia="zh-CN"/>
              </w:rPr>
              <w:t>本次扩建项目新增产噪设施主要为喷淋塔、风机、水泵等，现有噪声源主要为车床、切割机床等，</w:t>
            </w:r>
            <w:r>
              <w:rPr>
                <w:rFonts w:hint="default" w:ascii="Times New Roman" w:hAnsi="Times New Roman" w:cs="Times New Roman"/>
                <w:color w:val="auto"/>
                <w:kern w:val="24"/>
                <w:sz w:val="24"/>
                <w:szCs w:val="24"/>
                <w:highlight w:val="none"/>
              </w:rPr>
              <w:t>其声源值大约为</w:t>
            </w:r>
            <w:r>
              <w:rPr>
                <w:rFonts w:hint="default" w:ascii="Times New Roman" w:hAnsi="Times New Roman" w:cs="Times New Roman"/>
                <w:color w:val="auto"/>
                <w:kern w:val="24"/>
                <w:sz w:val="24"/>
                <w:szCs w:val="24"/>
                <w:highlight w:val="none"/>
                <w:lang w:val="en-US" w:eastAsia="zh-CN"/>
              </w:rPr>
              <w:t>70</w:t>
            </w:r>
            <w:r>
              <w:rPr>
                <w:rFonts w:hint="default" w:ascii="Times New Roman" w:hAnsi="Times New Roman" w:cs="Times New Roman"/>
                <w:color w:val="auto"/>
                <w:kern w:val="24"/>
                <w:sz w:val="24"/>
                <w:szCs w:val="24"/>
                <w:highlight w:val="none"/>
              </w:rPr>
              <w:t>~</w:t>
            </w:r>
            <w:r>
              <w:rPr>
                <w:rFonts w:hint="default" w:ascii="Times New Roman" w:hAnsi="Times New Roman" w:cs="Times New Roman"/>
                <w:color w:val="auto"/>
                <w:kern w:val="24"/>
                <w:sz w:val="24"/>
                <w:szCs w:val="24"/>
                <w:highlight w:val="none"/>
                <w:lang w:eastAsia="zh-CN"/>
              </w:rPr>
              <w:t>9</w:t>
            </w:r>
            <w:r>
              <w:rPr>
                <w:rFonts w:hint="default" w:ascii="Times New Roman" w:hAnsi="Times New Roman" w:cs="Times New Roman"/>
                <w:color w:val="auto"/>
                <w:kern w:val="24"/>
                <w:sz w:val="24"/>
                <w:szCs w:val="24"/>
                <w:highlight w:val="none"/>
                <w:lang w:val="en-US" w:eastAsia="zh-CN"/>
              </w:rPr>
              <w:t>0</w:t>
            </w:r>
            <w:r>
              <w:rPr>
                <w:rFonts w:hint="default" w:ascii="Times New Roman" w:hAnsi="Times New Roman" w:cs="Times New Roman"/>
                <w:color w:val="auto"/>
                <w:kern w:val="24"/>
                <w:sz w:val="24"/>
                <w:szCs w:val="24"/>
                <w:highlight w:val="none"/>
              </w:rPr>
              <w:t>dB（A），采取的噪声污染防治措施主要有：设计设备选型采用优质低噪设备；对产噪设备采用减震基础、隔声的降噪措施。</w:t>
            </w:r>
          </w:p>
          <w:p w14:paraId="64E12C95">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baseline"/>
              <w:rPr>
                <w:rFonts w:hint="default" w:ascii="Times New Roman" w:hAnsi="Times New Roman" w:cs="Times New Roman"/>
                <w:color w:val="auto"/>
                <w:kern w:val="24"/>
                <w:sz w:val="24"/>
                <w:szCs w:val="24"/>
                <w:highlight w:val="none"/>
              </w:rPr>
            </w:pPr>
            <w:r>
              <w:rPr>
                <w:rFonts w:hint="default" w:ascii="Times New Roman" w:hAnsi="Times New Roman" w:cs="Times New Roman"/>
                <w:color w:val="auto"/>
                <w:kern w:val="24"/>
                <w:sz w:val="24"/>
                <w:szCs w:val="24"/>
                <w:highlight w:val="none"/>
              </w:rPr>
              <w:t>（2）环境数据</w:t>
            </w:r>
          </w:p>
          <w:p w14:paraId="6BE89CCC">
            <w:pPr>
              <w:adjustRightInd w:val="0"/>
              <w:snapToGrid w:val="0"/>
              <w:spacing w:line="360" w:lineRule="auto"/>
              <w:ind w:firstLine="480" w:firstLineChars="200"/>
              <w:rPr>
                <w:rFonts w:hint="default" w:ascii="Times New Roman" w:hAnsi="Times New Roman" w:cs="Times New Roman"/>
                <w:color w:val="auto"/>
                <w:kern w:val="24"/>
                <w:sz w:val="24"/>
                <w:szCs w:val="24"/>
                <w:highlight w:val="none"/>
              </w:rPr>
            </w:pPr>
            <w:r>
              <w:rPr>
                <w:rFonts w:hint="default" w:ascii="Times New Roman" w:hAnsi="Times New Roman" w:cs="Times New Roman"/>
                <w:bCs/>
                <w:color w:val="auto"/>
                <w:sz w:val="24"/>
                <w:szCs w:val="24"/>
                <w:highlight w:val="none"/>
              </w:rPr>
              <w:t>建设项目所处区域的年平均风速</w:t>
            </w:r>
            <w:r>
              <w:rPr>
                <w:rFonts w:hint="default" w:ascii="Times New Roman" w:hAnsi="Times New Roman" w:cs="Times New Roman"/>
                <w:bCs/>
                <w:color w:val="auto"/>
                <w:sz w:val="24"/>
                <w:szCs w:val="24"/>
                <w:highlight w:val="none"/>
                <w:lang w:val="en-US" w:eastAsia="zh-CN"/>
              </w:rPr>
              <w:t>1.85</w:t>
            </w:r>
            <w:r>
              <w:rPr>
                <w:rFonts w:hint="default" w:ascii="Times New Roman" w:hAnsi="Times New Roman" w:cs="Times New Roman"/>
                <w:bCs/>
                <w:color w:val="auto"/>
                <w:sz w:val="24"/>
                <w:szCs w:val="24"/>
                <w:highlight w:val="none"/>
              </w:rPr>
              <w:t>m/s、主导风向为</w:t>
            </w:r>
            <w:r>
              <w:rPr>
                <w:rFonts w:hint="default" w:ascii="Times New Roman" w:hAnsi="Times New Roman" w:cs="Times New Roman"/>
                <w:bCs/>
                <w:color w:val="auto"/>
                <w:sz w:val="24"/>
                <w:szCs w:val="24"/>
                <w:highlight w:val="none"/>
                <w:lang w:val="en-US" w:eastAsia="zh-CN"/>
              </w:rPr>
              <w:t>西北</w:t>
            </w:r>
            <w:r>
              <w:rPr>
                <w:rFonts w:hint="default" w:ascii="Times New Roman" w:hAnsi="Times New Roman" w:cs="Times New Roman"/>
                <w:bCs/>
                <w:color w:val="auto"/>
                <w:sz w:val="24"/>
                <w:szCs w:val="24"/>
                <w:highlight w:val="none"/>
              </w:rPr>
              <w:t>风、年平均气温</w:t>
            </w:r>
            <w:r>
              <w:rPr>
                <w:rFonts w:hint="default" w:ascii="Times New Roman" w:hAnsi="Times New Roman" w:cs="Times New Roman"/>
                <w:bCs/>
                <w:color w:val="auto"/>
                <w:sz w:val="24"/>
                <w:szCs w:val="24"/>
                <w:highlight w:val="none"/>
                <w:lang w:val="en-US" w:eastAsia="zh-CN"/>
              </w:rPr>
              <w:t>12.74</w:t>
            </w:r>
            <w:r>
              <w:rPr>
                <w:rFonts w:hint="default" w:ascii="Times New Roman" w:hAnsi="Times New Roman" w:cs="Times New Roman"/>
                <w:bCs/>
                <w:color w:val="auto"/>
                <w:sz w:val="24"/>
                <w:szCs w:val="24"/>
                <w:highlight w:val="none"/>
              </w:rPr>
              <w:t>℃、年平均相对湿度</w:t>
            </w:r>
            <w:r>
              <w:rPr>
                <w:rFonts w:hint="default" w:ascii="Times New Roman" w:hAnsi="Times New Roman" w:cs="Times New Roman"/>
                <w:bCs/>
                <w:color w:val="auto"/>
                <w:sz w:val="24"/>
                <w:szCs w:val="24"/>
                <w:highlight w:val="none"/>
                <w:lang w:val="en-US" w:eastAsia="zh-CN"/>
              </w:rPr>
              <w:t>60</w:t>
            </w:r>
            <w:r>
              <w:rPr>
                <w:rFonts w:hint="default" w:ascii="Times New Roman" w:hAnsi="Times New Roman" w:cs="Times New Roman"/>
                <w:bCs/>
                <w:color w:val="auto"/>
                <w:sz w:val="24"/>
                <w:szCs w:val="24"/>
                <w:highlight w:val="none"/>
              </w:rPr>
              <w:t>%、大气压强1050KPa。评价范围内无声环境敏感目标，仅在厂界设置预测点位</w:t>
            </w:r>
            <w:r>
              <w:rPr>
                <w:rFonts w:hint="default" w:ascii="Times New Roman" w:hAnsi="Times New Roman" w:cs="Times New Roman"/>
                <w:bCs/>
                <w:color w:val="auto"/>
                <w:sz w:val="24"/>
                <w:szCs w:val="24"/>
                <w:highlight w:val="none"/>
                <w:lang w:eastAsia="zh-CN"/>
              </w:rPr>
              <w:t>，</w:t>
            </w:r>
            <w:r>
              <w:rPr>
                <w:rFonts w:hint="default" w:ascii="Times New Roman" w:hAnsi="Times New Roman" w:cs="Times New Roman"/>
                <w:bCs/>
                <w:color w:val="auto"/>
                <w:sz w:val="24"/>
                <w:szCs w:val="24"/>
                <w:highlight w:val="none"/>
                <w:lang w:val="en-US" w:eastAsia="zh-CN"/>
              </w:rPr>
              <w:t>坐标原点选在厂区中心（东经：119.302548北纬：39.877652）</w:t>
            </w:r>
            <w:r>
              <w:rPr>
                <w:rFonts w:hint="default" w:ascii="Times New Roman" w:hAnsi="Times New Roman" w:cs="Times New Roman"/>
                <w:bCs/>
                <w:color w:val="auto"/>
                <w:sz w:val="24"/>
                <w:szCs w:val="24"/>
                <w:highlight w:val="none"/>
              </w:rPr>
              <w:t>。</w:t>
            </w:r>
          </w:p>
          <w:p w14:paraId="22F7AD55">
            <w:pPr>
              <w:widowControl/>
              <w:adjustRightInd w:val="0"/>
              <w:snapToGrid w:val="0"/>
              <w:spacing w:line="360" w:lineRule="auto"/>
              <w:ind w:firstLine="420"/>
              <w:textAlignment w:val="baseline"/>
              <w:rPr>
                <w:rFonts w:hint="default" w:ascii="Times New Roman" w:hAnsi="Times New Roman" w:cs="Times New Roman"/>
                <w:color w:val="auto"/>
                <w:kern w:val="24"/>
                <w:sz w:val="24"/>
                <w:szCs w:val="24"/>
                <w:highlight w:val="none"/>
              </w:rPr>
            </w:pPr>
            <w:r>
              <w:rPr>
                <w:rFonts w:hint="default" w:ascii="Times New Roman" w:hAnsi="Times New Roman" w:cs="Times New Roman"/>
                <w:color w:val="auto"/>
                <w:kern w:val="24"/>
                <w:sz w:val="24"/>
                <w:szCs w:val="24"/>
                <w:highlight w:val="none"/>
              </w:rPr>
              <w:t>（3）预测模型的确定</w:t>
            </w:r>
          </w:p>
          <w:p w14:paraId="646804C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Cs/>
                <w:color w:val="auto"/>
                <w:sz w:val="24"/>
                <w:highlight w:val="none"/>
              </w:rPr>
            </w:pPr>
            <w:r>
              <w:rPr>
                <w:rFonts w:hint="default" w:ascii="Times New Roman" w:hAnsi="Times New Roman" w:cs="Times New Roman"/>
                <w:bCs/>
                <w:color w:val="auto"/>
                <w:sz w:val="24"/>
                <w:highlight w:val="none"/>
              </w:rPr>
              <w:t>根据项目建设内容及《环境影响评价技术导则一声环境》 (HJ2.4-2021) 的要求，项目环评采用环安科技环境噪声预测评价模拟软件系统。该软件计算工业噪声时采用的模型为《环境影响评价技术导则声环境》(HJ2.4-2021)附录 B(规范性附录) 中“B.1 工业噪声预测计算模型”。</w:t>
            </w:r>
          </w:p>
          <w:p w14:paraId="5EFCADE3">
            <w:pPr>
              <w:keepNext w:val="0"/>
              <w:keepLines w:val="0"/>
              <w:pageBreakBefore w:val="0"/>
              <w:kinsoku/>
              <w:wordWrap/>
              <w:overflowPunct/>
              <w:topLinePunct w:val="0"/>
              <w:autoSpaceDE/>
              <w:autoSpaceDN/>
              <w:bidi w:val="0"/>
              <w:spacing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本项目所有设备均置于室内，无室外点声源。</w:t>
            </w:r>
          </w:p>
          <w:p w14:paraId="33B4C678">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default" w:ascii="Times New Roman" w:hAnsi="Times New Roman" w:cs="Times New Roman"/>
                <w:bCs/>
                <w:color w:val="auto"/>
                <w:sz w:val="24"/>
                <w:highlight w:val="none"/>
                <w:lang w:val="en-US" w:eastAsia="zh-CN"/>
              </w:rPr>
            </w:pPr>
          </w:p>
          <w:p w14:paraId="7A53625C">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default" w:ascii="Times New Roman" w:hAnsi="Times New Roman" w:cs="Times New Roman"/>
                <w:bCs/>
                <w:color w:val="auto"/>
                <w:sz w:val="24"/>
                <w:highlight w:val="none"/>
                <w:lang w:val="en-US" w:eastAsia="zh-CN"/>
              </w:rPr>
            </w:pPr>
          </w:p>
          <w:p w14:paraId="5CA3AACC">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default" w:ascii="Times New Roman" w:hAnsi="Times New Roman" w:cs="Times New Roman"/>
                <w:bCs/>
                <w:color w:val="auto"/>
                <w:sz w:val="24"/>
                <w:highlight w:val="none"/>
                <w:lang w:val="en-US" w:eastAsia="zh-CN"/>
              </w:rPr>
            </w:pPr>
          </w:p>
          <w:p w14:paraId="6A0F8A14">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default" w:ascii="Times New Roman" w:hAnsi="Times New Roman" w:cs="Times New Roman"/>
                <w:bCs/>
                <w:color w:val="auto"/>
                <w:sz w:val="24"/>
                <w:highlight w:val="none"/>
                <w:lang w:val="en-US" w:eastAsia="zh-CN"/>
              </w:rPr>
            </w:pPr>
          </w:p>
          <w:p w14:paraId="5277B193">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default" w:ascii="Times New Roman" w:hAnsi="Times New Roman" w:cs="Times New Roman"/>
                <w:bCs/>
                <w:color w:val="auto"/>
                <w:sz w:val="24"/>
                <w:highlight w:val="none"/>
                <w:lang w:val="en-US" w:eastAsia="zh-CN"/>
              </w:rPr>
            </w:pPr>
          </w:p>
          <w:p w14:paraId="65583EB5">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default" w:ascii="Times New Roman" w:hAnsi="Times New Roman" w:cs="Times New Roman"/>
                <w:bCs/>
                <w:color w:val="auto"/>
                <w:sz w:val="24"/>
                <w:highlight w:val="none"/>
                <w:lang w:val="en-US" w:eastAsia="zh-CN"/>
              </w:rPr>
            </w:pPr>
          </w:p>
          <w:p w14:paraId="763B2483">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default" w:ascii="Times New Roman" w:hAnsi="Times New Roman" w:cs="Times New Roman"/>
                <w:bCs/>
                <w:color w:val="auto"/>
                <w:sz w:val="24"/>
                <w:highlight w:val="none"/>
                <w:lang w:val="en-US" w:eastAsia="zh-CN"/>
              </w:rPr>
            </w:pPr>
          </w:p>
          <w:p w14:paraId="629CE810">
            <w:pPr>
              <w:pStyle w:val="15"/>
              <w:rPr>
                <w:rFonts w:hint="default" w:ascii="Times New Roman" w:hAnsi="Times New Roman" w:cs="Times New Roman"/>
                <w:bCs/>
                <w:color w:val="auto"/>
                <w:sz w:val="24"/>
                <w:highlight w:val="none"/>
                <w:lang w:val="en-US" w:eastAsia="zh-CN"/>
              </w:rPr>
            </w:pPr>
          </w:p>
          <w:p w14:paraId="7668CC93">
            <w:pPr>
              <w:pStyle w:val="15"/>
              <w:rPr>
                <w:rFonts w:hint="default" w:ascii="Times New Roman" w:hAnsi="Times New Roman" w:cs="Times New Roman"/>
                <w:bCs/>
                <w:color w:val="auto"/>
                <w:sz w:val="24"/>
                <w:highlight w:val="none"/>
                <w:lang w:val="en-US" w:eastAsia="zh-CN"/>
              </w:rPr>
            </w:pPr>
          </w:p>
          <w:p w14:paraId="54007448">
            <w:pPr>
              <w:pStyle w:val="15"/>
              <w:rPr>
                <w:rFonts w:hint="default" w:ascii="Times New Roman" w:hAnsi="Times New Roman" w:cs="Times New Roman"/>
                <w:bCs/>
                <w:color w:val="auto"/>
                <w:sz w:val="24"/>
                <w:highlight w:val="none"/>
                <w:lang w:val="en-US" w:eastAsia="zh-CN"/>
              </w:rPr>
            </w:pPr>
          </w:p>
          <w:p w14:paraId="0C43B681">
            <w:pPr>
              <w:pStyle w:val="15"/>
              <w:rPr>
                <w:rFonts w:hint="default" w:ascii="Times New Roman" w:hAnsi="Times New Roman" w:cs="Times New Roman"/>
                <w:bCs/>
                <w:color w:val="auto"/>
                <w:sz w:val="24"/>
                <w:highlight w:val="none"/>
                <w:lang w:val="en-US" w:eastAsia="zh-CN"/>
              </w:rPr>
            </w:pPr>
          </w:p>
          <w:p w14:paraId="177D7A14">
            <w:pPr>
              <w:pStyle w:val="15"/>
              <w:rPr>
                <w:rFonts w:hint="default" w:ascii="Times New Roman" w:hAnsi="Times New Roman" w:cs="Times New Roman"/>
                <w:bCs/>
                <w:color w:val="auto"/>
                <w:sz w:val="24"/>
                <w:highlight w:val="none"/>
                <w:lang w:val="en-US" w:eastAsia="zh-CN"/>
              </w:rPr>
            </w:pPr>
          </w:p>
          <w:p w14:paraId="0F3176AC">
            <w:pPr>
              <w:pStyle w:val="15"/>
              <w:rPr>
                <w:rFonts w:hint="default" w:ascii="Times New Roman" w:hAnsi="Times New Roman" w:cs="Times New Roman"/>
                <w:bCs/>
                <w:color w:val="auto"/>
                <w:sz w:val="24"/>
                <w:highlight w:val="none"/>
                <w:lang w:val="en-US" w:eastAsia="zh-CN"/>
              </w:rPr>
            </w:pPr>
          </w:p>
          <w:p w14:paraId="1A9EF03A">
            <w:pPr>
              <w:pStyle w:val="15"/>
              <w:rPr>
                <w:rFonts w:hint="default" w:ascii="Times New Roman" w:hAnsi="Times New Roman" w:cs="Times New Roman"/>
                <w:bCs/>
                <w:color w:val="auto"/>
                <w:sz w:val="24"/>
                <w:highlight w:val="none"/>
                <w:lang w:val="en-US" w:eastAsia="zh-CN"/>
              </w:rPr>
            </w:pPr>
          </w:p>
          <w:p w14:paraId="69FFC4E8">
            <w:pPr>
              <w:pStyle w:val="15"/>
              <w:rPr>
                <w:rFonts w:hint="default" w:ascii="Times New Roman" w:hAnsi="Times New Roman" w:cs="Times New Roman"/>
                <w:bCs/>
                <w:color w:val="auto"/>
                <w:sz w:val="24"/>
                <w:highlight w:val="none"/>
                <w:lang w:val="en-US" w:eastAsia="zh-CN"/>
              </w:rPr>
            </w:pPr>
          </w:p>
          <w:p w14:paraId="14B85AE4">
            <w:pPr>
              <w:pStyle w:val="15"/>
              <w:rPr>
                <w:rFonts w:hint="default" w:ascii="Times New Roman" w:hAnsi="Times New Roman" w:cs="Times New Roman"/>
                <w:bCs/>
                <w:color w:val="auto"/>
                <w:sz w:val="24"/>
                <w:highlight w:val="none"/>
                <w:lang w:val="en-US" w:eastAsia="zh-CN"/>
              </w:rPr>
            </w:pPr>
          </w:p>
          <w:p w14:paraId="61A44001">
            <w:pPr>
              <w:pStyle w:val="15"/>
              <w:rPr>
                <w:rFonts w:hint="default" w:ascii="Times New Roman" w:hAnsi="Times New Roman" w:cs="Times New Roman"/>
                <w:bCs/>
                <w:color w:val="auto"/>
                <w:sz w:val="24"/>
                <w:highlight w:val="none"/>
                <w:lang w:val="en-US" w:eastAsia="zh-CN"/>
              </w:rPr>
            </w:pPr>
          </w:p>
          <w:p w14:paraId="4372077B">
            <w:pPr>
              <w:pStyle w:val="15"/>
              <w:rPr>
                <w:rFonts w:hint="default" w:ascii="Times New Roman" w:hAnsi="Times New Roman" w:cs="Times New Roman"/>
                <w:bCs/>
                <w:color w:val="auto"/>
                <w:sz w:val="24"/>
                <w:highlight w:val="none"/>
                <w:lang w:val="en-US" w:eastAsia="zh-CN"/>
              </w:rPr>
            </w:pPr>
          </w:p>
          <w:p w14:paraId="741667DF">
            <w:pPr>
              <w:pStyle w:val="15"/>
              <w:rPr>
                <w:rFonts w:hint="default" w:ascii="Times New Roman" w:hAnsi="Times New Roman" w:cs="Times New Roman"/>
                <w:bCs/>
                <w:color w:val="auto"/>
                <w:sz w:val="24"/>
                <w:highlight w:val="none"/>
                <w:lang w:val="en-US" w:eastAsia="zh-CN"/>
              </w:rPr>
            </w:pPr>
          </w:p>
          <w:p w14:paraId="02F4F6B0">
            <w:pPr>
              <w:pStyle w:val="15"/>
              <w:rPr>
                <w:rFonts w:hint="default" w:ascii="Times New Roman" w:hAnsi="Times New Roman" w:cs="Times New Roman"/>
                <w:bCs/>
                <w:color w:val="auto"/>
                <w:sz w:val="24"/>
                <w:highlight w:val="none"/>
                <w:lang w:val="en-US" w:eastAsia="zh-CN"/>
              </w:rPr>
            </w:pPr>
          </w:p>
          <w:p w14:paraId="03B7F532">
            <w:pPr>
              <w:pStyle w:val="15"/>
              <w:rPr>
                <w:rFonts w:hint="default" w:ascii="Times New Roman" w:hAnsi="Times New Roman" w:cs="Times New Roman"/>
                <w:bCs/>
                <w:color w:val="auto"/>
                <w:sz w:val="24"/>
                <w:highlight w:val="none"/>
                <w:lang w:val="en-US" w:eastAsia="zh-CN"/>
              </w:rPr>
            </w:pPr>
          </w:p>
          <w:p w14:paraId="2C4D0EC4">
            <w:pPr>
              <w:pStyle w:val="15"/>
              <w:rPr>
                <w:rFonts w:hint="default" w:ascii="Times New Roman" w:hAnsi="Times New Roman" w:cs="Times New Roman"/>
                <w:bCs/>
                <w:color w:val="auto"/>
                <w:sz w:val="24"/>
                <w:highlight w:val="none"/>
                <w:lang w:val="en-US" w:eastAsia="zh-CN"/>
              </w:rPr>
            </w:pPr>
          </w:p>
          <w:p w14:paraId="459F82CE">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default" w:ascii="Times New Roman" w:hAnsi="Times New Roman" w:cs="Times New Roman"/>
                <w:bCs/>
                <w:color w:val="auto"/>
                <w:sz w:val="24"/>
                <w:highlight w:val="none"/>
                <w:lang w:val="en-US" w:eastAsia="zh-CN"/>
              </w:rPr>
            </w:pPr>
          </w:p>
          <w:p w14:paraId="5672DEF8">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default" w:ascii="Times New Roman" w:hAnsi="Times New Roman" w:cs="Times New Roman"/>
                <w:bCs/>
                <w:color w:val="auto"/>
                <w:sz w:val="24"/>
                <w:highlight w:val="none"/>
                <w:lang w:val="en-US" w:eastAsia="zh-CN"/>
              </w:rPr>
            </w:pPr>
          </w:p>
        </w:tc>
      </w:tr>
      <w:tr w14:paraId="26A4B9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193" w:hRule="atLeast"/>
          <w:jc w:val="center"/>
        </w:trPr>
        <w:tc>
          <w:tcPr>
            <w:tcW w:w="381" w:type="dxa"/>
            <w:tcMar>
              <w:left w:w="28" w:type="dxa"/>
              <w:right w:w="28" w:type="dxa"/>
            </w:tcMar>
            <w:vAlign w:val="center"/>
          </w:tcPr>
          <w:p w14:paraId="3CDBFDE6">
            <w:pPr>
              <w:pStyle w:val="7"/>
              <w:rPr>
                <w:rFonts w:hint="default" w:ascii="Times New Roman" w:hAnsi="Times New Roman" w:cs="Times New Roman"/>
                <w:color w:val="auto"/>
                <w:highlight w:val="none"/>
              </w:rPr>
            </w:pPr>
          </w:p>
          <w:p w14:paraId="1A8BB8C6">
            <w:pPr>
              <w:pStyle w:val="7"/>
              <w:rPr>
                <w:rFonts w:hint="default" w:ascii="Times New Roman" w:hAnsi="Times New Roman" w:cs="Times New Roman"/>
                <w:color w:val="auto"/>
                <w:highlight w:val="none"/>
              </w:rPr>
            </w:pPr>
          </w:p>
          <w:p w14:paraId="6DD1AD94">
            <w:pPr>
              <w:pStyle w:val="7"/>
              <w:rPr>
                <w:rFonts w:hint="default" w:ascii="Times New Roman" w:hAnsi="Times New Roman" w:cs="Times New Roman"/>
                <w:color w:val="auto"/>
                <w:highlight w:val="none"/>
              </w:rPr>
            </w:pPr>
          </w:p>
          <w:p w14:paraId="5A0925BC">
            <w:pPr>
              <w:rPr>
                <w:rFonts w:hint="default" w:ascii="Times New Roman" w:hAnsi="Times New Roman" w:cs="Times New Roman"/>
                <w:color w:val="auto"/>
                <w:highlight w:val="none"/>
              </w:rPr>
            </w:pPr>
          </w:p>
          <w:p w14:paraId="51A43E4D">
            <w:pPr>
              <w:pStyle w:val="7"/>
              <w:rPr>
                <w:rFonts w:hint="default" w:ascii="Times New Roman" w:hAnsi="Times New Roman" w:cs="Times New Roman"/>
                <w:color w:val="auto"/>
                <w:highlight w:val="none"/>
              </w:rPr>
            </w:pPr>
          </w:p>
          <w:p w14:paraId="7F2040EE">
            <w:pPr>
              <w:pStyle w:val="7"/>
              <w:rPr>
                <w:rFonts w:hint="default" w:ascii="Times New Roman" w:hAnsi="Times New Roman" w:cs="Times New Roman"/>
                <w:color w:val="auto"/>
                <w:highlight w:val="none"/>
              </w:rPr>
            </w:pPr>
          </w:p>
          <w:p w14:paraId="424B93E5">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运营</w:t>
            </w:r>
          </w:p>
          <w:p w14:paraId="757DD261">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1EF54D17">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境影</w:t>
            </w:r>
          </w:p>
          <w:p w14:paraId="6594C2C0">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响和</w:t>
            </w:r>
          </w:p>
          <w:p w14:paraId="1BEFD62E">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保护</w:t>
            </w:r>
          </w:p>
          <w:p w14:paraId="1AEF366F">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措施</w:t>
            </w:r>
          </w:p>
          <w:p w14:paraId="0CA313B7">
            <w:pPr>
              <w:pStyle w:val="7"/>
              <w:rPr>
                <w:rFonts w:hint="default" w:ascii="Times New Roman" w:hAnsi="Times New Roman" w:cs="Times New Roman"/>
                <w:color w:val="auto"/>
                <w:highlight w:val="none"/>
              </w:rPr>
            </w:pPr>
          </w:p>
          <w:p w14:paraId="7CC9751D">
            <w:pPr>
              <w:pStyle w:val="7"/>
              <w:rPr>
                <w:rFonts w:hint="default" w:ascii="Times New Roman" w:hAnsi="Times New Roman" w:cs="Times New Roman"/>
                <w:color w:val="auto"/>
                <w:highlight w:val="none"/>
              </w:rPr>
            </w:pPr>
          </w:p>
          <w:p w14:paraId="23A4E66C">
            <w:pPr>
              <w:pStyle w:val="7"/>
              <w:rPr>
                <w:rFonts w:hint="default" w:ascii="Times New Roman" w:hAnsi="Times New Roman" w:cs="Times New Roman"/>
                <w:color w:val="auto"/>
                <w:highlight w:val="none"/>
              </w:rPr>
            </w:pPr>
          </w:p>
          <w:p w14:paraId="27943A62">
            <w:pPr>
              <w:pStyle w:val="7"/>
              <w:rPr>
                <w:rFonts w:hint="default" w:ascii="Times New Roman" w:hAnsi="Times New Roman" w:cs="Times New Roman"/>
                <w:color w:val="auto"/>
                <w:highlight w:val="none"/>
              </w:rPr>
            </w:pPr>
          </w:p>
          <w:p w14:paraId="3D04C782">
            <w:pPr>
              <w:pStyle w:val="7"/>
              <w:rPr>
                <w:rFonts w:hint="default" w:ascii="Times New Roman" w:hAnsi="Times New Roman" w:cs="Times New Roman"/>
                <w:color w:val="auto"/>
                <w:highlight w:val="none"/>
              </w:rPr>
            </w:pPr>
          </w:p>
          <w:p w14:paraId="43CD2CB0">
            <w:pPr>
              <w:pStyle w:val="7"/>
              <w:rPr>
                <w:rFonts w:hint="default" w:ascii="Times New Roman" w:hAnsi="Times New Roman" w:cs="Times New Roman"/>
                <w:color w:val="auto"/>
                <w:highlight w:val="none"/>
              </w:rPr>
            </w:pPr>
          </w:p>
          <w:p w14:paraId="1C34F558">
            <w:pPr>
              <w:pStyle w:val="7"/>
              <w:rPr>
                <w:rFonts w:hint="default" w:ascii="Times New Roman" w:hAnsi="Times New Roman" w:cs="Times New Roman"/>
                <w:color w:val="auto"/>
                <w:highlight w:val="none"/>
              </w:rPr>
            </w:pPr>
          </w:p>
          <w:p w14:paraId="3AA7D044">
            <w:pPr>
              <w:pStyle w:val="7"/>
              <w:rPr>
                <w:rFonts w:hint="default" w:ascii="Times New Roman" w:hAnsi="Times New Roman" w:cs="Times New Roman"/>
                <w:color w:val="auto"/>
                <w:highlight w:val="none"/>
              </w:rPr>
            </w:pPr>
          </w:p>
          <w:p w14:paraId="595980FC">
            <w:pPr>
              <w:pStyle w:val="7"/>
              <w:rPr>
                <w:rFonts w:hint="default" w:ascii="Times New Roman" w:hAnsi="Times New Roman" w:cs="Times New Roman"/>
                <w:color w:val="auto"/>
                <w:highlight w:val="none"/>
              </w:rPr>
            </w:pPr>
          </w:p>
          <w:p w14:paraId="602C1A9D">
            <w:pPr>
              <w:pStyle w:val="7"/>
              <w:rPr>
                <w:rFonts w:hint="default" w:ascii="Times New Roman" w:hAnsi="Times New Roman" w:cs="Times New Roman"/>
                <w:color w:val="auto"/>
                <w:highlight w:val="none"/>
              </w:rPr>
            </w:pPr>
          </w:p>
          <w:p w14:paraId="59F18A15">
            <w:pPr>
              <w:pStyle w:val="7"/>
              <w:rPr>
                <w:rFonts w:hint="default" w:ascii="Times New Roman" w:hAnsi="Times New Roman" w:cs="Times New Roman"/>
                <w:color w:val="auto"/>
                <w:highlight w:val="none"/>
              </w:rPr>
            </w:pPr>
          </w:p>
          <w:p w14:paraId="0B6373C6">
            <w:pPr>
              <w:rPr>
                <w:rFonts w:hint="default" w:ascii="Times New Roman" w:hAnsi="Times New Roman" w:cs="Times New Roman"/>
                <w:color w:val="auto"/>
                <w:highlight w:val="none"/>
              </w:rPr>
            </w:pPr>
          </w:p>
          <w:p w14:paraId="52675F1D">
            <w:pPr>
              <w:pStyle w:val="32"/>
              <w:ind w:firstLine="210"/>
              <w:rPr>
                <w:rFonts w:hint="default" w:ascii="Times New Roman" w:hAnsi="Times New Roman" w:cs="Times New Roman"/>
                <w:color w:val="auto"/>
                <w:highlight w:val="none"/>
              </w:rPr>
            </w:pPr>
          </w:p>
          <w:p w14:paraId="42E1ADED">
            <w:pPr>
              <w:rPr>
                <w:rFonts w:hint="default" w:ascii="Times New Roman" w:hAnsi="Times New Roman" w:cs="Times New Roman"/>
                <w:color w:val="auto"/>
                <w:highlight w:val="none"/>
              </w:rPr>
            </w:pPr>
          </w:p>
          <w:p w14:paraId="22B8B0AF">
            <w:pPr>
              <w:pStyle w:val="6"/>
              <w:rPr>
                <w:rFonts w:hint="default" w:ascii="Times New Roman" w:hAnsi="Times New Roman" w:cs="Times New Roman"/>
                <w:color w:val="auto"/>
                <w:highlight w:val="none"/>
              </w:rPr>
            </w:pPr>
          </w:p>
          <w:p w14:paraId="55785272">
            <w:pPr>
              <w:rPr>
                <w:rFonts w:hint="default" w:ascii="Times New Roman" w:hAnsi="Times New Roman" w:cs="Times New Roman"/>
                <w:color w:val="auto"/>
                <w:highlight w:val="none"/>
              </w:rPr>
            </w:pPr>
          </w:p>
          <w:p w14:paraId="06D47F61">
            <w:pPr>
              <w:pStyle w:val="2"/>
              <w:rPr>
                <w:rFonts w:hint="default" w:ascii="Times New Roman" w:hAnsi="Times New Roman" w:cs="Times New Roman"/>
                <w:color w:val="auto"/>
                <w:highlight w:val="none"/>
              </w:rPr>
            </w:pPr>
          </w:p>
          <w:p w14:paraId="5405365B">
            <w:pPr>
              <w:pStyle w:val="3"/>
              <w:rPr>
                <w:rFonts w:hint="default" w:ascii="Times New Roman" w:hAnsi="Times New Roman" w:cs="Times New Roman"/>
                <w:color w:val="auto"/>
                <w:highlight w:val="none"/>
              </w:rPr>
            </w:pPr>
          </w:p>
          <w:p w14:paraId="0A1187D3">
            <w:pPr>
              <w:pStyle w:val="3"/>
              <w:rPr>
                <w:rFonts w:hint="default" w:ascii="Times New Roman" w:hAnsi="Times New Roman" w:cs="Times New Roman"/>
                <w:color w:val="auto"/>
                <w:highlight w:val="none"/>
              </w:rPr>
            </w:pPr>
          </w:p>
          <w:p w14:paraId="4712E954">
            <w:pPr>
              <w:pStyle w:val="3"/>
              <w:rPr>
                <w:rFonts w:hint="default" w:ascii="Times New Roman" w:hAnsi="Times New Roman" w:cs="Times New Roman"/>
                <w:color w:val="auto"/>
                <w:highlight w:val="none"/>
              </w:rPr>
            </w:pPr>
          </w:p>
          <w:p w14:paraId="5044AFE3">
            <w:pPr>
              <w:pStyle w:val="3"/>
              <w:rPr>
                <w:rFonts w:hint="default" w:ascii="Times New Roman" w:hAnsi="Times New Roman" w:cs="Times New Roman"/>
                <w:color w:val="auto"/>
                <w:highlight w:val="none"/>
              </w:rPr>
            </w:pPr>
          </w:p>
          <w:p w14:paraId="594B4DB0">
            <w:pPr>
              <w:pStyle w:val="3"/>
              <w:rPr>
                <w:rFonts w:hint="default" w:ascii="Times New Roman" w:hAnsi="Times New Roman" w:cs="Times New Roman"/>
                <w:color w:val="auto"/>
                <w:highlight w:val="none"/>
              </w:rPr>
            </w:pPr>
          </w:p>
          <w:p w14:paraId="24FF01BC">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运营</w:t>
            </w:r>
          </w:p>
          <w:p w14:paraId="1B4F8401">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16F12AD5">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境影</w:t>
            </w:r>
          </w:p>
          <w:p w14:paraId="2803D703">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响和</w:t>
            </w:r>
          </w:p>
          <w:p w14:paraId="68D523E8">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保护</w:t>
            </w:r>
          </w:p>
          <w:p w14:paraId="2E1271C4">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措施</w:t>
            </w:r>
          </w:p>
          <w:p w14:paraId="11758740">
            <w:pPr>
              <w:rPr>
                <w:rFonts w:hint="default" w:ascii="Times New Roman" w:hAnsi="Times New Roman" w:cs="Times New Roman"/>
                <w:color w:val="auto"/>
                <w:highlight w:val="none"/>
              </w:rPr>
            </w:pPr>
          </w:p>
          <w:p w14:paraId="57D0A171">
            <w:pPr>
              <w:pStyle w:val="6"/>
              <w:rPr>
                <w:rFonts w:hint="default" w:ascii="Times New Roman" w:hAnsi="Times New Roman" w:cs="Times New Roman"/>
                <w:color w:val="auto"/>
                <w:highlight w:val="none"/>
              </w:rPr>
            </w:pPr>
          </w:p>
          <w:p w14:paraId="7DD6B2DF">
            <w:pPr>
              <w:rPr>
                <w:rFonts w:hint="default" w:ascii="Times New Roman" w:hAnsi="Times New Roman" w:cs="Times New Roman"/>
                <w:color w:val="auto"/>
                <w:highlight w:val="none"/>
              </w:rPr>
            </w:pPr>
          </w:p>
          <w:p w14:paraId="1AD6DD41">
            <w:pPr>
              <w:pStyle w:val="6"/>
              <w:rPr>
                <w:rFonts w:hint="default" w:ascii="Times New Roman" w:hAnsi="Times New Roman" w:cs="Times New Roman"/>
                <w:color w:val="auto"/>
                <w:highlight w:val="none"/>
              </w:rPr>
            </w:pPr>
          </w:p>
          <w:p w14:paraId="4A04D4EA">
            <w:pPr>
              <w:rPr>
                <w:rFonts w:hint="default" w:ascii="Times New Roman" w:hAnsi="Times New Roman" w:cs="Times New Roman"/>
                <w:color w:val="auto"/>
                <w:highlight w:val="none"/>
              </w:rPr>
            </w:pPr>
          </w:p>
          <w:p w14:paraId="41FA0BB7">
            <w:pPr>
              <w:pStyle w:val="6"/>
              <w:rPr>
                <w:rFonts w:hint="default" w:ascii="Times New Roman" w:hAnsi="Times New Roman" w:cs="Times New Roman"/>
                <w:color w:val="auto"/>
                <w:highlight w:val="none"/>
              </w:rPr>
            </w:pPr>
          </w:p>
          <w:p w14:paraId="594F8011">
            <w:pPr>
              <w:rPr>
                <w:rFonts w:hint="default" w:ascii="Times New Roman" w:hAnsi="Times New Roman" w:cs="Times New Roman"/>
                <w:color w:val="auto"/>
                <w:highlight w:val="none"/>
              </w:rPr>
            </w:pPr>
          </w:p>
          <w:p w14:paraId="6E081B59">
            <w:pPr>
              <w:pStyle w:val="6"/>
              <w:rPr>
                <w:rFonts w:hint="default" w:ascii="Times New Roman" w:hAnsi="Times New Roman" w:cs="Times New Roman"/>
                <w:color w:val="auto"/>
                <w:highlight w:val="none"/>
              </w:rPr>
            </w:pPr>
          </w:p>
          <w:p w14:paraId="164B7519">
            <w:pPr>
              <w:rPr>
                <w:rFonts w:hint="default" w:ascii="Times New Roman" w:hAnsi="Times New Roman" w:cs="Times New Roman"/>
                <w:color w:val="auto"/>
                <w:highlight w:val="none"/>
              </w:rPr>
            </w:pPr>
          </w:p>
          <w:p w14:paraId="0C5EB075">
            <w:pPr>
              <w:pStyle w:val="6"/>
              <w:rPr>
                <w:rFonts w:hint="default" w:ascii="Times New Roman" w:hAnsi="Times New Roman" w:cs="Times New Roman"/>
                <w:color w:val="auto"/>
                <w:highlight w:val="none"/>
              </w:rPr>
            </w:pPr>
          </w:p>
          <w:p w14:paraId="3FA0AC47">
            <w:pPr>
              <w:rPr>
                <w:rFonts w:hint="default" w:ascii="Times New Roman" w:hAnsi="Times New Roman" w:cs="Times New Roman"/>
                <w:color w:val="auto"/>
                <w:highlight w:val="none"/>
              </w:rPr>
            </w:pPr>
          </w:p>
          <w:p w14:paraId="38541F00">
            <w:pPr>
              <w:pStyle w:val="6"/>
              <w:rPr>
                <w:rFonts w:hint="default" w:ascii="Times New Roman" w:hAnsi="Times New Roman" w:cs="Times New Roman"/>
                <w:color w:val="auto"/>
                <w:highlight w:val="none"/>
              </w:rPr>
            </w:pPr>
          </w:p>
          <w:p w14:paraId="77BA1B44">
            <w:pPr>
              <w:rPr>
                <w:rFonts w:hint="default" w:ascii="Times New Roman" w:hAnsi="Times New Roman" w:cs="Times New Roman"/>
                <w:color w:val="auto"/>
                <w:highlight w:val="none"/>
              </w:rPr>
            </w:pPr>
          </w:p>
          <w:p w14:paraId="6F8351FD">
            <w:pPr>
              <w:pStyle w:val="6"/>
              <w:rPr>
                <w:rFonts w:hint="default" w:ascii="Times New Roman" w:hAnsi="Times New Roman" w:cs="Times New Roman"/>
                <w:color w:val="auto"/>
                <w:highlight w:val="none"/>
              </w:rPr>
            </w:pPr>
          </w:p>
          <w:p w14:paraId="61063431">
            <w:pPr>
              <w:rPr>
                <w:rFonts w:hint="default" w:ascii="Times New Roman" w:hAnsi="Times New Roman" w:cs="Times New Roman"/>
                <w:color w:val="auto"/>
                <w:highlight w:val="none"/>
              </w:rPr>
            </w:pPr>
          </w:p>
          <w:p w14:paraId="6BADD36C">
            <w:pPr>
              <w:pStyle w:val="6"/>
              <w:rPr>
                <w:rFonts w:hint="default" w:ascii="Times New Roman" w:hAnsi="Times New Roman" w:cs="Times New Roman"/>
                <w:color w:val="auto"/>
                <w:highlight w:val="none"/>
              </w:rPr>
            </w:pPr>
          </w:p>
          <w:p w14:paraId="381DA699">
            <w:pPr>
              <w:rPr>
                <w:rFonts w:hint="default" w:ascii="Times New Roman" w:hAnsi="Times New Roman" w:cs="Times New Roman"/>
                <w:color w:val="auto"/>
                <w:highlight w:val="none"/>
              </w:rPr>
            </w:pPr>
          </w:p>
          <w:p w14:paraId="45736323">
            <w:pPr>
              <w:pStyle w:val="6"/>
              <w:rPr>
                <w:rFonts w:hint="default" w:ascii="Times New Roman" w:hAnsi="Times New Roman" w:cs="Times New Roman"/>
                <w:color w:val="auto"/>
                <w:highlight w:val="none"/>
              </w:rPr>
            </w:pPr>
          </w:p>
          <w:p w14:paraId="3E2CA762">
            <w:pPr>
              <w:rPr>
                <w:rFonts w:hint="default" w:ascii="Times New Roman" w:hAnsi="Times New Roman" w:cs="Times New Roman"/>
                <w:color w:val="auto"/>
                <w:highlight w:val="none"/>
              </w:rPr>
            </w:pPr>
          </w:p>
          <w:p w14:paraId="79FD3D3A">
            <w:pPr>
              <w:pStyle w:val="6"/>
              <w:rPr>
                <w:rFonts w:hint="default" w:ascii="Times New Roman" w:hAnsi="Times New Roman" w:cs="Times New Roman"/>
                <w:color w:val="auto"/>
                <w:highlight w:val="none"/>
              </w:rPr>
            </w:pPr>
          </w:p>
          <w:p w14:paraId="611F30C5">
            <w:pPr>
              <w:pStyle w:val="7"/>
              <w:rPr>
                <w:rFonts w:hint="default" w:ascii="Times New Roman" w:hAnsi="Times New Roman" w:cs="Times New Roman"/>
                <w:color w:val="auto"/>
                <w:highlight w:val="none"/>
              </w:rPr>
            </w:pPr>
          </w:p>
          <w:p w14:paraId="0C67E950">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运营</w:t>
            </w:r>
          </w:p>
          <w:p w14:paraId="05E876D1">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40B9595F">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境影</w:t>
            </w:r>
          </w:p>
          <w:p w14:paraId="41FFF6ED">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响和</w:t>
            </w:r>
          </w:p>
          <w:p w14:paraId="5C1D9C38">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保护</w:t>
            </w:r>
          </w:p>
          <w:p w14:paraId="5DEC1C29">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措施</w:t>
            </w:r>
          </w:p>
          <w:p w14:paraId="3A0D7877">
            <w:pPr>
              <w:rPr>
                <w:rFonts w:hint="default" w:ascii="Times New Roman" w:hAnsi="Times New Roman" w:cs="Times New Roman"/>
                <w:color w:val="auto"/>
                <w:highlight w:val="none"/>
              </w:rPr>
            </w:pPr>
          </w:p>
          <w:p w14:paraId="4CC06ECD">
            <w:pPr>
              <w:pStyle w:val="6"/>
              <w:rPr>
                <w:rFonts w:hint="default" w:ascii="Times New Roman" w:hAnsi="Times New Roman" w:cs="Times New Roman"/>
                <w:color w:val="auto"/>
                <w:highlight w:val="none"/>
              </w:rPr>
            </w:pPr>
          </w:p>
          <w:p w14:paraId="01E50A76">
            <w:pPr>
              <w:rPr>
                <w:rFonts w:hint="default" w:ascii="Times New Roman" w:hAnsi="Times New Roman" w:cs="Times New Roman"/>
                <w:color w:val="auto"/>
                <w:highlight w:val="none"/>
              </w:rPr>
            </w:pPr>
          </w:p>
          <w:p w14:paraId="4B055B53">
            <w:pPr>
              <w:pStyle w:val="6"/>
              <w:rPr>
                <w:rFonts w:hint="default" w:ascii="Times New Roman" w:hAnsi="Times New Roman" w:cs="Times New Roman"/>
                <w:color w:val="auto"/>
                <w:highlight w:val="none"/>
              </w:rPr>
            </w:pPr>
          </w:p>
          <w:p w14:paraId="11697CF0">
            <w:pPr>
              <w:rPr>
                <w:rFonts w:hint="default" w:ascii="Times New Roman" w:hAnsi="Times New Roman" w:cs="Times New Roman"/>
                <w:color w:val="auto"/>
                <w:highlight w:val="none"/>
              </w:rPr>
            </w:pPr>
          </w:p>
          <w:p w14:paraId="1193AD42">
            <w:pPr>
              <w:pStyle w:val="6"/>
              <w:rPr>
                <w:rFonts w:hint="default" w:ascii="Times New Roman" w:hAnsi="Times New Roman" w:cs="Times New Roman"/>
                <w:color w:val="auto"/>
                <w:highlight w:val="none"/>
              </w:rPr>
            </w:pPr>
          </w:p>
          <w:p w14:paraId="188712D9">
            <w:pPr>
              <w:rPr>
                <w:rFonts w:hint="default" w:ascii="Times New Roman" w:hAnsi="Times New Roman" w:cs="Times New Roman"/>
                <w:color w:val="auto"/>
                <w:highlight w:val="none"/>
              </w:rPr>
            </w:pPr>
          </w:p>
          <w:p w14:paraId="1E1989E0">
            <w:pPr>
              <w:pStyle w:val="6"/>
              <w:rPr>
                <w:rFonts w:hint="default" w:ascii="Times New Roman" w:hAnsi="Times New Roman" w:cs="Times New Roman"/>
                <w:color w:val="auto"/>
                <w:highlight w:val="none"/>
              </w:rPr>
            </w:pPr>
          </w:p>
          <w:p w14:paraId="2A3871A7">
            <w:pPr>
              <w:rPr>
                <w:rFonts w:hint="default" w:ascii="Times New Roman" w:hAnsi="Times New Roman" w:cs="Times New Roman"/>
                <w:color w:val="auto"/>
                <w:highlight w:val="none"/>
              </w:rPr>
            </w:pPr>
          </w:p>
          <w:p w14:paraId="523EFCA9">
            <w:pPr>
              <w:pStyle w:val="6"/>
              <w:rPr>
                <w:rFonts w:hint="default" w:ascii="Times New Roman" w:hAnsi="Times New Roman" w:cs="Times New Roman"/>
                <w:color w:val="auto"/>
                <w:highlight w:val="none"/>
              </w:rPr>
            </w:pPr>
          </w:p>
          <w:p w14:paraId="5FAD59BF">
            <w:pPr>
              <w:rPr>
                <w:rFonts w:hint="default" w:ascii="Times New Roman" w:hAnsi="Times New Roman" w:cs="Times New Roman"/>
                <w:color w:val="auto"/>
                <w:highlight w:val="none"/>
              </w:rPr>
            </w:pPr>
          </w:p>
          <w:p w14:paraId="6A9F9874">
            <w:pPr>
              <w:pStyle w:val="6"/>
              <w:rPr>
                <w:rFonts w:hint="default" w:ascii="Times New Roman" w:hAnsi="Times New Roman" w:cs="Times New Roman"/>
                <w:color w:val="auto"/>
                <w:highlight w:val="none"/>
              </w:rPr>
            </w:pPr>
          </w:p>
          <w:p w14:paraId="6E93A868">
            <w:pPr>
              <w:rPr>
                <w:rFonts w:hint="default" w:ascii="Times New Roman" w:hAnsi="Times New Roman" w:cs="Times New Roman"/>
                <w:color w:val="auto"/>
                <w:highlight w:val="none"/>
              </w:rPr>
            </w:pPr>
          </w:p>
          <w:p w14:paraId="725DE38C">
            <w:pPr>
              <w:pStyle w:val="6"/>
              <w:rPr>
                <w:rFonts w:hint="default" w:ascii="Times New Roman" w:hAnsi="Times New Roman" w:cs="Times New Roman"/>
                <w:color w:val="auto"/>
                <w:highlight w:val="none"/>
              </w:rPr>
            </w:pPr>
          </w:p>
          <w:p w14:paraId="64952D44">
            <w:pPr>
              <w:rPr>
                <w:rFonts w:hint="default" w:ascii="Times New Roman" w:hAnsi="Times New Roman" w:cs="Times New Roman"/>
                <w:color w:val="auto"/>
                <w:highlight w:val="none"/>
              </w:rPr>
            </w:pPr>
          </w:p>
          <w:p w14:paraId="54B65BB2">
            <w:pPr>
              <w:pStyle w:val="6"/>
              <w:rPr>
                <w:rFonts w:hint="default" w:ascii="Times New Roman" w:hAnsi="Times New Roman" w:cs="Times New Roman"/>
                <w:color w:val="auto"/>
                <w:highlight w:val="none"/>
              </w:rPr>
            </w:pPr>
          </w:p>
          <w:p w14:paraId="153B3297">
            <w:pPr>
              <w:rPr>
                <w:rFonts w:hint="default" w:ascii="Times New Roman" w:hAnsi="Times New Roman" w:cs="Times New Roman"/>
                <w:color w:val="auto"/>
                <w:highlight w:val="none"/>
              </w:rPr>
            </w:pPr>
          </w:p>
          <w:p w14:paraId="3C23C201">
            <w:pPr>
              <w:pStyle w:val="6"/>
              <w:rPr>
                <w:rFonts w:hint="default" w:ascii="Times New Roman" w:hAnsi="Times New Roman" w:cs="Times New Roman"/>
                <w:color w:val="auto"/>
                <w:highlight w:val="none"/>
              </w:rPr>
            </w:pPr>
          </w:p>
          <w:p w14:paraId="45D00B5C">
            <w:pPr>
              <w:rPr>
                <w:rFonts w:hint="default" w:ascii="Times New Roman" w:hAnsi="Times New Roman" w:cs="Times New Roman"/>
                <w:color w:val="auto"/>
                <w:highlight w:val="none"/>
              </w:rPr>
            </w:pPr>
          </w:p>
          <w:p w14:paraId="7BE6740C">
            <w:pPr>
              <w:pStyle w:val="6"/>
              <w:rPr>
                <w:rFonts w:hint="default" w:ascii="Times New Roman" w:hAnsi="Times New Roman" w:cs="Times New Roman"/>
                <w:color w:val="auto"/>
                <w:highlight w:val="none"/>
              </w:rPr>
            </w:pPr>
          </w:p>
          <w:p w14:paraId="3067F279">
            <w:pPr>
              <w:pStyle w:val="6"/>
              <w:rPr>
                <w:rFonts w:hint="default" w:ascii="Times New Roman" w:hAnsi="Times New Roman" w:cs="Times New Roman"/>
                <w:color w:val="auto"/>
                <w:highlight w:val="none"/>
              </w:rPr>
            </w:pPr>
          </w:p>
          <w:p w14:paraId="423C60D6">
            <w:pPr>
              <w:rPr>
                <w:rFonts w:hint="default" w:ascii="Times New Roman" w:hAnsi="Times New Roman" w:cs="Times New Roman"/>
                <w:color w:val="auto"/>
                <w:highlight w:val="none"/>
              </w:rPr>
            </w:pPr>
          </w:p>
          <w:p w14:paraId="0C3E82E2">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运营</w:t>
            </w:r>
          </w:p>
          <w:p w14:paraId="1622A26C">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193D45E1">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境影</w:t>
            </w:r>
          </w:p>
          <w:p w14:paraId="7AA8417D">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响和</w:t>
            </w:r>
          </w:p>
          <w:p w14:paraId="32E3DE12">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保护</w:t>
            </w:r>
          </w:p>
          <w:p w14:paraId="5030A6CB">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措施</w:t>
            </w:r>
          </w:p>
          <w:p w14:paraId="31C50B71">
            <w:pPr>
              <w:rPr>
                <w:rFonts w:hint="default" w:ascii="Times New Roman" w:hAnsi="Times New Roman" w:cs="Times New Roman"/>
                <w:color w:val="auto"/>
                <w:highlight w:val="none"/>
              </w:rPr>
            </w:pPr>
          </w:p>
          <w:p w14:paraId="29940D3B">
            <w:pPr>
              <w:pStyle w:val="32"/>
              <w:ind w:firstLine="210"/>
              <w:rPr>
                <w:rFonts w:hint="default" w:ascii="Times New Roman" w:hAnsi="Times New Roman" w:cs="Times New Roman"/>
                <w:color w:val="auto"/>
                <w:highlight w:val="none"/>
              </w:rPr>
            </w:pPr>
          </w:p>
          <w:p w14:paraId="51F3EEF8">
            <w:pPr>
              <w:pStyle w:val="32"/>
              <w:ind w:firstLine="210"/>
              <w:rPr>
                <w:rFonts w:hint="default" w:ascii="Times New Roman" w:hAnsi="Times New Roman" w:cs="Times New Roman"/>
                <w:color w:val="auto"/>
                <w:highlight w:val="none"/>
              </w:rPr>
            </w:pPr>
          </w:p>
          <w:p w14:paraId="57D2DD94">
            <w:pPr>
              <w:pStyle w:val="32"/>
              <w:ind w:firstLine="210"/>
              <w:rPr>
                <w:rFonts w:hint="default" w:ascii="Times New Roman" w:hAnsi="Times New Roman" w:cs="Times New Roman"/>
                <w:color w:val="auto"/>
                <w:highlight w:val="none"/>
              </w:rPr>
            </w:pPr>
          </w:p>
          <w:p w14:paraId="60B76DE5">
            <w:pPr>
              <w:pStyle w:val="32"/>
              <w:ind w:firstLine="210"/>
              <w:rPr>
                <w:rFonts w:hint="default" w:ascii="Times New Roman" w:hAnsi="Times New Roman" w:cs="Times New Roman"/>
                <w:color w:val="auto"/>
                <w:highlight w:val="none"/>
              </w:rPr>
            </w:pPr>
          </w:p>
          <w:p w14:paraId="5B279A6E">
            <w:pPr>
              <w:pStyle w:val="32"/>
              <w:ind w:firstLine="210"/>
              <w:rPr>
                <w:rFonts w:hint="default" w:ascii="Times New Roman" w:hAnsi="Times New Roman" w:cs="Times New Roman"/>
                <w:color w:val="auto"/>
                <w:highlight w:val="none"/>
              </w:rPr>
            </w:pPr>
          </w:p>
          <w:p w14:paraId="4691C99F">
            <w:pPr>
              <w:pStyle w:val="32"/>
              <w:ind w:firstLine="210"/>
              <w:rPr>
                <w:rFonts w:hint="default" w:ascii="Times New Roman" w:hAnsi="Times New Roman" w:cs="Times New Roman"/>
                <w:color w:val="auto"/>
                <w:highlight w:val="none"/>
              </w:rPr>
            </w:pPr>
          </w:p>
          <w:p w14:paraId="0AFFB32F">
            <w:pPr>
              <w:pStyle w:val="32"/>
              <w:ind w:firstLine="210"/>
              <w:rPr>
                <w:rFonts w:hint="default" w:ascii="Times New Roman" w:hAnsi="Times New Roman" w:cs="Times New Roman"/>
                <w:color w:val="auto"/>
                <w:highlight w:val="none"/>
              </w:rPr>
            </w:pPr>
          </w:p>
          <w:p w14:paraId="40B7DC53">
            <w:pPr>
              <w:pStyle w:val="32"/>
              <w:ind w:firstLine="210"/>
              <w:rPr>
                <w:rFonts w:hint="default" w:ascii="Times New Roman" w:hAnsi="Times New Roman" w:cs="Times New Roman"/>
                <w:color w:val="auto"/>
                <w:highlight w:val="none"/>
              </w:rPr>
            </w:pPr>
          </w:p>
          <w:p w14:paraId="3CBA61C6">
            <w:pPr>
              <w:pStyle w:val="32"/>
              <w:ind w:firstLine="210"/>
              <w:rPr>
                <w:rFonts w:hint="default" w:ascii="Times New Roman" w:hAnsi="Times New Roman" w:cs="Times New Roman"/>
                <w:color w:val="auto"/>
                <w:highlight w:val="none"/>
              </w:rPr>
            </w:pPr>
          </w:p>
          <w:p w14:paraId="4D1410EA">
            <w:pPr>
              <w:pStyle w:val="32"/>
              <w:ind w:firstLine="210"/>
              <w:rPr>
                <w:rFonts w:hint="default" w:ascii="Times New Roman" w:hAnsi="Times New Roman" w:cs="Times New Roman"/>
                <w:color w:val="auto"/>
                <w:highlight w:val="none"/>
              </w:rPr>
            </w:pPr>
          </w:p>
          <w:p w14:paraId="692243A6">
            <w:pPr>
              <w:pStyle w:val="32"/>
              <w:ind w:firstLine="210"/>
              <w:rPr>
                <w:rFonts w:hint="default" w:ascii="Times New Roman" w:hAnsi="Times New Roman" w:cs="Times New Roman"/>
                <w:color w:val="auto"/>
                <w:highlight w:val="none"/>
              </w:rPr>
            </w:pPr>
          </w:p>
          <w:p w14:paraId="373F2050">
            <w:pPr>
              <w:rPr>
                <w:rFonts w:hint="default" w:ascii="Times New Roman" w:hAnsi="Times New Roman" w:cs="Times New Roman"/>
                <w:color w:val="auto"/>
                <w:highlight w:val="none"/>
              </w:rPr>
            </w:pPr>
          </w:p>
          <w:p w14:paraId="25A88960">
            <w:pPr>
              <w:pStyle w:val="6"/>
              <w:rPr>
                <w:rFonts w:hint="default" w:ascii="Times New Roman" w:hAnsi="Times New Roman" w:cs="Times New Roman"/>
                <w:color w:val="auto"/>
                <w:highlight w:val="none"/>
              </w:rPr>
            </w:pPr>
          </w:p>
          <w:p w14:paraId="215D21BD">
            <w:pPr>
              <w:rPr>
                <w:rFonts w:hint="default" w:ascii="Times New Roman" w:hAnsi="Times New Roman" w:cs="Times New Roman"/>
                <w:color w:val="auto"/>
                <w:highlight w:val="none"/>
              </w:rPr>
            </w:pPr>
          </w:p>
          <w:p w14:paraId="23365BE2">
            <w:pPr>
              <w:pStyle w:val="6"/>
              <w:rPr>
                <w:rFonts w:hint="default" w:ascii="Times New Roman" w:hAnsi="Times New Roman" w:cs="Times New Roman"/>
                <w:color w:val="auto"/>
                <w:highlight w:val="none"/>
              </w:rPr>
            </w:pPr>
          </w:p>
          <w:p w14:paraId="386EEFC9">
            <w:pPr>
              <w:rPr>
                <w:rFonts w:hint="default" w:ascii="Times New Roman" w:hAnsi="Times New Roman" w:cs="Times New Roman"/>
                <w:color w:val="auto"/>
                <w:highlight w:val="none"/>
              </w:rPr>
            </w:pPr>
          </w:p>
          <w:p w14:paraId="6AF8A923">
            <w:pPr>
              <w:pStyle w:val="6"/>
              <w:rPr>
                <w:rFonts w:hint="default" w:ascii="Times New Roman" w:hAnsi="Times New Roman" w:cs="Times New Roman"/>
                <w:color w:val="auto"/>
                <w:highlight w:val="none"/>
              </w:rPr>
            </w:pPr>
          </w:p>
          <w:p w14:paraId="5ED848ED">
            <w:pPr>
              <w:rPr>
                <w:rFonts w:hint="default" w:ascii="Times New Roman" w:hAnsi="Times New Roman" w:cs="Times New Roman"/>
                <w:color w:val="auto"/>
                <w:highlight w:val="none"/>
              </w:rPr>
            </w:pPr>
          </w:p>
          <w:p w14:paraId="0B04F000">
            <w:pPr>
              <w:pStyle w:val="6"/>
              <w:rPr>
                <w:rFonts w:hint="default" w:ascii="Times New Roman" w:hAnsi="Times New Roman" w:cs="Times New Roman"/>
                <w:color w:val="auto"/>
                <w:highlight w:val="none"/>
              </w:rPr>
            </w:pPr>
          </w:p>
          <w:p w14:paraId="76B1EC9F">
            <w:pPr>
              <w:rPr>
                <w:rFonts w:hint="default" w:ascii="Times New Roman" w:hAnsi="Times New Roman" w:cs="Times New Roman"/>
                <w:color w:val="auto"/>
                <w:highlight w:val="none"/>
              </w:rPr>
            </w:pPr>
          </w:p>
          <w:p w14:paraId="30303E53">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运营</w:t>
            </w:r>
          </w:p>
          <w:p w14:paraId="16B7F77C">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146E8CAE">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境影</w:t>
            </w:r>
          </w:p>
          <w:p w14:paraId="18755CE7">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响和</w:t>
            </w:r>
          </w:p>
          <w:p w14:paraId="6F799ACA">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保护</w:t>
            </w:r>
          </w:p>
          <w:p w14:paraId="7F078DEE">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措施</w:t>
            </w:r>
          </w:p>
          <w:p w14:paraId="48FF9572">
            <w:pPr>
              <w:rPr>
                <w:rFonts w:hint="default" w:ascii="Times New Roman" w:hAnsi="Times New Roman" w:cs="Times New Roman"/>
                <w:color w:val="auto"/>
                <w:highlight w:val="none"/>
              </w:rPr>
            </w:pPr>
          </w:p>
          <w:p w14:paraId="3D5AF164">
            <w:pPr>
              <w:pStyle w:val="6"/>
              <w:rPr>
                <w:rFonts w:hint="default" w:ascii="Times New Roman" w:hAnsi="Times New Roman" w:cs="Times New Roman"/>
                <w:color w:val="auto"/>
                <w:highlight w:val="none"/>
              </w:rPr>
            </w:pPr>
          </w:p>
          <w:p w14:paraId="74DCAD20">
            <w:pPr>
              <w:rPr>
                <w:rFonts w:hint="default" w:ascii="Times New Roman" w:hAnsi="Times New Roman" w:cs="Times New Roman"/>
                <w:color w:val="auto"/>
                <w:highlight w:val="none"/>
              </w:rPr>
            </w:pPr>
          </w:p>
          <w:p w14:paraId="4E500CDF">
            <w:pPr>
              <w:pStyle w:val="6"/>
              <w:rPr>
                <w:rFonts w:hint="default" w:ascii="Times New Roman" w:hAnsi="Times New Roman" w:cs="Times New Roman"/>
                <w:color w:val="auto"/>
                <w:highlight w:val="none"/>
              </w:rPr>
            </w:pPr>
          </w:p>
          <w:p w14:paraId="026CA3E1">
            <w:pPr>
              <w:rPr>
                <w:rFonts w:hint="default" w:ascii="Times New Roman" w:hAnsi="Times New Roman" w:cs="Times New Roman"/>
                <w:color w:val="auto"/>
                <w:highlight w:val="none"/>
              </w:rPr>
            </w:pPr>
          </w:p>
          <w:p w14:paraId="7F2F9485">
            <w:pPr>
              <w:pStyle w:val="6"/>
              <w:rPr>
                <w:rFonts w:hint="default" w:ascii="Times New Roman" w:hAnsi="Times New Roman" w:cs="Times New Roman"/>
                <w:color w:val="auto"/>
                <w:highlight w:val="none"/>
              </w:rPr>
            </w:pPr>
          </w:p>
          <w:p w14:paraId="7758EAC4">
            <w:pPr>
              <w:rPr>
                <w:rFonts w:hint="default" w:ascii="Times New Roman" w:hAnsi="Times New Roman" w:cs="Times New Roman"/>
                <w:color w:val="auto"/>
                <w:highlight w:val="none"/>
              </w:rPr>
            </w:pPr>
          </w:p>
          <w:p w14:paraId="08B9CE84">
            <w:pPr>
              <w:pStyle w:val="6"/>
              <w:rPr>
                <w:rFonts w:hint="default" w:ascii="Times New Roman" w:hAnsi="Times New Roman" w:cs="Times New Roman"/>
                <w:color w:val="auto"/>
                <w:highlight w:val="none"/>
              </w:rPr>
            </w:pPr>
          </w:p>
          <w:p w14:paraId="172D8DF1">
            <w:pPr>
              <w:rPr>
                <w:rFonts w:hint="default" w:ascii="Times New Roman" w:hAnsi="Times New Roman" w:cs="Times New Roman"/>
                <w:color w:val="auto"/>
                <w:highlight w:val="none"/>
              </w:rPr>
            </w:pPr>
          </w:p>
          <w:p w14:paraId="5D9EEDFA">
            <w:pPr>
              <w:pStyle w:val="6"/>
              <w:rPr>
                <w:rFonts w:hint="default" w:ascii="Times New Roman" w:hAnsi="Times New Roman" w:cs="Times New Roman"/>
                <w:color w:val="auto"/>
                <w:highlight w:val="none"/>
              </w:rPr>
            </w:pPr>
          </w:p>
          <w:p w14:paraId="07F885FF">
            <w:pPr>
              <w:rPr>
                <w:rFonts w:hint="default" w:ascii="Times New Roman" w:hAnsi="Times New Roman" w:cs="Times New Roman"/>
                <w:color w:val="auto"/>
                <w:highlight w:val="none"/>
              </w:rPr>
            </w:pPr>
          </w:p>
          <w:p w14:paraId="502FA095">
            <w:pPr>
              <w:pStyle w:val="6"/>
              <w:rPr>
                <w:rFonts w:hint="default" w:ascii="Times New Roman" w:hAnsi="Times New Roman" w:cs="Times New Roman"/>
                <w:color w:val="auto"/>
                <w:highlight w:val="none"/>
              </w:rPr>
            </w:pPr>
          </w:p>
          <w:p w14:paraId="2C5A5D44">
            <w:pPr>
              <w:rPr>
                <w:rFonts w:hint="default" w:ascii="Times New Roman" w:hAnsi="Times New Roman" w:cs="Times New Roman"/>
                <w:color w:val="auto"/>
                <w:highlight w:val="none"/>
              </w:rPr>
            </w:pPr>
          </w:p>
          <w:p w14:paraId="2BB8F658">
            <w:pPr>
              <w:pStyle w:val="6"/>
              <w:rPr>
                <w:rFonts w:hint="default" w:ascii="Times New Roman" w:hAnsi="Times New Roman" w:cs="Times New Roman"/>
                <w:color w:val="auto"/>
                <w:highlight w:val="none"/>
              </w:rPr>
            </w:pPr>
          </w:p>
          <w:p w14:paraId="46B536CA">
            <w:pPr>
              <w:rPr>
                <w:rFonts w:hint="default" w:ascii="Times New Roman" w:hAnsi="Times New Roman" w:cs="Times New Roman"/>
                <w:color w:val="auto"/>
                <w:highlight w:val="none"/>
              </w:rPr>
            </w:pPr>
          </w:p>
          <w:p w14:paraId="4B809756">
            <w:pPr>
              <w:pStyle w:val="6"/>
              <w:rPr>
                <w:rFonts w:hint="default" w:ascii="Times New Roman" w:hAnsi="Times New Roman" w:cs="Times New Roman"/>
                <w:color w:val="auto"/>
                <w:highlight w:val="none"/>
              </w:rPr>
            </w:pPr>
          </w:p>
          <w:p w14:paraId="40420891">
            <w:pPr>
              <w:rPr>
                <w:rFonts w:hint="default" w:ascii="Times New Roman" w:hAnsi="Times New Roman" w:cs="Times New Roman"/>
                <w:color w:val="auto"/>
                <w:highlight w:val="none"/>
              </w:rPr>
            </w:pPr>
          </w:p>
          <w:p w14:paraId="74CA1153">
            <w:pPr>
              <w:pStyle w:val="6"/>
              <w:rPr>
                <w:rFonts w:hint="default" w:ascii="Times New Roman" w:hAnsi="Times New Roman" w:cs="Times New Roman"/>
                <w:color w:val="auto"/>
                <w:highlight w:val="none"/>
              </w:rPr>
            </w:pPr>
          </w:p>
          <w:p w14:paraId="1670AB32">
            <w:pPr>
              <w:pStyle w:val="6"/>
              <w:rPr>
                <w:rFonts w:hint="default" w:ascii="Times New Roman" w:hAnsi="Times New Roman" w:cs="Times New Roman"/>
                <w:color w:val="auto"/>
                <w:highlight w:val="none"/>
              </w:rPr>
            </w:pPr>
          </w:p>
          <w:p w14:paraId="3197CE4B">
            <w:pPr>
              <w:rPr>
                <w:rFonts w:hint="default" w:ascii="Times New Roman" w:hAnsi="Times New Roman" w:cs="Times New Roman"/>
                <w:color w:val="auto"/>
                <w:highlight w:val="none"/>
              </w:rPr>
            </w:pPr>
          </w:p>
          <w:p w14:paraId="45F3DDF0">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运营</w:t>
            </w:r>
          </w:p>
          <w:p w14:paraId="0327AB77">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595B4851">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境影</w:t>
            </w:r>
          </w:p>
          <w:p w14:paraId="27AFC39F">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响和</w:t>
            </w:r>
          </w:p>
          <w:p w14:paraId="07DB10A9">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保护</w:t>
            </w:r>
          </w:p>
          <w:p w14:paraId="0C05FB87">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措施</w:t>
            </w:r>
          </w:p>
          <w:p w14:paraId="5834284E">
            <w:pPr>
              <w:rPr>
                <w:rFonts w:hint="default" w:ascii="Times New Roman" w:hAnsi="Times New Roman" w:cs="Times New Roman"/>
                <w:color w:val="auto"/>
                <w:highlight w:val="none"/>
              </w:rPr>
            </w:pPr>
          </w:p>
          <w:p w14:paraId="4B75E88A">
            <w:pPr>
              <w:pStyle w:val="6"/>
              <w:rPr>
                <w:rFonts w:hint="default" w:ascii="Times New Roman" w:hAnsi="Times New Roman" w:cs="Times New Roman"/>
                <w:color w:val="auto"/>
                <w:highlight w:val="none"/>
              </w:rPr>
            </w:pPr>
          </w:p>
          <w:p w14:paraId="0A65A010">
            <w:pPr>
              <w:rPr>
                <w:rFonts w:hint="default" w:ascii="Times New Roman" w:hAnsi="Times New Roman" w:cs="Times New Roman"/>
                <w:color w:val="auto"/>
                <w:highlight w:val="none"/>
              </w:rPr>
            </w:pPr>
          </w:p>
          <w:p w14:paraId="7FEC4564">
            <w:pPr>
              <w:pStyle w:val="6"/>
              <w:rPr>
                <w:rFonts w:hint="default" w:ascii="Times New Roman" w:hAnsi="Times New Roman" w:cs="Times New Roman"/>
                <w:color w:val="auto"/>
                <w:highlight w:val="none"/>
              </w:rPr>
            </w:pPr>
          </w:p>
          <w:p w14:paraId="1BFDF2F8">
            <w:pPr>
              <w:rPr>
                <w:rFonts w:hint="default" w:ascii="Times New Roman" w:hAnsi="Times New Roman" w:cs="Times New Roman"/>
                <w:color w:val="auto"/>
                <w:highlight w:val="none"/>
              </w:rPr>
            </w:pPr>
          </w:p>
          <w:p w14:paraId="42CCCBCB">
            <w:pPr>
              <w:pStyle w:val="6"/>
              <w:rPr>
                <w:rFonts w:hint="default" w:ascii="Times New Roman" w:hAnsi="Times New Roman" w:cs="Times New Roman"/>
                <w:color w:val="auto"/>
                <w:highlight w:val="none"/>
              </w:rPr>
            </w:pPr>
          </w:p>
          <w:p w14:paraId="0177DA05">
            <w:pPr>
              <w:rPr>
                <w:rFonts w:hint="default" w:ascii="Times New Roman" w:hAnsi="Times New Roman" w:cs="Times New Roman"/>
                <w:color w:val="auto"/>
                <w:highlight w:val="none"/>
              </w:rPr>
            </w:pPr>
          </w:p>
          <w:p w14:paraId="185A1351">
            <w:pPr>
              <w:pStyle w:val="6"/>
              <w:rPr>
                <w:rFonts w:hint="default" w:ascii="Times New Roman" w:hAnsi="Times New Roman" w:cs="Times New Roman"/>
                <w:color w:val="auto"/>
                <w:highlight w:val="none"/>
              </w:rPr>
            </w:pPr>
          </w:p>
          <w:p w14:paraId="2817E6A9">
            <w:pPr>
              <w:rPr>
                <w:rFonts w:hint="default" w:ascii="Times New Roman" w:hAnsi="Times New Roman" w:cs="Times New Roman"/>
                <w:color w:val="auto"/>
                <w:highlight w:val="none"/>
              </w:rPr>
            </w:pPr>
          </w:p>
          <w:p w14:paraId="624DBA11">
            <w:pPr>
              <w:pStyle w:val="6"/>
              <w:rPr>
                <w:rFonts w:hint="default" w:ascii="Times New Roman" w:hAnsi="Times New Roman" w:cs="Times New Roman"/>
                <w:color w:val="auto"/>
                <w:highlight w:val="none"/>
              </w:rPr>
            </w:pPr>
          </w:p>
          <w:p w14:paraId="537FEFA4">
            <w:pPr>
              <w:rPr>
                <w:rFonts w:hint="default" w:ascii="Times New Roman" w:hAnsi="Times New Roman" w:cs="Times New Roman"/>
                <w:color w:val="auto"/>
                <w:highlight w:val="none"/>
              </w:rPr>
            </w:pPr>
          </w:p>
          <w:p w14:paraId="482B727C">
            <w:pPr>
              <w:pStyle w:val="6"/>
              <w:rPr>
                <w:rFonts w:hint="default" w:ascii="Times New Roman" w:hAnsi="Times New Roman" w:cs="Times New Roman"/>
                <w:color w:val="auto"/>
                <w:highlight w:val="none"/>
              </w:rPr>
            </w:pPr>
          </w:p>
          <w:p w14:paraId="7DCCEEA2">
            <w:pPr>
              <w:rPr>
                <w:rFonts w:hint="default" w:ascii="Times New Roman" w:hAnsi="Times New Roman" w:cs="Times New Roman"/>
                <w:color w:val="auto"/>
                <w:highlight w:val="none"/>
              </w:rPr>
            </w:pPr>
          </w:p>
          <w:p w14:paraId="45771B3F">
            <w:pPr>
              <w:pStyle w:val="6"/>
              <w:rPr>
                <w:rFonts w:hint="default" w:ascii="Times New Roman" w:hAnsi="Times New Roman" w:cs="Times New Roman"/>
                <w:color w:val="auto"/>
                <w:highlight w:val="none"/>
              </w:rPr>
            </w:pPr>
          </w:p>
          <w:p w14:paraId="35B35B24">
            <w:pPr>
              <w:rPr>
                <w:rFonts w:hint="default" w:ascii="Times New Roman" w:hAnsi="Times New Roman" w:cs="Times New Roman"/>
                <w:color w:val="auto"/>
                <w:highlight w:val="none"/>
              </w:rPr>
            </w:pPr>
          </w:p>
          <w:p w14:paraId="3B0FFFA6">
            <w:pPr>
              <w:pStyle w:val="6"/>
              <w:rPr>
                <w:rFonts w:hint="default" w:ascii="Times New Roman" w:hAnsi="Times New Roman" w:cs="Times New Roman"/>
                <w:color w:val="auto"/>
                <w:highlight w:val="none"/>
              </w:rPr>
            </w:pPr>
          </w:p>
          <w:p w14:paraId="4CE2747C">
            <w:pPr>
              <w:rPr>
                <w:rFonts w:hint="default" w:ascii="Times New Roman" w:hAnsi="Times New Roman" w:cs="Times New Roman"/>
                <w:color w:val="auto"/>
                <w:highlight w:val="none"/>
              </w:rPr>
            </w:pPr>
          </w:p>
          <w:p w14:paraId="58439321">
            <w:pPr>
              <w:pStyle w:val="6"/>
              <w:rPr>
                <w:rFonts w:hint="default" w:ascii="Times New Roman" w:hAnsi="Times New Roman" w:cs="Times New Roman"/>
                <w:color w:val="auto"/>
                <w:highlight w:val="none"/>
              </w:rPr>
            </w:pPr>
          </w:p>
          <w:p w14:paraId="2FF05702">
            <w:pPr>
              <w:rPr>
                <w:rFonts w:hint="default" w:ascii="Times New Roman" w:hAnsi="Times New Roman" w:cs="Times New Roman"/>
                <w:color w:val="auto"/>
                <w:highlight w:val="none"/>
              </w:rPr>
            </w:pPr>
          </w:p>
          <w:p w14:paraId="4D3E7534">
            <w:pPr>
              <w:rPr>
                <w:rFonts w:hint="default" w:ascii="Times New Roman" w:hAnsi="Times New Roman" w:cs="Times New Roman"/>
                <w:color w:val="auto"/>
                <w:highlight w:val="none"/>
              </w:rPr>
            </w:pPr>
          </w:p>
          <w:p w14:paraId="22D0C1DA">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运营</w:t>
            </w:r>
          </w:p>
          <w:p w14:paraId="7CFCE3C1">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61B00EE2">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境影</w:t>
            </w:r>
          </w:p>
          <w:p w14:paraId="7457A3D6">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响和</w:t>
            </w:r>
          </w:p>
          <w:p w14:paraId="6BC29517">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保护</w:t>
            </w:r>
          </w:p>
          <w:p w14:paraId="1F66FBED">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措施</w:t>
            </w:r>
          </w:p>
          <w:p w14:paraId="30812A93">
            <w:pPr>
              <w:rPr>
                <w:rFonts w:hint="default" w:ascii="Times New Roman" w:hAnsi="Times New Roman" w:cs="Times New Roman"/>
                <w:color w:val="auto"/>
                <w:highlight w:val="none"/>
              </w:rPr>
            </w:pPr>
          </w:p>
          <w:p w14:paraId="4A724CC7">
            <w:pPr>
              <w:pStyle w:val="6"/>
              <w:rPr>
                <w:rFonts w:hint="default" w:ascii="Times New Roman" w:hAnsi="Times New Roman" w:cs="Times New Roman"/>
                <w:color w:val="auto"/>
                <w:highlight w:val="none"/>
              </w:rPr>
            </w:pPr>
          </w:p>
          <w:p w14:paraId="543A141E">
            <w:pPr>
              <w:rPr>
                <w:rFonts w:hint="default" w:ascii="Times New Roman" w:hAnsi="Times New Roman" w:cs="Times New Roman"/>
                <w:color w:val="auto"/>
                <w:highlight w:val="none"/>
              </w:rPr>
            </w:pPr>
          </w:p>
          <w:p w14:paraId="76E83AD7">
            <w:pPr>
              <w:pStyle w:val="6"/>
              <w:rPr>
                <w:rFonts w:hint="default" w:ascii="Times New Roman" w:hAnsi="Times New Roman" w:cs="Times New Roman"/>
                <w:color w:val="auto"/>
                <w:highlight w:val="none"/>
              </w:rPr>
            </w:pPr>
          </w:p>
          <w:p w14:paraId="16077261">
            <w:pPr>
              <w:rPr>
                <w:rFonts w:hint="default" w:ascii="Times New Roman" w:hAnsi="Times New Roman" w:cs="Times New Roman"/>
                <w:color w:val="auto"/>
                <w:highlight w:val="none"/>
              </w:rPr>
            </w:pPr>
          </w:p>
          <w:p w14:paraId="58F54F71">
            <w:pPr>
              <w:pStyle w:val="6"/>
              <w:rPr>
                <w:rFonts w:hint="default" w:ascii="Times New Roman" w:hAnsi="Times New Roman" w:cs="Times New Roman"/>
                <w:color w:val="auto"/>
                <w:highlight w:val="none"/>
              </w:rPr>
            </w:pPr>
          </w:p>
          <w:p w14:paraId="1B3CDA31">
            <w:pPr>
              <w:rPr>
                <w:rFonts w:hint="default" w:ascii="Times New Roman" w:hAnsi="Times New Roman" w:cs="Times New Roman"/>
                <w:color w:val="auto"/>
                <w:highlight w:val="none"/>
              </w:rPr>
            </w:pPr>
          </w:p>
          <w:p w14:paraId="175EE743">
            <w:pPr>
              <w:pStyle w:val="6"/>
              <w:rPr>
                <w:rFonts w:hint="default" w:ascii="Times New Roman" w:hAnsi="Times New Roman" w:cs="Times New Roman"/>
                <w:color w:val="auto"/>
                <w:highlight w:val="none"/>
              </w:rPr>
            </w:pPr>
          </w:p>
          <w:p w14:paraId="2E57066E">
            <w:pPr>
              <w:rPr>
                <w:rFonts w:hint="default" w:ascii="Times New Roman" w:hAnsi="Times New Roman" w:cs="Times New Roman"/>
                <w:color w:val="auto"/>
                <w:highlight w:val="none"/>
              </w:rPr>
            </w:pPr>
          </w:p>
          <w:p w14:paraId="5B560146">
            <w:pPr>
              <w:pStyle w:val="6"/>
              <w:rPr>
                <w:rFonts w:hint="default" w:ascii="Times New Roman" w:hAnsi="Times New Roman" w:cs="Times New Roman"/>
                <w:color w:val="auto"/>
                <w:highlight w:val="none"/>
              </w:rPr>
            </w:pPr>
          </w:p>
          <w:p w14:paraId="42975122">
            <w:pPr>
              <w:rPr>
                <w:rFonts w:hint="default" w:ascii="Times New Roman" w:hAnsi="Times New Roman" w:cs="Times New Roman"/>
                <w:color w:val="auto"/>
                <w:highlight w:val="none"/>
              </w:rPr>
            </w:pPr>
          </w:p>
          <w:p w14:paraId="5FC68CB4">
            <w:pPr>
              <w:rPr>
                <w:rFonts w:hint="default" w:ascii="Times New Roman" w:hAnsi="Times New Roman" w:cs="Times New Roman"/>
                <w:color w:val="auto"/>
                <w:highlight w:val="none"/>
              </w:rPr>
            </w:pPr>
          </w:p>
          <w:p w14:paraId="79FEB7AD">
            <w:pPr>
              <w:pStyle w:val="6"/>
              <w:rPr>
                <w:rFonts w:hint="default" w:ascii="Times New Roman" w:hAnsi="Times New Roman" w:cs="Times New Roman"/>
                <w:color w:val="auto"/>
                <w:highlight w:val="none"/>
              </w:rPr>
            </w:pPr>
          </w:p>
          <w:p w14:paraId="2901A335">
            <w:pPr>
              <w:rPr>
                <w:rFonts w:hint="default" w:ascii="Times New Roman" w:hAnsi="Times New Roman" w:cs="Times New Roman"/>
                <w:color w:val="auto"/>
                <w:highlight w:val="none"/>
              </w:rPr>
            </w:pPr>
          </w:p>
          <w:p w14:paraId="4276CF7E">
            <w:pPr>
              <w:pStyle w:val="6"/>
              <w:rPr>
                <w:rFonts w:hint="default" w:ascii="Times New Roman" w:hAnsi="Times New Roman" w:cs="Times New Roman"/>
                <w:color w:val="auto"/>
                <w:highlight w:val="none"/>
              </w:rPr>
            </w:pPr>
          </w:p>
          <w:p w14:paraId="306D542F">
            <w:pPr>
              <w:rPr>
                <w:rFonts w:hint="default" w:ascii="Times New Roman" w:hAnsi="Times New Roman" w:cs="Times New Roman"/>
                <w:color w:val="auto"/>
                <w:highlight w:val="none"/>
              </w:rPr>
            </w:pPr>
          </w:p>
          <w:p w14:paraId="7D5AD5C9">
            <w:pPr>
              <w:pStyle w:val="6"/>
              <w:rPr>
                <w:rFonts w:hint="default" w:ascii="Times New Roman" w:hAnsi="Times New Roman" w:cs="Times New Roman"/>
                <w:color w:val="auto"/>
                <w:highlight w:val="none"/>
              </w:rPr>
            </w:pPr>
          </w:p>
          <w:p w14:paraId="0CFA3087">
            <w:pPr>
              <w:rPr>
                <w:rFonts w:hint="default" w:ascii="Times New Roman" w:hAnsi="Times New Roman" w:cs="Times New Roman"/>
                <w:color w:val="auto"/>
                <w:highlight w:val="none"/>
              </w:rPr>
            </w:pPr>
          </w:p>
          <w:p w14:paraId="44B198EA">
            <w:pPr>
              <w:pStyle w:val="6"/>
              <w:rPr>
                <w:rFonts w:hint="default" w:ascii="Times New Roman" w:hAnsi="Times New Roman" w:cs="Times New Roman"/>
                <w:color w:val="auto"/>
                <w:highlight w:val="none"/>
              </w:rPr>
            </w:pPr>
          </w:p>
          <w:p w14:paraId="7330BC18">
            <w:pPr>
              <w:rPr>
                <w:rFonts w:hint="default" w:ascii="Times New Roman" w:hAnsi="Times New Roman" w:cs="Times New Roman"/>
                <w:color w:val="auto"/>
                <w:highlight w:val="none"/>
              </w:rPr>
            </w:pPr>
          </w:p>
          <w:p w14:paraId="23F36E4D">
            <w:pPr>
              <w:rPr>
                <w:rFonts w:hint="default" w:ascii="Times New Roman" w:hAnsi="Times New Roman" w:cs="Times New Roman"/>
                <w:color w:val="auto"/>
                <w:highlight w:val="none"/>
              </w:rPr>
            </w:pPr>
          </w:p>
          <w:p w14:paraId="7F5829BE">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运营</w:t>
            </w:r>
          </w:p>
          <w:p w14:paraId="503BFD4A">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1ADBFA04">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境影</w:t>
            </w:r>
          </w:p>
          <w:p w14:paraId="677CBED6">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响和</w:t>
            </w:r>
          </w:p>
          <w:p w14:paraId="770FCFDF">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保护</w:t>
            </w:r>
          </w:p>
          <w:p w14:paraId="714FDF09">
            <w:pPr>
              <w:pStyle w:val="7"/>
              <w:rPr>
                <w:rFonts w:hint="default" w:ascii="Times New Roman" w:hAnsi="Times New Roman" w:cs="Times New Roman"/>
                <w:color w:val="auto"/>
                <w:highlight w:val="none"/>
              </w:rPr>
            </w:pPr>
            <w:r>
              <w:rPr>
                <w:rFonts w:hint="default" w:ascii="Times New Roman" w:hAnsi="Times New Roman" w:cs="Times New Roman"/>
                <w:color w:val="auto"/>
                <w:highlight w:val="none"/>
              </w:rPr>
              <w:t>措施</w:t>
            </w:r>
          </w:p>
          <w:p w14:paraId="21065E96">
            <w:pPr>
              <w:rPr>
                <w:rFonts w:hint="default" w:ascii="Times New Roman" w:hAnsi="Times New Roman" w:cs="Times New Roman"/>
                <w:color w:val="auto"/>
                <w:highlight w:val="none"/>
              </w:rPr>
            </w:pPr>
          </w:p>
          <w:p w14:paraId="54DFD6C9">
            <w:pPr>
              <w:pStyle w:val="6"/>
              <w:rPr>
                <w:rFonts w:hint="default" w:ascii="Times New Roman" w:hAnsi="Times New Roman" w:cs="Times New Roman"/>
                <w:color w:val="auto"/>
                <w:highlight w:val="none"/>
              </w:rPr>
            </w:pPr>
          </w:p>
          <w:p w14:paraId="65BFCF15">
            <w:pPr>
              <w:rPr>
                <w:rFonts w:hint="default" w:ascii="Times New Roman" w:hAnsi="Times New Roman" w:cs="Times New Roman"/>
                <w:color w:val="auto"/>
                <w:highlight w:val="none"/>
              </w:rPr>
            </w:pPr>
          </w:p>
          <w:p w14:paraId="7DDDAE15">
            <w:pPr>
              <w:pStyle w:val="6"/>
              <w:rPr>
                <w:rFonts w:hint="default" w:ascii="Times New Roman" w:hAnsi="Times New Roman" w:cs="Times New Roman"/>
                <w:color w:val="auto"/>
                <w:highlight w:val="none"/>
              </w:rPr>
            </w:pPr>
          </w:p>
          <w:p w14:paraId="2C8074DF">
            <w:pPr>
              <w:rPr>
                <w:rFonts w:hint="default" w:ascii="Times New Roman" w:hAnsi="Times New Roman" w:cs="Times New Roman"/>
                <w:color w:val="auto"/>
                <w:highlight w:val="none"/>
              </w:rPr>
            </w:pPr>
          </w:p>
          <w:p w14:paraId="71651D33">
            <w:pPr>
              <w:pStyle w:val="6"/>
              <w:rPr>
                <w:rFonts w:hint="default" w:ascii="Times New Roman" w:hAnsi="Times New Roman" w:cs="Times New Roman"/>
                <w:color w:val="auto"/>
                <w:highlight w:val="none"/>
              </w:rPr>
            </w:pPr>
          </w:p>
          <w:p w14:paraId="7ACEC217">
            <w:pPr>
              <w:rPr>
                <w:rFonts w:hint="default" w:ascii="Times New Roman" w:hAnsi="Times New Roman" w:cs="Times New Roman"/>
                <w:color w:val="auto"/>
                <w:highlight w:val="none"/>
              </w:rPr>
            </w:pPr>
          </w:p>
          <w:p w14:paraId="14E5F587">
            <w:pPr>
              <w:pStyle w:val="6"/>
              <w:rPr>
                <w:rFonts w:hint="default" w:ascii="Times New Roman" w:hAnsi="Times New Roman" w:cs="Times New Roman"/>
                <w:color w:val="auto"/>
                <w:highlight w:val="none"/>
              </w:rPr>
            </w:pPr>
          </w:p>
          <w:p w14:paraId="496E7923">
            <w:pPr>
              <w:pStyle w:val="33"/>
              <w:ind w:left="0" w:leftChars="0" w:firstLine="0" w:firstLineChars="0"/>
              <w:rPr>
                <w:rFonts w:hint="default" w:ascii="Times New Roman" w:hAnsi="Times New Roman" w:cs="Times New Roman"/>
                <w:color w:val="auto"/>
                <w:highlight w:val="none"/>
              </w:rPr>
            </w:pPr>
          </w:p>
          <w:p w14:paraId="3CACE833">
            <w:pPr>
              <w:pStyle w:val="6"/>
              <w:jc w:val="both"/>
              <w:rPr>
                <w:rFonts w:hint="default" w:ascii="Times New Roman" w:hAnsi="Times New Roman" w:cs="Times New Roman"/>
                <w:color w:val="auto"/>
                <w:highlight w:val="none"/>
              </w:rPr>
            </w:pPr>
          </w:p>
        </w:tc>
        <w:tc>
          <w:tcPr>
            <w:tcW w:w="8690" w:type="dxa"/>
            <w:vAlign w:val="center"/>
          </w:tcPr>
          <w:p w14:paraId="5FAE9146">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（1）单个室外点声源在预测点产生的声级计算基本公式</w:t>
            </w:r>
          </w:p>
          <w:p w14:paraId="575869C8">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户外声传播衰减包括几何发散（A</w:t>
            </w:r>
            <w:r>
              <w:rPr>
                <w:rFonts w:hint="default" w:ascii="Times New Roman" w:hAnsi="Times New Roman" w:cs="Times New Roman"/>
                <w:color w:val="auto"/>
                <w:highlight w:val="none"/>
                <w:vertAlign w:val="subscript"/>
              </w:rPr>
              <w:t>div</w:t>
            </w:r>
            <w:r>
              <w:rPr>
                <w:rFonts w:hint="default" w:ascii="Times New Roman" w:hAnsi="Times New Roman" w:cs="Times New Roman"/>
                <w:color w:val="auto"/>
                <w:highlight w:val="none"/>
              </w:rPr>
              <w:t>）、大气吸收（A</w:t>
            </w:r>
            <w:r>
              <w:rPr>
                <w:rFonts w:hint="default" w:ascii="Times New Roman" w:hAnsi="Times New Roman" w:cs="Times New Roman"/>
                <w:color w:val="auto"/>
                <w:highlight w:val="none"/>
                <w:vertAlign w:val="subscript"/>
              </w:rPr>
              <w:t>atm</w:t>
            </w:r>
            <w:r>
              <w:rPr>
                <w:rFonts w:hint="default" w:ascii="Times New Roman" w:hAnsi="Times New Roman" w:cs="Times New Roman"/>
                <w:color w:val="auto"/>
                <w:highlight w:val="none"/>
              </w:rPr>
              <w:t>）、地面效应（A</w:t>
            </w:r>
            <w:r>
              <w:rPr>
                <w:rFonts w:hint="default" w:ascii="Times New Roman" w:hAnsi="Times New Roman" w:cs="Times New Roman"/>
                <w:color w:val="auto"/>
                <w:highlight w:val="none"/>
                <w:vertAlign w:val="subscript"/>
              </w:rPr>
              <w:t>gr</w:t>
            </w:r>
            <w:r>
              <w:rPr>
                <w:rFonts w:hint="default" w:ascii="Times New Roman" w:hAnsi="Times New Roman" w:cs="Times New Roman"/>
                <w:color w:val="auto"/>
                <w:highlight w:val="none"/>
              </w:rPr>
              <w:t>）、障碍物屏蔽（A</w:t>
            </w:r>
            <w:r>
              <w:rPr>
                <w:rFonts w:hint="default" w:ascii="Times New Roman" w:hAnsi="Times New Roman" w:cs="Times New Roman"/>
                <w:color w:val="auto"/>
                <w:highlight w:val="none"/>
                <w:vertAlign w:val="subscript"/>
              </w:rPr>
              <w:t>bar</w:t>
            </w:r>
            <w:r>
              <w:rPr>
                <w:rFonts w:hint="default" w:ascii="Times New Roman" w:hAnsi="Times New Roman" w:cs="Times New Roman"/>
                <w:color w:val="auto"/>
                <w:highlight w:val="none"/>
              </w:rPr>
              <w:t>）、其他多方面效应（A</w:t>
            </w:r>
            <w:r>
              <w:rPr>
                <w:rFonts w:hint="default" w:ascii="Times New Roman" w:hAnsi="Times New Roman" w:cs="Times New Roman"/>
                <w:color w:val="auto"/>
                <w:highlight w:val="none"/>
                <w:vertAlign w:val="subscript"/>
              </w:rPr>
              <w:t>misc</w:t>
            </w:r>
            <w:r>
              <w:rPr>
                <w:rFonts w:hint="default" w:ascii="Times New Roman" w:hAnsi="Times New Roman" w:cs="Times New Roman"/>
                <w:color w:val="auto"/>
                <w:highlight w:val="none"/>
              </w:rPr>
              <w:t xml:space="preserve">）引起的衰减。 </w:t>
            </w:r>
          </w:p>
          <w:p w14:paraId="3EB3CD1B">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lang w:val="pt-BR"/>
              </w:rPr>
              <w:object>
                <v:shape id="_x0000_i1025" o:spt="75" type="#_x0000_t75" style="height:19pt;width:234.35pt;" o:ole="t" filled="f" o:preferrelative="t" stroked="f" coordsize="21600,21600">
                  <v:path/>
                  <v:fill on="f" focussize="0,0"/>
                  <v:stroke on="f" joinstyle="miter"/>
                  <v:imagedata r:id="rId23" o:title=""/>
                  <o:lock v:ext="edit" aspectratio="t"/>
                  <w10:wrap type="none"/>
                  <w10:anchorlock/>
                </v:shape>
                <o:OLEObject Type="Embed" ProgID="Equation.3" ShapeID="_x0000_i1025" DrawAspect="Content" ObjectID="_1468075725" r:id="rId22">
                  <o:LockedField>false</o:LockedField>
                </o:OLEObject>
              </w:object>
            </w:r>
          </w:p>
          <w:p w14:paraId="1F396E6D">
            <w:pPr>
              <w:ind w:firstLine="480"/>
              <w:rPr>
                <w:rFonts w:hint="default" w:ascii="Times New Roman" w:hAnsi="Times New Roman" w:cs="Times New Roman"/>
                <w:color w:val="auto"/>
                <w:highlight w:val="none"/>
                <w:lang w:val="pt-BR"/>
              </w:rPr>
            </w:pPr>
            <w:r>
              <w:rPr>
                <w:rFonts w:hint="default" w:ascii="Times New Roman" w:hAnsi="Times New Roman" w:cs="Times New Roman"/>
                <w:color w:val="auto"/>
                <w:highlight w:val="none"/>
              </w:rPr>
              <w:t>式中</w:t>
            </w:r>
            <w:r>
              <w:rPr>
                <w:rFonts w:hint="default" w:ascii="Times New Roman" w:hAnsi="Times New Roman" w:cs="Times New Roman"/>
                <w:color w:val="auto"/>
                <w:highlight w:val="none"/>
                <w:lang w:val="pt-BR"/>
              </w:rPr>
              <w:t>：</w:t>
            </w:r>
            <w:r>
              <w:rPr>
                <w:rFonts w:hint="default" w:ascii="Times New Roman" w:hAnsi="Times New Roman" w:cs="Times New Roman"/>
                <w:color w:val="auto"/>
                <w:highlight w:val="none"/>
                <w:lang w:val="pt-BR"/>
              </w:rPr>
              <w:object>
                <v:shape id="_x0000_i1026" o:spt="75" type="#_x0000_t75" style="height:19pt;width:29.9pt;" o:ole="t" filled="f" o:preferrelative="t" stroked="f" coordsize="21600,21600">
                  <v:path/>
                  <v:fill on="f" focussize="0,0"/>
                  <v:stroke on="f" joinstyle="miter"/>
                  <v:imagedata r:id="rId25" o:title=""/>
                  <o:lock v:ext="edit" aspectratio="t"/>
                  <w10:wrap type="none"/>
                  <w10:anchorlock/>
                </v:shape>
                <o:OLEObject Type="Embed" ProgID="Equation.3" ShapeID="_x0000_i1026" DrawAspect="Content" ObjectID="_1468075726" r:id="rId24">
                  <o:LockedField>false</o:LockedField>
                </o:OLEObject>
              </w:object>
            </w:r>
            <w:r>
              <w:rPr>
                <w:rFonts w:hint="default" w:ascii="Times New Roman" w:hAnsi="Times New Roman" w:cs="Times New Roman"/>
                <w:color w:val="auto"/>
                <w:highlight w:val="none"/>
                <w:lang w:val="pt-BR"/>
              </w:rPr>
              <w:t>——</w:t>
            </w:r>
            <w:r>
              <w:rPr>
                <w:rFonts w:hint="default" w:ascii="Times New Roman" w:hAnsi="Times New Roman" w:cs="Times New Roman"/>
                <w:color w:val="auto"/>
                <w:highlight w:val="none"/>
              </w:rPr>
              <w:t>预测点处声压级</w:t>
            </w:r>
            <w:r>
              <w:rPr>
                <w:rFonts w:hint="default" w:ascii="Times New Roman" w:hAnsi="Times New Roman" w:cs="Times New Roman"/>
                <w:color w:val="auto"/>
                <w:highlight w:val="none"/>
                <w:lang w:val="pt-BR"/>
              </w:rPr>
              <w:t>，dB；</w:t>
            </w:r>
          </w:p>
          <w:p w14:paraId="330F9080">
            <w:pPr>
              <w:ind w:firstLine="480"/>
              <w:rPr>
                <w:rFonts w:hint="default" w:ascii="Times New Roman" w:hAnsi="Times New Roman" w:cs="Times New Roman"/>
                <w:color w:val="auto"/>
                <w:highlight w:val="none"/>
                <w:lang w:val="pt-BR"/>
              </w:rPr>
            </w:pPr>
            <w:r>
              <w:rPr>
                <w:rFonts w:hint="default" w:ascii="Times New Roman" w:hAnsi="Times New Roman" w:cs="Times New Roman"/>
                <w:color w:val="auto"/>
                <w:highlight w:val="none"/>
                <w:lang w:val="pt-BR"/>
              </w:rPr>
              <w:object>
                <v:shape id="_x0000_i1027" o:spt="75" type="#_x0000_t75" style="height:19.7pt;width:28.55pt;" o:ole="t" filled="f" o:preferrelative="t" stroked="f" coordsize="21600,21600">
                  <v:path/>
                  <v:fill on="f" focussize="0,0"/>
                  <v:stroke on="f" joinstyle="miter"/>
                  <v:imagedata r:id="rId27" o:title=""/>
                  <o:lock v:ext="edit" aspectratio="t"/>
                  <w10:wrap type="none"/>
                  <w10:anchorlock/>
                </v:shape>
                <o:OLEObject Type="Embed" ProgID="Equation.3" ShapeID="_x0000_i1027" DrawAspect="Content" ObjectID="_1468075727" r:id="rId26">
                  <o:LockedField>false</o:LockedField>
                </o:OLEObject>
              </w:object>
            </w:r>
            <w:r>
              <w:rPr>
                <w:rFonts w:hint="default" w:ascii="Times New Roman" w:hAnsi="Times New Roman" w:cs="Times New Roman"/>
                <w:color w:val="auto"/>
                <w:highlight w:val="none"/>
                <w:lang w:val="pt-BR"/>
              </w:rPr>
              <w:t>——</w:t>
            </w:r>
            <w:r>
              <w:rPr>
                <w:rFonts w:hint="default" w:ascii="Times New Roman" w:hAnsi="Times New Roman" w:cs="Times New Roman"/>
                <w:color w:val="auto"/>
                <w:highlight w:val="none"/>
              </w:rPr>
              <w:t>参考位置r0处的声压级</w:t>
            </w:r>
            <w:r>
              <w:rPr>
                <w:rFonts w:hint="default" w:ascii="Times New Roman" w:hAnsi="Times New Roman" w:cs="Times New Roman"/>
                <w:color w:val="auto"/>
                <w:highlight w:val="none"/>
                <w:lang w:val="pt-BR"/>
              </w:rPr>
              <w:t>，dB；</w:t>
            </w:r>
          </w:p>
          <w:p w14:paraId="7BF90B23">
            <w:pPr>
              <w:ind w:firstLine="480"/>
              <w:rPr>
                <w:rFonts w:hint="default" w:ascii="Times New Roman" w:hAnsi="Times New Roman" w:cs="Times New Roman"/>
                <w:color w:val="auto"/>
                <w:highlight w:val="none"/>
                <w:lang w:val="pt-BR"/>
              </w:rPr>
            </w:pPr>
            <w:r>
              <w:rPr>
                <w:rFonts w:hint="default" w:ascii="Times New Roman" w:hAnsi="Times New Roman" w:cs="Times New Roman"/>
                <w:color w:val="auto"/>
                <w:highlight w:val="none"/>
                <w:lang w:val="pt-BR"/>
              </w:rPr>
              <w:object>
                <v:shape id="_x0000_i1028" o:spt="75" type="#_x0000_t75" style="height:19pt;width:16.3pt;" o:ole="t" filled="f" o:preferrelative="t" stroked="f" coordsize="21600,21600">
                  <v:path/>
                  <v:fill on="f" focussize="0,0"/>
                  <v:stroke on="f" joinstyle="miter"/>
                  <v:imagedata r:id="rId29" o:title=""/>
                  <o:lock v:ext="edit" aspectratio="t"/>
                  <w10:wrap type="none"/>
                  <w10:anchorlock/>
                </v:shape>
                <o:OLEObject Type="Embed" ProgID="Equation.3" ShapeID="_x0000_i1028" DrawAspect="Content" ObjectID="_1468075728" r:id="rId28">
                  <o:LockedField>false</o:LockedField>
                </o:OLEObject>
              </w:object>
            </w:r>
            <w:r>
              <w:rPr>
                <w:rFonts w:hint="default" w:ascii="Times New Roman" w:hAnsi="Times New Roman" w:cs="Times New Roman"/>
                <w:color w:val="auto"/>
                <w:highlight w:val="none"/>
                <w:lang w:val="pt-BR"/>
              </w:rPr>
              <w:t>——指向性校正，</w:t>
            </w:r>
            <w:r>
              <w:rPr>
                <w:rFonts w:hint="default" w:ascii="Times New Roman" w:hAnsi="Times New Roman" w:cs="Times New Roman"/>
                <w:color w:val="auto"/>
                <w:highlight w:val="none"/>
              </w:rPr>
              <w:t>它描述点声源的等效连续声压级与产生声功率级Lw的全向点声源在规定方向的声级的偏差程度，</w:t>
            </w:r>
            <w:r>
              <w:rPr>
                <w:rFonts w:hint="default" w:ascii="Times New Roman" w:hAnsi="Times New Roman" w:cs="Times New Roman"/>
                <w:color w:val="auto"/>
                <w:highlight w:val="none"/>
                <w:lang w:val="pt-BR"/>
              </w:rPr>
              <w:t>dB；</w:t>
            </w:r>
          </w:p>
          <w:p w14:paraId="0A9AB3CF">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lang w:val="pt-BR"/>
              </w:rPr>
              <w:object>
                <v:shape id="_x0000_i1029" o:spt="75" type="#_x0000_t75" style="height:19pt;width:22.4pt;" o:ole="t" filled="f" o:preferrelative="t" stroked="f" coordsize="21600,21600">
                  <v:path/>
                  <v:fill on="f" focussize="0,0"/>
                  <v:stroke on="f" joinstyle="miter"/>
                  <v:imagedata r:id="rId31" o:title=""/>
                  <o:lock v:ext="edit" aspectratio="t"/>
                  <w10:wrap type="none"/>
                  <w10:anchorlock/>
                </v:shape>
                <o:OLEObject Type="Embed" ProgID="Equation.3" ShapeID="_x0000_i1029" DrawAspect="Content" ObjectID="_1468075729" r:id="rId30">
                  <o:LockedField>false</o:LockedField>
                </o:OLEObject>
              </w:object>
            </w:r>
            <w:r>
              <w:rPr>
                <w:rFonts w:hint="default" w:ascii="Times New Roman" w:hAnsi="Times New Roman" w:cs="Times New Roman"/>
                <w:color w:val="auto"/>
                <w:highlight w:val="none"/>
              </w:rPr>
              <w:t>——几何发散引起的衰减，</w:t>
            </w:r>
            <w:r>
              <w:rPr>
                <w:rFonts w:hint="default" w:ascii="Times New Roman" w:hAnsi="Times New Roman" w:cs="Times New Roman"/>
                <w:color w:val="auto"/>
                <w:highlight w:val="none"/>
                <w:lang w:val="pt-BR"/>
              </w:rPr>
              <w:t>dB；</w:t>
            </w:r>
          </w:p>
          <w:p w14:paraId="355C8B1C">
            <w:pPr>
              <w:ind w:firstLine="480"/>
              <w:rPr>
                <w:rFonts w:hint="default" w:ascii="Times New Roman" w:hAnsi="Times New Roman" w:cs="Times New Roman"/>
                <w:color w:val="auto"/>
                <w:highlight w:val="none"/>
                <w:lang w:val="pt-BR"/>
              </w:rPr>
            </w:pPr>
            <w:r>
              <w:rPr>
                <w:rFonts w:hint="default" w:ascii="Times New Roman" w:hAnsi="Times New Roman" w:cs="Times New Roman"/>
                <w:color w:val="auto"/>
                <w:highlight w:val="none"/>
                <w:lang w:val="pt-BR"/>
              </w:rPr>
              <w:object>
                <v:shape id="_x0000_i1030" o:spt="75" type="#_x0000_t75" style="height:19.7pt;width:19pt;" o:ole="t" filled="f" o:preferrelative="t" stroked="f" coordsize="21600,21600">
                  <v:path/>
                  <v:fill on="f" focussize="0,0"/>
                  <v:stroke on="f" joinstyle="miter"/>
                  <v:imagedata r:id="rId33" o:title=""/>
                  <o:lock v:ext="edit" aspectratio="t"/>
                  <w10:wrap type="none"/>
                  <w10:anchorlock/>
                </v:shape>
                <o:OLEObject Type="Embed" ProgID="Equation.3" ShapeID="_x0000_i1030" DrawAspect="Content" ObjectID="_1468075730" r:id="rId32">
                  <o:LockedField>false</o:LockedField>
                </o:OLEObject>
              </w:object>
            </w:r>
            <w:r>
              <w:rPr>
                <w:rFonts w:hint="default" w:ascii="Times New Roman" w:hAnsi="Times New Roman" w:cs="Times New Roman"/>
                <w:color w:val="auto"/>
                <w:highlight w:val="none"/>
              </w:rPr>
              <w:t>——地面效应引起的衰减，</w:t>
            </w:r>
            <w:r>
              <w:rPr>
                <w:rFonts w:hint="default" w:ascii="Times New Roman" w:hAnsi="Times New Roman" w:cs="Times New Roman"/>
                <w:color w:val="auto"/>
                <w:highlight w:val="none"/>
                <w:lang w:val="pt-BR"/>
              </w:rPr>
              <w:t>dB；</w:t>
            </w:r>
          </w:p>
          <w:p w14:paraId="1F3DAF2A">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lang w:val="pt-BR"/>
              </w:rPr>
              <w:object>
                <v:shape id="_x0000_i1031" o:spt="75" type="#_x0000_t75" style="height:19pt;width:22.4pt;" o:ole="t" filled="f" o:preferrelative="t" stroked="f" coordsize="21600,21600">
                  <v:path/>
                  <v:fill on="f" focussize="0,0"/>
                  <v:stroke on="f" joinstyle="miter"/>
                  <v:imagedata r:id="rId35" o:title=""/>
                  <o:lock v:ext="edit" aspectratio="t"/>
                  <w10:wrap type="none"/>
                  <w10:anchorlock/>
                </v:shape>
                <o:OLEObject Type="Embed" ProgID="Equation.3" ShapeID="_x0000_i1031" DrawAspect="Content" ObjectID="_1468075731" r:id="rId34">
                  <o:LockedField>false</o:LockedField>
                </o:OLEObject>
              </w:object>
            </w:r>
            <w:r>
              <w:rPr>
                <w:rFonts w:hint="default" w:ascii="Times New Roman" w:hAnsi="Times New Roman" w:cs="Times New Roman"/>
                <w:color w:val="auto"/>
                <w:highlight w:val="none"/>
              </w:rPr>
              <w:t>——大气吸收引起的衰减，</w:t>
            </w:r>
            <w:r>
              <w:rPr>
                <w:rFonts w:hint="default" w:ascii="Times New Roman" w:hAnsi="Times New Roman" w:cs="Times New Roman"/>
                <w:color w:val="auto"/>
                <w:highlight w:val="none"/>
                <w:lang w:val="pt-BR"/>
              </w:rPr>
              <w:t>dB；</w:t>
            </w:r>
          </w:p>
          <w:p w14:paraId="2369AA8E">
            <w:pPr>
              <w:ind w:firstLine="480"/>
              <w:rPr>
                <w:rFonts w:hint="default" w:ascii="Times New Roman" w:hAnsi="Times New Roman" w:cs="Times New Roman"/>
                <w:color w:val="auto"/>
                <w:highlight w:val="none"/>
                <w:lang w:val="pt-BR"/>
              </w:rPr>
            </w:pPr>
            <w:r>
              <w:rPr>
                <w:rFonts w:hint="default" w:ascii="Times New Roman" w:hAnsi="Times New Roman" w:cs="Times New Roman"/>
                <w:color w:val="auto"/>
                <w:highlight w:val="none"/>
                <w:lang w:val="pt-BR"/>
              </w:rPr>
              <w:object>
                <v:shape id="_x0000_i1032" o:spt="75" type="#_x0000_t75" style="height:19pt;width:22.4pt;" o:ole="t" filled="f" o:preferrelative="t" stroked="f" coordsize="21600,21600">
                  <v:path/>
                  <v:fill on="f" focussize="0,0"/>
                  <v:stroke on="f" joinstyle="miter"/>
                  <v:imagedata r:id="rId37" o:title=""/>
                  <o:lock v:ext="edit" aspectratio="t"/>
                  <w10:wrap type="none"/>
                  <w10:anchorlock/>
                </v:shape>
                <o:OLEObject Type="Embed" ProgID="Equation.3" ShapeID="_x0000_i1032" DrawAspect="Content" ObjectID="_1468075732" r:id="rId36">
                  <o:LockedField>false</o:LockedField>
                </o:OLEObject>
              </w:object>
            </w:r>
            <w:r>
              <w:rPr>
                <w:rFonts w:hint="default" w:ascii="Times New Roman" w:hAnsi="Times New Roman" w:cs="Times New Roman"/>
                <w:color w:val="auto"/>
                <w:highlight w:val="none"/>
                <w:lang w:val="pt-BR"/>
              </w:rPr>
              <w:t>——</w:t>
            </w:r>
            <w:r>
              <w:rPr>
                <w:rFonts w:hint="default" w:ascii="Times New Roman" w:hAnsi="Times New Roman" w:cs="Times New Roman"/>
                <w:color w:val="auto"/>
                <w:highlight w:val="none"/>
              </w:rPr>
              <w:t>障碍物屏蔽引起的衰减，</w:t>
            </w:r>
            <w:r>
              <w:rPr>
                <w:rFonts w:hint="default" w:ascii="Times New Roman" w:hAnsi="Times New Roman" w:cs="Times New Roman"/>
                <w:color w:val="auto"/>
                <w:highlight w:val="none"/>
                <w:lang w:val="pt-BR"/>
              </w:rPr>
              <w:t>dB；</w:t>
            </w:r>
          </w:p>
          <w:p w14:paraId="4062BC43">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lang w:val="pt-BR"/>
              </w:rPr>
              <w:object>
                <v:shape id="_x0000_i1033" o:spt="75" type="#_x0000_t75" style="height:19pt;width:24.45pt;" o:ole="t" filled="f" o:preferrelative="t" stroked="f" coordsize="21600,21600">
                  <v:path/>
                  <v:fill on="f" focussize="0,0"/>
                  <v:stroke on="f" joinstyle="miter"/>
                  <v:imagedata r:id="rId39" o:title=""/>
                  <o:lock v:ext="edit" aspectratio="t"/>
                  <w10:wrap type="none"/>
                  <w10:anchorlock/>
                </v:shape>
                <o:OLEObject Type="Embed" ProgID="Equation.3" ShapeID="_x0000_i1033" DrawAspect="Content" ObjectID="_1468075733" r:id="rId38">
                  <o:LockedField>false</o:LockedField>
                </o:OLEObject>
              </w:object>
            </w:r>
            <w:r>
              <w:rPr>
                <w:rFonts w:hint="default" w:ascii="Times New Roman" w:hAnsi="Times New Roman" w:cs="Times New Roman"/>
                <w:color w:val="auto"/>
                <w:highlight w:val="none"/>
                <w:lang w:val="pt-BR"/>
              </w:rPr>
              <w:t>——</w:t>
            </w:r>
            <w:r>
              <w:rPr>
                <w:rFonts w:hint="default" w:ascii="Times New Roman" w:hAnsi="Times New Roman" w:cs="Times New Roman"/>
                <w:color w:val="auto"/>
                <w:highlight w:val="none"/>
              </w:rPr>
              <w:t>其他多方面效应引起的衰减，</w:t>
            </w:r>
            <w:r>
              <w:rPr>
                <w:rFonts w:hint="default" w:ascii="Times New Roman" w:hAnsi="Times New Roman" w:cs="Times New Roman"/>
                <w:color w:val="auto"/>
                <w:highlight w:val="none"/>
                <w:lang w:val="pt-BR"/>
              </w:rPr>
              <w:t>dB</w:t>
            </w:r>
            <w:r>
              <w:rPr>
                <w:rFonts w:hint="default" w:ascii="Times New Roman" w:hAnsi="Times New Roman" w:cs="Times New Roman"/>
                <w:color w:val="auto"/>
                <w:highlight w:val="none"/>
              </w:rPr>
              <w:t>。</w:t>
            </w:r>
          </w:p>
          <w:p w14:paraId="728C5D8B">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（2）室内点声源对厂界噪声预测点贡献值预测模式</w:t>
            </w:r>
          </w:p>
          <w:p w14:paraId="634C4899">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室内声源首先换算为等效室外声源，再按各类声源模式计算。</w:t>
            </w:r>
          </w:p>
          <w:p w14:paraId="3B464FFB">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①首先计算出某个室内声源靠近围护结构处的倍频带声压级：</w:t>
            </w:r>
          </w:p>
          <w:p w14:paraId="0A655989">
            <w:pPr>
              <w:pStyle w:val="96"/>
              <w:jc w:val="both"/>
              <w:rPr>
                <w:rFonts w:hint="default" w:ascii="Times New Roman" w:hAnsi="Times New Roman" w:eastAsia="仿宋_GB2312" w:cs="Times New Roman"/>
                <w:color w:val="auto"/>
                <w:highlight w:val="none"/>
              </w:rPr>
            </w:pPr>
            <w:r>
              <w:rPr>
                <w:rFonts w:hint="default" w:ascii="Times New Roman" w:hAnsi="Times New Roman" w:eastAsia="仿宋_GB2312" w:cs="Times New Roman"/>
                <w:color w:val="auto"/>
                <w:highlight w:val="none"/>
              </w:rPr>
              <w:object>
                <v:shape id="_x0000_i1034" o:spt="75" type="#_x0000_t75" style="height:29.9pt;width:136.55pt;" o:ole="t" filled="f" o:preferrelative="t" stroked="f" coordsize="21600,21600">
                  <v:path/>
                  <v:fill on="f" focussize="0,0"/>
                  <v:stroke on="f" joinstyle="miter"/>
                  <v:imagedata r:id="rId41" o:title=""/>
                  <o:lock v:ext="edit" aspectratio="t"/>
                  <w10:wrap type="none"/>
                  <w10:anchorlock/>
                </v:shape>
                <o:OLEObject Type="Embed" ProgID="Equation.3" ShapeID="_x0000_i1034" DrawAspect="Content" ObjectID="_1468075734" r:id="rId40">
                  <o:LockedField>false</o:LockedField>
                </o:OLEObject>
              </w:object>
            </w:r>
          </w:p>
          <w:p w14:paraId="52B3663B">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式中：</w:t>
            </w:r>
            <w:r>
              <w:rPr>
                <w:rFonts w:hint="default" w:ascii="Times New Roman" w:hAnsi="Times New Roman" w:cs="Times New Roman"/>
                <w:color w:val="auto"/>
                <w:highlight w:val="none"/>
              </w:rPr>
              <w:object>
                <v:shape id="_x0000_i1035" o:spt="75" type="#_x0000_t75" style="height:19pt;width:19pt;" o:ole="t" filled="f" o:preferrelative="t" stroked="f" coordsize="21600,21600">
                  <v:path/>
                  <v:fill on="f" focussize="0,0"/>
                  <v:stroke on="f" joinstyle="miter"/>
                  <v:imagedata r:id="rId43" o:title=""/>
                  <o:lock v:ext="edit" aspectratio="t"/>
                  <w10:wrap type="none"/>
                  <w10:anchorlock/>
                </v:shape>
                <o:OLEObject Type="Embed" ProgID="Equation.3" ShapeID="_x0000_i1035" DrawAspect="Content" ObjectID="_1468075735" r:id="rId42">
                  <o:LockedField>false</o:LockedField>
                </o:OLEObject>
              </w:object>
            </w:r>
            <w:r>
              <w:rPr>
                <w:rFonts w:hint="default" w:ascii="Times New Roman" w:hAnsi="Times New Roman" w:cs="Times New Roman"/>
                <w:color w:val="auto"/>
                <w:highlight w:val="none"/>
                <w:lang w:val="pt-BR"/>
              </w:rPr>
              <w:t>——</w:t>
            </w:r>
            <w:r>
              <w:rPr>
                <w:rFonts w:hint="default" w:ascii="Times New Roman" w:hAnsi="Times New Roman" w:cs="Times New Roman"/>
                <w:color w:val="auto"/>
                <w:highlight w:val="none"/>
              </w:rPr>
              <w:t>靠近开口处（或窗户）室内某倍频带的声压级或 A 声级，</w:t>
            </w:r>
            <w:r>
              <w:rPr>
                <w:rFonts w:hint="default" w:ascii="Times New Roman" w:hAnsi="Times New Roman" w:cs="Times New Roman"/>
                <w:color w:val="auto"/>
                <w:highlight w:val="none"/>
                <w:lang w:val="pt-BR"/>
              </w:rPr>
              <w:t>dB；</w:t>
            </w:r>
          </w:p>
          <w:p w14:paraId="1C3AD2D4">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object>
                <v:shape id="_x0000_i1036" o:spt="75" type="#_x0000_t75" style="height:19pt;width:16.3pt;" o:ole="t" filled="f" o:preferrelative="t" stroked="f" coordsize="21600,21600">
                  <v:path/>
                  <v:fill on="f" focussize="0,0"/>
                  <v:stroke on="f" joinstyle="miter"/>
                  <v:imagedata r:id="rId45" o:title=""/>
                  <o:lock v:ext="edit" aspectratio="t"/>
                  <w10:wrap type="none"/>
                  <w10:anchorlock/>
                </v:shape>
                <o:OLEObject Type="Embed" ProgID="Equation.3" ShapeID="_x0000_i1036" DrawAspect="Content" ObjectID="_1468075736" r:id="rId44">
                  <o:LockedField>false</o:LockedField>
                </o:OLEObject>
              </w:object>
            </w:r>
            <w:r>
              <w:rPr>
                <w:rFonts w:hint="default" w:ascii="Times New Roman" w:hAnsi="Times New Roman" w:cs="Times New Roman"/>
                <w:color w:val="auto"/>
                <w:highlight w:val="none"/>
                <w:lang w:val="pt-BR"/>
              </w:rPr>
              <w:t>——</w:t>
            </w:r>
            <w:r>
              <w:rPr>
                <w:rFonts w:hint="default" w:ascii="Times New Roman" w:hAnsi="Times New Roman" w:cs="Times New Roman"/>
                <w:color w:val="auto"/>
                <w:highlight w:val="none"/>
              </w:rPr>
              <w:t>点声源声功率级（A 计权或倍频带），</w:t>
            </w:r>
            <w:r>
              <w:rPr>
                <w:rFonts w:hint="default" w:ascii="Times New Roman" w:hAnsi="Times New Roman" w:cs="Times New Roman"/>
                <w:color w:val="auto"/>
                <w:highlight w:val="none"/>
                <w:lang w:val="pt-BR"/>
              </w:rPr>
              <w:t>dB；</w:t>
            </w:r>
          </w:p>
          <w:p w14:paraId="2FF87179">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object>
                <v:shape id="_x0000_i1037" o:spt="75" type="#_x0000_t75" style="height:7.45pt;width:7.45pt;" o:ole="t" filled="f" o:preferrelative="t" stroked="f" coordsize="21600,21600">
                  <v:path/>
                  <v:fill on="f" focussize="0,0"/>
                  <v:stroke on="f" joinstyle="miter"/>
                  <v:imagedata r:id="rId47" o:title=""/>
                  <o:lock v:ext="edit" aspectratio="t"/>
                  <w10:wrap type="none"/>
                  <w10:anchorlock/>
                </v:shape>
                <o:OLEObject Type="Embed" ProgID="Equation.3" ShapeID="_x0000_i1037" DrawAspect="Content" ObjectID="_1468075737" r:id="rId46">
                  <o:LockedField>false</o:LockedField>
                </o:OLEObject>
              </w:object>
            </w:r>
            <w:r>
              <w:rPr>
                <w:rFonts w:hint="default" w:ascii="Times New Roman" w:hAnsi="Times New Roman" w:cs="Times New Roman"/>
                <w:color w:val="auto"/>
                <w:highlight w:val="none"/>
                <w:lang w:val="pt-BR"/>
              </w:rPr>
              <w:t>——</w:t>
            </w:r>
            <w:r>
              <w:rPr>
                <w:rFonts w:hint="default" w:ascii="Times New Roman" w:hAnsi="Times New Roman" w:cs="Times New Roman"/>
                <w:color w:val="auto"/>
                <w:highlight w:val="none"/>
              </w:rPr>
              <w:t>声源到靠近围护结构某点处的距离，m；</w:t>
            </w:r>
          </w:p>
          <w:p w14:paraId="5DE474E0">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object>
                <v:shape id="_x0000_i1038" o:spt="75" type="#_x0000_t75" style="height:16.3pt;width:12.25pt;" o:ole="t" filled="f" o:preferrelative="t" stroked="f" coordsize="21600,21600">
                  <v:path/>
                  <v:fill on="f" focussize="0,0"/>
                  <v:stroke on="f" joinstyle="miter"/>
                  <v:imagedata r:id="rId49" o:title=""/>
                  <o:lock v:ext="edit" aspectratio="t"/>
                  <w10:wrap type="none"/>
                  <w10:anchorlock/>
                </v:shape>
                <o:OLEObject Type="Embed" ProgID="Equation.3" ShapeID="_x0000_i1038" DrawAspect="Content" ObjectID="_1468075738" r:id="rId48">
                  <o:LockedField>false</o:LockedField>
                </o:OLEObject>
              </w:object>
            </w:r>
            <w:r>
              <w:rPr>
                <w:rFonts w:hint="default" w:ascii="Times New Roman" w:hAnsi="Times New Roman" w:cs="Times New Roman"/>
                <w:color w:val="auto"/>
                <w:highlight w:val="none"/>
                <w:lang w:val="pt-BR"/>
              </w:rPr>
              <w:t>——</w:t>
            </w:r>
            <w:r>
              <w:rPr>
                <w:rFonts w:hint="default" w:ascii="Times New Roman" w:hAnsi="Times New Roman" w:cs="Times New Roman"/>
                <w:color w:val="auto"/>
                <w:highlight w:val="none"/>
              </w:rPr>
              <w:t xml:space="preserve">指向性因数；通常对无指向性声源，当声源放在房间中心时，Q=1；当放在一面墙的中 </w:t>
            </w:r>
          </w:p>
          <w:p w14:paraId="30235285">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心时，Q=2；当放在两面墙夹角处时，Q=4；当放在三面墙夹角处时，Q=8；</w:t>
            </w:r>
          </w:p>
          <w:p w14:paraId="1602295E">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object>
                <v:shape id="_x0000_i1039" o:spt="75" type="#_x0000_t75" style="height:12.25pt;width:12.25pt;" o:ole="t" filled="f" o:preferrelative="t" stroked="f" coordsize="21600,21600">
                  <v:path/>
                  <v:fill on="f" focussize="0,0"/>
                  <v:stroke on="f" joinstyle="miter"/>
                  <v:imagedata r:id="rId51" o:title=""/>
                  <o:lock v:ext="edit" aspectratio="t"/>
                  <w10:wrap type="none"/>
                  <w10:anchorlock/>
                </v:shape>
                <o:OLEObject Type="Embed" ProgID="Equation.3" ShapeID="_x0000_i1039" DrawAspect="Content" ObjectID="_1468075739" r:id="rId50">
                  <o:LockedField>false</o:LockedField>
                </o:OLEObject>
              </w:object>
            </w:r>
            <w:r>
              <w:rPr>
                <w:rFonts w:hint="default" w:ascii="Times New Roman" w:hAnsi="Times New Roman" w:cs="Times New Roman"/>
                <w:color w:val="auto"/>
                <w:highlight w:val="none"/>
                <w:lang w:val="pt-BR"/>
              </w:rPr>
              <w:t>——</w:t>
            </w:r>
            <w:r>
              <w:rPr>
                <w:rFonts w:hint="default" w:ascii="Times New Roman" w:hAnsi="Times New Roman" w:cs="Times New Roman"/>
                <w:color w:val="auto"/>
                <w:highlight w:val="none"/>
              </w:rPr>
              <w:t>房间常数，</w:t>
            </w:r>
            <w:r>
              <w:rPr>
                <w:rFonts w:hint="default" w:ascii="Times New Roman" w:hAnsi="Times New Roman" w:cs="Times New Roman"/>
                <w:color w:val="auto"/>
                <w:highlight w:val="none"/>
              </w:rPr>
              <w:object>
                <v:shape id="_x0000_i1040" o:spt="75" type="#_x0000_t75" style="height:16.3pt;width:77.45pt;" o:ole="t" filled="f" o:preferrelative="t" stroked="f" coordsize="21600,21600">
                  <v:path/>
                  <v:fill on="f" focussize="0,0"/>
                  <v:stroke on="f" joinstyle="miter"/>
                  <v:imagedata r:id="rId53" o:title=""/>
                  <o:lock v:ext="edit" aspectratio="t"/>
                  <w10:wrap type="none"/>
                  <w10:anchorlock/>
                </v:shape>
                <o:OLEObject Type="Embed" ProgID="Equation.3" ShapeID="_x0000_i1040" DrawAspect="Content" ObjectID="_1468075740" r:id="rId52">
                  <o:LockedField>false</o:LockedField>
                </o:OLEObject>
              </w:object>
            </w:r>
            <w:r>
              <w:rPr>
                <w:rFonts w:hint="default" w:ascii="Times New Roman" w:hAnsi="Times New Roman" w:cs="Times New Roman"/>
                <w:color w:val="auto"/>
                <w:highlight w:val="none"/>
              </w:rPr>
              <w:t>，</w:t>
            </w:r>
            <w:r>
              <w:rPr>
                <w:rFonts w:hint="default" w:ascii="Times New Roman" w:hAnsi="Times New Roman" w:cs="Times New Roman"/>
                <w:color w:val="auto"/>
                <w:highlight w:val="none"/>
              </w:rPr>
              <w:object>
                <v:shape id="_x0000_i1041" o:spt="75" type="#_x0000_t75" style="height:13.6pt;width:11.55pt;" o:ole="t" filled="f" o:preferrelative="t" stroked="f" coordsize="21600,21600">
                  <v:path/>
                  <v:fill on="f" focussize="0,0"/>
                  <v:stroke on="f" joinstyle="miter"/>
                  <v:imagedata r:id="rId55" o:title=""/>
                  <o:lock v:ext="edit" aspectratio="t"/>
                  <w10:wrap type="none"/>
                  <w10:anchorlock/>
                </v:shape>
                <o:OLEObject Type="Embed" ProgID="Equation.3" ShapeID="_x0000_i1041" DrawAspect="Content" ObjectID="_1468075741" r:id="rId54">
                  <o:LockedField>false</o:LockedField>
                </o:OLEObject>
              </w:object>
            </w:r>
            <w:r>
              <w:rPr>
                <w:rFonts w:hint="default" w:ascii="Times New Roman" w:hAnsi="Times New Roman" w:cs="Times New Roman"/>
                <w:color w:val="auto"/>
                <w:highlight w:val="none"/>
              </w:rPr>
              <w:t>为房间内表面面积，㎡，</w:t>
            </w:r>
            <w:r>
              <w:rPr>
                <w:rFonts w:hint="default" w:ascii="Times New Roman" w:hAnsi="Times New Roman" w:cs="Times New Roman"/>
                <w:color w:val="auto"/>
                <w:highlight w:val="none"/>
              </w:rPr>
              <w:object>
                <v:shape id="_x0000_i1042" o:spt="75" type="#_x0000_t75" style="height:11.55pt;width:12.25pt;" o:ole="t" filled="f" o:preferrelative="t" stroked="f" coordsize="21600,21600">
                  <v:path/>
                  <v:fill on="f" focussize="0,0"/>
                  <v:stroke on="f" joinstyle="miter"/>
                  <v:imagedata r:id="rId57" o:title=""/>
                  <o:lock v:ext="edit" aspectratio="t"/>
                  <w10:wrap type="none"/>
                  <w10:anchorlock/>
                </v:shape>
                <o:OLEObject Type="Embed" ProgID="Equation.3" ShapeID="_x0000_i1042" DrawAspect="Content" ObjectID="_1468075742" r:id="rId56">
                  <o:LockedField>false</o:LockedField>
                </o:OLEObject>
              </w:object>
            </w:r>
            <w:r>
              <w:rPr>
                <w:rFonts w:hint="default" w:ascii="Times New Roman" w:hAnsi="Times New Roman" w:cs="Times New Roman"/>
                <w:color w:val="auto"/>
                <w:highlight w:val="none"/>
              </w:rPr>
              <w:t>为平均吸声系数。</w:t>
            </w:r>
          </w:p>
          <w:p w14:paraId="6FDFF418">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②计算出所有室内声源在靠近围护结构处产生的</w:t>
            </w:r>
            <w:r>
              <w:rPr>
                <w:rFonts w:hint="default" w:ascii="Times New Roman" w:hAnsi="Times New Roman" w:cs="Times New Roman"/>
                <w:color w:val="auto"/>
                <w:highlight w:val="none"/>
              </w:rPr>
              <w:object>
                <v:shape id="_x0000_i1043" o:spt="75" type="#_x0000_t75" style="height:12.25pt;width:6.8pt;" o:ole="t" filled="f" o:preferrelative="t" stroked="f" coordsize="21600,21600">
                  <v:path/>
                  <v:fill on="f" focussize="0,0"/>
                  <v:stroke on="f" joinstyle="miter"/>
                  <v:imagedata r:id="rId59" o:title=""/>
                  <o:lock v:ext="edit" aspectratio="t"/>
                  <w10:wrap type="none"/>
                  <w10:anchorlock/>
                </v:shape>
                <o:OLEObject Type="Embed" ProgID="Equation.3" ShapeID="_x0000_i1043" DrawAspect="Content" ObjectID="_1468075743" r:id="rId58">
                  <o:LockedField>false</o:LockedField>
                </o:OLEObject>
              </w:object>
            </w:r>
            <w:r>
              <w:rPr>
                <w:rFonts w:hint="default" w:ascii="Times New Roman" w:hAnsi="Times New Roman" w:cs="Times New Roman"/>
                <w:color w:val="auto"/>
                <w:highlight w:val="none"/>
              </w:rPr>
              <w:t>倍频带叠加声压级：</w:t>
            </w:r>
          </w:p>
          <w:p w14:paraId="1A3549FD">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object>
                <v:shape id="_x0000_i1044" o:spt="75" type="#_x0000_t75" style="height:35.3pt;width:130.4pt;" o:ole="t" filled="f" o:preferrelative="t" stroked="f" coordsize="21600,21600">
                  <v:path/>
                  <v:fill on="f" focussize="0,0"/>
                  <v:stroke on="f" joinstyle="miter"/>
                  <v:imagedata r:id="rId61" o:title=""/>
                  <o:lock v:ext="edit" aspectratio="t"/>
                  <w10:wrap type="none"/>
                  <w10:anchorlock/>
                </v:shape>
                <o:OLEObject Type="Embed" ProgID="Equation.3" ShapeID="_x0000_i1044" DrawAspect="Content" ObjectID="_1468075744" r:id="rId60">
                  <o:LockedField>false</o:LockedField>
                </o:OLEObject>
              </w:object>
            </w:r>
          </w:p>
          <w:p w14:paraId="3DEFA4CC">
            <w:pPr>
              <w:ind w:firstLine="480"/>
              <w:rPr>
                <w:rFonts w:hint="default" w:ascii="Times New Roman" w:hAnsi="Times New Roman" w:cs="Times New Roman"/>
                <w:color w:val="auto"/>
                <w:highlight w:val="none"/>
                <w:lang w:val="pt-BR"/>
              </w:rPr>
            </w:pPr>
            <w:r>
              <w:rPr>
                <w:rFonts w:hint="default" w:ascii="Times New Roman" w:hAnsi="Times New Roman" w:cs="Times New Roman"/>
                <w:color w:val="auto"/>
                <w:highlight w:val="none"/>
              </w:rPr>
              <w:t>式中：</w:t>
            </w:r>
            <w:r>
              <w:rPr>
                <w:rFonts w:hint="default" w:ascii="Times New Roman" w:hAnsi="Times New Roman" w:cs="Times New Roman"/>
                <w:color w:val="auto"/>
                <w:highlight w:val="none"/>
              </w:rPr>
              <w:object>
                <v:shape id="_x0000_i1045" o:spt="75" type="#_x0000_t75" style="height:19pt;width:36.7pt;" o:ole="t" filled="f" o:preferrelative="t" stroked="f" coordsize="21600,21600">
                  <v:path/>
                  <v:fill on="f" focussize="0,0"/>
                  <v:stroke on="f" joinstyle="miter"/>
                  <v:imagedata r:id="rId63" o:title=""/>
                  <o:lock v:ext="edit" aspectratio="t"/>
                  <w10:wrap type="none"/>
                  <w10:anchorlock/>
                </v:shape>
                <o:OLEObject Type="Embed" ProgID="Equation.3" ShapeID="_x0000_i1045" DrawAspect="Content" ObjectID="_1468075745" r:id="rId62">
                  <o:LockedField>false</o:LockedField>
                </o:OLEObject>
              </w:object>
            </w:r>
            <w:r>
              <w:rPr>
                <w:rFonts w:hint="default" w:ascii="Times New Roman" w:hAnsi="Times New Roman" w:cs="Times New Roman"/>
                <w:color w:val="auto"/>
                <w:highlight w:val="none"/>
                <w:lang w:val="pt-BR"/>
              </w:rPr>
              <w:t>——靠近围护结构处室内N个声源</w:t>
            </w:r>
            <w:r>
              <w:rPr>
                <w:rFonts w:hint="default" w:ascii="Times New Roman" w:hAnsi="Times New Roman" w:cs="Times New Roman"/>
                <w:color w:val="auto"/>
                <w:highlight w:val="none"/>
              </w:rPr>
              <w:object>
                <v:shape id="_x0000_i1046" o:spt="75" type="#_x0000_t75" style="height:12.25pt;width:6.8pt;" o:ole="t" filled="f" o:preferrelative="t" stroked="f" coordsize="21600,21600">
                  <v:path/>
                  <v:fill on="f" focussize="0,0"/>
                  <v:stroke on="f" joinstyle="miter"/>
                  <v:imagedata r:id="rId65" o:title=""/>
                  <o:lock v:ext="edit" aspectratio="t"/>
                  <w10:wrap type="none"/>
                  <w10:anchorlock/>
                </v:shape>
                <o:OLEObject Type="Embed" ProgID="Equation.3" ShapeID="_x0000_i1046" DrawAspect="Content" ObjectID="_1468075746" r:id="rId64">
                  <o:LockedField>false</o:LockedField>
                </o:OLEObject>
              </w:object>
            </w:r>
            <w:r>
              <w:rPr>
                <w:rFonts w:hint="default" w:ascii="Times New Roman" w:hAnsi="Times New Roman" w:cs="Times New Roman"/>
                <w:color w:val="auto"/>
                <w:highlight w:val="none"/>
                <w:lang w:val="pt-BR"/>
              </w:rPr>
              <w:t>倍频带的叠加声压级，dB；</w:t>
            </w:r>
          </w:p>
          <w:p w14:paraId="24C95AA9">
            <w:pPr>
              <w:ind w:firstLine="480"/>
              <w:rPr>
                <w:rFonts w:hint="default" w:ascii="Times New Roman" w:hAnsi="Times New Roman" w:cs="Times New Roman"/>
                <w:color w:val="auto"/>
                <w:highlight w:val="none"/>
                <w:lang w:val="pt-BR"/>
              </w:rPr>
            </w:pPr>
            <w:r>
              <w:rPr>
                <w:rFonts w:hint="default" w:ascii="Times New Roman" w:hAnsi="Times New Roman" w:cs="Times New Roman"/>
                <w:color w:val="auto"/>
                <w:highlight w:val="none"/>
              </w:rPr>
              <w:object>
                <v:shape id="_x0000_i1047" o:spt="75" type="#_x0000_t75" style="height:19pt;width:23.75pt;" o:ole="t" filled="f" o:preferrelative="t" stroked="f" coordsize="21600,21600">
                  <v:path/>
                  <v:fill on="f" focussize="0,0"/>
                  <v:stroke on="f" joinstyle="miter"/>
                  <v:imagedata r:id="rId67" o:title=""/>
                  <o:lock v:ext="edit" aspectratio="t"/>
                  <w10:wrap type="none"/>
                  <w10:anchorlock/>
                </v:shape>
                <o:OLEObject Type="Embed" ProgID="Equation.3" ShapeID="_x0000_i1047" DrawAspect="Content" ObjectID="_1468075747" r:id="rId66">
                  <o:LockedField>false</o:LockedField>
                </o:OLEObject>
              </w:object>
            </w:r>
            <w:r>
              <w:rPr>
                <w:rFonts w:hint="default" w:ascii="Times New Roman" w:hAnsi="Times New Roman" w:cs="Times New Roman"/>
                <w:color w:val="auto"/>
                <w:highlight w:val="none"/>
                <w:lang w:val="pt-BR"/>
              </w:rPr>
              <w:t>——室内</w:t>
            </w:r>
            <w:r>
              <w:rPr>
                <w:rFonts w:hint="default" w:ascii="Times New Roman" w:hAnsi="Times New Roman" w:cs="Times New Roman"/>
                <w:color w:val="auto"/>
                <w:highlight w:val="none"/>
              </w:rPr>
              <w:object>
                <v:shape id="_x0000_i1048" o:spt="75" type="#_x0000_t75" style="height:13.6pt;width:7.45pt;" o:ole="t" filled="f" o:preferrelative="t" stroked="f" coordsize="21600,21600">
                  <v:path/>
                  <v:fill on="f" focussize="0,0"/>
                  <v:stroke on="f" joinstyle="miter"/>
                  <v:imagedata r:id="rId69" o:title=""/>
                  <o:lock v:ext="edit" aspectratio="t"/>
                  <w10:wrap type="none"/>
                  <w10:anchorlock/>
                </v:shape>
                <o:OLEObject Type="Embed" ProgID="Equation.3" ShapeID="_x0000_i1048" DrawAspect="Content" ObjectID="_1468075748" r:id="rId68">
                  <o:LockedField>false</o:LockedField>
                </o:OLEObject>
              </w:object>
            </w:r>
            <w:r>
              <w:rPr>
                <w:rFonts w:hint="default" w:ascii="Times New Roman" w:hAnsi="Times New Roman" w:cs="Times New Roman"/>
                <w:color w:val="auto"/>
                <w:highlight w:val="none"/>
                <w:lang w:val="pt-BR"/>
              </w:rPr>
              <w:t>声源</w:t>
            </w:r>
            <w:r>
              <w:rPr>
                <w:rFonts w:hint="default" w:ascii="Times New Roman" w:hAnsi="Times New Roman" w:cs="Times New Roman"/>
                <w:color w:val="auto"/>
                <w:highlight w:val="none"/>
              </w:rPr>
              <w:object>
                <v:shape id="_x0000_i1049" o:spt="75" type="#_x0000_t75" style="height:12.25pt;width:6.8pt;" o:ole="t" filled="f" o:preferrelative="t" stroked="f" coordsize="21600,21600">
                  <v:path/>
                  <v:fill on="f" focussize="0,0"/>
                  <v:stroke on="f" joinstyle="miter"/>
                  <v:imagedata r:id="rId65" o:title=""/>
                  <o:lock v:ext="edit" aspectratio="t"/>
                  <w10:wrap type="none"/>
                  <w10:anchorlock/>
                </v:shape>
                <o:OLEObject Type="Embed" ProgID="Equation.3" ShapeID="_x0000_i1049" DrawAspect="Content" ObjectID="_1468075749" r:id="rId70">
                  <o:LockedField>false</o:LockedField>
                </o:OLEObject>
              </w:object>
            </w:r>
            <w:r>
              <w:rPr>
                <w:rFonts w:hint="default" w:ascii="Times New Roman" w:hAnsi="Times New Roman" w:cs="Times New Roman"/>
                <w:color w:val="auto"/>
                <w:highlight w:val="none"/>
                <w:lang w:val="pt-BR"/>
              </w:rPr>
              <w:t>倍频带的声压级，dB；</w:t>
            </w:r>
          </w:p>
          <w:p w14:paraId="081574D7">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object>
                <v:shape id="_x0000_i1050" o:spt="75" type="#_x0000_t75" style="height:13.6pt;width:13.6pt;" o:ole="t" filled="f" o:preferrelative="t" stroked="f" coordsize="21600,21600">
                  <v:path/>
                  <v:fill on="f" focussize="0,0"/>
                  <v:stroke on="f" joinstyle="miter"/>
                  <v:imagedata r:id="rId72" o:title=""/>
                  <o:lock v:ext="edit" aspectratio="t"/>
                  <w10:wrap type="none"/>
                  <w10:anchorlock/>
                </v:shape>
                <o:OLEObject Type="Embed" ProgID="Equation.3" ShapeID="_x0000_i1050" DrawAspect="Content" ObjectID="_1468075750" r:id="rId71">
                  <o:LockedField>false</o:LockedField>
                </o:OLEObject>
              </w:object>
            </w:r>
            <w:r>
              <w:rPr>
                <w:rFonts w:hint="default" w:ascii="Times New Roman" w:hAnsi="Times New Roman" w:cs="Times New Roman"/>
                <w:color w:val="auto"/>
                <w:highlight w:val="none"/>
                <w:lang w:val="pt-BR"/>
              </w:rPr>
              <w:t>——室内声源总数。</w:t>
            </w:r>
          </w:p>
          <w:p w14:paraId="56C4EA6B">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③计算出室外靠近围护结构处的声压级：</w:t>
            </w:r>
          </w:p>
          <w:p w14:paraId="1ECDFCB9">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object>
                <v:shape id="_x0000_i1051" o:spt="75" type="#_x0000_t75" style="height:19pt;width:138.55pt;" o:ole="t" filled="f" o:preferrelative="t" stroked="f" coordsize="21600,21600">
                  <v:path/>
                  <v:fill on="f" focussize="0,0"/>
                  <v:stroke on="f" joinstyle="miter"/>
                  <v:imagedata r:id="rId74" o:title=""/>
                  <o:lock v:ext="edit" aspectratio="t"/>
                  <w10:wrap type="none"/>
                  <w10:anchorlock/>
                </v:shape>
                <o:OLEObject Type="Embed" ProgID="Equation.3" ShapeID="_x0000_i1051" DrawAspect="Content" ObjectID="_1468075751" r:id="rId73">
                  <o:LockedField>false</o:LockedField>
                </o:OLEObject>
              </w:object>
            </w:r>
          </w:p>
          <w:p w14:paraId="12BF1155">
            <w:pPr>
              <w:ind w:firstLine="480"/>
              <w:rPr>
                <w:rFonts w:hint="default" w:ascii="Times New Roman" w:hAnsi="Times New Roman" w:cs="Times New Roman"/>
                <w:color w:val="auto"/>
                <w:highlight w:val="none"/>
                <w:lang w:val="pt-BR"/>
              </w:rPr>
            </w:pPr>
            <w:r>
              <w:rPr>
                <w:rFonts w:hint="default" w:ascii="Times New Roman" w:hAnsi="Times New Roman" w:cs="Times New Roman"/>
                <w:color w:val="auto"/>
                <w:highlight w:val="none"/>
              </w:rPr>
              <w:t>式中：</w:t>
            </w:r>
            <w:r>
              <w:rPr>
                <w:rFonts w:hint="default" w:ascii="Times New Roman" w:hAnsi="Times New Roman" w:cs="Times New Roman"/>
                <w:color w:val="auto"/>
                <w:highlight w:val="none"/>
              </w:rPr>
              <w:object>
                <v:shape id="_x0000_i1052" o:spt="75" type="#_x0000_t75" style="height:19pt;width:41.45pt;" o:ole="t" filled="f" o:preferrelative="t" stroked="f" coordsize="21600,21600">
                  <v:path/>
                  <v:fill on="f" focussize="0,0"/>
                  <v:stroke on="f" joinstyle="miter"/>
                  <v:imagedata r:id="rId76" o:title=""/>
                  <o:lock v:ext="edit" aspectratio="t"/>
                  <w10:wrap type="none"/>
                  <w10:anchorlock/>
                </v:shape>
                <o:OLEObject Type="Embed" ProgID="Equation.3" ShapeID="_x0000_i1052" DrawAspect="Content" ObjectID="_1468075752" r:id="rId75">
                  <o:LockedField>false</o:LockedField>
                </o:OLEObject>
              </w:object>
            </w:r>
            <w:r>
              <w:rPr>
                <w:rFonts w:hint="default" w:ascii="Times New Roman" w:hAnsi="Times New Roman" w:cs="Times New Roman"/>
                <w:color w:val="auto"/>
                <w:highlight w:val="none"/>
                <w:lang w:val="pt-BR"/>
              </w:rPr>
              <w:t>——靠近围护结构处室外N个声源</w:t>
            </w:r>
            <w:r>
              <w:rPr>
                <w:rFonts w:hint="default" w:ascii="Times New Roman" w:hAnsi="Times New Roman" w:cs="Times New Roman"/>
                <w:color w:val="auto"/>
                <w:highlight w:val="none"/>
              </w:rPr>
              <w:object>
                <v:shape id="_x0000_i1053" o:spt="75" type="#_x0000_t75" style="height:12.25pt;width:6.8pt;" o:ole="t" filled="f" o:preferrelative="t" stroked="f" coordsize="21600,21600">
                  <v:path/>
                  <v:fill on="f" focussize="0,0"/>
                  <v:stroke on="f" joinstyle="miter"/>
                  <v:imagedata r:id="rId65" o:title=""/>
                  <o:lock v:ext="edit" aspectratio="t"/>
                  <w10:wrap type="none"/>
                  <w10:anchorlock/>
                </v:shape>
                <o:OLEObject Type="Embed" ProgID="Equation.3" ShapeID="_x0000_i1053" DrawAspect="Content" ObjectID="_1468075753" r:id="rId77">
                  <o:LockedField>false</o:LockedField>
                </o:OLEObject>
              </w:object>
            </w:r>
            <w:r>
              <w:rPr>
                <w:rFonts w:hint="default" w:ascii="Times New Roman" w:hAnsi="Times New Roman" w:cs="Times New Roman"/>
                <w:color w:val="auto"/>
                <w:highlight w:val="none"/>
                <w:lang w:val="pt-BR"/>
              </w:rPr>
              <w:t>倍频带的叠加声压级，dB；</w:t>
            </w:r>
          </w:p>
          <w:p w14:paraId="3765A548">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object>
                <v:shape id="_x0000_i1054" o:spt="75" type="#_x0000_t75" style="height:19pt;width:19pt;" o:ole="t" filled="f" o:preferrelative="t" stroked="f" coordsize="21600,21600">
                  <v:path/>
                  <v:fill on="f" focussize="0,0"/>
                  <v:stroke on="f" joinstyle="miter"/>
                  <v:imagedata r:id="rId79" o:title=""/>
                  <o:lock v:ext="edit" aspectratio="t"/>
                  <w10:wrap type="none"/>
                  <w10:anchorlock/>
                </v:shape>
                <o:OLEObject Type="Embed" ProgID="Equation.3" ShapeID="_x0000_i1054" DrawAspect="Content" ObjectID="_1468075754" r:id="rId78">
                  <o:LockedField>false</o:LockedField>
                </o:OLEObject>
              </w:object>
            </w:r>
            <w:r>
              <w:rPr>
                <w:rFonts w:hint="default" w:ascii="Times New Roman" w:hAnsi="Times New Roman" w:cs="Times New Roman"/>
                <w:color w:val="auto"/>
                <w:highlight w:val="none"/>
                <w:lang w:val="pt-BR"/>
              </w:rPr>
              <w:t>——围护结构</w:t>
            </w:r>
            <w:r>
              <w:rPr>
                <w:rFonts w:hint="default" w:ascii="Times New Roman" w:hAnsi="Times New Roman" w:cs="Times New Roman"/>
                <w:color w:val="auto"/>
                <w:highlight w:val="none"/>
              </w:rPr>
              <w:object>
                <v:shape id="_x0000_i1055" o:spt="75" type="#_x0000_t75" style="height:12.25pt;width:6.8pt;" o:ole="t" filled="f" o:preferrelative="t" stroked="f" coordsize="21600,21600">
                  <v:path/>
                  <v:fill on="f" focussize="0,0"/>
                  <v:stroke on="f" joinstyle="miter"/>
                  <v:imagedata r:id="rId65" o:title=""/>
                  <o:lock v:ext="edit" aspectratio="t"/>
                  <w10:wrap type="none"/>
                  <w10:anchorlock/>
                </v:shape>
                <o:OLEObject Type="Embed" ProgID="Equation.3" ShapeID="_x0000_i1055" DrawAspect="Content" ObjectID="_1468075755" r:id="rId80">
                  <o:LockedField>false</o:LockedField>
                </o:OLEObject>
              </w:object>
            </w:r>
            <w:r>
              <w:rPr>
                <w:rFonts w:hint="default" w:ascii="Times New Roman" w:hAnsi="Times New Roman" w:cs="Times New Roman"/>
                <w:color w:val="auto"/>
                <w:highlight w:val="none"/>
                <w:lang w:val="pt-BR"/>
              </w:rPr>
              <w:t>倍频带的隔声量，dB；</w:t>
            </w:r>
          </w:p>
          <w:p w14:paraId="7DB33CAB">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④将室外声源的声压级和透过面积换算成等效的室外声源，计算出中心位置位于透声面积（S）处的等效声源的倍频带声功率级。</w:t>
            </w:r>
          </w:p>
          <w:p w14:paraId="7EF5EFC8">
            <w:pPr>
              <w:ind w:firstLine="560"/>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sz w:val="28"/>
                <w:szCs w:val="28"/>
                <w:highlight w:val="none"/>
              </w:rPr>
              <w:drawing>
                <wp:anchor distT="0" distB="0" distL="114300" distR="114300" simplePos="0" relativeHeight="251668480" behindDoc="0" locked="0" layoutInCell="1" allowOverlap="1">
                  <wp:simplePos x="0" y="0"/>
                  <wp:positionH relativeFrom="column">
                    <wp:posOffset>330835</wp:posOffset>
                  </wp:positionH>
                  <wp:positionV relativeFrom="paragraph">
                    <wp:posOffset>11430</wp:posOffset>
                  </wp:positionV>
                  <wp:extent cx="1352550" cy="238125"/>
                  <wp:effectExtent l="0" t="0" r="0" b="8255"/>
                  <wp:wrapNone/>
                  <wp:docPr id="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pic:cNvPicPr>
                            <a:picLocks noChangeAspect="1"/>
                          </pic:cNvPicPr>
                        </pic:nvPicPr>
                        <pic:blipFill>
                          <a:blip r:embed="rId81"/>
                          <a:stretch>
                            <a:fillRect/>
                          </a:stretch>
                        </pic:blipFill>
                        <pic:spPr>
                          <a:xfrm>
                            <a:off x="0" y="0"/>
                            <a:ext cx="1352550" cy="238125"/>
                          </a:xfrm>
                          <a:prstGeom prst="rect">
                            <a:avLst/>
                          </a:prstGeom>
                          <a:noFill/>
                          <a:ln>
                            <a:noFill/>
                          </a:ln>
                        </pic:spPr>
                      </pic:pic>
                    </a:graphicData>
                  </a:graphic>
                </wp:anchor>
              </w:drawing>
            </w:r>
          </w:p>
          <w:p w14:paraId="09397DD8">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⑤等效室外声源的位置为围护结构的位置，其倍频带声功率级为</w:t>
            </w:r>
            <w:r>
              <w:rPr>
                <w:rFonts w:hint="default" w:ascii="Times New Roman" w:hAnsi="Times New Roman" w:cs="Times New Roman"/>
                <w:color w:val="auto"/>
                <w:highlight w:val="none"/>
              </w:rPr>
              <w:object>
                <v:shape id="_x0000_i1056" o:spt="75" type="#_x0000_t75" style="height:19pt;width:16.3pt;" o:ole="t" filled="f" o:preferrelative="t" stroked="f" coordsize="21600,21600">
                  <v:path/>
                  <v:fill on="f" focussize="0,0"/>
                  <v:stroke on="f" joinstyle="miter"/>
                  <v:imagedata r:id="rId83" o:title=""/>
                  <o:lock v:ext="edit" aspectratio="t"/>
                  <w10:wrap type="none"/>
                  <w10:anchorlock/>
                </v:shape>
                <o:OLEObject Type="Embed" ProgID="Equation.3" ShapeID="_x0000_i1056" DrawAspect="Content" ObjectID="_1468075756" r:id="rId82">
                  <o:LockedField>false</o:LockedField>
                </o:OLEObject>
              </w:object>
            </w:r>
            <w:r>
              <w:rPr>
                <w:rFonts w:hint="default" w:ascii="Times New Roman" w:hAnsi="Times New Roman" w:cs="Times New Roman"/>
                <w:color w:val="auto"/>
                <w:highlight w:val="none"/>
              </w:rPr>
              <w:t>，根据厂房结构（门、窗）和预测点的位置关系，分别按照面声源、线声源和点声源的衰减模式，计算预测点处的声级。</w:t>
            </w:r>
          </w:p>
          <w:p w14:paraId="2B1C3ECC">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假设窗户的宽度为a，高度为b，窗户个数为n；预测点距墙中心的距离为</w:t>
            </w:r>
            <w:r>
              <w:rPr>
                <w:rFonts w:hint="default" w:ascii="Times New Roman" w:hAnsi="Times New Roman" w:cs="Times New Roman"/>
                <w:color w:val="auto"/>
                <w:highlight w:val="none"/>
              </w:rPr>
              <w:object>
                <v:shape id="_x0000_i1057" o:spt="75" type="#_x0000_t75" style="height:7.45pt;width:7.45pt;" o:ole="t" filled="f" o:preferrelative="t" stroked="f" coordsize="21600,21600">
                  <v:path/>
                  <v:fill on="f" focussize="0,0"/>
                  <v:stroke on="f" joinstyle="miter"/>
                  <v:imagedata r:id="rId85" o:title=""/>
                  <o:lock v:ext="edit" aspectratio="t"/>
                  <w10:wrap type="none"/>
                  <w10:anchorlock/>
                </v:shape>
                <o:OLEObject Type="Embed" ProgID="Equation.3" ShapeID="_x0000_i1057" DrawAspect="Content" ObjectID="_1468075757" r:id="rId84">
                  <o:LockedField>false</o:LockedField>
                </o:OLEObject>
              </w:object>
            </w:r>
            <w:r>
              <w:rPr>
                <w:rFonts w:hint="default" w:ascii="Times New Roman" w:hAnsi="Times New Roman" w:cs="Times New Roman"/>
                <w:color w:val="auto"/>
                <w:highlight w:val="none"/>
              </w:rPr>
              <w:t>。预测点的声级按照下述公式进行预测：</w:t>
            </w:r>
          </w:p>
          <w:p w14:paraId="424AC2DD">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当</w:t>
            </w:r>
            <w:r>
              <w:rPr>
                <w:rFonts w:hint="default" w:ascii="Times New Roman" w:hAnsi="Times New Roman" w:cs="Times New Roman"/>
                <w:color w:val="auto"/>
                <w:highlight w:val="none"/>
              </w:rPr>
              <w:object>
                <v:shape id="_x0000_i1058" o:spt="75" type="#_x0000_t75" style="height:29.9pt;width:29.9pt;" o:ole="t" filled="f" o:preferrelative="t" stroked="f" coordsize="21600,21600">
                  <v:path/>
                  <v:fill on="f" focussize="0,0"/>
                  <v:stroke on="f" joinstyle="miter"/>
                  <v:imagedata r:id="rId87" o:title=""/>
                  <o:lock v:ext="edit" aspectratio="t"/>
                  <w10:wrap type="none"/>
                  <w10:anchorlock/>
                </v:shape>
                <o:OLEObject Type="Embed" ProgID="Equation.3" ShapeID="_x0000_i1058" DrawAspect="Content" ObjectID="_1468075758" r:id="rId86">
                  <o:LockedField>false</o:LockedField>
                </o:OLEObject>
              </w:object>
            </w:r>
            <w:r>
              <w:rPr>
                <w:rFonts w:hint="default" w:ascii="Times New Roman" w:hAnsi="Times New Roman" w:cs="Times New Roman"/>
                <w:color w:val="auto"/>
                <w:highlight w:val="none"/>
              </w:rPr>
              <w:t>时，</w:t>
            </w:r>
            <w:r>
              <w:rPr>
                <w:rFonts w:hint="default" w:ascii="Times New Roman" w:hAnsi="Times New Roman" w:cs="Times New Roman"/>
                <w:color w:val="auto"/>
                <w:highlight w:val="none"/>
              </w:rPr>
              <w:object>
                <v:shape id="_x0000_i1059" o:spt="75" type="#_x0000_t75" style="height:17pt;width:55pt;" o:ole="t" filled="f" o:preferrelative="t" stroked="f" coordsize="21600,21600">
                  <v:path/>
                  <v:fill on="f" focussize="0,0"/>
                  <v:stroke on="f" joinstyle="miter"/>
                  <v:imagedata r:id="rId89" o:title=""/>
                  <o:lock v:ext="edit" aspectratio="t"/>
                  <w10:wrap type="none"/>
                  <w10:anchorlock/>
                </v:shape>
                <o:OLEObject Type="Embed" ProgID="Equation.3" ShapeID="_x0000_i1059" DrawAspect="Content" ObjectID="_1468075759" r:id="rId88">
                  <o:LockedField>false</o:LockedField>
                </o:OLEObject>
              </w:object>
            </w:r>
            <w:r>
              <w:rPr>
                <w:rFonts w:hint="default" w:ascii="Times New Roman" w:hAnsi="Times New Roman" w:cs="Times New Roman"/>
                <w:color w:val="auto"/>
                <w:highlight w:val="none"/>
              </w:rPr>
              <w:t>（即按面声源处理）；</w:t>
            </w:r>
          </w:p>
          <w:p w14:paraId="1BB3EB1E">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当</w:t>
            </w:r>
            <w:r>
              <w:rPr>
                <w:rFonts w:hint="default" w:ascii="Times New Roman" w:hAnsi="Times New Roman" w:cs="Times New Roman"/>
                <w:color w:val="auto"/>
                <w:highlight w:val="none"/>
              </w:rPr>
              <w:object>
                <v:shape id="_x0000_i1060" o:spt="75" type="#_x0000_t75" style="height:29.9pt;width:58.4pt;" o:ole="t" filled="f" o:preferrelative="t" stroked="f" coordsize="21600,21600">
                  <v:path/>
                  <v:fill on="f" focussize="0,0"/>
                  <v:stroke on="f" joinstyle="miter"/>
                  <v:imagedata r:id="rId91" o:title=""/>
                  <o:lock v:ext="edit" aspectratio="t"/>
                  <w10:wrap type="none"/>
                  <w10:anchorlock/>
                </v:shape>
                <o:OLEObject Type="Embed" ProgID="Equation.3" ShapeID="_x0000_i1060" DrawAspect="Content" ObjectID="_1468075760" r:id="rId90">
                  <o:LockedField>false</o:LockedField>
                </o:OLEObject>
              </w:object>
            </w:r>
            <w:r>
              <w:rPr>
                <w:rFonts w:hint="default" w:ascii="Times New Roman" w:hAnsi="Times New Roman" w:cs="Times New Roman"/>
                <w:color w:val="auto"/>
                <w:highlight w:val="none"/>
              </w:rPr>
              <w:t>时，</w:t>
            </w:r>
            <w:r>
              <w:rPr>
                <w:rFonts w:hint="default" w:ascii="Times New Roman" w:hAnsi="Times New Roman" w:cs="Times New Roman"/>
                <w:color w:val="auto"/>
                <w:highlight w:val="none"/>
              </w:rPr>
              <w:object>
                <v:shape id="_x0000_i1061" o:spt="75" type="#_x0000_t75" style="height:29.9pt;width:97.15pt;" o:ole="t" filled="f" o:preferrelative="t" stroked="f" coordsize="21600,21600">
                  <v:path/>
                  <v:fill on="f" focussize="0,0"/>
                  <v:stroke on="f" joinstyle="miter"/>
                  <v:imagedata r:id="rId93" o:title=""/>
                  <o:lock v:ext="edit" aspectratio="t"/>
                  <w10:wrap type="none"/>
                  <w10:anchorlock/>
                </v:shape>
                <o:OLEObject Type="Embed" ProgID="Equation.3" ShapeID="_x0000_i1061" DrawAspect="Content" ObjectID="_1468075761" r:id="rId92">
                  <o:LockedField>false</o:LockedField>
                </o:OLEObject>
              </w:object>
            </w:r>
            <w:r>
              <w:rPr>
                <w:rFonts w:hint="default" w:ascii="Times New Roman" w:hAnsi="Times New Roman" w:cs="Times New Roman"/>
                <w:color w:val="auto"/>
                <w:highlight w:val="none"/>
              </w:rPr>
              <w:t>（即按线声源处理）；</w:t>
            </w:r>
          </w:p>
          <w:p w14:paraId="52715B21">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当</w:t>
            </w:r>
            <w:r>
              <w:rPr>
                <w:rFonts w:hint="default" w:ascii="Times New Roman" w:hAnsi="Times New Roman" w:cs="Times New Roman"/>
                <w:color w:val="auto"/>
                <w:highlight w:val="none"/>
              </w:rPr>
              <w:object>
                <v:shape id="_x0000_i1062" o:spt="75" type="#_x0000_t75" style="height:29.9pt;width:36pt;" o:ole="t" filled="f" o:preferrelative="t" stroked="f" coordsize="21600,21600">
                  <v:path/>
                  <v:fill on="f" focussize="0,0"/>
                  <v:stroke on="f" joinstyle="miter"/>
                  <v:imagedata r:id="rId95" o:title=""/>
                  <o:lock v:ext="edit" aspectratio="t"/>
                  <w10:wrap type="none"/>
                  <w10:anchorlock/>
                </v:shape>
                <o:OLEObject Type="Embed" ProgID="Equation.3" ShapeID="_x0000_i1062" DrawAspect="Content" ObjectID="_1468075762" r:id="rId94">
                  <o:LockedField>false</o:LockedField>
                </o:OLEObject>
              </w:object>
            </w:r>
            <w:r>
              <w:rPr>
                <w:rFonts w:hint="default" w:ascii="Times New Roman" w:hAnsi="Times New Roman" w:cs="Times New Roman"/>
                <w:color w:val="auto"/>
                <w:highlight w:val="none"/>
              </w:rPr>
              <w:t>时，</w:t>
            </w:r>
            <w:r>
              <w:rPr>
                <w:rFonts w:hint="default" w:ascii="Times New Roman" w:hAnsi="Times New Roman" w:cs="Times New Roman"/>
                <w:color w:val="auto"/>
                <w:highlight w:val="none"/>
              </w:rPr>
              <w:object>
                <v:shape id="_x0000_i1063" o:spt="75" type="#_x0000_t75" style="height:29.9pt;width:107.3pt;" o:ole="t" filled="f" o:preferrelative="t" stroked="f" coordsize="21600,21600">
                  <v:path/>
                  <v:fill on="f" focussize="0,0"/>
                  <v:stroke on="f" joinstyle="miter"/>
                  <v:imagedata r:id="rId97" o:title=""/>
                  <o:lock v:ext="edit" aspectratio="t"/>
                  <w10:wrap type="none"/>
                  <w10:anchorlock/>
                </v:shape>
                <o:OLEObject Type="Embed" ProgID="Equation.3" ShapeID="_x0000_i1063" DrawAspect="Content" ObjectID="_1468075763" r:id="rId96">
                  <o:LockedField>false</o:LockedField>
                </o:OLEObject>
              </w:object>
            </w:r>
            <w:r>
              <w:rPr>
                <w:rFonts w:hint="default" w:ascii="Times New Roman" w:hAnsi="Times New Roman" w:cs="Times New Roman"/>
                <w:color w:val="auto"/>
                <w:highlight w:val="none"/>
              </w:rPr>
              <w:t>（即按点声源处理）；</w:t>
            </w:r>
          </w:p>
          <w:p w14:paraId="2277D95C">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（3）计算总声压级</w:t>
            </w:r>
          </w:p>
          <w:p w14:paraId="404EDED2">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①计算本工程各室外噪声源和各含噪声源厂房对各预测点噪声贡献值</w:t>
            </w:r>
          </w:p>
          <w:p w14:paraId="7D9075C9">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设第</w:t>
            </w:r>
            <w:r>
              <w:rPr>
                <w:rFonts w:hint="default" w:ascii="Times New Roman" w:hAnsi="Times New Roman" w:cs="Times New Roman"/>
                <w:color w:val="auto"/>
                <w:highlight w:val="none"/>
              </w:rPr>
              <w:object>
                <v:shape id="_x0000_i1064" o:spt="75" type="#_x0000_t75" style="height:12.25pt;width:6.8pt;" o:ole="t" filled="f" o:preferrelative="t" stroked="f" coordsize="21600,21600">
                  <v:path/>
                  <v:fill on="f" focussize="0,0"/>
                  <v:stroke on="f" joinstyle="miter"/>
                  <v:imagedata r:id="rId65" o:title=""/>
                  <o:lock v:ext="edit" aspectratio="t"/>
                  <w10:wrap type="none"/>
                  <w10:anchorlock/>
                </v:shape>
                <o:OLEObject Type="Embed" ProgID="Equation.3" ShapeID="_x0000_i1064" DrawAspect="Content" ObjectID="_1468075764" r:id="rId98">
                  <o:LockedField>false</o:LockedField>
                </o:OLEObject>
              </w:object>
            </w:r>
            <w:r>
              <w:rPr>
                <w:rFonts w:hint="default" w:ascii="Times New Roman" w:hAnsi="Times New Roman" w:cs="Times New Roman"/>
                <w:color w:val="auto"/>
                <w:highlight w:val="none"/>
              </w:rPr>
              <w:t>个室外声源在预测点产生的A声级为</w:t>
            </w:r>
            <w:r>
              <w:rPr>
                <w:rFonts w:hint="default" w:ascii="Times New Roman" w:hAnsi="Times New Roman" w:cs="Times New Roman"/>
                <w:color w:val="auto"/>
                <w:highlight w:val="none"/>
              </w:rPr>
              <w:object>
                <v:shape id="_x0000_i1065" o:spt="75" type="#_x0000_t75" style="height:19pt;width:19pt;" o:ole="t" filled="f" o:preferrelative="t" stroked="f" coordsize="21600,21600">
                  <v:path/>
                  <v:fill on="f" focussize="0,0"/>
                  <v:stroke on="f" joinstyle="miter"/>
                  <v:imagedata r:id="rId100" o:title=""/>
                  <o:lock v:ext="edit" aspectratio="t"/>
                  <w10:wrap type="none"/>
                  <w10:anchorlock/>
                </v:shape>
                <o:OLEObject Type="Embed" ProgID="Equation.3" ShapeID="_x0000_i1065" DrawAspect="Content" ObjectID="_1468075765" r:id="rId99">
                  <o:LockedField>false</o:LockedField>
                </o:OLEObject>
              </w:object>
            </w:r>
            <w:r>
              <w:rPr>
                <w:rFonts w:hint="default" w:ascii="Times New Roman" w:hAnsi="Times New Roman" w:cs="Times New Roman"/>
                <w:color w:val="auto"/>
                <w:highlight w:val="none"/>
              </w:rPr>
              <w:t>，在T时间内该声源工作时间为</w:t>
            </w:r>
            <w:r>
              <w:rPr>
                <w:rFonts w:hint="default" w:ascii="Times New Roman" w:hAnsi="Times New Roman" w:cs="Times New Roman"/>
                <w:color w:val="auto"/>
                <w:highlight w:val="none"/>
              </w:rPr>
              <w:object>
                <v:shape id="_x0000_i1066" o:spt="75" type="#_x0000_t75" style="height:19pt;width:7.45pt;" o:ole="t" filled="f" o:preferrelative="t" stroked="f" coordsize="21600,21600">
                  <v:path/>
                  <v:fill on="f" focussize="0,0"/>
                  <v:stroke on="f" joinstyle="miter"/>
                  <v:imagedata r:id="rId102" o:title=""/>
                  <o:lock v:ext="edit" aspectratio="t"/>
                  <w10:wrap type="none"/>
                  <w10:anchorlock/>
                </v:shape>
                <o:OLEObject Type="Embed" ProgID="Equation.3" ShapeID="_x0000_i1066" DrawAspect="Content" ObjectID="_1468075766" r:id="rId101">
                  <o:LockedField>false</o:LockedField>
                </o:OLEObject>
              </w:object>
            </w:r>
            <w:r>
              <w:rPr>
                <w:rFonts w:hint="default" w:ascii="Times New Roman" w:hAnsi="Times New Roman" w:cs="Times New Roman"/>
                <w:color w:val="auto"/>
                <w:highlight w:val="none"/>
              </w:rPr>
              <w:t>；第</w:t>
            </w:r>
            <w:r>
              <w:rPr>
                <w:rFonts w:hint="default" w:ascii="Times New Roman" w:hAnsi="Times New Roman" w:cs="Times New Roman"/>
                <w:color w:val="auto"/>
                <w:highlight w:val="none"/>
              </w:rPr>
              <w:object>
                <v:shape id="_x0000_i1067" o:spt="75" type="#_x0000_t75" style="height:13.6pt;width:7.45pt;" o:ole="t" filled="f" o:preferrelative="t" stroked="f" coordsize="21600,21600">
                  <v:path/>
                  <v:fill on="f" focussize="0,0"/>
                  <v:stroke on="f" joinstyle="miter"/>
                  <v:imagedata r:id="rId104" o:title=""/>
                  <o:lock v:ext="edit" aspectratio="t"/>
                  <w10:wrap type="none"/>
                  <w10:anchorlock/>
                </v:shape>
                <o:OLEObject Type="Embed" ProgID="Equation.3" ShapeID="_x0000_i1067" DrawAspect="Content" ObjectID="_1468075767" r:id="rId103">
                  <o:LockedField>false</o:LockedField>
                </o:OLEObject>
              </w:object>
            </w:r>
            <w:r>
              <w:rPr>
                <w:rFonts w:hint="default" w:ascii="Times New Roman" w:hAnsi="Times New Roman" w:cs="Times New Roman"/>
                <w:color w:val="auto"/>
                <w:highlight w:val="none"/>
              </w:rPr>
              <w:t>个等效室外声源在预测点产生的A声级为</w:t>
            </w:r>
            <w:r>
              <w:rPr>
                <w:rFonts w:hint="default" w:ascii="Times New Roman" w:hAnsi="Times New Roman" w:cs="Times New Roman"/>
                <w:color w:val="auto"/>
                <w:highlight w:val="none"/>
              </w:rPr>
              <w:object>
                <v:shape id="_x0000_i1068" o:spt="75" type="#_x0000_t75" style="height:19pt;width:19pt;" o:ole="t" filled="f" o:preferrelative="t" stroked="f" coordsize="21600,21600">
                  <v:path/>
                  <v:fill on="f" focussize="0,0"/>
                  <v:stroke on="f" joinstyle="miter"/>
                  <v:imagedata r:id="rId106" o:title=""/>
                  <o:lock v:ext="edit" aspectratio="t"/>
                  <w10:wrap type="none"/>
                  <w10:anchorlock/>
                </v:shape>
                <o:OLEObject Type="Embed" ProgID="Equation.3" ShapeID="_x0000_i1068" DrawAspect="Content" ObjectID="_1468075768" r:id="rId105">
                  <o:LockedField>false</o:LockedField>
                </o:OLEObject>
              </w:object>
            </w:r>
            <w:r>
              <w:rPr>
                <w:rFonts w:hint="default" w:ascii="Times New Roman" w:hAnsi="Times New Roman" w:cs="Times New Roman"/>
                <w:color w:val="auto"/>
                <w:highlight w:val="none"/>
              </w:rPr>
              <w:t>，在T时间内该声源工作时间为</w:t>
            </w:r>
            <w:r>
              <w:rPr>
                <w:rFonts w:hint="default" w:ascii="Times New Roman" w:hAnsi="Times New Roman" w:cs="Times New Roman"/>
                <w:color w:val="auto"/>
                <w:highlight w:val="none"/>
              </w:rPr>
              <w:object>
                <v:shape id="_x0000_i1069" o:spt="75" type="#_x0000_t75" style="height:19pt;width:11.55pt;" o:ole="t" filled="f" o:preferrelative="t" stroked="f" coordsize="21600,21600">
                  <v:path/>
                  <v:fill on="f" focussize="0,0"/>
                  <v:stroke on="f" joinstyle="miter"/>
                  <v:imagedata r:id="rId108" o:title=""/>
                  <o:lock v:ext="edit" aspectratio="t"/>
                  <w10:wrap type="none"/>
                  <w10:anchorlock/>
                </v:shape>
                <o:OLEObject Type="Embed" ProgID="Equation.3" ShapeID="_x0000_i1069" DrawAspect="Content" ObjectID="_1468075769" r:id="rId107">
                  <o:LockedField>false</o:LockedField>
                </o:OLEObject>
              </w:object>
            </w:r>
            <w:r>
              <w:rPr>
                <w:rFonts w:hint="default" w:ascii="Times New Roman" w:hAnsi="Times New Roman" w:cs="Times New Roman"/>
                <w:color w:val="auto"/>
                <w:highlight w:val="none"/>
              </w:rPr>
              <w:t>，则拟建工程声源对预测点产生的贡献值（</w:t>
            </w:r>
            <w:r>
              <w:rPr>
                <w:rFonts w:hint="default" w:ascii="Times New Roman" w:hAnsi="Times New Roman" w:cs="Times New Roman"/>
                <w:color w:val="auto"/>
                <w:highlight w:val="none"/>
              </w:rPr>
              <w:object>
                <v:shape id="_x0000_i1070" o:spt="75" type="#_x0000_t75" style="height:19pt;width:22.4pt;" o:ole="t" filled="f" o:preferrelative="t" stroked="f" coordsize="21600,21600">
                  <v:path/>
                  <v:fill on="f" focussize="0,0"/>
                  <v:stroke on="f" joinstyle="miter"/>
                  <v:imagedata r:id="rId110" o:title=""/>
                  <o:lock v:ext="edit" aspectratio="t"/>
                  <w10:wrap type="none"/>
                  <w10:anchorlock/>
                </v:shape>
                <o:OLEObject Type="Embed" ProgID="Equation.3" ShapeID="_x0000_i1070" DrawAspect="Content" ObjectID="_1468075770" r:id="rId109">
                  <o:LockedField>false</o:LockedField>
                </o:OLEObject>
              </w:object>
            </w:r>
            <w:r>
              <w:rPr>
                <w:rFonts w:hint="default" w:ascii="Times New Roman" w:hAnsi="Times New Roman" w:cs="Times New Roman"/>
                <w:color w:val="auto"/>
                <w:highlight w:val="none"/>
              </w:rPr>
              <w:t>）为:</w:t>
            </w:r>
          </w:p>
          <w:p w14:paraId="125F2E7C">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drawing>
                <wp:anchor distT="0" distB="0" distL="114300" distR="114300" simplePos="0" relativeHeight="251669504" behindDoc="0" locked="0" layoutInCell="1" allowOverlap="1">
                  <wp:simplePos x="0" y="0"/>
                  <wp:positionH relativeFrom="column">
                    <wp:posOffset>303530</wp:posOffset>
                  </wp:positionH>
                  <wp:positionV relativeFrom="paragraph">
                    <wp:posOffset>22225</wp:posOffset>
                  </wp:positionV>
                  <wp:extent cx="2637790" cy="466090"/>
                  <wp:effectExtent l="0" t="0" r="10160" b="10795"/>
                  <wp:wrapNone/>
                  <wp:docPr id="22"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5"/>
                          <pic:cNvPicPr>
                            <a:picLocks noChangeAspect="1"/>
                          </pic:cNvPicPr>
                        </pic:nvPicPr>
                        <pic:blipFill>
                          <a:blip r:embed="rId111"/>
                          <a:stretch>
                            <a:fillRect/>
                          </a:stretch>
                        </pic:blipFill>
                        <pic:spPr>
                          <a:xfrm>
                            <a:off x="0" y="0"/>
                            <a:ext cx="2637790" cy="466090"/>
                          </a:xfrm>
                          <a:prstGeom prst="rect">
                            <a:avLst/>
                          </a:prstGeom>
                          <a:noFill/>
                          <a:ln>
                            <a:noFill/>
                          </a:ln>
                        </pic:spPr>
                      </pic:pic>
                    </a:graphicData>
                  </a:graphic>
                </wp:anchor>
              </w:drawing>
            </w:r>
          </w:p>
          <w:p w14:paraId="34A73B0C">
            <w:pPr>
              <w:ind w:firstLine="480"/>
              <w:rPr>
                <w:rFonts w:hint="default" w:ascii="Times New Roman" w:hAnsi="Times New Roman" w:cs="Times New Roman"/>
                <w:color w:val="auto"/>
                <w:highlight w:val="none"/>
              </w:rPr>
            </w:pPr>
          </w:p>
          <w:p w14:paraId="4C849FFE">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②预测点的噪声预测值</w:t>
            </w:r>
          </w:p>
          <w:p w14:paraId="585BA9B9">
            <w:pPr>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object>
                <v:shape id="_x0000_i1071" o:spt="75" type="#_x0000_t75" style="height:22.4pt;width:142.65pt;" o:ole="t" filled="f" o:preferrelative="t" stroked="f" coordsize="21600,21600">
                  <v:path/>
                  <v:fill on="f" focussize="0,0"/>
                  <v:stroke on="f" joinstyle="miter"/>
                  <v:imagedata r:id="rId113" o:title=""/>
                  <o:lock v:ext="edit" aspectratio="t"/>
                  <w10:wrap type="none"/>
                  <w10:anchorlock/>
                </v:shape>
                <o:OLEObject Type="Embed" ProgID="Equation.3" ShapeID="_x0000_i1071" DrawAspect="Content" ObjectID="_1468075771" r:id="rId112">
                  <o:LockedField>false</o:LockedField>
                </o:OLEObject>
              </w:object>
            </w:r>
          </w:p>
          <w:p w14:paraId="4CFF54D8">
            <w:pPr>
              <w:ind w:firstLine="480"/>
              <w:rPr>
                <w:rFonts w:hint="default" w:ascii="Times New Roman" w:hAnsi="Times New Roman" w:cs="Times New Roman"/>
                <w:color w:val="auto"/>
                <w:highlight w:val="none"/>
                <w:lang w:val="pt-BR"/>
              </w:rPr>
            </w:pPr>
            <w:r>
              <w:rPr>
                <w:rFonts w:hint="default" w:ascii="Times New Roman" w:hAnsi="Times New Roman" w:cs="Times New Roman"/>
                <w:color w:val="auto"/>
                <w:highlight w:val="none"/>
              </w:rPr>
              <w:t>式中：</w:t>
            </w:r>
            <w:r>
              <w:rPr>
                <w:rFonts w:hint="default" w:ascii="Times New Roman" w:hAnsi="Times New Roman" w:cs="Times New Roman"/>
                <w:color w:val="auto"/>
                <w:highlight w:val="none"/>
              </w:rPr>
              <w:object>
                <v:shape id="_x0000_i1072" o:spt="75" type="#_x0000_t75" style="height:19pt;width:22.4pt;" o:ole="t" filled="f" o:preferrelative="t" stroked="f" coordsize="21600,21600">
                  <v:path/>
                  <v:fill on="f" focussize="0,0"/>
                  <v:stroke on="f" joinstyle="miter"/>
                  <v:imagedata r:id="rId115" o:title=""/>
                  <o:lock v:ext="edit" aspectratio="t"/>
                  <w10:wrap type="none"/>
                  <w10:anchorlock/>
                </v:shape>
                <o:OLEObject Type="Embed" ProgID="Equation.3" ShapeID="_x0000_i1072" DrawAspect="Content" ObjectID="_1468075772" r:id="rId114">
                  <o:LockedField>false</o:LockedField>
                </o:OLEObject>
              </w:object>
            </w:r>
            <w:r>
              <w:rPr>
                <w:rFonts w:hint="default" w:ascii="Times New Roman" w:hAnsi="Times New Roman" w:cs="Times New Roman"/>
                <w:color w:val="auto"/>
                <w:highlight w:val="none"/>
                <w:lang w:val="pt-BR"/>
              </w:rPr>
              <w:t>——建设项目声源在预测点的等效声级贡献值，dB（A）；</w:t>
            </w:r>
          </w:p>
          <w:p w14:paraId="4C904720">
            <w:pPr>
              <w:ind w:firstLine="480"/>
              <w:rPr>
                <w:rFonts w:hint="default" w:ascii="Times New Roman" w:hAnsi="Times New Roman" w:cs="Times New Roman"/>
                <w:color w:val="auto"/>
                <w:highlight w:val="none"/>
                <w:lang w:val="pt-BR"/>
              </w:rPr>
            </w:pPr>
            <w:r>
              <w:rPr>
                <w:rFonts w:hint="default" w:ascii="Times New Roman" w:hAnsi="Times New Roman" w:cs="Times New Roman"/>
                <w:color w:val="auto"/>
                <w:highlight w:val="none"/>
              </w:rPr>
              <w:object>
                <v:shape id="_x0000_i1073" o:spt="75" type="#_x0000_t75" style="height:19pt;width:22.4pt;" o:ole="t" filled="f" o:preferrelative="t" stroked="f" coordsize="21600,21600">
                  <v:path/>
                  <v:fill on="f" focussize="0,0"/>
                  <v:stroke on="f" joinstyle="miter"/>
                  <v:imagedata r:id="rId117" o:title=""/>
                  <o:lock v:ext="edit" aspectratio="t"/>
                  <w10:wrap type="none"/>
                  <w10:anchorlock/>
                </v:shape>
                <o:OLEObject Type="Embed" ProgID="Equation.3" ShapeID="_x0000_i1073" DrawAspect="Content" ObjectID="_1468075773" r:id="rId116">
                  <o:LockedField>false</o:LockedField>
                </o:OLEObject>
              </w:object>
            </w:r>
            <w:r>
              <w:rPr>
                <w:rFonts w:hint="default" w:ascii="Times New Roman" w:hAnsi="Times New Roman" w:cs="Times New Roman"/>
                <w:color w:val="auto"/>
                <w:highlight w:val="none"/>
                <w:lang w:val="pt-BR"/>
              </w:rPr>
              <w:t>——预测点的背景值，dB（A）。</w:t>
            </w:r>
          </w:p>
          <w:p w14:paraId="600B0C47">
            <w:pPr>
              <w:widowControl/>
              <w:adjustRightInd w:val="0"/>
              <w:snapToGrid w:val="0"/>
              <w:spacing w:line="360" w:lineRule="auto"/>
              <w:ind w:firstLine="420"/>
              <w:textAlignment w:val="baseline"/>
              <w:rPr>
                <w:rFonts w:hint="default" w:ascii="Times New Roman" w:hAnsi="Times New Roman" w:eastAsia="FangSong_GB2312" w:cs="Times New Roman"/>
                <w:color w:val="auto"/>
                <w:kern w:val="24"/>
                <w:sz w:val="24"/>
                <w:szCs w:val="24"/>
                <w:highlight w:val="none"/>
              </w:rPr>
            </w:pPr>
            <w:r>
              <w:rPr>
                <w:rFonts w:hint="default" w:ascii="Times New Roman" w:hAnsi="Times New Roman" w:cs="Times New Roman"/>
                <w:color w:val="auto"/>
                <w:kern w:val="24"/>
                <w:sz w:val="24"/>
                <w:szCs w:val="24"/>
                <w:highlight w:val="none"/>
              </w:rPr>
              <w:t>（4）各生产单元的主要噪声源及控制措施见下表。</w:t>
            </w:r>
          </w:p>
          <w:p w14:paraId="687C4336">
            <w:pPr>
              <w:adjustRightInd w:val="0"/>
              <w:snapToGrid w:val="0"/>
              <w:spacing w:line="240" w:lineRule="auto"/>
              <w:jc w:val="center"/>
              <w:rPr>
                <w:rFonts w:hint="default" w:ascii="Times New Roman" w:hAnsi="Times New Roman" w:eastAsia="宋体" w:cs="Times New Roman"/>
                <w:b/>
                <w:color w:val="auto"/>
                <w:sz w:val="24"/>
                <w:szCs w:val="24"/>
                <w:highlight w:val="none"/>
                <w:lang w:eastAsia="zh-CN"/>
              </w:rPr>
            </w:pPr>
            <w:r>
              <w:rPr>
                <w:rFonts w:hint="default" w:ascii="Times New Roman" w:hAnsi="Times New Roman" w:cs="Times New Roman"/>
                <w:b/>
                <w:color w:val="auto"/>
                <w:sz w:val="24"/>
                <w:szCs w:val="24"/>
                <w:highlight w:val="none"/>
              </w:rPr>
              <w:t>表4-</w:t>
            </w:r>
            <w:r>
              <w:rPr>
                <w:rFonts w:hint="eastAsia" w:cs="Times New Roman"/>
                <w:b/>
                <w:color w:val="auto"/>
                <w:sz w:val="24"/>
                <w:szCs w:val="24"/>
                <w:highlight w:val="none"/>
                <w:lang w:val="en-US" w:eastAsia="zh-CN"/>
              </w:rPr>
              <w:t>4</w:t>
            </w:r>
            <w:r>
              <w:rPr>
                <w:rFonts w:hint="default" w:ascii="Times New Roman" w:hAnsi="Times New Roman" w:cs="Times New Roman"/>
                <w:b/>
                <w:color w:val="auto"/>
                <w:sz w:val="24"/>
                <w:szCs w:val="24"/>
                <w:highlight w:val="none"/>
              </w:rPr>
              <w:t xml:space="preserve">   </w:t>
            </w:r>
            <w:r>
              <w:rPr>
                <w:rFonts w:hint="default" w:ascii="Times New Roman" w:hAnsi="Times New Roman" w:cs="Times New Roman"/>
                <w:b/>
                <w:color w:val="auto"/>
                <w:sz w:val="24"/>
                <w:szCs w:val="24"/>
                <w:highlight w:val="none"/>
                <w:lang w:val="en-US" w:eastAsia="zh-CN"/>
              </w:rPr>
              <w:t>主要</w:t>
            </w:r>
            <w:r>
              <w:rPr>
                <w:rFonts w:hint="default" w:ascii="Times New Roman" w:hAnsi="Times New Roman" w:cs="Times New Roman"/>
                <w:b/>
                <w:color w:val="auto"/>
                <w:sz w:val="24"/>
                <w:szCs w:val="24"/>
                <w:highlight w:val="none"/>
              </w:rPr>
              <w:t>噪声源强调查清单</w:t>
            </w:r>
            <w:r>
              <w:rPr>
                <w:rFonts w:hint="default" w:ascii="Times New Roman" w:hAnsi="Times New Roman" w:cs="Times New Roman"/>
                <w:b/>
                <w:color w:val="auto"/>
                <w:sz w:val="24"/>
                <w:szCs w:val="24"/>
                <w:highlight w:val="none"/>
                <w:lang w:eastAsia="zh-CN"/>
              </w:rPr>
              <w:t>（</w:t>
            </w:r>
            <w:r>
              <w:rPr>
                <w:rFonts w:hint="default" w:ascii="Times New Roman" w:hAnsi="Times New Roman" w:cs="Times New Roman"/>
                <w:b/>
                <w:color w:val="auto"/>
                <w:sz w:val="24"/>
                <w:szCs w:val="24"/>
                <w:highlight w:val="none"/>
                <w:lang w:val="en-US" w:eastAsia="zh-CN"/>
              </w:rPr>
              <w:t>室内</w:t>
            </w:r>
            <w:r>
              <w:rPr>
                <w:rFonts w:hint="default" w:ascii="Times New Roman" w:hAnsi="Times New Roman" w:cs="Times New Roman"/>
                <w:b/>
                <w:color w:val="auto"/>
                <w:sz w:val="24"/>
                <w:szCs w:val="24"/>
                <w:highlight w:val="none"/>
                <w:lang w:eastAsia="zh-CN"/>
              </w:rPr>
              <w:t>）</w:t>
            </w:r>
          </w:p>
          <w:tbl>
            <w:tblPr>
              <w:tblStyle w:val="34"/>
              <w:tblpPr w:leftFromText="180" w:rightFromText="180" w:vertAnchor="text" w:tblpXSpec="center" w:tblpY="1"/>
              <w:tblOverlap w:val="never"/>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9"/>
              <w:gridCol w:w="1192"/>
              <w:gridCol w:w="700"/>
              <w:gridCol w:w="759"/>
              <w:gridCol w:w="478"/>
              <w:gridCol w:w="847"/>
              <w:gridCol w:w="641"/>
              <w:gridCol w:w="753"/>
              <w:gridCol w:w="754"/>
              <w:gridCol w:w="695"/>
              <w:gridCol w:w="699"/>
              <w:gridCol w:w="489"/>
            </w:tblGrid>
            <w:tr w14:paraId="5F42E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 w:hRule="atLeast"/>
              </w:trPr>
              <w:tc>
                <w:tcPr>
                  <w:tcW w:w="269" w:type="pct"/>
                  <w:vMerge w:val="restart"/>
                  <w:noWrap w:val="0"/>
                  <w:vAlign w:val="center"/>
                </w:tcPr>
                <w:p w14:paraId="1C7A3E9B">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序号</w:t>
                  </w:r>
                </w:p>
              </w:tc>
              <w:tc>
                <w:tcPr>
                  <w:tcW w:w="708" w:type="pct"/>
                  <w:vMerge w:val="restart"/>
                  <w:noWrap w:val="0"/>
                  <w:vAlign w:val="center"/>
                </w:tcPr>
                <w:p w14:paraId="4F7FB7A1">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声源名称</w:t>
                  </w:r>
                </w:p>
              </w:tc>
              <w:tc>
                <w:tcPr>
                  <w:tcW w:w="1118" w:type="pct"/>
                  <w:gridSpan w:val="3"/>
                  <w:noWrap w:val="0"/>
                  <w:vAlign w:val="center"/>
                </w:tcPr>
                <w:p w14:paraId="194AD4DF">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空间相对位置</w:t>
                  </w:r>
                </w:p>
              </w:tc>
              <w:tc>
                <w:tcPr>
                  <w:tcW w:w="504" w:type="pct"/>
                  <w:noWrap w:val="0"/>
                  <w:vAlign w:val="center"/>
                </w:tcPr>
                <w:p w14:paraId="5D870ECD">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声源源强</w:t>
                  </w:r>
                </w:p>
              </w:tc>
              <w:tc>
                <w:tcPr>
                  <w:tcW w:w="382" w:type="pct"/>
                  <w:vMerge w:val="restart"/>
                  <w:noWrap w:val="0"/>
                  <w:vAlign w:val="center"/>
                </w:tcPr>
                <w:p w14:paraId="1C135C43">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声源控制措施</w:t>
                  </w:r>
                </w:p>
              </w:tc>
              <w:tc>
                <w:tcPr>
                  <w:tcW w:w="446" w:type="pct"/>
                  <w:vMerge w:val="restart"/>
                  <w:noWrap w:val="0"/>
                  <w:vAlign w:val="center"/>
                </w:tcPr>
                <w:p w14:paraId="287AD296">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建筑隔声量dB(A)</w:t>
                  </w:r>
                </w:p>
              </w:tc>
              <w:tc>
                <w:tcPr>
                  <w:tcW w:w="445" w:type="pct"/>
                  <w:vMerge w:val="restart"/>
                  <w:noWrap w:val="0"/>
                  <w:vAlign w:val="center"/>
                </w:tcPr>
                <w:p w14:paraId="088DD811">
                  <w:pPr>
                    <w:pStyle w:val="62"/>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室内吸声量dB(A)</w:t>
                  </w:r>
                </w:p>
              </w:tc>
              <w:tc>
                <w:tcPr>
                  <w:tcW w:w="416" w:type="pct"/>
                  <w:vMerge w:val="restart"/>
                  <w:noWrap w:val="0"/>
                  <w:vAlign w:val="center"/>
                </w:tcPr>
                <w:p w14:paraId="3C79CD66">
                  <w:pPr>
                    <w:pStyle w:val="62"/>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到厂界障碍物数量</w:t>
                  </w:r>
                </w:p>
              </w:tc>
              <w:tc>
                <w:tcPr>
                  <w:tcW w:w="416" w:type="pct"/>
                  <w:vMerge w:val="restart"/>
                  <w:noWrap w:val="0"/>
                  <w:vAlign w:val="center"/>
                </w:tcPr>
                <w:p w14:paraId="17FFEB95">
                  <w:pPr>
                    <w:pStyle w:val="62"/>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树林、灌木分布情况</w:t>
                  </w:r>
                </w:p>
              </w:tc>
              <w:tc>
                <w:tcPr>
                  <w:tcW w:w="292" w:type="pct"/>
                  <w:vMerge w:val="restart"/>
                  <w:noWrap w:val="0"/>
                  <w:vAlign w:val="center"/>
                </w:tcPr>
                <w:p w14:paraId="335CC0C5">
                  <w:pPr>
                    <w:pStyle w:val="62"/>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运行时段</w:t>
                  </w:r>
                </w:p>
              </w:tc>
            </w:tr>
            <w:tr w14:paraId="7190F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trPr>
              <w:tc>
                <w:tcPr>
                  <w:tcW w:w="269" w:type="pct"/>
                  <w:vMerge w:val="continue"/>
                  <w:noWrap w:val="0"/>
                  <w:vAlign w:val="center"/>
                </w:tcPr>
                <w:p w14:paraId="2F12FD25">
                  <w:pPr>
                    <w:adjustRightInd w:val="0"/>
                    <w:snapToGrid w:val="0"/>
                    <w:spacing w:line="240" w:lineRule="auto"/>
                    <w:jc w:val="center"/>
                    <w:rPr>
                      <w:rFonts w:hint="default" w:ascii="Times New Roman" w:hAnsi="Times New Roman" w:cs="Times New Roman"/>
                      <w:color w:val="auto"/>
                      <w:sz w:val="21"/>
                      <w:szCs w:val="21"/>
                      <w:highlight w:val="none"/>
                    </w:rPr>
                  </w:pPr>
                </w:p>
              </w:tc>
              <w:tc>
                <w:tcPr>
                  <w:tcW w:w="708" w:type="pct"/>
                  <w:vMerge w:val="continue"/>
                  <w:noWrap w:val="0"/>
                  <w:vAlign w:val="center"/>
                </w:tcPr>
                <w:p w14:paraId="148C268C">
                  <w:pPr>
                    <w:adjustRightInd w:val="0"/>
                    <w:snapToGrid w:val="0"/>
                    <w:spacing w:line="240" w:lineRule="auto"/>
                    <w:jc w:val="center"/>
                    <w:rPr>
                      <w:rFonts w:hint="default" w:ascii="Times New Roman" w:hAnsi="Times New Roman" w:cs="Times New Roman"/>
                      <w:color w:val="auto"/>
                      <w:sz w:val="21"/>
                      <w:szCs w:val="21"/>
                      <w:highlight w:val="none"/>
                    </w:rPr>
                  </w:pPr>
                </w:p>
              </w:tc>
              <w:tc>
                <w:tcPr>
                  <w:tcW w:w="417" w:type="pct"/>
                  <w:noWrap w:val="0"/>
                  <w:vAlign w:val="center"/>
                </w:tcPr>
                <w:p w14:paraId="183840F0">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X</w:t>
                  </w:r>
                </w:p>
              </w:tc>
              <w:tc>
                <w:tcPr>
                  <w:tcW w:w="415" w:type="pct"/>
                  <w:noWrap w:val="0"/>
                  <w:vAlign w:val="center"/>
                </w:tcPr>
                <w:p w14:paraId="74035433">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Y</w:t>
                  </w:r>
                </w:p>
              </w:tc>
              <w:tc>
                <w:tcPr>
                  <w:tcW w:w="286" w:type="pct"/>
                  <w:noWrap w:val="0"/>
                  <w:vAlign w:val="center"/>
                </w:tcPr>
                <w:p w14:paraId="3AEF20B2">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Z</w:t>
                  </w:r>
                </w:p>
              </w:tc>
              <w:tc>
                <w:tcPr>
                  <w:tcW w:w="504" w:type="pct"/>
                  <w:noWrap w:val="0"/>
                  <w:vAlign w:val="center"/>
                </w:tcPr>
                <w:p w14:paraId="0CC6D1D9">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声功率级/dB(A)</w:t>
                  </w:r>
                </w:p>
              </w:tc>
              <w:tc>
                <w:tcPr>
                  <w:tcW w:w="382" w:type="pct"/>
                  <w:vMerge w:val="continue"/>
                  <w:noWrap w:val="0"/>
                  <w:vAlign w:val="center"/>
                </w:tcPr>
                <w:p w14:paraId="2D0ACE8B">
                  <w:pPr>
                    <w:adjustRightInd w:val="0"/>
                    <w:snapToGrid w:val="0"/>
                    <w:spacing w:line="240" w:lineRule="auto"/>
                    <w:jc w:val="center"/>
                    <w:rPr>
                      <w:rFonts w:hint="default" w:ascii="Times New Roman" w:hAnsi="Times New Roman" w:cs="Times New Roman"/>
                      <w:color w:val="auto"/>
                      <w:sz w:val="21"/>
                      <w:szCs w:val="21"/>
                      <w:highlight w:val="none"/>
                    </w:rPr>
                  </w:pPr>
                </w:p>
              </w:tc>
              <w:tc>
                <w:tcPr>
                  <w:tcW w:w="446" w:type="pct"/>
                  <w:vMerge w:val="continue"/>
                  <w:noWrap w:val="0"/>
                  <w:vAlign w:val="center"/>
                </w:tcPr>
                <w:p w14:paraId="1A4D6F52">
                  <w:pPr>
                    <w:adjustRightInd w:val="0"/>
                    <w:snapToGrid w:val="0"/>
                    <w:spacing w:line="240" w:lineRule="auto"/>
                    <w:jc w:val="center"/>
                    <w:rPr>
                      <w:rFonts w:hint="default" w:ascii="Times New Roman" w:hAnsi="Times New Roman" w:cs="Times New Roman"/>
                      <w:color w:val="auto"/>
                      <w:sz w:val="21"/>
                      <w:szCs w:val="21"/>
                      <w:highlight w:val="none"/>
                    </w:rPr>
                  </w:pPr>
                </w:p>
              </w:tc>
              <w:tc>
                <w:tcPr>
                  <w:tcW w:w="445" w:type="pct"/>
                  <w:vMerge w:val="continue"/>
                  <w:noWrap w:val="0"/>
                  <w:vAlign w:val="center"/>
                </w:tcPr>
                <w:p w14:paraId="35E15B52">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52997EA8">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4863EE08">
                  <w:pPr>
                    <w:adjustRightInd w:val="0"/>
                    <w:snapToGrid w:val="0"/>
                    <w:spacing w:line="240" w:lineRule="auto"/>
                    <w:jc w:val="center"/>
                    <w:rPr>
                      <w:rFonts w:hint="default" w:ascii="Times New Roman" w:hAnsi="Times New Roman" w:cs="Times New Roman"/>
                      <w:color w:val="auto"/>
                      <w:sz w:val="21"/>
                      <w:szCs w:val="21"/>
                      <w:highlight w:val="none"/>
                    </w:rPr>
                  </w:pPr>
                </w:p>
              </w:tc>
              <w:tc>
                <w:tcPr>
                  <w:tcW w:w="292" w:type="pct"/>
                  <w:vMerge w:val="continue"/>
                  <w:noWrap w:val="0"/>
                  <w:vAlign w:val="center"/>
                </w:tcPr>
                <w:p w14:paraId="03B7692F">
                  <w:pPr>
                    <w:adjustRightInd w:val="0"/>
                    <w:snapToGrid w:val="0"/>
                    <w:spacing w:line="240" w:lineRule="auto"/>
                    <w:jc w:val="center"/>
                    <w:rPr>
                      <w:rFonts w:hint="default" w:ascii="Times New Roman" w:hAnsi="Times New Roman" w:cs="Times New Roman"/>
                      <w:color w:val="auto"/>
                      <w:sz w:val="21"/>
                      <w:szCs w:val="21"/>
                      <w:highlight w:val="none"/>
                    </w:rPr>
                  </w:pPr>
                </w:p>
              </w:tc>
            </w:tr>
            <w:tr w14:paraId="0BC3F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noWrap w:val="0"/>
                  <w:vAlign w:val="center"/>
                </w:tcPr>
                <w:p w14:paraId="64E43A54">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p>
              </w:tc>
              <w:tc>
                <w:tcPr>
                  <w:tcW w:w="708" w:type="pct"/>
                  <w:noWrap w:val="0"/>
                  <w:vAlign w:val="center"/>
                </w:tcPr>
                <w:p w14:paraId="444FE84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普通车床（1台）</w:t>
                  </w:r>
                </w:p>
              </w:tc>
              <w:tc>
                <w:tcPr>
                  <w:tcW w:w="417" w:type="pct"/>
                  <w:noWrap w:val="0"/>
                  <w:vAlign w:val="center"/>
                </w:tcPr>
                <w:p w14:paraId="36D4BE3A">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7.44</w:t>
                  </w:r>
                </w:p>
              </w:tc>
              <w:tc>
                <w:tcPr>
                  <w:tcW w:w="415" w:type="pct"/>
                  <w:noWrap w:val="0"/>
                  <w:vAlign w:val="center"/>
                </w:tcPr>
                <w:p w14:paraId="00B93FFD">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-13.84</w:t>
                  </w:r>
                </w:p>
              </w:tc>
              <w:tc>
                <w:tcPr>
                  <w:tcW w:w="286" w:type="pct"/>
                  <w:noWrap w:val="0"/>
                  <w:vAlign w:val="center"/>
                </w:tcPr>
                <w:p w14:paraId="63CB222B">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504" w:type="pct"/>
                  <w:noWrap w:val="0"/>
                  <w:vAlign w:val="center"/>
                </w:tcPr>
                <w:p w14:paraId="1497DE72">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80</w:t>
                  </w:r>
                </w:p>
              </w:tc>
              <w:tc>
                <w:tcPr>
                  <w:tcW w:w="382" w:type="pct"/>
                  <w:vMerge w:val="restart"/>
                  <w:noWrap w:val="0"/>
                  <w:vAlign w:val="center"/>
                </w:tcPr>
                <w:p w14:paraId="4BE984CA">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基础减震+建筑隔声</w:t>
                  </w:r>
                </w:p>
              </w:tc>
              <w:tc>
                <w:tcPr>
                  <w:tcW w:w="446" w:type="pct"/>
                  <w:vMerge w:val="restart"/>
                  <w:noWrap w:val="0"/>
                  <w:vAlign w:val="center"/>
                </w:tcPr>
                <w:p w14:paraId="7694B059">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15</w:t>
                  </w:r>
                </w:p>
              </w:tc>
              <w:tc>
                <w:tcPr>
                  <w:tcW w:w="445" w:type="pct"/>
                  <w:vMerge w:val="restart"/>
                  <w:noWrap w:val="0"/>
                  <w:vAlign w:val="center"/>
                </w:tcPr>
                <w:p w14:paraId="685C3477">
                  <w:pPr>
                    <w:pStyle w:val="62"/>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w:t>
                  </w:r>
                </w:p>
              </w:tc>
              <w:tc>
                <w:tcPr>
                  <w:tcW w:w="416" w:type="pct"/>
                  <w:vMerge w:val="restart"/>
                  <w:noWrap w:val="0"/>
                  <w:vAlign w:val="center"/>
                </w:tcPr>
                <w:p w14:paraId="43D9E59B">
                  <w:pPr>
                    <w:pStyle w:val="62"/>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置于车间内，为带门窗的墙体</w:t>
                  </w:r>
                </w:p>
              </w:tc>
              <w:tc>
                <w:tcPr>
                  <w:tcW w:w="416" w:type="pct"/>
                  <w:vMerge w:val="restart"/>
                  <w:noWrap w:val="0"/>
                  <w:vAlign w:val="center"/>
                </w:tcPr>
                <w:p w14:paraId="56F09CE0">
                  <w:pPr>
                    <w:pStyle w:val="62"/>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绿化带，种植低矮灌木</w:t>
                  </w:r>
                </w:p>
              </w:tc>
              <w:tc>
                <w:tcPr>
                  <w:tcW w:w="292" w:type="pct"/>
                  <w:vMerge w:val="restart"/>
                  <w:noWrap w:val="0"/>
                  <w:vAlign w:val="center"/>
                </w:tcPr>
                <w:p w14:paraId="0FA44C1E">
                  <w:pPr>
                    <w:pStyle w:val="62"/>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rPr>
                  </w:pPr>
                  <w:r>
                    <w:rPr>
                      <w:rFonts w:hint="default" w:ascii="Times New Roman" w:hAnsi="Times New Roman" w:cs="Times New Roman"/>
                      <w:color w:val="auto"/>
                      <w:sz w:val="21"/>
                      <w:szCs w:val="21"/>
                      <w:highlight w:val="none"/>
                      <w:lang w:val="en-US" w:eastAsia="zh-CN"/>
                    </w:rPr>
                    <w:t>生产设备运行24小时</w:t>
                  </w:r>
                </w:p>
              </w:tc>
            </w:tr>
            <w:tr w14:paraId="0FC95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noWrap w:val="0"/>
                  <w:vAlign w:val="center"/>
                </w:tcPr>
                <w:p w14:paraId="409D01E6">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w:t>
                  </w:r>
                </w:p>
              </w:tc>
              <w:tc>
                <w:tcPr>
                  <w:tcW w:w="708" w:type="pct"/>
                  <w:noWrap w:val="0"/>
                  <w:vAlign w:val="center"/>
                </w:tcPr>
                <w:p w14:paraId="716F5F2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rPr>
                  </w:pPr>
                  <w:r>
                    <w:rPr>
                      <w:rFonts w:hint="default" w:ascii="Times New Roman" w:hAnsi="Times New Roman" w:cs="Times New Roman"/>
                      <w:color w:val="auto"/>
                      <w:kern w:val="0"/>
                      <w:sz w:val="21"/>
                      <w:szCs w:val="21"/>
                      <w:highlight w:val="none"/>
                      <w:lang w:val="en-US" w:eastAsia="zh-CN"/>
                    </w:rPr>
                    <w:t>立式升降台铣床（1台）</w:t>
                  </w:r>
                </w:p>
              </w:tc>
              <w:tc>
                <w:tcPr>
                  <w:tcW w:w="417" w:type="pct"/>
                  <w:noWrap w:val="0"/>
                  <w:vAlign w:val="center"/>
                </w:tcPr>
                <w:p w14:paraId="45A53296">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11.89</w:t>
                  </w:r>
                </w:p>
              </w:tc>
              <w:tc>
                <w:tcPr>
                  <w:tcW w:w="415" w:type="pct"/>
                  <w:noWrap w:val="0"/>
                  <w:vAlign w:val="center"/>
                </w:tcPr>
                <w:p w14:paraId="105E7933">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-13.10</w:t>
                  </w:r>
                </w:p>
              </w:tc>
              <w:tc>
                <w:tcPr>
                  <w:tcW w:w="286" w:type="pct"/>
                  <w:noWrap w:val="0"/>
                  <w:vAlign w:val="center"/>
                </w:tcPr>
                <w:p w14:paraId="250CDA56">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504" w:type="pct"/>
                  <w:noWrap w:val="0"/>
                  <w:vAlign w:val="center"/>
                </w:tcPr>
                <w:p w14:paraId="1967C5D2">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80</w:t>
                  </w:r>
                </w:p>
              </w:tc>
              <w:tc>
                <w:tcPr>
                  <w:tcW w:w="382" w:type="pct"/>
                  <w:vMerge w:val="continue"/>
                  <w:noWrap w:val="0"/>
                  <w:vAlign w:val="center"/>
                </w:tcPr>
                <w:p w14:paraId="29F0D3D1">
                  <w:pPr>
                    <w:adjustRightInd w:val="0"/>
                    <w:snapToGrid w:val="0"/>
                    <w:spacing w:line="240" w:lineRule="auto"/>
                    <w:jc w:val="center"/>
                    <w:rPr>
                      <w:rFonts w:hint="default" w:ascii="Times New Roman" w:hAnsi="Times New Roman" w:cs="Times New Roman"/>
                      <w:color w:val="auto"/>
                      <w:sz w:val="21"/>
                      <w:szCs w:val="21"/>
                      <w:highlight w:val="none"/>
                    </w:rPr>
                  </w:pPr>
                </w:p>
              </w:tc>
              <w:tc>
                <w:tcPr>
                  <w:tcW w:w="446" w:type="pct"/>
                  <w:vMerge w:val="continue"/>
                  <w:noWrap w:val="0"/>
                  <w:vAlign w:val="center"/>
                </w:tcPr>
                <w:p w14:paraId="27BDB2FC">
                  <w:pPr>
                    <w:adjustRightInd w:val="0"/>
                    <w:snapToGrid w:val="0"/>
                    <w:spacing w:line="240" w:lineRule="auto"/>
                    <w:jc w:val="center"/>
                    <w:rPr>
                      <w:rFonts w:hint="default" w:ascii="Times New Roman" w:hAnsi="Times New Roman" w:cs="Times New Roman"/>
                      <w:color w:val="auto"/>
                      <w:sz w:val="21"/>
                      <w:szCs w:val="21"/>
                      <w:highlight w:val="none"/>
                    </w:rPr>
                  </w:pPr>
                </w:p>
              </w:tc>
              <w:tc>
                <w:tcPr>
                  <w:tcW w:w="445" w:type="pct"/>
                  <w:vMerge w:val="continue"/>
                  <w:noWrap w:val="0"/>
                  <w:vAlign w:val="center"/>
                </w:tcPr>
                <w:p w14:paraId="48F756F6">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55ECFE26">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4427FFE0">
                  <w:pPr>
                    <w:adjustRightInd w:val="0"/>
                    <w:snapToGrid w:val="0"/>
                    <w:spacing w:line="240" w:lineRule="auto"/>
                    <w:jc w:val="center"/>
                    <w:rPr>
                      <w:rFonts w:hint="default" w:ascii="Times New Roman" w:hAnsi="Times New Roman" w:cs="Times New Roman"/>
                      <w:color w:val="auto"/>
                      <w:sz w:val="21"/>
                      <w:szCs w:val="21"/>
                      <w:highlight w:val="none"/>
                    </w:rPr>
                  </w:pPr>
                </w:p>
              </w:tc>
              <w:tc>
                <w:tcPr>
                  <w:tcW w:w="292" w:type="pct"/>
                  <w:vMerge w:val="continue"/>
                  <w:noWrap w:val="0"/>
                  <w:vAlign w:val="center"/>
                </w:tcPr>
                <w:p w14:paraId="5901EEED">
                  <w:pPr>
                    <w:adjustRightInd w:val="0"/>
                    <w:snapToGrid w:val="0"/>
                    <w:spacing w:line="240" w:lineRule="auto"/>
                    <w:jc w:val="center"/>
                    <w:rPr>
                      <w:rFonts w:hint="default" w:ascii="Times New Roman" w:hAnsi="Times New Roman" w:cs="Times New Roman"/>
                      <w:color w:val="auto"/>
                      <w:sz w:val="21"/>
                      <w:szCs w:val="21"/>
                      <w:highlight w:val="none"/>
                    </w:rPr>
                  </w:pPr>
                </w:p>
              </w:tc>
            </w:tr>
            <w:tr w14:paraId="1AABD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noWrap w:val="0"/>
                  <w:vAlign w:val="center"/>
                </w:tcPr>
                <w:p w14:paraId="656513A9">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w:t>
                  </w:r>
                </w:p>
              </w:tc>
              <w:tc>
                <w:tcPr>
                  <w:tcW w:w="708" w:type="pct"/>
                  <w:noWrap w:val="0"/>
                  <w:vAlign w:val="center"/>
                </w:tcPr>
                <w:p w14:paraId="239B034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rPr>
                  </w:pPr>
                  <w:r>
                    <w:rPr>
                      <w:rFonts w:hint="default" w:ascii="Times New Roman" w:hAnsi="Times New Roman" w:cs="Times New Roman"/>
                      <w:color w:val="auto"/>
                      <w:kern w:val="0"/>
                      <w:sz w:val="21"/>
                      <w:szCs w:val="21"/>
                      <w:highlight w:val="none"/>
                      <w:lang w:val="en-US" w:eastAsia="zh-CN"/>
                    </w:rPr>
                    <w:t>立式加工中心（1台）</w:t>
                  </w:r>
                </w:p>
              </w:tc>
              <w:tc>
                <w:tcPr>
                  <w:tcW w:w="417" w:type="pct"/>
                  <w:noWrap w:val="0"/>
                  <w:vAlign w:val="center"/>
                </w:tcPr>
                <w:p w14:paraId="7E945CA9">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17.82</w:t>
                  </w:r>
                </w:p>
              </w:tc>
              <w:tc>
                <w:tcPr>
                  <w:tcW w:w="415" w:type="pct"/>
                  <w:noWrap w:val="0"/>
                  <w:vAlign w:val="center"/>
                </w:tcPr>
                <w:p w14:paraId="520D7A87">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-13.10</w:t>
                  </w:r>
                </w:p>
              </w:tc>
              <w:tc>
                <w:tcPr>
                  <w:tcW w:w="286" w:type="pct"/>
                  <w:noWrap w:val="0"/>
                  <w:vAlign w:val="center"/>
                </w:tcPr>
                <w:p w14:paraId="6FCD6C03">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504" w:type="pct"/>
                  <w:noWrap w:val="0"/>
                  <w:vAlign w:val="center"/>
                </w:tcPr>
                <w:p w14:paraId="34EA9A99">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80</w:t>
                  </w:r>
                </w:p>
              </w:tc>
              <w:tc>
                <w:tcPr>
                  <w:tcW w:w="382" w:type="pct"/>
                  <w:vMerge w:val="continue"/>
                  <w:noWrap w:val="0"/>
                  <w:vAlign w:val="center"/>
                </w:tcPr>
                <w:p w14:paraId="43CB4CB8">
                  <w:pPr>
                    <w:adjustRightInd w:val="0"/>
                    <w:snapToGrid w:val="0"/>
                    <w:spacing w:line="240" w:lineRule="auto"/>
                    <w:jc w:val="center"/>
                    <w:rPr>
                      <w:rFonts w:hint="default" w:ascii="Times New Roman" w:hAnsi="Times New Roman" w:cs="Times New Roman"/>
                      <w:color w:val="auto"/>
                      <w:sz w:val="21"/>
                      <w:szCs w:val="21"/>
                      <w:highlight w:val="none"/>
                    </w:rPr>
                  </w:pPr>
                </w:p>
              </w:tc>
              <w:tc>
                <w:tcPr>
                  <w:tcW w:w="446" w:type="pct"/>
                  <w:vMerge w:val="continue"/>
                  <w:noWrap w:val="0"/>
                  <w:vAlign w:val="center"/>
                </w:tcPr>
                <w:p w14:paraId="59B18C7D">
                  <w:pPr>
                    <w:adjustRightInd w:val="0"/>
                    <w:snapToGrid w:val="0"/>
                    <w:spacing w:line="240" w:lineRule="auto"/>
                    <w:jc w:val="center"/>
                    <w:rPr>
                      <w:rFonts w:hint="default" w:ascii="Times New Roman" w:hAnsi="Times New Roman" w:cs="Times New Roman"/>
                      <w:color w:val="auto"/>
                      <w:sz w:val="21"/>
                      <w:szCs w:val="21"/>
                      <w:highlight w:val="none"/>
                    </w:rPr>
                  </w:pPr>
                </w:p>
              </w:tc>
              <w:tc>
                <w:tcPr>
                  <w:tcW w:w="445" w:type="pct"/>
                  <w:vMerge w:val="continue"/>
                  <w:noWrap w:val="0"/>
                  <w:vAlign w:val="center"/>
                </w:tcPr>
                <w:p w14:paraId="11BB23B0">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2A3AFC6B">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7AFB36E1">
                  <w:pPr>
                    <w:adjustRightInd w:val="0"/>
                    <w:snapToGrid w:val="0"/>
                    <w:spacing w:line="240" w:lineRule="auto"/>
                    <w:jc w:val="center"/>
                    <w:rPr>
                      <w:rFonts w:hint="default" w:ascii="Times New Roman" w:hAnsi="Times New Roman" w:cs="Times New Roman"/>
                      <w:color w:val="auto"/>
                      <w:sz w:val="21"/>
                      <w:szCs w:val="21"/>
                      <w:highlight w:val="none"/>
                    </w:rPr>
                  </w:pPr>
                </w:p>
              </w:tc>
              <w:tc>
                <w:tcPr>
                  <w:tcW w:w="292" w:type="pct"/>
                  <w:vMerge w:val="continue"/>
                  <w:noWrap w:val="0"/>
                  <w:vAlign w:val="center"/>
                </w:tcPr>
                <w:p w14:paraId="78078B41">
                  <w:pPr>
                    <w:adjustRightInd w:val="0"/>
                    <w:snapToGrid w:val="0"/>
                    <w:spacing w:line="240" w:lineRule="auto"/>
                    <w:jc w:val="center"/>
                    <w:rPr>
                      <w:rFonts w:hint="default" w:ascii="Times New Roman" w:hAnsi="Times New Roman" w:cs="Times New Roman"/>
                      <w:color w:val="auto"/>
                      <w:sz w:val="21"/>
                      <w:szCs w:val="21"/>
                      <w:highlight w:val="none"/>
                    </w:rPr>
                  </w:pPr>
                </w:p>
              </w:tc>
            </w:tr>
            <w:tr w14:paraId="1D6FB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noWrap w:val="0"/>
                  <w:vAlign w:val="center"/>
                </w:tcPr>
                <w:p w14:paraId="5305F672">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w:t>
                  </w:r>
                </w:p>
              </w:tc>
              <w:tc>
                <w:tcPr>
                  <w:tcW w:w="708" w:type="pct"/>
                  <w:noWrap w:val="0"/>
                  <w:vAlign w:val="center"/>
                </w:tcPr>
                <w:p w14:paraId="0CFA003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rPr>
                  </w:pPr>
                  <w:r>
                    <w:rPr>
                      <w:rFonts w:hint="default" w:ascii="Times New Roman" w:hAnsi="Times New Roman" w:cs="Times New Roman"/>
                      <w:color w:val="auto"/>
                      <w:kern w:val="0"/>
                      <w:sz w:val="21"/>
                      <w:szCs w:val="21"/>
                      <w:highlight w:val="none"/>
                      <w:lang w:val="en-US" w:eastAsia="zh-CN"/>
                    </w:rPr>
                    <w:t>立式数控铣床（1台）</w:t>
                  </w:r>
                </w:p>
              </w:tc>
              <w:tc>
                <w:tcPr>
                  <w:tcW w:w="417" w:type="pct"/>
                  <w:noWrap w:val="0"/>
                  <w:vAlign w:val="center"/>
                </w:tcPr>
                <w:p w14:paraId="6BC44AEF">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8.55</w:t>
                  </w:r>
                </w:p>
              </w:tc>
              <w:tc>
                <w:tcPr>
                  <w:tcW w:w="415" w:type="pct"/>
                  <w:noWrap w:val="0"/>
                  <w:vAlign w:val="center"/>
                </w:tcPr>
                <w:p w14:paraId="3B8D4C3A">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-18.66</w:t>
                  </w:r>
                </w:p>
              </w:tc>
              <w:tc>
                <w:tcPr>
                  <w:tcW w:w="286" w:type="pct"/>
                  <w:noWrap w:val="0"/>
                  <w:vAlign w:val="center"/>
                </w:tcPr>
                <w:p w14:paraId="46C6380E">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504" w:type="pct"/>
                  <w:noWrap w:val="0"/>
                  <w:vAlign w:val="center"/>
                </w:tcPr>
                <w:p w14:paraId="10EF04C6">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80</w:t>
                  </w:r>
                </w:p>
              </w:tc>
              <w:tc>
                <w:tcPr>
                  <w:tcW w:w="382" w:type="pct"/>
                  <w:vMerge w:val="continue"/>
                  <w:noWrap w:val="0"/>
                  <w:vAlign w:val="center"/>
                </w:tcPr>
                <w:p w14:paraId="30CCCCAE">
                  <w:pPr>
                    <w:adjustRightInd w:val="0"/>
                    <w:snapToGrid w:val="0"/>
                    <w:spacing w:line="240" w:lineRule="auto"/>
                    <w:jc w:val="center"/>
                    <w:rPr>
                      <w:rFonts w:hint="default" w:ascii="Times New Roman" w:hAnsi="Times New Roman" w:cs="Times New Roman"/>
                      <w:color w:val="auto"/>
                      <w:sz w:val="21"/>
                      <w:szCs w:val="21"/>
                      <w:highlight w:val="none"/>
                    </w:rPr>
                  </w:pPr>
                </w:p>
              </w:tc>
              <w:tc>
                <w:tcPr>
                  <w:tcW w:w="446" w:type="pct"/>
                  <w:vMerge w:val="continue"/>
                  <w:noWrap w:val="0"/>
                  <w:vAlign w:val="center"/>
                </w:tcPr>
                <w:p w14:paraId="3C11C0DB">
                  <w:pPr>
                    <w:adjustRightInd w:val="0"/>
                    <w:snapToGrid w:val="0"/>
                    <w:spacing w:line="240" w:lineRule="auto"/>
                    <w:jc w:val="center"/>
                    <w:rPr>
                      <w:rFonts w:hint="default" w:ascii="Times New Roman" w:hAnsi="Times New Roman" w:cs="Times New Roman"/>
                      <w:color w:val="auto"/>
                      <w:sz w:val="21"/>
                      <w:szCs w:val="21"/>
                      <w:highlight w:val="none"/>
                    </w:rPr>
                  </w:pPr>
                </w:p>
              </w:tc>
              <w:tc>
                <w:tcPr>
                  <w:tcW w:w="445" w:type="pct"/>
                  <w:vMerge w:val="continue"/>
                  <w:noWrap w:val="0"/>
                  <w:vAlign w:val="center"/>
                </w:tcPr>
                <w:p w14:paraId="50ACB873">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195E3414">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5B7F9A4C">
                  <w:pPr>
                    <w:adjustRightInd w:val="0"/>
                    <w:snapToGrid w:val="0"/>
                    <w:spacing w:line="240" w:lineRule="auto"/>
                    <w:jc w:val="center"/>
                    <w:rPr>
                      <w:rFonts w:hint="default" w:ascii="Times New Roman" w:hAnsi="Times New Roman" w:cs="Times New Roman"/>
                      <w:color w:val="auto"/>
                      <w:sz w:val="21"/>
                      <w:szCs w:val="21"/>
                      <w:highlight w:val="none"/>
                    </w:rPr>
                  </w:pPr>
                </w:p>
              </w:tc>
              <w:tc>
                <w:tcPr>
                  <w:tcW w:w="292" w:type="pct"/>
                  <w:vMerge w:val="continue"/>
                  <w:noWrap w:val="0"/>
                  <w:vAlign w:val="center"/>
                </w:tcPr>
                <w:p w14:paraId="6533E797">
                  <w:pPr>
                    <w:adjustRightInd w:val="0"/>
                    <w:snapToGrid w:val="0"/>
                    <w:spacing w:line="240" w:lineRule="auto"/>
                    <w:jc w:val="center"/>
                    <w:rPr>
                      <w:rFonts w:hint="default" w:ascii="Times New Roman" w:hAnsi="Times New Roman" w:cs="Times New Roman"/>
                      <w:color w:val="auto"/>
                      <w:sz w:val="21"/>
                      <w:szCs w:val="21"/>
                      <w:highlight w:val="none"/>
                    </w:rPr>
                  </w:pPr>
                </w:p>
              </w:tc>
            </w:tr>
            <w:tr w14:paraId="3CEFE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noWrap w:val="0"/>
                  <w:vAlign w:val="center"/>
                </w:tcPr>
                <w:p w14:paraId="03E438B5">
                  <w:pPr>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5</w:t>
                  </w:r>
                </w:p>
              </w:tc>
              <w:tc>
                <w:tcPr>
                  <w:tcW w:w="708" w:type="pct"/>
                  <w:noWrap w:val="0"/>
                  <w:vAlign w:val="center"/>
                </w:tcPr>
                <w:p w14:paraId="0C931A3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lang w:val="en-US" w:eastAsia="zh-CN" w:bidi="ar-SA"/>
                    </w:rPr>
                    <w:t>数控车床</w:t>
                  </w:r>
                  <w:r>
                    <w:rPr>
                      <w:rFonts w:hint="default" w:ascii="Times New Roman" w:hAnsi="Times New Roman" w:cs="Times New Roman"/>
                      <w:color w:val="auto"/>
                      <w:kern w:val="0"/>
                      <w:sz w:val="21"/>
                      <w:szCs w:val="21"/>
                      <w:highlight w:val="none"/>
                      <w:lang w:val="en-US" w:eastAsia="zh-CN"/>
                    </w:rPr>
                    <w:t>（1台）</w:t>
                  </w:r>
                </w:p>
              </w:tc>
              <w:tc>
                <w:tcPr>
                  <w:tcW w:w="417" w:type="pct"/>
                  <w:noWrap w:val="0"/>
                  <w:vAlign w:val="center"/>
                </w:tcPr>
                <w:p w14:paraId="5F6E0B0E">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14.11</w:t>
                  </w:r>
                </w:p>
              </w:tc>
              <w:tc>
                <w:tcPr>
                  <w:tcW w:w="415" w:type="pct"/>
                  <w:noWrap w:val="0"/>
                  <w:vAlign w:val="center"/>
                </w:tcPr>
                <w:p w14:paraId="1AA33A40">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-20.14</w:t>
                  </w:r>
                </w:p>
              </w:tc>
              <w:tc>
                <w:tcPr>
                  <w:tcW w:w="286" w:type="pct"/>
                  <w:noWrap w:val="0"/>
                  <w:vAlign w:val="center"/>
                </w:tcPr>
                <w:p w14:paraId="522FAB01">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504" w:type="pct"/>
                  <w:noWrap w:val="0"/>
                  <w:vAlign w:val="center"/>
                </w:tcPr>
                <w:p w14:paraId="320A95BC">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80</w:t>
                  </w:r>
                </w:p>
              </w:tc>
              <w:tc>
                <w:tcPr>
                  <w:tcW w:w="382" w:type="pct"/>
                  <w:vMerge w:val="continue"/>
                  <w:noWrap w:val="0"/>
                  <w:vAlign w:val="center"/>
                </w:tcPr>
                <w:p w14:paraId="79C11CB7">
                  <w:pPr>
                    <w:adjustRightInd w:val="0"/>
                    <w:snapToGrid w:val="0"/>
                    <w:spacing w:line="240" w:lineRule="auto"/>
                    <w:jc w:val="center"/>
                    <w:rPr>
                      <w:rFonts w:hint="default" w:ascii="Times New Roman" w:hAnsi="Times New Roman" w:cs="Times New Roman"/>
                      <w:color w:val="auto"/>
                      <w:sz w:val="21"/>
                      <w:szCs w:val="21"/>
                      <w:highlight w:val="none"/>
                    </w:rPr>
                  </w:pPr>
                </w:p>
              </w:tc>
              <w:tc>
                <w:tcPr>
                  <w:tcW w:w="446" w:type="pct"/>
                  <w:vMerge w:val="continue"/>
                  <w:noWrap w:val="0"/>
                  <w:vAlign w:val="center"/>
                </w:tcPr>
                <w:p w14:paraId="4D7AB888">
                  <w:pPr>
                    <w:adjustRightInd w:val="0"/>
                    <w:snapToGrid w:val="0"/>
                    <w:spacing w:line="240" w:lineRule="auto"/>
                    <w:jc w:val="center"/>
                    <w:rPr>
                      <w:rFonts w:hint="default" w:ascii="Times New Roman" w:hAnsi="Times New Roman" w:cs="Times New Roman"/>
                      <w:color w:val="auto"/>
                      <w:sz w:val="21"/>
                      <w:szCs w:val="21"/>
                      <w:highlight w:val="none"/>
                    </w:rPr>
                  </w:pPr>
                </w:p>
              </w:tc>
              <w:tc>
                <w:tcPr>
                  <w:tcW w:w="445" w:type="pct"/>
                  <w:vMerge w:val="continue"/>
                  <w:noWrap w:val="0"/>
                  <w:vAlign w:val="center"/>
                </w:tcPr>
                <w:p w14:paraId="4E19A42E">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5DB6D692">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3E7E6CDC">
                  <w:pPr>
                    <w:adjustRightInd w:val="0"/>
                    <w:snapToGrid w:val="0"/>
                    <w:spacing w:line="240" w:lineRule="auto"/>
                    <w:jc w:val="center"/>
                    <w:rPr>
                      <w:rFonts w:hint="default" w:ascii="Times New Roman" w:hAnsi="Times New Roman" w:cs="Times New Roman"/>
                      <w:color w:val="auto"/>
                      <w:sz w:val="21"/>
                      <w:szCs w:val="21"/>
                      <w:highlight w:val="none"/>
                    </w:rPr>
                  </w:pPr>
                </w:p>
              </w:tc>
              <w:tc>
                <w:tcPr>
                  <w:tcW w:w="292" w:type="pct"/>
                  <w:vMerge w:val="continue"/>
                  <w:noWrap w:val="0"/>
                  <w:vAlign w:val="center"/>
                </w:tcPr>
                <w:p w14:paraId="1E5F16FA">
                  <w:pPr>
                    <w:adjustRightInd w:val="0"/>
                    <w:snapToGrid w:val="0"/>
                    <w:spacing w:line="240" w:lineRule="auto"/>
                    <w:jc w:val="center"/>
                    <w:rPr>
                      <w:rFonts w:hint="default" w:ascii="Times New Roman" w:hAnsi="Times New Roman" w:cs="Times New Roman"/>
                      <w:color w:val="auto"/>
                      <w:sz w:val="21"/>
                      <w:szCs w:val="21"/>
                      <w:highlight w:val="none"/>
                    </w:rPr>
                  </w:pPr>
                </w:p>
              </w:tc>
            </w:tr>
            <w:tr w14:paraId="3C352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noWrap w:val="0"/>
                  <w:vAlign w:val="center"/>
                </w:tcPr>
                <w:p w14:paraId="5C8BE963">
                  <w:pPr>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6</w:t>
                  </w:r>
                </w:p>
              </w:tc>
              <w:tc>
                <w:tcPr>
                  <w:tcW w:w="708" w:type="pct"/>
                  <w:noWrap w:val="0"/>
                  <w:vAlign w:val="center"/>
                </w:tcPr>
                <w:p w14:paraId="50FD195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bidi="ar-SA"/>
                    </w:rPr>
                    <w:t>普通车床</w:t>
                  </w:r>
                  <w:r>
                    <w:rPr>
                      <w:rFonts w:hint="default" w:ascii="Times New Roman" w:hAnsi="Times New Roman" w:cs="Times New Roman"/>
                      <w:color w:val="auto"/>
                      <w:kern w:val="0"/>
                      <w:sz w:val="21"/>
                      <w:szCs w:val="21"/>
                      <w:highlight w:val="none"/>
                      <w:lang w:val="en-US" w:eastAsia="zh-CN"/>
                    </w:rPr>
                    <w:t>（1台）</w:t>
                  </w:r>
                </w:p>
              </w:tc>
              <w:tc>
                <w:tcPr>
                  <w:tcW w:w="417" w:type="pct"/>
                  <w:noWrap w:val="0"/>
                  <w:vAlign w:val="center"/>
                </w:tcPr>
                <w:p w14:paraId="5DE64C16">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17.39</w:t>
                  </w:r>
                </w:p>
              </w:tc>
              <w:tc>
                <w:tcPr>
                  <w:tcW w:w="415" w:type="pct"/>
                  <w:noWrap w:val="0"/>
                  <w:vAlign w:val="center"/>
                </w:tcPr>
                <w:p w14:paraId="520F9CC6">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-19.4</w:t>
                  </w:r>
                </w:p>
              </w:tc>
              <w:tc>
                <w:tcPr>
                  <w:tcW w:w="286" w:type="pct"/>
                  <w:noWrap w:val="0"/>
                  <w:vAlign w:val="center"/>
                </w:tcPr>
                <w:p w14:paraId="3363013D">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504" w:type="pct"/>
                  <w:noWrap w:val="0"/>
                  <w:vAlign w:val="center"/>
                </w:tcPr>
                <w:p w14:paraId="39998FC4">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80</w:t>
                  </w:r>
                </w:p>
              </w:tc>
              <w:tc>
                <w:tcPr>
                  <w:tcW w:w="382" w:type="pct"/>
                  <w:vMerge w:val="continue"/>
                  <w:noWrap w:val="0"/>
                  <w:vAlign w:val="center"/>
                </w:tcPr>
                <w:p w14:paraId="40A9A63D">
                  <w:pPr>
                    <w:adjustRightInd w:val="0"/>
                    <w:snapToGrid w:val="0"/>
                    <w:spacing w:line="240" w:lineRule="auto"/>
                    <w:jc w:val="center"/>
                    <w:rPr>
                      <w:rFonts w:hint="default" w:ascii="Times New Roman" w:hAnsi="Times New Roman" w:cs="Times New Roman"/>
                      <w:color w:val="auto"/>
                      <w:sz w:val="21"/>
                      <w:szCs w:val="21"/>
                      <w:highlight w:val="none"/>
                    </w:rPr>
                  </w:pPr>
                </w:p>
              </w:tc>
              <w:tc>
                <w:tcPr>
                  <w:tcW w:w="446" w:type="pct"/>
                  <w:vMerge w:val="continue"/>
                  <w:noWrap w:val="0"/>
                  <w:vAlign w:val="center"/>
                </w:tcPr>
                <w:p w14:paraId="3849247A">
                  <w:pPr>
                    <w:adjustRightInd w:val="0"/>
                    <w:snapToGrid w:val="0"/>
                    <w:spacing w:line="240" w:lineRule="auto"/>
                    <w:jc w:val="center"/>
                    <w:rPr>
                      <w:rFonts w:hint="default" w:ascii="Times New Roman" w:hAnsi="Times New Roman" w:cs="Times New Roman"/>
                      <w:color w:val="auto"/>
                      <w:sz w:val="21"/>
                      <w:szCs w:val="21"/>
                      <w:highlight w:val="none"/>
                    </w:rPr>
                  </w:pPr>
                </w:p>
              </w:tc>
              <w:tc>
                <w:tcPr>
                  <w:tcW w:w="445" w:type="pct"/>
                  <w:vMerge w:val="continue"/>
                  <w:noWrap w:val="0"/>
                  <w:vAlign w:val="center"/>
                </w:tcPr>
                <w:p w14:paraId="39C8B007">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1FC49C55">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2D5285C7">
                  <w:pPr>
                    <w:adjustRightInd w:val="0"/>
                    <w:snapToGrid w:val="0"/>
                    <w:spacing w:line="240" w:lineRule="auto"/>
                    <w:jc w:val="center"/>
                    <w:rPr>
                      <w:rFonts w:hint="default" w:ascii="Times New Roman" w:hAnsi="Times New Roman" w:cs="Times New Roman"/>
                      <w:color w:val="auto"/>
                      <w:sz w:val="21"/>
                      <w:szCs w:val="21"/>
                      <w:highlight w:val="none"/>
                    </w:rPr>
                  </w:pPr>
                </w:p>
              </w:tc>
              <w:tc>
                <w:tcPr>
                  <w:tcW w:w="292" w:type="pct"/>
                  <w:vMerge w:val="continue"/>
                  <w:noWrap w:val="0"/>
                  <w:vAlign w:val="center"/>
                </w:tcPr>
                <w:p w14:paraId="33ED3273">
                  <w:pPr>
                    <w:adjustRightInd w:val="0"/>
                    <w:snapToGrid w:val="0"/>
                    <w:spacing w:line="240" w:lineRule="auto"/>
                    <w:jc w:val="center"/>
                    <w:rPr>
                      <w:rFonts w:hint="default" w:ascii="Times New Roman" w:hAnsi="Times New Roman" w:cs="Times New Roman"/>
                      <w:color w:val="auto"/>
                      <w:sz w:val="21"/>
                      <w:szCs w:val="21"/>
                      <w:highlight w:val="none"/>
                    </w:rPr>
                  </w:pPr>
                </w:p>
              </w:tc>
            </w:tr>
            <w:tr w14:paraId="3B9AC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noWrap w:val="0"/>
                  <w:vAlign w:val="center"/>
                </w:tcPr>
                <w:p w14:paraId="57A8A08C">
                  <w:pPr>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7</w:t>
                  </w:r>
                </w:p>
              </w:tc>
              <w:tc>
                <w:tcPr>
                  <w:tcW w:w="708" w:type="pct"/>
                  <w:noWrap w:val="0"/>
                  <w:vAlign w:val="center"/>
                </w:tcPr>
                <w:p w14:paraId="2267B6F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bidi="ar-SA"/>
                    </w:rPr>
                    <w:t>普通车床</w:t>
                  </w:r>
                  <w:r>
                    <w:rPr>
                      <w:rFonts w:hint="default" w:ascii="Times New Roman" w:hAnsi="Times New Roman" w:cs="Times New Roman"/>
                      <w:color w:val="auto"/>
                      <w:kern w:val="0"/>
                      <w:sz w:val="21"/>
                      <w:szCs w:val="21"/>
                      <w:highlight w:val="none"/>
                      <w:lang w:val="en-US" w:eastAsia="zh-CN"/>
                    </w:rPr>
                    <w:t>（1台）</w:t>
                  </w:r>
                </w:p>
              </w:tc>
              <w:tc>
                <w:tcPr>
                  <w:tcW w:w="417" w:type="pct"/>
                  <w:noWrap w:val="0"/>
                  <w:vAlign w:val="center"/>
                </w:tcPr>
                <w:p w14:paraId="79C21D6E">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7.63</w:t>
                  </w:r>
                </w:p>
              </w:tc>
              <w:tc>
                <w:tcPr>
                  <w:tcW w:w="415" w:type="pct"/>
                  <w:noWrap w:val="0"/>
                  <w:vAlign w:val="center"/>
                </w:tcPr>
                <w:p w14:paraId="402CFF5F">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-24.92</w:t>
                  </w:r>
                </w:p>
              </w:tc>
              <w:tc>
                <w:tcPr>
                  <w:tcW w:w="286" w:type="pct"/>
                  <w:noWrap w:val="0"/>
                  <w:vAlign w:val="center"/>
                </w:tcPr>
                <w:p w14:paraId="4CCDDF30">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504" w:type="pct"/>
                  <w:noWrap w:val="0"/>
                  <w:vAlign w:val="center"/>
                </w:tcPr>
                <w:p w14:paraId="5D8C7A40">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80</w:t>
                  </w:r>
                </w:p>
              </w:tc>
              <w:tc>
                <w:tcPr>
                  <w:tcW w:w="382" w:type="pct"/>
                  <w:vMerge w:val="continue"/>
                  <w:noWrap w:val="0"/>
                  <w:vAlign w:val="center"/>
                </w:tcPr>
                <w:p w14:paraId="7611F9D5">
                  <w:pPr>
                    <w:adjustRightInd w:val="0"/>
                    <w:snapToGrid w:val="0"/>
                    <w:spacing w:line="240" w:lineRule="auto"/>
                    <w:jc w:val="center"/>
                    <w:rPr>
                      <w:rFonts w:hint="default" w:ascii="Times New Roman" w:hAnsi="Times New Roman" w:cs="Times New Roman"/>
                      <w:color w:val="auto"/>
                      <w:sz w:val="21"/>
                      <w:szCs w:val="21"/>
                      <w:highlight w:val="none"/>
                    </w:rPr>
                  </w:pPr>
                </w:p>
              </w:tc>
              <w:tc>
                <w:tcPr>
                  <w:tcW w:w="446" w:type="pct"/>
                  <w:vMerge w:val="continue"/>
                  <w:noWrap w:val="0"/>
                  <w:vAlign w:val="center"/>
                </w:tcPr>
                <w:p w14:paraId="4781C405">
                  <w:pPr>
                    <w:adjustRightInd w:val="0"/>
                    <w:snapToGrid w:val="0"/>
                    <w:spacing w:line="240" w:lineRule="auto"/>
                    <w:jc w:val="center"/>
                    <w:rPr>
                      <w:rFonts w:hint="default" w:ascii="Times New Roman" w:hAnsi="Times New Roman" w:cs="Times New Roman"/>
                      <w:color w:val="auto"/>
                      <w:sz w:val="21"/>
                      <w:szCs w:val="21"/>
                      <w:highlight w:val="none"/>
                    </w:rPr>
                  </w:pPr>
                </w:p>
              </w:tc>
              <w:tc>
                <w:tcPr>
                  <w:tcW w:w="445" w:type="pct"/>
                  <w:vMerge w:val="continue"/>
                  <w:noWrap w:val="0"/>
                  <w:vAlign w:val="center"/>
                </w:tcPr>
                <w:p w14:paraId="5A0D5A9B">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2FDF4558">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47E8A5C2">
                  <w:pPr>
                    <w:adjustRightInd w:val="0"/>
                    <w:snapToGrid w:val="0"/>
                    <w:spacing w:line="240" w:lineRule="auto"/>
                    <w:jc w:val="center"/>
                    <w:rPr>
                      <w:rFonts w:hint="default" w:ascii="Times New Roman" w:hAnsi="Times New Roman" w:cs="Times New Roman"/>
                      <w:color w:val="auto"/>
                      <w:sz w:val="21"/>
                      <w:szCs w:val="21"/>
                      <w:highlight w:val="none"/>
                    </w:rPr>
                  </w:pPr>
                </w:p>
              </w:tc>
              <w:tc>
                <w:tcPr>
                  <w:tcW w:w="292" w:type="pct"/>
                  <w:vMerge w:val="continue"/>
                  <w:noWrap w:val="0"/>
                  <w:vAlign w:val="center"/>
                </w:tcPr>
                <w:p w14:paraId="1B1D63BB">
                  <w:pPr>
                    <w:adjustRightInd w:val="0"/>
                    <w:snapToGrid w:val="0"/>
                    <w:spacing w:line="240" w:lineRule="auto"/>
                    <w:jc w:val="center"/>
                    <w:rPr>
                      <w:rFonts w:hint="default" w:ascii="Times New Roman" w:hAnsi="Times New Roman" w:cs="Times New Roman"/>
                      <w:color w:val="auto"/>
                      <w:sz w:val="21"/>
                      <w:szCs w:val="21"/>
                      <w:highlight w:val="none"/>
                    </w:rPr>
                  </w:pPr>
                </w:p>
              </w:tc>
            </w:tr>
            <w:tr w14:paraId="6C9C4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noWrap w:val="0"/>
                  <w:vAlign w:val="center"/>
                </w:tcPr>
                <w:p w14:paraId="1DBBAB51">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8</w:t>
                  </w:r>
                </w:p>
              </w:tc>
              <w:tc>
                <w:tcPr>
                  <w:tcW w:w="708" w:type="pct"/>
                  <w:noWrap w:val="0"/>
                  <w:vAlign w:val="center"/>
                </w:tcPr>
                <w:p w14:paraId="602AF3E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bidi="ar-SA"/>
                    </w:rPr>
                    <w:t>压力机</w:t>
                  </w:r>
                  <w:r>
                    <w:rPr>
                      <w:rFonts w:hint="default" w:ascii="Times New Roman" w:hAnsi="Times New Roman" w:cs="Times New Roman"/>
                      <w:color w:val="auto"/>
                      <w:kern w:val="0"/>
                      <w:sz w:val="21"/>
                      <w:szCs w:val="21"/>
                      <w:highlight w:val="none"/>
                      <w:lang w:val="en-US" w:eastAsia="zh-CN"/>
                    </w:rPr>
                    <w:t>（1台）</w:t>
                  </w:r>
                </w:p>
              </w:tc>
              <w:tc>
                <w:tcPr>
                  <w:tcW w:w="417" w:type="pct"/>
                  <w:noWrap w:val="0"/>
                  <w:vAlign w:val="center"/>
                </w:tcPr>
                <w:p w14:paraId="0F5943EF">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12.97</w:t>
                  </w:r>
                </w:p>
              </w:tc>
              <w:tc>
                <w:tcPr>
                  <w:tcW w:w="415" w:type="pct"/>
                  <w:noWrap w:val="0"/>
                  <w:vAlign w:val="center"/>
                </w:tcPr>
                <w:p w14:paraId="4F560EF3">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-26.03</w:t>
                  </w:r>
                </w:p>
              </w:tc>
              <w:tc>
                <w:tcPr>
                  <w:tcW w:w="286" w:type="pct"/>
                  <w:noWrap w:val="0"/>
                  <w:vAlign w:val="center"/>
                </w:tcPr>
                <w:p w14:paraId="5FD1E0CC">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504" w:type="pct"/>
                  <w:noWrap w:val="0"/>
                  <w:vAlign w:val="center"/>
                </w:tcPr>
                <w:p w14:paraId="23AC8C62">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85</w:t>
                  </w:r>
                </w:p>
              </w:tc>
              <w:tc>
                <w:tcPr>
                  <w:tcW w:w="382" w:type="pct"/>
                  <w:vMerge w:val="continue"/>
                  <w:noWrap w:val="0"/>
                  <w:vAlign w:val="center"/>
                </w:tcPr>
                <w:p w14:paraId="450D82C5">
                  <w:pPr>
                    <w:adjustRightInd w:val="0"/>
                    <w:snapToGrid w:val="0"/>
                    <w:spacing w:line="240" w:lineRule="auto"/>
                    <w:jc w:val="center"/>
                    <w:rPr>
                      <w:rFonts w:hint="default" w:ascii="Times New Roman" w:hAnsi="Times New Roman" w:cs="Times New Roman"/>
                      <w:color w:val="auto"/>
                      <w:sz w:val="21"/>
                      <w:szCs w:val="21"/>
                      <w:highlight w:val="none"/>
                    </w:rPr>
                  </w:pPr>
                </w:p>
              </w:tc>
              <w:tc>
                <w:tcPr>
                  <w:tcW w:w="446" w:type="pct"/>
                  <w:vMerge w:val="continue"/>
                  <w:noWrap w:val="0"/>
                  <w:vAlign w:val="center"/>
                </w:tcPr>
                <w:p w14:paraId="1E07C393">
                  <w:pPr>
                    <w:adjustRightInd w:val="0"/>
                    <w:snapToGrid w:val="0"/>
                    <w:spacing w:line="240" w:lineRule="auto"/>
                    <w:jc w:val="center"/>
                    <w:rPr>
                      <w:rFonts w:hint="default" w:ascii="Times New Roman" w:hAnsi="Times New Roman" w:cs="Times New Roman"/>
                      <w:color w:val="auto"/>
                      <w:sz w:val="21"/>
                      <w:szCs w:val="21"/>
                      <w:highlight w:val="none"/>
                    </w:rPr>
                  </w:pPr>
                </w:p>
              </w:tc>
              <w:tc>
                <w:tcPr>
                  <w:tcW w:w="445" w:type="pct"/>
                  <w:vMerge w:val="continue"/>
                  <w:noWrap w:val="0"/>
                  <w:vAlign w:val="center"/>
                </w:tcPr>
                <w:p w14:paraId="53B7714F">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70BB8F97">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065EDC3D">
                  <w:pPr>
                    <w:adjustRightInd w:val="0"/>
                    <w:snapToGrid w:val="0"/>
                    <w:spacing w:line="240" w:lineRule="auto"/>
                    <w:jc w:val="center"/>
                    <w:rPr>
                      <w:rFonts w:hint="default" w:ascii="Times New Roman" w:hAnsi="Times New Roman" w:cs="Times New Roman"/>
                      <w:color w:val="auto"/>
                      <w:sz w:val="21"/>
                      <w:szCs w:val="21"/>
                      <w:highlight w:val="none"/>
                    </w:rPr>
                  </w:pPr>
                </w:p>
              </w:tc>
              <w:tc>
                <w:tcPr>
                  <w:tcW w:w="292" w:type="pct"/>
                  <w:vMerge w:val="continue"/>
                  <w:noWrap w:val="0"/>
                  <w:vAlign w:val="center"/>
                </w:tcPr>
                <w:p w14:paraId="7477E974">
                  <w:pPr>
                    <w:adjustRightInd w:val="0"/>
                    <w:snapToGrid w:val="0"/>
                    <w:spacing w:line="240" w:lineRule="auto"/>
                    <w:jc w:val="center"/>
                    <w:rPr>
                      <w:rFonts w:hint="default" w:ascii="Times New Roman" w:hAnsi="Times New Roman" w:cs="Times New Roman"/>
                      <w:color w:val="auto"/>
                      <w:sz w:val="21"/>
                      <w:szCs w:val="21"/>
                      <w:highlight w:val="none"/>
                    </w:rPr>
                  </w:pPr>
                </w:p>
              </w:tc>
            </w:tr>
            <w:tr w14:paraId="3E997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noWrap w:val="0"/>
                  <w:vAlign w:val="center"/>
                </w:tcPr>
                <w:p w14:paraId="7C6390FD">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9</w:t>
                  </w:r>
                </w:p>
              </w:tc>
              <w:tc>
                <w:tcPr>
                  <w:tcW w:w="708" w:type="pct"/>
                  <w:noWrap w:val="0"/>
                  <w:vAlign w:val="center"/>
                </w:tcPr>
                <w:p w14:paraId="334353FD">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bidi="ar-SA"/>
                    </w:rPr>
                    <w:t>台式钻床</w:t>
                  </w:r>
                  <w:r>
                    <w:rPr>
                      <w:rFonts w:hint="default" w:ascii="Times New Roman" w:hAnsi="Times New Roman" w:cs="Times New Roman"/>
                      <w:color w:val="auto"/>
                      <w:kern w:val="0"/>
                      <w:sz w:val="21"/>
                      <w:szCs w:val="21"/>
                      <w:highlight w:val="none"/>
                      <w:lang w:val="en-US" w:eastAsia="zh-CN"/>
                    </w:rPr>
                    <w:t>（1台）</w:t>
                  </w:r>
                </w:p>
              </w:tc>
              <w:tc>
                <w:tcPr>
                  <w:tcW w:w="417" w:type="pct"/>
                  <w:noWrap w:val="0"/>
                  <w:vAlign w:val="center"/>
                </w:tcPr>
                <w:p w14:paraId="7922D3E6">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19.24</w:t>
                  </w:r>
                </w:p>
              </w:tc>
              <w:tc>
                <w:tcPr>
                  <w:tcW w:w="415" w:type="pct"/>
                  <w:noWrap w:val="0"/>
                  <w:vAlign w:val="center"/>
                </w:tcPr>
                <w:p w14:paraId="00F62B1C">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-26.30</w:t>
                  </w:r>
                </w:p>
              </w:tc>
              <w:tc>
                <w:tcPr>
                  <w:tcW w:w="286" w:type="pct"/>
                  <w:noWrap w:val="0"/>
                  <w:vAlign w:val="center"/>
                </w:tcPr>
                <w:p w14:paraId="2BBD36DE">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504" w:type="pct"/>
                  <w:noWrap w:val="0"/>
                  <w:vAlign w:val="center"/>
                </w:tcPr>
                <w:p w14:paraId="7119DD97">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85</w:t>
                  </w:r>
                </w:p>
              </w:tc>
              <w:tc>
                <w:tcPr>
                  <w:tcW w:w="382" w:type="pct"/>
                  <w:vMerge w:val="continue"/>
                  <w:noWrap w:val="0"/>
                  <w:vAlign w:val="center"/>
                </w:tcPr>
                <w:p w14:paraId="0B5753FC">
                  <w:pPr>
                    <w:adjustRightInd w:val="0"/>
                    <w:snapToGrid w:val="0"/>
                    <w:spacing w:line="240" w:lineRule="auto"/>
                    <w:jc w:val="center"/>
                    <w:rPr>
                      <w:rFonts w:hint="default" w:ascii="Times New Roman" w:hAnsi="Times New Roman" w:cs="Times New Roman"/>
                      <w:color w:val="auto"/>
                      <w:sz w:val="21"/>
                      <w:szCs w:val="21"/>
                      <w:highlight w:val="none"/>
                    </w:rPr>
                  </w:pPr>
                </w:p>
              </w:tc>
              <w:tc>
                <w:tcPr>
                  <w:tcW w:w="446" w:type="pct"/>
                  <w:vMerge w:val="continue"/>
                  <w:noWrap w:val="0"/>
                  <w:vAlign w:val="center"/>
                </w:tcPr>
                <w:p w14:paraId="0DEB1538">
                  <w:pPr>
                    <w:adjustRightInd w:val="0"/>
                    <w:snapToGrid w:val="0"/>
                    <w:spacing w:line="240" w:lineRule="auto"/>
                    <w:jc w:val="center"/>
                    <w:rPr>
                      <w:rFonts w:hint="default" w:ascii="Times New Roman" w:hAnsi="Times New Roman" w:cs="Times New Roman"/>
                      <w:color w:val="auto"/>
                      <w:sz w:val="21"/>
                      <w:szCs w:val="21"/>
                      <w:highlight w:val="none"/>
                    </w:rPr>
                  </w:pPr>
                </w:p>
              </w:tc>
              <w:tc>
                <w:tcPr>
                  <w:tcW w:w="445" w:type="pct"/>
                  <w:vMerge w:val="continue"/>
                  <w:noWrap w:val="0"/>
                  <w:vAlign w:val="center"/>
                </w:tcPr>
                <w:p w14:paraId="6344AB4F">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4E682770">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3F8E0B44">
                  <w:pPr>
                    <w:adjustRightInd w:val="0"/>
                    <w:snapToGrid w:val="0"/>
                    <w:spacing w:line="240" w:lineRule="auto"/>
                    <w:jc w:val="center"/>
                    <w:rPr>
                      <w:rFonts w:hint="default" w:ascii="Times New Roman" w:hAnsi="Times New Roman" w:cs="Times New Roman"/>
                      <w:color w:val="auto"/>
                      <w:sz w:val="21"/>
                      <w:szCs w:val="21"/>
                      <w:highlight w:val="none"/>
                    </w:rPr>
                  </w:pPr>
                </w:p>
              </w:tc>
              <w:tc>
                <w:tcPr>
                  <w:tcW w:w="292" w:type="pct"/>
                  <w:vMerge w:val="continue"/>
                  <w:noWrap w:val="0"/>
                  <w:vAlign w:val="center"/>
                </w:tcPr>
                <w:p w14:paraId="4C4F5779">
                  <w:pPr>
                    <w:adjustRightInd w:val="0"/>
                    <w:snapToGrid w:val="0"/>
                    <w:spacing w:line="240" w:lineRule="auto"/>
                    <w:jc w:val="center"/>
                    <w:rPr>
                      <w:rFonts w:hint="default" w:ascii="Times New Roman" w:hAnsi="Times New Roman" w:cs="Times New Roman"/>
                      <w:color w:val="auto"/>
                      <w:sz w:val="21"/>
                      <w:szCs w:val="21"/>
                      <w:highlight w:val="none"/>
                    </w:rPr>
                  </w:pPr>
                </w:p>
              </w:tc>
            </w:tr>
            <w:tr w14:paraId="259F5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noWrap w:val="0"/>
                  <w:vAlign w:val="center"/>
                </w:tcPr>
                <w:p w14:paraId="52088CA0">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10</w:t>
                  </w:r>
                </w:p>
              </w:tc>
              <w:tc>
                <w:tcPr>
                  <w:tcW w:w="708" w:type="pct"/>
                  <w:noWrap w:val="0"/>
                  <w:vAlign w:val="center"/>
                </w:tcPr>
                <w:p w14:paraId="6ECAED3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bidi="ar-SA"/>
                    </w:rPr>
                    <w:t>台式攻丝机</w:t>
                  </w:r>
                  <w:r>
                    <w:rPr>
                      <w:rFonts w:hint="default" w:ascii="Times New Roman" w:hAnsi="Times New Roman" w:cs="Times New Roman"/>
                      <w:color w:val="auto"/>
                      <w:kern w:val="0"/>
                      <w:sz w:val="21"/>
                      <w:szCs w:val="21"/>
                      <w:highlight w:val="none"/>
                      <w:lang w:val="en-US" w:eastAsia="zh-CN"/>
                    </w:rPr>
                    <w:t>（1台）</w:t>
                  </w:r>
                </w:p>
              </w:tc>
              <w:tc>
                <w:tcPr>
                  <w:tcW w:w="417" w:type="pct"/>
                  <w:noWrap w:val="0"/>
                  <w:vAlign w:val="center"/>
                </w:tcPr>
                <w:p w14:paraId="3143B280">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29.46</w:t>
                  </w:r>
                </w:p>
              </w:tc>
              <w:tc>
                <w:tcPr>
                  <w:tcW w:w="415" w:type="pct"/>
                  <w:noWrap w:val="0"/>
                  <w:vAlign w:val="center"/>
                </w:tcPr>
                <w:p w14:paraId="43551247">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-12.86</w:t>
                  </w:r>
                </w:p>
              </w:tc>
              <w:tc>
                <w:tcPr>
                  <w:tcW w:w="286" w:type="pct"/>
                  <w:noWrap w:val="0"/>
                  <w:vAlign w:val="center"/>
                </w:tcPr>
                <w:p w14:paraId="39741737">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504" w:type="pct"/>
                  <w:noWrap w:val="0"/>
                  <w:vAlign w:val="center"/>
                </w:tcPr>
                <w:p w14:paraId="6CFD85D1">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80</w:t>
                  </w:r>
                </w:p>
              </w:tc>
              <w:tc>
                <w:tcPr>
                  <w:tcW w:w="382" w:type="pct"/>
                  <w:vMerge w:val="continue"/>
                  <w:noWrap w:val="0"/>
                  <w:vAlign w:val="center"/>
                </w:tcPr>
                <w:p w14:paraId="060B9E2D">
                  <w:pPr>
                    <w:adjustRightInd w:val="0"/>
                    <w:snapToGrid w:val="0"/>
                    <w:spacing w:line="240" w:lineRule="auto"/>
                    <w:jc w:val="center"/>
                    <w:rPr>
                      <w:rFonts w:hint="default" w:ascii="Times New Roman" w:hAnsi="Times New Roman" w:cs="Times New Roman"/>
                      <w:color w:val="auto"/>
                      <w:sz w:val="21"/>
                      <w:szCs w:val="21"/>
                      <w:highlight w:val="none"/>
                    </w:rPr>
                  </w:pPr>
                </w:p>
              </w:tc>
              <w:tc>
                <w:tcPr>
                  <w:tcW w:w="446" w:type="pct"/>
                  <w:vMerge w:val="continue"/>
                  <w:noWrap w:val="0"/>
                  <w:vAlign w:val="center"/>
                </w:tcPr>
                <w:p w14:paraId="731924A9">
                  <w:pPr>
                    <w:adjustRightInd w:val="0"/>
                    <w:snapToGrid w:val="0"/>
                    <w:spacing w:line="240" w:lineRule="auto"/>
                    <w:jc w:val="center"/>
                    <w:rPr>
                      <w:rFonts w:hint="default" w:ascii="Times New Roman" w:hAnsi="Times New Roman" w:cs="Times New Roman"/>
                      <w:color w:val="auto"/>
                      <w:sz w:val="21"/>
                      <w:szCs w:val="21"/>
                      <w:highlight w:val="none"/>
                    </w:rPr>
                  </w:pPr>
                </w:p>
              </w:tc>
              <w:tc>
                <w:tcPr>
                  <w:tcW w:w="445" w:type="pct"/>
                  <w:vMerge w:val="continue"/>
                  <w:noWrap w:val="0"/>
                  <w:vAlign w:val="center"/>
                </w:tcPr>
                <w:p w14:paraId="29EC39BE">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6E79EE17">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005CCE8C">
                  <w:pPr>
                    <w:adjustRightInd w:val="0"/>
                    <w:snapToGrid w:val="0"/>
                    <w:spacing w:line="240" w:lineRule="auto"/>
                    <w:jc w:val="center"/>
                    <w:rPr>
                      <w:rFonts w:hint="default" w:ascii="Times New Roman" w:hAnsi="Times New Roman" w:cs="Times New Roman"/>
                      <w:color w:val="auto"/>
                      <w:sz w:val="21"/>
                      <w:szCs w:val="21"/>
                      <w:highlight w:val="none"/>
                    </w:rPr>
                  </w:pPr>
                </w:p>
              </w:tc>
              <w:tc>
                <w:tcPr>
                  <w:tcW w:w="292" w:type="pct"/>
                  <w:vMerge w:val="continue"/>
                  <w:noWrap w:val="0"/>
                  <w:vAlign w:val="center"/>
                </w:tcPr>
                <w:p w14:paraId="7AC20072">
                  <w:pPr>
                    <w:adjustRightInd w:val="0"/>
                    <w:snapToGrid w:val="0"/>
                    <w:spacing w:line="240" w:lineRule="auto"/>
                    <w:jc w:val="center"/>
                    <w:rPr>
                      <w:rFonts w:hint="default" w:ascii="Times New Roman" w:hAnsi="Times New Roman" w:cs="Times New Roman"/>
                      <w:color w:val="auto"/>
                      <w:sz w:val="21"/>
                      <w:szCs w:val="21"/>
                      <w:highlight w:val="none"/>
                    </w:rPr>
                  </w:pPr>
                </w:p>
              </w:tc>
            </w:tr>
            <w:tr w14:paraId="4B004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noWrap w:val="0"/>
                  <w:vAlign w:val="center"/>
                </w:tcPr>
                <w:p w14:paraId="074356F2">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11</w:t>
                  </w:r>
                </w:p>
              </w:tc>
              <w:tc>
                <w:tcPr>
                  <w:tcW w:w="708" w:type="pct"/>
                  <w:noWrap w:val="0"/>
                  <w:vAlign w:val="center"/>
                </w:tcPr>
                <w:p w14:paraId="031DD50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bidi="ar-SA"/>
                    </w:rPr>
                    <w:t>立式加工中心</w:t>
                  </w:r>
                  <w:r>
                    <w:rPr>
                      <w:rFonts w:hint="default" w:ascii="Times New Roman" w:hAnsi="Times New Roman" w:cs="Times New Roman"/>
                      <w:color w:val="auto"/>
                      <w:kern w:val="0"/>
                      <w:sz w:val="21"/>
                      <w:szCs w:val="21"/>
                      <w:highlight w:val="none"/>
                      <w:lang w:val="en-US" w:eastAsia="zh-CN"/>
                    </w:rPr>
                    <w:t>（1台）</w:t>
                  </w:r>
                </w:p>
              </w:tc>
              <w:tc>
                <w:tcPr>
                  <w:tcW w:w="417" w:type="pct"/>
                  <w:noWrap w:val="0"/>
                  <w:vAlign w:val="center"/>
                </w:tcPr>
                <w:p w14:paraId="63EB5F4A">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35.54</w:t>
                  </w:r>
                </w:p>
              </w:tc>
              <w:tc>
                <w:tcPr>
                  <w:tcW w:w="415" w:type="pct"/>
                  <w:noWrap w:val="0"/>
                  <w:vAlign w:val="center"/>
                </w:tcPr>
                <w:p w14:paraId="48122A80">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-12.95</w:t>
                  </w:r>
                </w:p>
              </w:tc>
              <w:tc>
                <w:tcPr>
                  <w:tcW w:w="286" w:type="pct"/>
                  <w:noWrap w:val="0"/>
                  <w:vAlign w:val="center"/>
                </w:tcPr>
                <w:p w14:paraId="1DC8790A">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504" w:type="pct"/>
                  <w:noWrap w:val="0"/>
                  <w:vAlign w:val="center"/>
                </w:tcPr>
                <w:p w14:paraId="3D155F34">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80</w:t>
                  </w:r>
                </w:p>
              </w:tc>
              <w:tc>
                <w:tcPr>
                  <w:tcW w:w="382" w:type="pct"/>
                  <w:vMerge w:val="continue"/>
                  <w:noWrap w:val="0"/>
                  <w:vAlign w:val="center"/>
                </w:tcPr>
                <w:p w14:paraId="316CB6D9">
                  <w:pPr>
                    <w:adjustRightInd w:val="0"/>
                    <w:snapToGrid w:val="0"/>
                    <w:spacing w:line="240" w:lineRule="auto"/>
                    <w:jc w:val="center"/>
                    <w:rPr>
                      <w:rFonts w:hint="default" w:ascii="Times New Roman" w:hAnsi="Times New Roman" w:cs="Times New Roman"/>
                      <w:color w:val="auto"/>
                      <w:sz w:val="21"/>
                      <w:szCs w:val="21"/>
                      <w:highlight w:val="none"/>
                    </w:rPr>
                  </w:pPr>
                </w:p>
              </w:tc>
              <w:tc>
                <w:tcPr>
                  <w:tcW w:w="446" w:type="pct"/>
                  <w:vMerge w:val="continue"/>
                  <w:noWrap w:val="0"/>
                  <w:vAlign w:val="center"/>
                </w:tcPr>
                <w:p w14:paraId="20918089">
                  <w:pPr>
                    <w:adjustRightInd w:val="0"/>
                    <w:snapToGrid w:val="0"/>
                    <w:spacing w:line="240" w:lineRule="auto"/>
                    <w:jc w:val="center"/>
                    <w:rPr>
                      <w:rFonts w:hint="default" w:ascii="Times New Roman" w:hAnsi="Times New Roman" w:cs="Times New Roman"/>
                      <w:color w:val="auto"/>
                      <w:sz w:val="21"/>
                      <w:szCs w:val="21"/>
                      <w:highlight w:val="none"/>
                    </w:rPr>
                  </w:pPr>
                </w:p>
              </w:tc>
              <w:tc>
                <w:tcPr>
                  <w:tcW w:w="445" w:type="pct"/>
                  <w:vMerge w:val="continue"/>
                  <w:noWrap w:val="0"/>
                  <w:vAlign w:val="center"/>
                </w:tcPr>
                <w:p w14:paraId="0A920E25">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4CD62EF7">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23BBE406">
                  <w:pPr>
                    <w:adjustRightInd w:val="0"/>
                    <w:snapToGrid w:val="0"/>
                    <w:spacing w:line="240" w:lineRule="auto"/>
                    <w:jc w:val="center"/>
                    <w:rPr>
                      <w:rFonts w:hint="default" w:ascii="Times New Roman" w:hAnsi="Times New Roman" w:cs="Times New Roman"/>
                      <w:color w:val="auto"/>
                      <w:sz w:val="21"/>
                      <w:szCs w:val="21"/>
                      <w:highlight w:val="none"/>
                    </w:rPr>
                  </w:pPr>
                </w:p>
              </w:tc>
              <w:tc>
                <w:tcPr>
                  <w:tcW w:w="292" w:type="pct"/>
                  <w:vMerge w:val="continue"/>
                  <w:noWrap w:val="0"/>
                  <w:vAlign w:val="center"/>
                </w:tcPr>
                <w:p w14:paraId="2A0D2A02">
                  <w:pPr>
                    <w:adjustRightInd w:val="0"/>
                    <w:snapToGrid w:val="0"/>
                    <w:spacing w:line="240" w:lineRule="auto"/>
                    <w:jc w:val="center"/>
                    <w:rPr>
                      <w:rFonts w:hint="default" w:ascii="Times New Roman" w:hAnsi="Times New Roman" w:cs="Times New Roman"/>
                      <w:color w:val="auto"/>
                      <w:sz w:val="21"/>
                      <w:szCs w:val="21"/>
                      <w:highlight w:val="none"/>
                    </w:rPr>
                  </w:pPr>
                </w:p>
              </w:tc>
            </w:tr>
            <w:tr w14:paraId="0CCBA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shd w:val="clear" w:color="auto" w:fill="auto"/>
                  <w:noWrap w:val="0"/>
                  <w:vAlign w:val="center"/>
                </w:tcPr>
                <w:p w14:paraId="69A99D64">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12</w:t>
                  </w:r>
                </w:p>
              </w:tc>
              <w:tc>
                <w:tcPr>
                  <w:tcW w:w="708" w:type="pct"/>
                  <w:noWrap w:val="0"/>
                  <w:vAlign w:val="center"/>
                </w:tcPr>
                <w:p w14:paraId="08344FF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bidi="ar-SA"/>
                    </w:rPr>
                    <w:t>台式攻丝机</w:t>
                  </w:r>
                  <w:r>
                    <w:rPr>
                      <w:rFonts w:hint="default" w:ascii="Times New Roman" w:hAnsi="Times New Roman" w:cs="Times New Roman"/>
                      <w:color w:val="auto"/>
                      <w:kern w:val="0"/>
                      <w:sz w:val="21"/>
                      <w:szCs w:val="21"/>
                      <w:highlight w:val="none"/>
                      <w:lang w:val="en-US" w:eastAsia="zh-CN"/>
                    </w:rPr>
                    <w:t>（2台）</w:t>
                  </w:r>
                </w:p>
              </w:tc>
              <w:tc>
                <w:tcPr>
                  <w:tcW w:w="417" w:type="pct"/>
                  <w:noWrap w:val="0"/>
                  <w:vAlign w:val="center"/>
                </w:tcPr>
                <w:p w14:paraId="5075D620">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42.08</w:t>
                  </w:r>
                </w:p>
              </w:tc>
              <w:tc>
                <w:tcPr>
                  <w:tcW w:w="415" w:type="pct"/>
                  <w:noWrap w:val="0"/>
                  <w:vAlign w:val="center"/>
                </w:tcPr>
                <w:p w14:paraId="3A46F030">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-13.32</w:t>
                  </w:r>
                </w:p>
              </w:tc>
              <w:tc>
                <w:tcPr>
                  <w:tcW w:w="286" w:type="pct"/>
                  <w:noWrap w:val="0"/>
                  <w:vAlign w:val="center"/>
                </w:tcPr>
                <w:p w14:paraId="38CF7C3F">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504" w:type="pct"/>
                  <w:noWrap w:val="0"/>
                  <w:vAlign w:val="center"/>
                </w:tcPr>
                <w:p w14:paraId="19493BB8">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80</w:t>
                  </w:r>
                </w:p>
              </w:tc>
              <w:tc>
                <w:tcPr>
                  <w:tcW w:w="382" w:type="pct"/>
                  <w:vMerge w:val="continue"/>
                  <w:noWrap w:val="0"/>
                  <w:vAlign w:val="center"/>
                </w:tcPr>
                <w:p w14:paraId="6BDD45CE">
                  <w:pPr>
                    <w:adjustRightInd w:val="0"/>
                    <w:snapToGrid w:val="0"/>
                    <w:spacing w:line="240" w:lineRule="auto"/>
                    <w:jc w:val="center"/>
                    <w:rPr>
                      <w:rFonts w:hint="default" w:ascii="Times New Roman" w:hAnsi="Times New Roman" w:cs="Times New Roman"/>
                      <w:color w:val="auto"/>
                      <w:sz w:val="21"/>
                      <w:szCs w:val="21"/>
                      <w:highlight w:val="none"/>
                    </w:rPr>
                  </w:pPr>
                </w:p>
              </w:tc>
              <w:tc>
                <w:tcPr>
                  <w:tcW w:w="446" w:type="pct"/>
                  <w:vMerge w:val="continue"/>
                  <w:noWrap w:val="0"/>
                  <w:vAlign w:val="center"/>
                </w:tcPr>
                <w:p w14:paraId="56B2D5AC">
                  <w:pPr>
                    <w:adjustRightInd w:val="0"/>
                    <w:snapToGrid w:val="0"/>
                    <w:spacing w:line="240" w:lineRule="auto"/>
                    <w:jc w:val="center"/>
                    <w:rPr>
                      <w:rFonts w:hint="default" w:ascii="Times New Roman" w:hAnsi="Times New Roman" w:cs="Times New Roman"/>
                      <w:color w:val="auto"/>
                      <w:sz w:val="21"/>
                      <w:szCs w:val="21"/>
                      <w:highlight w:val="none"/>
                    </w:rPr>
                  </w:pPr>
                </w:p>
              </w:tc>
              <w:tc>
                <w:tcPr>
                  <w:tcW w:w="445" w:type="pct"/>
                  <w:vMerge w:val="continue"/>
                  <w:noWrap w:val="0"/>
                  <w:vAlign w:val="center"/>
                </w:tcPr>
                <w:p w14:paraId="64BD03E6">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5F83415A">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3A96C82A">
                  <w:pPr>
                    <w:adjustRightInd w:val="0"/>
                    <w:snapToGrid w:val="0"/>
                    <w:spacing w:line="240" w:lineRule="auto"/>
                    <w:jc w:val="center"/>
                    <w:rPr>
                      <w:rFonts w:hint="default" w:ascii="Times New Roman" w:hAnsi="Times New Roman" w:cs="Times New Roman"/>
                      <w:color w:val="auto"/>
                      <w:sz w:val="21"/>
                      <w:szCs w:val="21"/>
                      <w:highlight w:val="none"/>
                    </w:rPr>
                  </w:pPr>
                </w:p>
              </w:tc>
              <w:tc>
                <w:tcPr>
                  <w:tcW w:w="292" w:type="pct"/>
                  <w:vMerge w:val="continue"/>
                  <w:noWrap w:val="0"/>
                  <w:vAlign w:val="center"/>
                </w:tcPr>
                <w:p w14:paraId="2E482551">
                  <w:pPr>
                    <w:adjustRightInd w:val="0"/>
                    <w:snapToGrid w:val="0"/>
                    <w:spacing w:line="240" w:lineRule="auto"/>
                    <w:jc w:val="center"/>
                    <w:rPr>
                      <w:rFonts w:hint="default" w:ascii="Times New Roman" w:hAnsi="Times New Roman" w:cs="Times New Roman"/>
                      <w:color w:val="auto"/>
                      <w:sz w:val="21"/>
                      <w:szCs w:val="21"/>
                      <w:highlight w:val="none"/>
                    </w:rPr>
                  </w:pPr>
                </w:p>
              </w:tc>
            </w:tr>
            <w:tr w14:paraId="3EE8B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shd w:val="clear" w:color="auto" w:fill="auto"/>
                  <w:noWrap w:val="0"/>
                  <w:vAlign w:val="center"/>
                </w:tcPr>
                <w:p w14:paraId="7FAB4410">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13</w:t>
                  </w:r>
                </w:p>
              </w:tc>
              <w:tc>
                <w:tcPr>
                  <w:tcW w:w="708" w:type="pct"/>
                  <w:noWrap w:val="0"/>
                  <w:vAlign w:val="center"/>
                </w:tcPr>
                <w:p w14:paraId="26F66AE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bidi="ar-SA"/>
                    </w:rPr>
                    <w:t>台式钻床</w:t>
                  </w:r>
                  <w:r>
                    <w:rPr>
                      <w:rFonts w:hint="default" w:ascii="Times New Roman" w:hAnsi="Times New Roman" w:cs="Times New Roman"/>
                      <w:color w:val="auto"/>
                      <w:kern w:val="0"/>
                      <w:sz w:val="21"/>
                      <w:szCs w:val="21"/>
                      <w:highlight w:val="none"/>
                      <w:lang w:val="en-US" w:eastAsia="zh-CN"/>
                    </w:rPr>
                    <w:t>（2台）</w:t>
                  </w:r>
                </w:p>
              </w:tc>
              <w:tc>
                <w:tcPr>
                  <w:tcW w:w="417" w:type="pct"/>
                  <w:noWrap w:val="0"/>
                  <w:vAlign w:val="center"/>
                </w:tcPr>
                <w:p w14:paraId="222AD815">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30.47</w:t>
                  </w:r>
                </w:p>
              </w:tc>
              <w:tc>
                <w:tcPr>
                  <w:tcW w:w="415" w:type="pct"/>
                  <w:noWrap w:val="0"/>
                  <w:vAlign w:val="center"/>
                </w:tcPr>
                <w:p w14:paraId="186D501D">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-18.75</w:t>
                  </w:r>
                </w:p>
              </w:tc>
              <w:tc>
                <w:tcPr>
                  <w:tcW w:w="286" w:type="pct"/>
                  <w:noWrap w:val="0"/>
                  <w:vAlign w:val="center"/>
                </w:tcPr>
                <w:p w14:paraId="551A715D">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504" w:type="pct"/>
                  <w:noWrap w:val="0"/>
                  <w:vAlign w:val="center"/>
                </w:tcPr>
                <w:p w14:paraId="69331D38">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80</w:t>
                  </w:r>
                </w:p>
              </w:tc>
              <w:tc>
                <w:tcPr>
                  <w:tcW w:w="382" w:type="pct"/>
                  <w:vMerge w:val="continue"/>
                  <w:noWrap w:val="0"/>
                  <w:vAlign w:val="center"/>
                </w:tcPr>
                <w:p w14:paraId="447FEC6D">
                  <w:pPr>
                    <w:adjustRightInd w:val="0"/>
                    <w:snapToGrid w:val="0"/>
                    <w:spacing w:line="240" w:lineRule="auto"/>
                    <w:jc w:val="center"/>
                    <w:rPr>
                      <w:rFonts w:hint="default" w:ascii="Times New Roman" w:hAnsi="Times New Roman" w:cs="Times New Roman"/>
                      <w:color w:val="auto"/>
                      <w:sz w:val="21"/>
                      <w:szCs w:val="21"/>
                      <w:highlight w:val="none"/>
                    </w:rPr>
                  </w:pPr>
                </w:p>
              </w:tc>
              <w:tc>
                <w:tcPr>
                  <w:tcW w:w="446" w:type="pct"/>
                  <w:vMerge w:val="continue"/>
                  <w:noWrap w:val="0"/>
                  <w:vAlign w:val="center"/>
                </w:tcPr>
                <w:p w14:paraId="3890B810">
                  <w:pPr>
                    <w:adjustRightInd w:val="0"/>
                    <w:snapToGrid w:val="0"/>
                    <w:spacing w:line="240" w:lineRule="auto"/>
                    <w:jc w:val="center"/>
                    <w:rPr>
                      <w:rFonts w:hint="default" w:ascii="Times New Roman" w:hAnsi="Times New Roman" w:cs="Times New Roman"/>
                      <w:color w:val="auto"/>
                      <w:sz w:val="21"/>
                      <w:szCs w:val="21"/>
                      <w:highlight w:val="none"/>
                    </w:rPr>
                  </w:pPr>
                </w:p>
              </w:tc>
              <w:tc>
                <w:tcPr>
                  <w:tcW w:w="445" w:type="pct"/>
                  <w:vMerge w:val="continue"/>
                  <w:noWrap w:val="0"/>
                  <w:vAlign w:val="center"/>
                </w:tcPr>
                <w:p w14:paraId="5F88584D">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189493C7">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3DF25B4D">
                  <w:pPr>
                    <w:adjustRightInd w:val="0"/>
                    <w:snapToGrid w:val="0"/>
                    <w:spacing w:line="240" w:lineRule="auto"/>
                    <w:jc w:val="center"/>
                    <w:rPr>
                      <w:rFonts w:hint="default" w:ascii="Times New Roman" w:hAnsi="Times New Roman" w:cs="Times New Roman"/>
                      <w:color w:val="auto"/>
                      <w:sz w:val="21"/>
                      <w:szCs w:val="21"/>
                      <w:highlight w:val="none"/>
                    </w:rPr>
                  </w:pPr>
                </w:p>
              </w:tc>
              <w:tc>
                <w:tcPr>
                  <w:tcW w:w="292" w:type="pct"/>
                  <w:vMerge w:val="continue"/>
                  <w:noWrap w:val="0"/>
                  <w:vAlign w:val="center"/>
                </w:tcPr>
                <w:p w14:paraId="4071BB4C">
                  <w:pPr>
                    <w:adjustRightInd w:val="0"/>
                    <w:snapToGrid w:val="0"/>
                    <w:spacing w:line="240" w:lineRule="auto"/>
                    <w:jc w:val="center"/>
                    <w:rPr>
                      <w:rFonts w:hint="default" w:ascii="Times New Roman" w:hAnsi="Times New Roman" w:cs="Times New Roman"/>
                      <w:color w:val="auto"/>
                      <w:sz w:val="21"/>
                      <w:szCs w:val="21"/>
                      <w:highlight w:val="none"/>
                    </w:rPr>
                  </w:pPr>
                </w:p>
              </w:tc>
            </w:tr>
            <w:tr w14:paraId="1ED43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shd w:val="clear" w:color="auto" w:fill="auto"/>
                  <w:noWrap w:val="0"/>
                  <w:vAlign w:val="center"/>
                </w:tcPr>
                <w:p w14:paraId="5804288B">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14</w:t>
                  </w:r>
                </w:p>
              </w:tc>
              <w:tc>
                <w:tcPr>
                  <w:tcW w:w="708" w:type="pct"/>
                  <w:noWrap w:val="0"/>
                  <w:vAlign w:val="center"/>
                </w:tcPr>
                <w:p w14:paraId="29B454A3">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bidi="ar-SA"/>
                    </w:rPr>
                    <w:t>万能工具铣床</w:t>
                  </w:r>
                  <w:r>
                    <w:rPr>
                      <w:rFonts w:hint="default" w:ascii="Times New Roman" w:hAnsi="Times New Roman" w:cs="Times New Roman"/>
                      <w:color w:val="auto"/>
                      <w:kern w:val="0"/>
                      <w:sz w:val="21"/>
                      <w:szCs w:val="21"/>
                      <w:highlight w:val="none"/>
                      <w:lang w:val="en-US" w:eastAsia="zh-CN"/>
                    </w:rPr>
                    <w:t>（1台）</w:t>
                  </w:r>
                </w:p>
              </w:tc>
              <w:tc>
                <w:tcPr>
                  <w:tcW w:w="417" w:type="pct"/>
                  <w:noWrap w:val="0"/>
                  <w:vAlign w:val="center"/>
                </w:tcPr>
                <w:p w14:paraId="3ED99BD8">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36.83</w:t>
                  </w:r>
                </w:p>
              </w:tc>
              <w:tc>
                <w:tcPr>
                  <w:tcW w:w="415" w:type="pct"/>
                  <w:noWrap w:val="0"/>
                  <w:vAlign w:val="center"/>
                </w:tcPr>
                <w:p w14:paraId="6ED4CF10">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-19.67</w:t>
                  </w:r>
                </w:p>
              </w:tc>
              <w:tc>
                <w:tcPr>
                  <w:tcW w:w="286" w:type="pct"/>
                  <w:noWrap w:val="0"/>
                  <w:vAlign w:val="center"/>
                </w:tcPr>
                <w:p w14:paraId="5A9A5C1B">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504" w:type="pct"/>
                  <w:noWrap w:val="0"/>
                  <w:vAlign w:val="center"/>
                </w:tcPr>
                <w:p w14:paraId="02CC0C96">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80</w:t>
                  </w:r>
                </w:p>
              </w:tc>
              <w:tc>
                <w:tcPr>
                  <w:tcW w:w="382" w:type="pct"/>
                  <w:vMerge w:val="continue"/>
                  <w:noWrap w:val="0"/>
                  <w:vAlign w:val="center"/>
                </w:tcPr>
                <w:p w14:paraId="29B6BEA2">
                  <w:pPr>
                    <w:adjustRightInd w:val="0"/>
                    <w:snapToGrid w:val="0"/>
                    <w:spacing w:line="240" w:lineRule="auto"/>
                    <w:jc w:val="center"/>
                    <w:rPr>
                      <w:rFonts w:hint="default" w:ascii="Times New Roman" w:hAnsi="Times New Roman" w:cs="Times New Roman"/>
                      <w:color w:val="auto"/>
                      <w:sz w:val="21"/>
                      <w:szCs w:val="21"/>
                      <w:highlight w:val="none"/>
                    </w:rPr>
                  </w:pPr>
                </w:p>
              </w:tc>
              <w:tc>
                <w:tcPr>
                  <w:tcW w:w="446" w:type="pct"/>
                  <w:vMerge w:val="continue"/>
                  <w:noWrap w:val="0"/>
                  <w:vAlign w:val="center"/>
                </w:tcPr>
                <w:p w14:paraId="3FA60374">
                  <w:pPr>
                    <w:adjustRightInd w:val="0"/>
                    <w:snapToGrid w:val="0"/>
                    <w:spacing w:line="240" w:lineRule="auto"/>
                    <w:jc w:val="center"/>
                    <w:rPr>
                      <w:rFonts w:hint="default" w:ascii="Times New Roman" w:hAnsi="Times New Roman" w:cs="Times New Roman"/>
                      <w:color w:val="auto"/>
                      <w:sz w:val="21"/>
                      <w:szCs w:val="21"/>
                      <w:highlight w:val="none"/>
                    </w:rPr>
                  </w:pPr>
                </w:p>
              </w:tc>
              <w:tc>
                <w:tcPr>
                  <w:tcW w:w="445" w:type="pct"/>
                  <w:vMerge w:val="continue"/>
                  <w:noWrap w:val="0"/>
                  <w:vAlign w:val="center"/>
                </w:tcPr>
                <w:p w14:paraId="7CEDAB47">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2827E022">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13508844">
                  <w:pPr>
                    <w:adjustRightInd w:val="0"/>
                    <w:snapToGrid w:val="0"/>
                    <w:spacing w:line="240" w:lineRule="auto"/>
                    <w:jc w:val="center"/>
                    <w:rPr>
                      <w:rFonts w:hint="default" w:ascii="Times New Roman" w:hAnsi="Times New Roman" w:cs="Times New Roman"/>
                      <w:color w:val="auto"/>
                      <w:sz w:val="21"/>
                      <w:szCs w:val="21"/>
                      <w:highlight w:val="none"/>
                    </w:rPr>
                  </w:pPr>
                </w:p>
              </w:tc>
              <w:tc>
                <w:tcPr>
                  <w:tcW w:w="292" w:type="pct"/>
                  <w:vMerge w:val="continue"/>
                  <w:noWrap w:val="0"/>
                  <w:vAlign w:val="center"/>
                </w:tcPr>
                <w:p w14:paraId="755A75BA">
                  <w:pPr>
                    <w:adjustRightInd w:val="0"/>
                    <w:snapToGrid w:val="0"/>
                    <w:spacing w:line="240" w:lineRule="auto"/>
                    <w:jc w:val="center"/>
                    <w:rPr>
                      <w:rFonts w:hint="default" w:ascii="Times New Roman" w:hAnsi="Times New Roman" w:cs="Times New Roman"/>
                      <w:color w:val="auto"/>
                      <w:sz w:val="21"/>
                      <w:szCs w:val="21"/>
                      <w:highlight w:val="none"/>
                    </w:rPr>
                  </w:pPr>
                </w:p>
              </w:tc>
            </w:tr>
            <w:tr w14:paraId="5C94B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shd w:val="clear" w:color="auto" w:fill="auto"/>
                  <w:noWrap w:val="0"/>
                  <w:vAlign w:val="center"/>
                </w:tcPr>
                <w:p w14:paraId="3D3A96D8">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15</w:t>
                  </w:r>
                </w:p>
              </w:tc>
              <w:tc>
                <w:tcPr>
                  <w:tcW w:w="708" w:type="pct"/>
                  <w:noWrap w:val="0"/>
                  <w:vAlign w:val="center"/>
                </w:tcPr>
                <w:p w14:paraId="2C40C6B3">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bidi="ar-SA"/>
                    </w:rPr>
                    <w:t>数控车床</w:t>
                  </w:r>
                  <w:r>
                    <w:rPr>
                      <w:rFonts w:hint="default" w:ascii="Times New Roman" w:hAnsi="Times New Roman" w:cs="Times New Roman"/>
                      <w:color w:val="auto"/>
                      <w:kern w:val="0"/>
                      <w:sz w:val="21"/>
                      <w:szCs w:val="21"/>
                      <w:highlight w:val="none"/>
                      <w:lang w:val="en-US" w:eastAsia="zh-CN"/>
                    </w:rPr>
                    <w:t>（1台）</w:t>
                  </w:r>
                </w:p>
              </w:tc>
              <w:tc>
                <w:tcPr>
                  <w:tcW w:w="417" w:type="pct"/>
                  <w:noWrap w:val="0"/>
                  <w:vAlign w:val="center"/>
                </w:tcPr>
                <w:p w14:paraId="3460C6DB">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43.46</w:t>
                  </w:r>
                </w:p>
              </w:tc>
              <w:tc>
                <w:tcPr>
                  <w:tcW w:w="415" w:type="pct"/>
                  <w:noWrap w:val="0"/>
                  <w:vAlign w:val="center"/>
                </w:tcPr>
                <w:p w14:paraId="730E4813">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-21.70</w:t>
                  </w:r>
                </w:p>
              </w:tc>
              <w:tc>
                <w:tcPr>
                  <w:tcW w:w="286" w:type="pct"/>
                  <w:noWrap w:val="0"/>
                  <w:vAlign w:val="center"/>
                </w:tcPr>
                <w:p w14:paraId="31AEB5FF">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504" w:type="pct"/>
                  <w:noWrap w:val="0"/>
                  <w:vAlign w:val="center"/>
                </w:tcPr>
                <w:p w14:paraId="5A43F57F">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80</w:t>
                  </w:r>
                </w:p>
              </w:tc>
              <w:tc>
                <w:tcPr>
                  <w:tcW w:w="382" w:type="pct"/>
                  <w:vMerge w:val="continue"/>
                  <w:noWrap w:val="0"/>
                  <w:vAlign w:val="center"/>
                </w:tcPr>
                <w:p w14:paraId="1C39B8E4">
                  <w:pPr>
                    <w:adjustRightInd w:val="0"/>
                    <w:snapToGrid w:val="0"/>
                    <w:spacing w:line="240" w:lineRule="auto"/>
                    <w:jc w:val="center"/>
                    <w:rPr>
                      <w:rFonts w:hint="default" w:ascii="Times New Roman" w:hAnsi="Times New Roman" w:cs="Times New Roman"/>
                      <w:color w:val="auto"/>
                      <w:sz w:val="21"/>
                      <w:szCs w:val="21"/>
                      <w:highlight w:val="none"/>
                    </w:rPr>
                  </w:pPr>
                </w:p>
              </w:tc>
              <w:tc>
                <w:tcPr>
                  <w:tcW w:w="446" w:type="pct"/>
                  <w:vMerge w:val="continue"/>
                  <w:noWrap w:val="0"/>
                  <w:vAlign w:val="center"/>
                </w:tcPr>
                <w:p w14:paraId="0CDED072">
                  <w:pPr>
                    <w:adjustRightInd w:val="0"/>
                    <w:snapToGrid w:val="0"/>
                    <w:spacing w:line="240" w:lineRule="auto"/>
                    <w:jc w:val="center"/>
                    <w:rPr>
                      <w:rFonts w:hint="default" w:ascii="Times New Roman" w:hAnsi="Times New Roman" w:cs="Times New Roman"/>
                      <w:color w:val="auto"/>
                      <w:sz w:val="21"/>
                      <w:szCs w:val="21"/>
                      <w:highlight w:val="none"/>
                    </w:rPr>
                  </w:pPr>
                </w:p>
              </w:tc>
              <w:tc>
                <w:tcPr>
                  <w:tcW w:w="445" w:type="pct"/>
                  <w:vMerge w:val="continue"/>
                  <w:noWrap w:val="0"/>
                  <w:vAlign w:val="center"/>
                </w:tcPr>
                <w:p w14:paraId="3FAB6FAE">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55DB48C7">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537F524D">
                  <w:pPr>
                    <w:adjustRightInd w:val="0"/>
                    <w:snapToGrid w:val="0"/>
                    <w:spacing w:line="240" w:lineRule="auto"/>
                    <w:jc w:val="center"/>
                    <w:rPr>
                      <w:rFonts w:hint="default" w:ascii="Times New Roman" w:hAnsi="Times New Roman" w:cs="Times New Roman"/>
                      <w:color w:val="auto"/>
                      <w:sz w:val="21"/>
                      <w:szCs w:val="21"/>
                      <w:highlight w:val="none"/>
                    </w:rPr>
                  </w:pPr>
                </w:p>
              </w:tc>
              <w:tc>
                <w:tcPr>
                  <w:tcW w:w="292" w:type="pct"/>
                  <w:vMerge w:val="continue"/>
                  <w:noWrap w:val="0"/>
                  <w:vAlign w:val="center"/>
                </w:tcPr>
                <w:p w14:paraId="3C96AAFA">
                  <w:pPr>
                    <w:adjustRightInd w:val="0"/>
                    <w:snapToGrid w:val="0"/>
                    <w:spacing w:line="240" w:lineRule="auto"/>
                    <w:jc w:val="center"/>
                    <w:rPr>
                      <w:rFonts w:hint="default" w:ascii="Times New Roman" w:hAnsi="Times New Roman" w:cs="Times New Roman"/>
                      <w:color w:val="auto"/>
                      <w:sz w:val="21"/>
                      <w:szCs w:val="21"/>
                      <w:highlight w:val="none"/>
                    </w:rPr>
                  </w:pPr>
                </w:p>
              </w:tc>
            </w:tr>
            <w:tr w14:paraId="1E45C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shd w:val="clear" w:color="auto" w:fill="auto"/>
                  <w:noWrap w:val="0"/>
                  <w:vAlign w:val="center"/>
                </w:tcPr>
                <w:p w14:paraId="1B65F94C">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16</w:t>
                  </w:r>
                </w:p>
              </w:tc>
              <w:tc>
                <w:tcPr>
                  <w:tcW w:w="708" w:type="pct"/>
                  <w:noWrap w:val="0"/>
                  <w:vAlign w:val="center"/>
                </w:tcPr>
                <w:p w14:paraId="739E8A4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bidi="ar-SA"/>
                    </w:rPr>
                    <w:t>立式升降台铣床</w:t>
                  </w:r>
                  <w:r>
                    <w:rPr>
                      <w:rFonts w:hint="default" w:ascii="Times New Roman" w:hAnsi="Times New Roman" w:cs="Times New Roman"/>
                      <w:color w:val="auto"/>
                      <w:kern w:val="0"/>
                      <w:sz w:val="21"/>
                      <w:szCs w:val="21"/>
                      <w:highlight w:val="none"/>
                      <w:lang w:val="en-US" w:eastAsia="zh-CN"/>
                    </w:rPr>
                    <w:t>（1台）</w:t>
                  </w:r>
                </w:p>
              </w:tc>
              <w:tc>
                <w:tcPr>
                  <w:tcW w:w="417" w:type="pct"/>
                  <w:noWrap w:val="0"/>
                  <w:vAlign w:val="center"/>
                </w:tcPr>
                <w:p w14:paraId="30EB2EC1">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30.01</w:t>
                  </w:r>
                </w:p>
              </w:tc>
              <w:tc>
                <w:tcPr>
                  <w:tcW w:w="415" w:type="pct"/>
                  <w:noWrap w:val="0"/>
                  <w:vAlign w:val="center"/>
                </w:tcPr>
                <w:p w14:paraId="57356A6C">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-27.13</w:t>
                  </w:r>
                </w:p>
              </w:tc>
              <w:tc>
                <w:tcPr>
                  <w:tcW w:w="286" w:type="pct"/>
                  <w:noWrap w:val="0"/>
                  <w:vAlign w:val="center"/>
                </w:tcPr>
                <w:p w14:paraId="23FA1955">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504" w:type="pct"/>
                  <w:noWrap w:val="0"/>
                  <w:vAlign w:val="center"/>
                </w:tcPr>
                <w:p w14:paraId="32A33901">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80</w:t>
                  </w:r>
                </w:p>
              </w:tc>
              <w:tc>
                <w:tcPr>
                  <w:tcW w:w="382" w:type="pct"/>
                  <w:vMerge w:val="continue"/>
                  <w:noWrap w:val="0"/>
                  <w:vAlign w:val="center"/>
                </w:tcPr>
                <w:p w14:paraId="130D825D">
                  <w:pPr>
                    <w:adjustRightInd w:val="0"/>
                    <w:snapToGrid w:val="0"/>
                    <w:spacing w:line="240" w:lineRule="auto"/>
                    <w:jc w:val="center"/>
                    <w:rPr>
                      <w:rFonts w:hint="default" w:ascii="Times New Roman" w:hAnsi="Times New Roman" w:cs="Times New Roman"/>
                      <w:color w:val="auto"/>
                      <w:sz w:val="21"/>
                      <w:szCs w:val="21"/>
                      <w:highlight w:val="none"/>
                    </w:rPr>
                  </w:pPr>
                </w:p>
              </w:tc>
              <w:tc>
                <w:tcPr>
                  <w:tcW w:w="446" w:type="pct"/>
                  <w:vMerge w:val="continue"/>
                  <w:noWrap w:val="0"/>
                  <w:vAlign w:val="center"/>
                </w:tcPr>
                <w:p w14:paraId="67CF9E0E">
                  <w:pPr>
                    <w:adjustRightInd w:val="0"/>
                    <w:snapToGrid w:val="0"/>
                    <w:spacing w:line="240" w:lineRule="auto"/>
                    <w:jc w:val="center"/>
                    <w:rPr>
                      <w:rFonts w:hint="default" w:ascii="Times New Roman" w:hAnsi="Times New Roman" w:cs="Times New Roman"/>
                      <w:color w:val="auto"/>
                      <w:sz w:val="21"/>
                      <w:szCs w:val="21"/>
                      <w:highlight w:val="none"/>
                    </w:rPr>
                  </w:pPr>
                </w:p>
              </w:tc>
              <w:tc>
                <w:tcPr>
                  <w:tcW w:w="445" w:type="pct"/>
                  <w:vMerge w:val="continue"/>
                  <w:noWrap w:val="0"/>
                  <w:vAlign w:val="center"/>
                </w:tcPr>
                <w:p w14:paraId="4CD39E32">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25DF9D7E">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0A22E01F">
                  <w:pPr>
                    <w:adjustRightInd w:val="0"/>
                    <w:snapToGrid w:val="0"/>
                    <w:spacing w:line="240" w:lineRule="auto"/>
                    <w:jc w:val="center"/>
                    <w:rPr>
                      <w:rFonts w:hint="default" w:ascii="Times New Roman" w:hAnsi="Times New Roman" w:cs="Times New Roman"/>
                      <w:color w:val="auto"/>
                      <w:sz w:val="21"/>
                      <w:szCs w:val="21"/>
                      <w:highlight w:val="none"/>
                    </w:rPr>
                  </w:pPr>
                </w:p>
              </w:tc>
              <w:tc>
                <w:tcPr>
                  <w:tcW w:w="292" w:type="pct"/>
                  <w:vMerge w:val="continue"/>
                  <w:noWrap w:val="0"/>
                  <w:vAlign w:val="center"/>
                </w:tcPr>
                <w:p w14:paraId="47CA1C4C">
                  <w:pPr>
                    <w:adjustRightInd w:val="0"/>
                    <w:snapToGrid w:val="0"/>
                    <w:spacing w:line="240" w:lineRule="auto"/>
                    <w:jc w:val="center"/>
                    <w:rPr>
                      <w:rFonts w:hint="default" w:ascii="Times New Roman" w:hAnsi="Times New Roman" w:cs="Times New Roman"/>
                      <w:color w:val="auto"/>
                      <w:sz w:val="21"/>
                      <w:szCs w:val="21"/>
                      <w:highlight w:val="none"/>
                    </w:rPr>
                  </w:pPr>
                </w:p>
              </w:tc>
            </w:tr>
            <w:tr w14:paraId="1297F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noWrap w:val="0"/>
                  <w:vAlign w:val="center"/>
                </w:tcPr>
                <w:p w14:paraId="773C717D">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17</w:t>
                  </w:r>
                </w:p>
              </w:tc>
              <w:tc>
                <w:tcPr>
                  <w:tcW w:w="708" w:type="pct"/>
                  <w:noWrap w:val="0"/>
                  <w:vAlign w:val="center"/>
                </w:tcPr>
                <w:p w14:paraId="3511A85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bidi="ar-SA"/>
                    </w:rPr>
                    <w:t>电火花数控线切割机床</w:t>
                  </w:r>
                  <w:r>
                    <w:rPr>
                      <w:rFonts w:hint="default" w:ascii="Times New Roman" w:hAnsi="Times New Roman" w:cs="Times New Roman"/>
                      <w:color w:val="auto"/>
                      <w:kern w:val="0"/>
                      <w:sz w:val="21"/>
                      <w:szCs w:val="21"/>
                      <w:highlight w:val="none"/>
                      <w:lang w:val="en-US" w:eastAsia="zh-CN"/>
                    </w:rPr>
                    <w:t>（2台）</w:t>
                  </w:r>
                </w:p>
              </w:tc>
              <w:tc>
                <w:tcPr>
                  <w:tcW w:w="417" w:type="pct"/>
                  <w:noWrap w:val="0"/>
                  <w:vAlign w:val="center"/>
                </w:tcPr>
                <w:p w14:paraId="6169EFFE">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37.20</w:t>
                  </w:r>
                </w:p>
              </w:tc>
              <w:tc>
                <w:tcPr>
                  <w:tcW w:w="415" w:type="pct"/>
                  <w:noWrap w:val="0"/>
                  <w:vAlign w:val="center"/>
                </w:tcPr>
                <w:p w14:paraId="4082E37B">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-28.24</w:t>
                  </w:r>
                </w:p>
              </w:tc>
              <w:tc>
                <w:tcPr>
                  <w:tcW w:w="286" w:type="pct"/>
                  <w:noWrap w:val="0"/>
                  <w:vAlign w:val="center"/>
                </w:tcPr>
                <w:p w14:paraId="48988434">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504" w:type="pct"/>
                  <w:noWrap w:val="0"/>
                  <w:vAlign w:val="center"/>
                </w:tcPr>
                <w:p w14:paraId="6296DCA0">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90</w:t>
                  </w:r>
                </w:p>
              </w:tc>
              <w:tc>
                <w:tcPr>
                  <w:tcW w:w="382" w:type="pct"/>
                  <w:vMerge w:val="continue"/>
                  <w:noWrap w:val="0"/>
                  <w:vAlign w:val="center"/>
                </w:tcPr>
                <w:p w14:paraId="6DE4771D">
                  <w:pPr>
                    <w:adjustRightInd w:val="0"/>
                    <w:snapToGrid w:val="0"/>
                    <w:spacing w:line="240" w:lineRule="auto"/>
                    <w:jc w:val="center"/>
                    <w:rPr>
                      <w:rFonts w:hint="default" w:ascii="Times New Roman" w:hAnsi="Times New Roman" w:cs="Times New Roman"/>
                      <w:color w:val="auto"/>
                      <w:sz w:val="21"/>
                      <w:szCs w:val="21"/>
                      <w:highlight w:val="none"/>
                    </w:rPr>
                  </w:pPr>
                </w:p>
              </w:tc>
              <w:tc>
                <w:tcPr>
                  <w:tcW w:w="446" w:type="pct"/>
                  <w:vMerge w:val="continue"/>
                  <w:noWrap w:val="0"/>
                  <w:vAlign w:val="center"/>
                </w:tcPr>
                <w:p w14:paraId="06D7C18B">
                  <w:pPr>
                    <w:adjustRightInd w:val="0"/>
                    <w:snapToGrid w:val="0"/>
                    <w:spacing w:line="240" w:lineRule="auto"/>
                    <w:jc w:val="center"/>
                    <w:rPr>
                      <w:rFonts w:hint="default" w:ascii="Times New Roman" w:hAnsi="Times New Roman" w:cs="Times New Roman"/>
                      <w:color w:val="auto"/>
                      <w:sz w:val="21"/>
                      <w:szCs w:val="21"/>
                      <w:highlight w:val="none"/>
                    </w:rPr>
                  </w:pPr>
                </w:p>
              </w:tc>
              <w:tc>
                <w:tcPr>
                  <w:tcW w:w="445" w:type="pct"/>
                  <w:vMerge w:val="continue"/>
                  <w:noWrap w:val="0"/>
                  <w:vAlign w:val="center"/>
                </w:tcPr>
                <w:p w14:paraId="647757A7">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39F27EE0">
                  <w:pPr>
                    <w:adjustRightInd w:val="0"/>
                    <w:snapToGrid w:val="0"/>
                    <w:spacing w:line="240" w:lineRule="auto"/>
                    <w:jc w:val="center"/>
                    <w:rPr>
                      <w:rFonts w:hint="default" w:ascii="Times New Roman" w:hAnsi="Times New Roman" w:cs="Times New Roman"/>
                      <w:color w:val="auto"/>
                      <w:sz w:val="21"/>
                      <w:szCs w:val="21"/>
                      <w:highlight w:val="none"/>
                    </w:rPr>
                  </w:pPr>
                </w:p>
              </w:tc>
              <w:tc>
                <w:tcPr>
                  <w:tcW w:w="416" w:type="pct"/>
                  <w:vMerge w:val="continue"/>
                  <w:noWrap w:val="0"/>
                  <w:vAlign w:val="center"/>
                </w:tcPr>
                <w:p w14:paraId="6B7C8CB1">
                  <w:pPr>
                    <w:adjustRightInd w:val="0"/>
                    <w:snapToGrid w:val="0"/>
                    <w:spacing w:line="240" w:lineRule="auto"/>
                    <w:jc w:val="center"/>
                    <w:rPr>
                      <w:rFonts w:hint="default" w:ascii="Times New Roman" w:hAnsi="Times New Roman" w:cs="Times New Roman"/>
                      <w:color w:val="auto"/>
                      <w:sz w:val="21"/>
                      <w:szCs w:val="21"/>
                      <w:highlight w:val="none"/>
                    </w:rPr>
                  </w:pPr>
                </w:p>
              </w:tc>
              <w:tc>
                <w:tcPr>
                  <w:tcW w:w="292" w:type="pct"/>
                  <w:vMerge w:val="continue"/>
                  <w:noWrap w:val="0"/>
                  <w:vAlign w:val="center"/>
                </w:tcPr>
                <w:p w14:paraId="161B4641">
                  <w:pPr>
                    <w:adjustRightInd w:val="0"/>
                    <w:snapToGrid w:val="0"/>
                    <w:spacing w:line="240" w:lineRule="auto"/>
                    <w:jc w:val="center"/>
                    <w:rPr>
                      <w:rFonts w:hint="default" w:ascii="Times New Roman" w:hAnsi="Times New Roman" w:cs="Times New Roman"/>
                      <w:color w:val="auto"/>
                      <w:sz w:val="21"/>
                      <w:szCs w:val="21"/>
                      <w:highlight w:val="none"/>
                    </w:rPr>
                  </w:pPr>
                </w:p>
              </w:tc>
            </w:tr>
          </w:tbl>
          <w:p w14:paraId="630FE5BD">
            <w:pPr>
              <w:adjustRightInd w:val="0"/>
              <w:snapToGrid w:val="0"/>
              <w:spacing w:line="240" w:lineRule="auto"/>
              <w:jc w:val="center"/>
              <w:rPr>
                <w:rFonts w:hint="default" w:ascii="Times New Roman" w:hAnsi="Times New Roman" w:eastAsia="宋体" w:cs="Times New Roman"/>
                <w:b/>
                <w:color w:val="auto"/>
                <w:sz w:val="24"/>
                <w:szCs w:val="24"/>
                <w:highlight w:val="none"/>
                <w:lang w:eastAsia="zh-CN"/>
              </w:rPr>
            </w:pPr>
            <w:r>
              <w:rPr>
                <w:rFonts w:hint="default" w:ascii="Times New Roman" w:hAnsi="Times New Roman" w:cs="Times New Roman"/>
                <w:b/>
                <w:color w:val="auto"/>
                <w:sz w:val="24"/>
                <w:szCs w:val="24"/>
                <w:highlight w:val="none"/>
                <w:lang w:val="en-US" w:eastAsia="zh-CN"/>
              </w:rPr>
              <w:t>表4-</w:t>
            </w:r>
            <w:r>
              <w:rPr>
                <w:rFonts w:hint="eastAsia" w:cs="Times New Roman"/>
                <w:b/>
                <w:color w:val="auto"/>
                <w:sz w:val="24"/>
                <w:szCs w:val="24"/>
                <w:highlight w:val="none"/>
                <w:lang w:val="en-US" w:eastAsia="zh-CN"/>
              </w:rPr>
              <w:t>5</w:t>
            </w:r>
            <w:r>
              <w:rPr>
                <w:rFonts w:hint="default" w:ascii="Times New Roman" w:hAnsi="Times New Roman" w:cs="Times New Roman"/>
                <w:b/>
                <w:color w:val="auto"/>
                <w:sz w:val="24"/>
                <w:szCs w:val="24"/>
                <w:highlight w:val="none"/>
                <w:lang w:val="en-US" w:eastAsia="zh-CN"/>
              </w:rPr>
              <w:t xml:space="preserve">  主要</w:t>
            </w:r>
            <w:r>
              <w:rPr>
                <w:rFonts w:hint="default" w:ascii="Times New Roman" w:hAnsi="Times New Roman" w:cs="Times New Roman"/>
                <w:b/>
                <w:color w:val="auto"/>
                <w:sz w:val="24"/>
                <w:szCs w:val="24"/>
                <w:highlight w:val="none"/>
              </w:rPr>
              <w:t>噪声源强调查清单</w:t>
            </w:r>
            <w:r>
              <w:rPr>
                <w:rFonts w:hint="default" w:ascii="Times New Roman" w:hAnsi="Times New Roman" w:cs="Times New Roman"/>
                <w:b/>
                <w:color w:val="auto"/>
                <w:sz w:val="24"/>
                <w:szCs w:val="24"/>
                <w:highlight w:val="none"/>
                <w:lang w:eastAsia="zh-CN"/>
              </w:rPr>
              <w:t>（</w:t>
            </w:r>
            <w:r>
              <w:rPr>
                <w:rFonts w:hint="default" w:ascii="Times New Roman" w:hAnsi="Times New Roman" w:cs="Times New Roman"/>
                <w:b/>
                <w:color w:val="auto"/>
                <w:sz w:val="24"/>
                <w:szCs w:val="24"/>
                <w:highlight w:val="none"/>
                <w:lang w:val="en-US" w:eastAsia="zh-CN"/>
              </w:rPr>
              <w:t>室外</w:t>
            </w:r>
            <w:r>
              <w:rPr>
                <w:rFonts w:hint="default" w:ascii="Times New Roman" w:hAnsi="Times New Roman" w:cs="Times New Roman"/>
                <w:b/>
                <w:color w:val="auto"/>
                <w:sz w:val="24"/>
                <w:szCs w:val="24"/>
                <w:highlight w:val="none"/>
                <w:lang w:eastAsia="zh-CN"/>
              </w:rPr>
              <w:t>）</w:t>
            </w:r>
          </w:p>
          <w:tbl>
            <w:tblPr>
              <w:tblStyle w:val="35"/>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7"/>
              <w:gridCol w:w="1396"/>
              <w:gridCol w:w="983"/>
              <w:gridCol w:w="853"/>
              <w:gridCol w:w="924"/>
              <w:gridCol w:w="1413"/>
              <w:gridCol w:w="1041"/>
              <w:gridCol w:w="1042"/>
            </w:tblGrid>
            <w:tr w14:paraId="05E07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477" w:type="pct"/>
                  <w:vAlign w:val="center"/>
                </w:tcPr>
                <w:p w14:paraId="3D7188A3">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cs="Times New Roman"/>
                      <w:b w:val="0"/>
                      <w:bCs/>
                      <w:color w:val="auto"/>
                      <w:sz w:val="21"/>
                      <w:szCs w:val="21"/>
                      <w:highlight w:val="none"/>
                      <w:vertAlign w:val="baseline"/>
                      <w:lang w:val="en-US" w:eastAsia="zh-CN"/>
                    </w:rPr>
                    <w:t>序号</w:t>
                  </w:r>
                </w:p>
              </w:tc>
              <w:tc>
                <w:tcPr>
                  <w:tcW w:w="825" w:type="pct"/>
                  <w:vAlign w:val="center"/>
                </w:tcPr>
                <w:p w14:paraId="1BF6618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cs="Times New Roman"/>
                      <w:b w:val="0"/>
                      <w:bCs/>
                      <w:color w:val="auto"/>
                      <w:sz w:val="21"/>
                      <w:szCs w:val="21"/>
                      <w:highlight w:val="none"/>
                      <w:vertAlign w:val="baseline"/>
                      <w:lang w:val="en-US" w:eastAsia="zh-CN"/>
                    </w:rPr>
                    <w:t>声源名称</w:t>
                  </w:r>
                </w:p>
              </w:tc>
              <w:tc>
                <w:tcPr>
                  <w:tcW w:w="1631" w:type="pct"/>
                  <w:gridSpan w:val="3"/>
                  <w:vAlign w:val="center"/>
                </w:tcPr>
                <w:p w14:paraId="04406EE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cs="Times New Roman"/>
                      <w:b w:val="0"/>
                      <w:bCs/>
                      <w:color w:val="auto"/>
                      <w:sz w:val="21"/>
                      <w:szCs w:val="21"/>
                      <w:highlight w:val="none"/>
                      <w:vertAlign w:val="baseline"/>
                      <w:lang w:val="en-US" w:eastAsia="zh-CN"/>
                    </w:rPr>
                    <w:t>相对空间位置/m</w:t>
                  </w:r>
                </w:p>
              </w:tc>
              <w:tc>
                <w:tcPr>
                  <w:tcW w:w="835" w:type="pct"/>
                  <w:vAlign w:val="center"/>
                </w:tcPr>
                <w:p w14:paraId="44E9C07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cs="Times New Roman"/>
                      <w:b w:val="0"/>
                      <w:bCs/>
                      <w:color w:val="auto"/>
                      <w:sz w:val="21"/>
                      <w:szCs w:val="21"/>
                      <w:highlight w:val="none"/>
                      <w:vertAlign w:val="baseline"/>
                      <w:lang w:val="en-US" w:eastAsia="zh-CN"/>
                    </w:rPr>
                    <w:t>声源源强/dB/m</w:t>
                  </w:r>
                </w:p>
              </w:tc>
              <w:tc>
                <w:tcPr>
                  <w:tcW w:w="615" w:type="pct"/>
                  <w:vAlign w:val="center"/>
                </w:tcPr>
                <w:p w14:paraId="1624FCF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cs="Times New Roman"/>
                      <w:b w:val="0"/>
                      <w:bCs/>
                      <w:color w:val="auto"/>
                      <w:sz w:val="21"/>
                      <w:szCs w:val="21"/>
                      <w:highlight w:val="none"/>
                      <w:vertAlign w:val="baseline"/>
                      <w:lang w:val="en-US" w:eastAsia="zh-CN"/>
                    </w:rPr>
                    <w:t>声源控制措施</w:t>
                  </w:r>
                </w:p>
              </w:tc>
              <w:tc>
                <w:tcPr>
                  <w:tcW w:w="615" w:type="pct"/>
                  <w:vAlign w:val="center"/>
                </w:tcPr>
                <w:p w14:paraId="3F103A2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cs="Times New Roman"/>
                      <w:b w:val="0"/>
                      <w:bCs/>
                      <w:color w:val="auto"/>
                      <w:sz w:val="21"/>
                      <w:szCs w:val="21"/>
                      <w:highlight w:val="none"/>
                      <w:vertAlign w:val="baseline"/>
                      <w:lang w:val="en-US" w:eastAsia="zh-CN"/>
                    </w:rPr>
                    <w:t>运行时段</w:t>
                  </w:r>
                </w:p>
              </w:tc>
            </w:tr>
            <w:tr w14:paraId="5D3AF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7" w:type="pct"/>
                  <w:vAlign w:val="center"/>
                </w:tcPr>
                <w:p w14:paraId="7FCE47C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cs="Times New Roman"/>
                      <w:b w:val="0"/>
                      <w:bCs/>
                      <w:color w:val="auto"/>
                      <w:sz w:val="21"/>
                      <w:szCs w:val="21"/>
                      <w:highlight w:val="none"/>
                      <w:vertAlign w:val="baseline"/>
                      <w:lang w:val="en-US" w:eastAsia="zh-CN"/>
                    </w:rPr>
                    <w:t>1</w:t>
                  </w:r>
                </w:p>
              </w:tc>
              <w:tc>
                <w:tcPr>
                  <w:tcW w:w="825" w:type="pct"/>
                  <w:vAlign w:val="center"/>
                </w:tcPr>
                <w:p w14:paraId="75D9D1B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cs="Times New Roman"/>
                      <w:b w:val="0"/>
                      <w:bCs/>
                      <w:color w:val="auto"/>
                      <w:sz w:val="21"/>
                      <w:szCs w:val="21"/>
                      <w:highlight w:val="none"/>
                      <w:vertAlign w:val="baseline"/>
                      <w:lang w:val="en-US" w:eastAsia="zh-CN"/>
                    </w:rPr>
                    <w:t>喷淋塔</w:t>
                  </w:r>
                </w:p>
              </w:tc>
              <w:tc>
                <w:tcPr>
                  <w:tcW w:w="581" w:type="pct"/>
                  <w:vAlign w:val="center"/>
                </w:tcPr>
                <w:p w14:paraId="6E71DFA2">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eastAsia="宋体" w:cs="Times New Roman"/>
                      <w:b w:val="0"/>
                      <w:bCs/>
                      <w:color w:val="auto"/>
                      <w:sz w:val="21"/>
                      <w:szCs w:val="21"/>
                      <w:highlight w:val="none"/>
                      <w:vertAlign w:val="baseline"/>
                      <w:lang w:val="en-US" w:eastAsia="zh-CN"/>
                    </w:rPr>
                    <w:t>-73.62</w:t>
                  </w:r>
                </w:p>
              </w:tc>
              <w:tc>
                <w:tcPr>
                  <w:tcW w:w="504" w:type="pct"/>
                  <w:vAlign w:val="center"/>
                </w:tcPr>
                <w:p w14:paraId="5282759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eastAsia="宋体" w:cs="Times New Roman"/>
                      <w:b w:val="0"/>
                      <w:bCs/>
                      <w:color w:val="auto"/>
                      <w:sz w:val="21"/>
                      <w:szCs w:val="21"/>
                      <w:highlight w:val="none"/>
                      <w:vertAlign w:val="baseline"/>
                      <w:lang w:val="en-US" w:eastAsia="zh-CN"/>
                    </w:rPr>
                    <w:t>-28.48</w:t>
                  </w:r>
                </w:p>
              </w:tc>
              <w:tc>
                <w:tcPr>
                  <w:tcW w:w="546" w:type="pct"/>
                  <w:vAlign w:val="center"/>
                </w:tcPr>
                <w:p w14:paraId="68AA035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eastAsia="宋体" w:cs="Times New Roman"/>
                      <w:b w:val="0"/>
                      <w:bCs/>
                      <w:color w:val="auto"/>
                      <w:sz w:val="21"/>
                      <w:szCs w:val="21"/>
                      <w:highlight w:val="none"/>
                      <w:vertAlign w:val="baseline"/>
                      <w:lang w:val="en-US" w:eastAsia="zh-CN"/>
                    </w:rPr>
                    <w:t>1</w:t>
                  </w:r>
                </w:p>
              </w:tc>
              <w:tc>
                <w:tcPr>
                  <w:tcW w:w="835" w:type="pct"/>
                  <w:vAlign w:val="center"/>
                </w:tcPr>
                <w:p w14:paraId="59D9B79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cs="Times New Roman"/>
                      <w:b w:val="0"/>
                      <w:bCs/>
                      <w:color w:val="auto"/>
                      <w:sz w:val="21"/>
                      <w:szCs w:val="21"/>
                      <w:highlight w:val="none"/>
                      <w:vertAlign w:val="baseline"/>
                      <w:lang w:val="en-US" w:eastAsia="zh-CN"/>
                    </w:rPr>
                    <w:t>75</w:t>
                  </w:r>
                </w:p>
              </w:tc>
              <w:tc>
                <w:tcPr>
                  <w:tcW w:w="615" w:type="pct"/>
                  <w:vMerge w:val="restart"/>
                  <w:vAlign w:val="center"/>
                </w:tcPr>
                <w:p w14:paraId="4DC74F0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eastAsia="宋体" w:cs="Times New Roman"/>
                      <w:b w:val="0"/>
                      <w:bCs/>
                      <w:color w:val="auto"/>
                      <w:sz w:val="21"/>
                      <w:szCs w:val="21"/>
                      <w:highlight w:val="none"/>
                      <w:vertAlign w:val="baseline"/>
                      <w:lang w:val="en-US" w:eastAsia="zh-CN"/>
                    </w:rPr>
                    <w:t>距离衰减</w:t>
                  </w:r>
                </w:p>
              </w:tc>
              <w:tc>
                <w:tcPr>
                  <w:tcW w:w="615" w:type="pct"/>
                  <w:vMerge w:val="restart"/>
                  <w:vAlign w:val="center"/>
                </w:tcPr>
                <w:p w14:paraId="3931912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eastAsia="宋体" w:cs="Times New Roman"/>
                      <w:b w:val="0"/>
                      <w:bCs/>
                      <w:color w:val="auto"/>
                      <w:sz w:val="21"/>
                      <w:szCs w:val="21"/>
                      <w:highlight w:val="none"/>
                      <w:vertAlign w:val="baseline"/>
                      <w:lang w:val="en-US" w:eastAsia="zh-CN"/>
                    </w:rPr>
                    <w:t>24</w:t>
                  </w:r>
                </w:p>
              </w:tc>
            </w:tr>
            <w:tr w14:paraId="12047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7" w:type="pct"/>
                  <w:vAlign w:val="center"/>
                </w:tcPr>
                <w:p w14:paraId="712D2DCD">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cs="Times New Roman"/>
                      <w:b w:val="0"/>
                      <w:bCs/>
                      <w:color w:val="auto"/>
                      <w:sz w:val="21"/>
                      <w:szCs w:val="21"/>
                      <w:highlight w:val="none"/>
                      <w:vertAlign w:val="baseline"/>
                      <w:lang w:val="en-US" w:eastAsia="zh-CN"/>
                    </w:rPr>
                    <w:t>2</w:t>
                  </w:r>
                </w:p>
              </w:tc>
              <w:tc>
                <w:tcPr>
                  <w:tcW w:w="825" w:type="pct"/>
                  <w:vAlign w:val="center"/>
                </w:tcPr>
                <w:p w14:paraId="4BE5900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cs="Times New Roman"/>
                      <w:b w:val="0"/>
                      <w:bCs/>
                      <w:color w:val="auto"/>
                      <w:sz w:val="21"/>
                      <w:szCs w:val="21"/>
                      <w:highlight w:val="none"/>
                      <w:vertAlign w:val="baseline"/>
                      <w:lang w:val="en-US" w:eastAsia="zh-CN"/>
                    </w:rPr>
                    <w:t>水泵</w:t>
                  </w:r>
                </w:p>
              </w:tc>
              <w:tc>
                <w:tcPr>
                  <w:tcW w:w="581" w:type="pct"/>
                  <w:vAlign w:val="center"/>
                </w:tcPr>
                <w:p w14:paraId="6434664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eastAsia="宋体" w:cs="Times New Roman"/>
                      <w:b w:val="0"/>
                      <w:bCs/>
                      <w:color w:val="auto"/>
                      <w:sz w:val="21"/>
                      <w:szCs w:val="21"/>
                      <w:highlight w:val="none"/>
                      <w:vertAlign w:val="baseline"/>
                      <w:lang w:val="en-US" w:eastAsia="zh-CN"/>
                    </w:rPr>
                    <w:t>-69.18</w:t>
                  </w:r>
                </w:p>
              </w:tc>
              <w:tc>
                <w:tcPr>
                  <w:tcW w:w="504" w:type="pct"/>
                  <w:vAlign w:val="center"/>
                </w:tcPr>
                <w:p w14:paraId="716423D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eastAsia="宋体" w:cs="Times New Roman"/>
                      <w:b w:val="0"/>
                      <w:bCs/>
                      <w:color w:val="auto"/>
                      <w:sz w:val="21"/>
                      <w:szCs w:val="21"/>
                      <w:highlight w:val="none"/>
                      <w:vertAlign w:val="baseline"/>
                      <w:lang w:val="en-US" w:eastAsia="zh-CN"/>
                    </w:rPr>
                    <w:t>-15.55</w:t>
                  </w:r>
                </w:p>
              </w:tc>
              <w:tc>
                <w:tcPr>
                  <w:tcW w:w="546" w:type="pct"/>
                  <w:vAlign w:val="center"/>
                </w:tcPr>
                <w:p w14:paraId="2A8CB79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eastAsia="宋体" w:cs="Times New Roman"/>
                      <w:b w:val="0"/>
                      <w:bCs/>
                      <w:color w:val="auto"/>
                      <w:sz w:val="21"/>
                      <w:szCs w:val="21"/>
                      <w:highlight w:val="none"/>
                      <w:vertAlign w:val="baseline"/>
                      <w:lang w:val="en-US" w:eastAsia="zh-CN"/>
                    </w:rPr>
                    <w:t>1</w:t>
                  </w:r>
                </w:p>
              </w:tc>
              <w:tc>
                <w:tcPr>
                  <w:tcW w:w="835" w:type="pct"/>
                  <w:vAlign w:val="center"/>
                </w:tcPr>
                <w:p w14:paraId="0103A8C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r>
                    <w:rPr>
                      <w:rFonts w:hint="default" w:ascii="Times New Roman" w:hAnsi="Times New Roman" w:cs="Times New Roman"/>
                      <w:b w:val="0"/>
                      <w:bCs/>
                      <w:color w:val="auto"/>
                      <w:sz w:val="21"/>
                      <w:szCs w:val="21"/>
                      <w:highlight w:val="none"/>
                      <w:vertAlign w:val="baseline"/>
                      <w:lang w:val="en-US" w:eastAsia="zh-CN"/>
                    </w:rPr>
                    <w:t>70</w:t>
                  </w:r>
                </w:p>
              </w:tc>
              <w:tc>
                <w:tcPr>
                  <w:tcW w:w="615" w:type="pct"/>
                  <w:vMerge w:val="continue"/>
                  <w:vAlign w:val="center"/>
                </w:tcPr>
                <w:p w14:paraId="25A1037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p>
              </w:tc>
              <w:tc>
                <w:tcPr>
                  <w:tcW w:w="615" w:type="pct"/>
                  <w:vMerge w:val="continue"/>
                  <w:vAlign w:val="center"/>
                </w:tcPr>
                <w:p w14:paraId="5331270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p>
              </w:tc>
            </w:tr>
            <w:tr w14:paraId="34CBF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7" w:type="pct"/>
                  <w:vAlign w:val="center"/>
                </w:tcPr>
                <w:p w14:paraId="318D5F3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vertAlign w:val="baseline"/>
                      <w:lang w:val="en-US" w:eastAsia="zh-CN"/>
                    </w:rPr>
                  </w:pPr>
                  <w:r>
                    <w:rPr>
                      <w:rFonts w:hint="default" w:ascii="Times New Roman" w:hAnsi="Times New Roman" w:cs="Times New Roman"/>
                      <w:b w:val="0"/>
                      <w:bCs/>
                      <w:color w:val="auto"/>
                      <w:sz w:val="21"/>
                      <w:szCs w:val="21"/>
                      <w:highlight w:val="none"/>
                      <w:vertAlign w:val="baseline"/>
                      <w:lang w:val="en-US" w:eastAsia="zh-CN"/>
                    </w:rPr>
                    <w:t>3</w:t>
                  </w:r>
                </w:p>
              </w:tc>
              <w:tc>
                <w:tcPr>
                  <w:tcW w:w="825" w:type="pct"/>
                  <w:vAlign w:val="center"/>
                </w:tcPr>
                <w:p w14:paraId="7F9E79A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vertAlign w:val="baseline"/>
                      <w:lang w:val="en-US" w:eastAsia="zh-CN"/>
                    </w:rPr>
                  </w:pPr>
                  <w:r>
                    <w:rPr>
                      <w:rFonts w:hint="default" w:ascii="Times New Roman" w:hAnsi="Times New Roman" w:cs="Times New Roman"/>
                      <w:b w:val="0"/>
                      <w:bCs/>
                      <w:color w:val="auto"/>
                      <w:sz w:val="21"/>
                      <w:szCs w:val="21"/>
                      <w:highlight w:val="none"/>
                      <w:vertAlign w:val="baseline"/>
                      <w:lang w:val="en-US" w:eastAsia="zh-CN"/>
                    </w:rPr>
                    <w:t>风机</w:t>
                  </w:r>
                </w:p>
              </w:tc>
              <w:tc>
                <w:tcPr>
                  <w:tcW w:w="581" w:type="pct"/>
                  <w:vAlign w:val="center"/>
                </w:tcPr>
                <w:p w14:paraId="47CA21B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vertAlign w:val="baseline"/>
                      <w:lang w:val="en-US" w:eastAsia="zh-CN"/>
                    </w:rPr>
                  </w:pPr>
                  <w:r>
                    <w:rPr>
                      <w:rFonts w:hint="default" w:ascii="Times New Roman" w:hAnsi="Times New Roman" w:cs="Times New Roman"/>
                      <w:b w:val="0"/>
                      <w:bCs/>
                      <w:color w:val="auto"/>
                      <w:sz w:val="21"/>
                      <w:szCs w:val="21"/>
                      <w:highlight w:val="none"/>
                      <w:vertAlign w:val="baseline"/>
                      <w:lang w:val="en-US" w:eastAsia="zh-CN"/>
                    </w:rPr>
                    <w:t>-73.43</w:t>
                  </w:r>
                </w:p>
              </w:tc>
              <w:tc>
                <w:tcPr>
                  <w:tcW w:w="504" w:type="pct"/>
                  <w:vAlign w:val="center"/>
                </w:tcPr>
                <w:p w14:paraId="0F90985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vertAlign w:val="baseline"/>
                      <w:lang w:val="en-US" w:eastAsia="zh-CN"/>
                    </w:rPr>
                  </w:pPr>
                  <w:r>
                    <w:rPr>
                      <w:rFonts w:hint="default" w:ascii="Times New Roman" w:hAnsi="Times New Roman" w:cs="Times New Roman"/>
                      <w:b w:val="0"/>
                      <w:bCs/>
                      <w:color w:val="auto"/>
                      <w:sz w:val="21"/>
                      <w:szCs w:val="21"/>
                      <w:highlight w:val="none"/>
                      <w:vertAlign w:val="baseline"/>
                      <w:lang w:val="en-US" w:eastAsia="zh-CN"/>
                    </w:rPr>
                    <w:t>-26.63</w:t>
                  </w:r>
                </w:p>
              </w:tc>
              <w:tc>
                <w:tcPr>
                  <w:tcW w:w="546" w:type="pct"/>
                  <w:vAlign w:val="center"/>
                </w:tcPr>
                <w:p w14:paraId="6081713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vertAlign w:val="baseline"/>
                      <w:lang w:val="en-US" w:eastAsia="zh-CN"/>
                    </w:rPr>
                  </w:pPr>
                  <w:r>
                    <w:rPr>
                      <w:rFonts w:hint="default" w:ascii="Times New Roman" w:hAnsi="Times New Roman" w:cs="Times New Roman"/>
                      <w:b w:val="0"/>
                      <w:bCs/>
                      <w:color w:val="auto"/>
                      <w:sz w:val="21"/>
                      <w:szCs w:val="21"/>
                      <w:highlight w:val="none"/>
                      <w:vertAlign w:val="baseline"/>
                      <w:lang w:val="en-US" w:eastAsia="zh-CN"/>
                    </w:rPr>
                    <w:t>1</w:t>
                  </w:r>
                </w:p>
              </w:tc>
              <w:tc>
                <w:tcPr>
                  <w:tcW w:w="835" w:type="pct"/>
                  <w:vAlign w:val="center"/>
                </w:tcPr>
                <w:p w14:paraId="31626DE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vertAlign w:val="baseline"/>
                      <w:lang w:val="en-US" w:eastAsia="zh-CN"/>
                    </w:rPr>
                  </w:pPr>
                  <w:r>
                    <w:rPr>
                      <w:rFonts w:hint="default" w:ascii="Times New Roman" w:hAnsi="Times New Roman" w:cs="Times New Roman"/>
                      <w:b w:val="0"/>
                      <w:bCs/>
                      <w:color w:val="auto"/>
                      <w:sz w:val="21"/>
                      <w:szCs w:val="21"/>
                      <w:highlight w:val="none"/>
                      <w:vertAlign w:val="baseline"/>
                      <w:lang w:val="en-US" w:eastAsia="zh-CN"/>
                    </w:rPr>
                    <w:t>85</w:t>
                  </w:r>
                </w:p>
              </w:tc>
              <w:tc>
                <w:tcPr>
                  <w:tcW w:w="615" w:type="pct"/>
                  <w:vMerge w:val="continue"/>
                  <w:vAlign w:val="center"/>
                </w:tcPr>
                <w:p w14:paraId="26FE3FF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p>
              </w:tc>
              <w:tc>
                <w:tcPr>
                  <w:tcW w:w="615" w:type="pct"/>
                  <w:vMerge w:val="continue"/>
                  <w:vAlign w:val="center"/>
                </w:tcPr>
                <w:p w14:paraId="0E06223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vertAlign w:val="baseline"/>
                      <w:lang w:val="en-US" w:eastAsia="zh-CN"/>
                    </w:rPr>
                  </w:pPr>
                </w:p>
              </w:tc>
            </w:tr>
          </w:tbl>
          <w:p w14:paraId="40FAB88C">
            <w:pPr>
              <w:adjustRightInd w:val="0"/>
              <w:snapToGrid w:val="0"/>
              <w:spacing w:line="240" w:lineRule="auto"/>
              <w:jc w:val="center"/>
              <w:rPr>
                <w:rFonts w:hint="default" w:ascii="Times New Roman" w:hAnsi="Times New Roman" w:cs="Times New Roman"/>
                <w:b/>
                <w:color w:val="auto"/>
                <w:sz w:val="24"/>
                <w:szCs w:val="24"/>
                <w:highlight w:val="none"/>
              </w:rPr>
            </w:pPr>
            <w:r>
              <w:rPr>
                <w:rFonts w:hint="default" w:ascii="Times New Roman" w:hAnsi="Times New Roman" w:cs="Times New Roman"/>
                <w:b/>
                <w:color w:val="auto"/>
                <w:sz w:val="24"/>
                <w:szCs w:val="24"/>
                <w:highlight w:val="none"/>
              </w:rPr>
              <w:t>表4-</w:t>
            </w:r>
            <w:r>
              <w:rPr>
                <w:rFonts w:hint="eastAsia" w:cs="Times New Roman"/>
                <w:b/>
                <w:color w:val="auto"/>
                <w:sz w:val="24"/>
                <w:szCs w:val="24"/>
                <w:highlight w:val="none"/>
                <w:lang w:val="en-US" w:eastAsia="zh-CN"/>
              </w:rPr>
              <w:t>6</w:t>
            </w:r>
            <w:r>
              <w:rPr>
                <w:rFonts w:hint="default" w:ascii="Times New Roman" w:hAnsi="Times New Roman" w:cs="Times New Roman"/>
                <w:b/>
                <w:color w:val="auto"/>
                <w:sz w:val="24"/>
                <w:szCs w:val="24"/>
                <w:highlight w:val="none"/>
              </w:rPr>
              <w:t xml:space="preserve">  厂界噪声预测结果一览表</w:t>
            </w:r>
          </w:p>
          <w:tbl>
            <w:tblPr>
              <w:tblStyle w:val="34"/>
              <w:tblpPr w:leftFromText="180" w:rightFromText="180" w:vertAnchor="text" w:tblpXSpec="center" w:tblpY="1"/>
              <w:tblOverlap w:val="never"/>
              <w:tblW w:w="4995" w:type="pct"/>
              <w:tblInd w:w="0" w:type="dxa"/>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Layout w:type="autofit"/>
              <w:tblCellMar>
                <w:top w:w="0" w:type="dxa"/>
                <w:left w:w="108" w:type="dxa"/>
                <w:bottom w:w="0" w:type="dxa"/>
                <w:right w:w="108" w:type="dxa"/>
              </w:tblCellMar>
            </w:tblPr>
            <w:tblGrid>
              <w:gridCol w:w="2013"/>
              <w:gridCol w:w="743"/>
              <w:gridCol w:w="701"/>
              <w:gridCol w:w="711"/>
              <w:gridCol w:w="692"/>
              <w:gridCol w:w="804"/>
              <w:gridCol w:w="875"/>
              <w:gridCol w:w="981"/>
              <w:gridCol w:w="936"/>
            </w:tblGrid>
            <w:tr w14:paraId="61B8A51B">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108" w:type="dxa"/>
                  <w:bottom w:w="0" w:type="dxa"/>
                  <w:right w:w="108" w:type="dxa"/>
                </w:tblCellMar>
              </w:tblPrEx>
              <w:trPr>
                <w:trHeight w:val="217" w:hRule="atLeast"/>
              </w:trPr>
              <w:tc>
                <w:tcPr>
                  <w:tcW w:w="1205" w:type="pct"/>
                  <w:vMerge w:val="restart"/>
                  <w:noWrap/>
                  <w:vAlign w:val="center"/>
                </w:tcPr>
                <w:p w14:paraId="07C52560">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设备名称</w:t>
                  </w:r>
                </w:p>
              </w:tc>
              <w:tc>
                <w:tcPr>
                  <w:tcW w:w="454" w:type="pct"/>
                  <w:noWrap/>
                  <w:vAlign w:val="center"/>
                </w:tcPr>
                <w:p w14:paraId="2CE3D9E8">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昼间</w:t>
                  </w:r>
                </w:p>
              </w:tc>
              <w:tc>
                <w:tcPr>
                  <w:tcW w:w="429" w:type="pct"/>
                  <w:noWrap/>
                  <w:vAlign w:val="center"/>
                </w:tcPr>
                <w:p w14:paraId="49D42BB9">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夜间</w:t>
                  </w:r>
                </w:p>
              </w:tc>
              <w:tc>
                <w:tcPr>
                  <w:tcW w:w="435" w:type="pct"/>
                  <w:noWrap/>
                  <w:vAlign w:val="center"/>
                </w:tcPr>
                <w:p w14:paraId="38D9A36F">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昼间</w:t>
                  </w:r>
                </w:p>
              </w:tc>
              <w:tc>
                <w:tcPr>
                  <w:tcW w:w="423" w:type="pct"/>
                  <w:noWrap/>
                  <w:vAlign w:val="center"/>
                </w:tcPr>
                <w:p w14:paraId="3B6ACADE">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夜间</w:t>
                  </w:r>
                </w:p>
              </w:tc>
              <w:tc>
                <w:tcPr>
                  <w:tcW w:w="490" w:type="pct"/>
                  <w:noWrap/>
                  <w:vAlign w:val="center"/>
                </w:tcPr>
                <w:p w14:paraId="3A0F699B">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昼间</w:t>
                  </w:r>
                </w:p>
              </w:tc>
              <w:tc>
                <w:tcPr>
                  <w:tcW w:w="529" w:type="pct"/>
                  <w:noWrap/>
                  <w:vAlign w:val="center"/>
                </w:tcPr>
                <w:p w14:paraId="3D684942">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夜间</w:t>
                  </w:r>
                </w:p>
              </w:tc>
              <w:tc>
                <w:tcPr>
                  <w:tcW w:w="527" w:type="pct"/>
                  <w:noWrap/>
                  <w:vAlign w:val="center"/>
                </w:tcPr>
                <w:p w14:paraId="51822638">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昼间</w:t>
                  </w:r>
                </w:p>
              </w:tc>
              <w:tc>
                <w:tcPr>
                  <w:tcW w:w="503" w:type="pct"/>
                  <w:noWrap/>
                  <w:vAlign w:val="center"/>
                </w:tcPr>
                <w:p w14:paraId="0BC3B853">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夜间</w:t>
                  </w:r>
                </w:p>
              </w:tc>
            </w:tr>
            <w:tr w14:paraId="5B6E8A1C">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1205" w:type="pct"/>
                  <w:vMerge w:val="continue"/>
                  <w:noWrap/>
                  <w:vAlign w:val="center"/>
                </w:tcPr>
                <w:p w14:paraId="0A183665">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883" w:type="pct"/>
                  <w:gridSpan w:val="2"/>
                  <w:noWrap/>
                  <w:vAlign w:val="center"/>
                </w:tcPr>
                <w:p w14:paraId="323EC7AB">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东侧</w:t>
                  </w:r>
                </w:p>
              </w:tc>
              <w:tc>
                <w:tcPr>
                  <w:tcW w:w="859" w:type="pct"/>
                  <w:gridSpan w:val="2"/>
                  <w:noWrap/>
                  <w:vAlign w:val="center"/>
                </w:tcPr>
                <w:p w14:paraId="542139E3">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西侧</w:t>
                  </w:r>
                </w:p>
              </w:tc>
              <w:tc>
                <w:tcPr>
                  <w:tcW w:w="1020" w:type="pct"/>
                  <w:gridSpan w:val="2"/>
                  <w:noWrap/>
                  <w:vAlign w:val="center"/>
                </w:tcPr>
                <w:p w14:paraId="4FE67EEC">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南侧</w:t>
                  </w:r>
                </w:p>
              </w:tc>
              <w:tc>
                <w:tcPr>
                  <w:tcW w:w="1030" w:type="pct"/>
                  <w:gridSpan w:val="2"/>
                  <w:tcBorders>
                    <w:right w:val="single" w:color="auto" w:sz="4" w:space="0"/>
                  </w:tcBorders>
                  <w:noWrap/>
                  <w:vAlign w:val="center"/>
                </w:tcPr>
                <w:p w14:paraId="3063A6C6">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北侧</w:t>
                  </w:r>
                </w:p>
              </w:tc>
            </w:tr>
            <w:tr w14:paraId="2674A397">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108" w:type="dxa"/>
                  <w:bottom w:w="0" w:type="dxa"/>
                  <w:right w:w="108" w:type="dxa"/>
                </w:tblCellMar>
              </w:tblPrEx>
              <w:trPr>
                <w:trHeight w:val="274" w:hRule="atLeast"/>
              </w:trPr>
              <w:tc>
                <w:tcPr>
                  <w:tcW w:w="1205" w:type="pct"/>
                  <w:noWrap/>
                  <w:vAlign w:val="center"/>
                </w:tcPr>
                <w:p w14:paraId="2213EF6A">
                  <w:pPr>
                    <w:adjustRightInd w:val="0"/>
                    <w:snapToGrid w:val="0"/>
                    <w:spacing w:line="240" w:lineRule="auto"/>
                    <w:ind w:firstLine="0" w:firstLineChars="0"/>
                    <w:jc w:val="center"/>
                    <w:rPr>
                      <w:rFonts w:hint="default" w:ascii="Times New Roman" w:hAnsi="Times New Roman" w:cs="Times New Roman"/>
                      <w:bCs/>
                      <w:color w:val="000000" w:themeColor="text1"/>
                      <w:sz w:val="21"/>
                      <w:szCs w:val="21"/>
                      <w:highlight w:val="none"/>
                      <w14:textFill>
                        <w14:solidFill>
                          <w14:schemeClr w14:val="tx1"/>
                        </w14:solidFill>
                      </w14:textFill>
                    </w:rPr>
                  </w:pPr>
                  <w:r>
                    <w:rPr>
                      <w:rFonts w:hint="default" w:ascii="Times New Roman" w:hAnsi="Times New Roman" w:cs="Times New Roman"/>
                      <w:bCs/>
                      <w:color w:val="000000" w:themeColor="text1"/>
                      <w:sz w:val="21"/>
                      <w:szCs w:val="21"/>
                      <w:highlight w:val="none"/>
                      <w14:textFill>
                        <w14:solidFill>
                          <w14:schemeClr w14:val="tx1"/>
                        </w14:solidFill>
                      </w14:textFill>
                    </w:rPr>
                    <w:t>设备贡献值叠加后</w:t>
                  </w:r>
                </w:p>
              </w:tc>
              <w:tc>
                <w:tcPr>
                  <w:tcW w:w="454" w:type="pct"/>
                  <w:noWrap/>
                  <w:vAlign w:val="center"/>
                </w:tcPr>
                <w:p w14:paraId="082F85D8">
                  <w:pPr>
                    <w:adjustRightInd w:val="0"/>
                    <w:snapToGrid w:val="0"/>
                    <w:spacing w:line="240"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auto"/>
                      <w:sz w:val="21"/>
                      <w:szCs w:val="21"/>
                      <w:highlight w:val="none"/>
                      <w:lang w:val="en-US" w:eastAsia="zh-CN"/>
                    </w:rPr>
                    <w:t>29.87</w:t>
                  </w:r>
                </w:p>
              </w:tc>
              <w:tc>
                <w:tcPr>
                  <w:tcW w:w="429" w:type="pct"/>
                  <w:noWrap/>
                  <w:vAlign w:val="center"/>
                </w:tcPr>
                <w:p w14:paraId="6AA7E138">
                  <w:pPr>
                    <w:adjustRightInd w:val="0"/>
                    <w:snapToGrid w:val="0"/>
                    <w:spacing w:line="240"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auto"/>
                      <w:sz w:val="21"/>
                      <w:szCs w:val="21"/>
                      <w:highlight w:val="none"/>
                      <w:lang w:val="en-US" w:eastAsia="zh-CN"/>
                    </w:rPr>
                    <w:t>29.87</w:t>
                  </w:r>
                </w:p>
              </w:tc>
              <w:tc>
                <w:tcPr>
                  <w:tcW w:w="435" w:type="pct"/>
                  <w:noWrap/>
                  <w:vAlign w:val="center"/>
                </w:tcPr>
                <w:p w14:paraId="645E665E">
                  <w:pPr>
                    <w:adjustRightInd w:val="0"/>
                    <w:snapToGrid w:val="0"/>
                    <w:spacing w:line="240"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auto"/>
                      <w:sz w:val="21"/>
                      <w:szCs w:val="21"/>
                      <w:highlight w:val="none"/>
                      <w:lang w:val="en-US" w:eastAsia="zh-CN"/>
                    </w:rPr>
                    <w:t>43.44</w:t>
                  </w:r>
                </w:p>
              </w:tc>
              <w:tc>
                <w:tcPr>
                  <w:tcW w:w="423" w:type="pct"/>
                  <w:noWrap/>
                  <w:vAlign w:val="center"/>
                </w:tcPr>
                <w:p w14:paraId="1AE5513E">
                  <w:pPr>
                    <w:adjustRightInd w:val="0"/>
                    <w:snapToGrid w:val="0"/>
                    <w:spacing w:line="240"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auto"/>
                      <w:sz w:val="21"/>
                      <w:szCs w:val="21"/>
                      <w:highlight w:val="none"/>
                      <w:lang w:val="en-US" w:eastAsia="zh-CN"/>
                    </w:rPr>
                    <w:t>43.44</w:t>
                  </w:r>
                </w:p>
              </w:tc>
              <w:tc>
                <w:tcPr>
                  <w:tcW w:w="490" w:type="pct"/>
                  <w:noWrap/>
                  <w:vAlign w:val="center"/>
                </w:tcPr>
                <w:p w14:paraId="7A5004EF">
                  <w:pPr>
                    <w:adjustRightInd w:val="0"/>
                    <w:snapToGrid w:val="0"/>
                    <w:spacing w:line="240"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auto"/>
                      <w:sz w:val="21"/>
                      <w:szCs w:val="21"/>
                      <w:highlight w:val="none"/>
                      <w:lang w:val="en-US" w:eastAsia="zh-CN"/>
                    </w:rPr>
                    <w:t>46.36</w:t>
                  </w:r>
                </w:p>
              </w:tc>
              <w:tc>
                <w:tcPr>
                  <w:tcW w:w="529" w:type="pct"/>
                  <w:noWrap/>
                  <w:vAlign w:val="center"/>
                </w:tcPr>
                <w:p w14:paraId="647A0CF9">
                  <w:pPr>
                    <w:adjustRightInd w:val="0"/>
                    <w:snapToGrid w:val="0"/>
                    <w:spacing w:line="240"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auto"/>
                      <w:sz w:val="21"/>
                      <w:szCs w:val="21"/>
                      <w:highlight w:val="none"/>
                      <w:lang w:val="en-US" w:eastAsia="zh-CN"/>
                    </w:rPr>
                    <w:t>46.36</w:t>
                  </w:r>
                </w:p>
              </w:tc>
              <w:tc>
                <w:tcPr>
                  <w:tcW w:w="527" w:type="pct"/>
                  <w:tcBorders>
                    <w:right w:val="single" w:color="auto" w:sz="4" w:space="0"/>
                  </w:tcBorders>
                  <w:noWrap/>
                  <w:vAlign w:val="center"/>
                </w:tcPr>
                <w:p w14:paraId="3D960E43">
                  <w:pPr>
                    <w:adjustRightInd w:val="0"/>
                    <w:snapToGrid w:val="0"/>
                    <w:spacing w:line="240"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auto"/>
                      <w:sz w:val="21"/>
                      <w:szCs w:val="21"/>
                      <w:highlight w:val="none"/>
                      <w:lang w:val="en-US" w:eastAsia="zh-CN"/>
                    </w:rPr>
                    <w:t>26.16</w:t>
                  </w:r>
                </w:p>
              </w:tc>
              <w:tc>
                <w:tcPr>
                  <w:tcW w:w="503" w:type="pct"/>
                  <w:tcBorders>
                    <w:right w:val="single" w:color="auto" w:sz="4" w:space="0"/>
                  </w:tcBorders>
                  <w:noWrap/>
                  <w:vAlign w:val="center"/>
                </w:tcPr>
                <w:p w14:paraId="6ECC5469">
                  <w:pPr>
                    <w:adjustRightInd w:val="0"/>
                    <w:snapToGrid w:val="0"/>
                    <w:spacing w:line="240"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auto"/>
                      <w:sz w:val="21"/>
                      <w:szCs w:val="21"/>
                      <w:highlight w:val="none"/>
                      <w:lang w:val="en-US" w:eastAsia="zh-CN"/>
                    </w:rPr>
                    <w:t>26.16</w:t>
                  </w:r>
                </w:p>
              </w:tc>
            </w:tr>
            <w:tr w14:paraId="1E8AC1B4">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108" w:type="dxa"/>
                  <w:bottom w:w="0" w:type="dxa"/>
                  <w:right w:w="108" w:type="dxa"/>
                </w:tblCellMar>
              </w:tblPrEx>
              <w:trPr>
                <w:trHeight w:val="269" w:hRule="atLeast"/>
              </w:trPr>
              <w:tc>
                <w:tcPr>
                  <w:tcW w:w="1205" w:type="pct"/>
                  <w:tcBorders>
                    <w:bottom w:val="single" w:color="auto" w:sz="4" w:space="0"/>
                  </w:tcBorders>
                  <w:noWrap/>
                  <w:vAlign w:val="center"/>
                </w:tcPr>
                <w:p w14:paraId="7A9475D1">
                  <w:pPr>
                    <w:adjustRightInd w:val="0"/>
                    <w:snapToGrid w:val="0"/>
                    <w:spacing w:line="240" w:lineRule="auto"/>
                    <w:ind w:firstLine="0" w:firstLineChars="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现状监测值</w:t>
                  </w:r>
                </w:p>
              </w:tc>
              <w:tc>
                <w:tcPr>
                  <w:tcW w:w="454" w:type="pct"/>
                  <w:noWrap/>
                  <w:vAlign w:val="center"/>
                </w:tcPr>
                <w:p w14:paraId="0FC7CFA3">
                  <w:pPr>
                    <w:pStyle w:val="101"/>
                    <w:snapToGrid w:val="0"/>
                    <w:spacing w:line="240" w:lineRule="auto"/>
                    <w:ind w:firstLine="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56.9</w:t>
                  </w:r>
                </w:p>
              </w:tc>
              <w:tc>
                <w:tcPr>
                  <w:tcW w:w="429" w:type="pct"/>
                  <w:noWrap/>
                  <w:vAlign w:val="center"/>
                </w:tcPr>
                <w:p w14:paraId="4D6FC332">
                  <w:pPr>
                    <w:pStyle w:val="101"/>
                    <w:snapToGrid w:val="0"/>
                    <w:spacing w:line="240" w:lineRule="auto"/>
                    <w:ind w:firstLine="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w:t>
                  </w:r>
                </w:p>
              </w:tc>
              <w:tc>
                <w:tcPr>
                  <w:tcW w:w="435" w:type="pct"/>
                  <w:noWrap/>
                  <w:vAlign w:val="center"/>
                </w:tcPr>
                <w:p w14:paraId="1A0ABBB9">
                  <w:pPr>
                    <w:pStyle w:val="101"/>
                    <w:snapToGrid w:val="0"/>
                    <w:spacing w:line="240" w:lineRule="auto"/>
                    <w:ind w:firstLine="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58.2</w:t>
                  </w:r>
                </w:p>
              </w:tc>
              <w:tc>
                <w:tcPr>
                  <w:tcW w:w="423" w:type="pct"/>
                  <w:noWrap/>
                  <w:vAlign w:val="center"/>
                </w:tcPr>
                <w:p w14:paraId="274D0464">
                  <w:pPr>
                    <w:pStyle w:val="101"/>
                    <w:snapToGrid w:val="0"/>
                    <w:spacing w:line="240" w:lineRule="auto"/>
                    <w:ind w:firstLine="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w:t>
                  </w:r>
                </w:p>
              </w:tc>
              <w:tc>
                <w:tcPr>
                  <w:tcW w:w="490" w:type="pct"/>
                  <w:noWrap/>
                  <w:vAlign w:val="center"/>
                </w:tcPr>
                <w:p w14:paraId="7B40A096">
                  <w:pPr>
                    <w:pStyle w:val="101"/>
                    <w:snapToGrid w:val="0"/>
                    <w:spacing w:line="240" w:lineRule="auto"/>
                    <w:ind w:firstLine="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56.2</w:t>
                  </w:r>
                </w:p>
              </w:tc>
              <w:tc>
                <w:tcPr>
                  <w:tcW w:w="529" w:type="pct"/>
                  <w:noWrap/>
                  <w:vAlign w:val="center"/>
                </w:tcPr>
                <w:p w14:paraId="0DDDC179">
                  <w:pPr>
                    <w:pStyle w:val="101"/>
                    <w:snapToGrid w:val="0"/>
                    <w:spacing w:line="240" w:lineRule="auto"/>
                    <w:ind w:firstLine="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w:t>
                  </w:r>
                </w:p>
              </w:tc>
              <w:tc>
                <w:tcPr>
                  <w:tcW w:w="527" w:type="pct"/>
                  <w:tcBorders>
                    <w:right w:val="single" w:color="auto" w:sz="4" w:space="0"/>
                  </w:tcBorders>
                  <w:noWrap/>
                  <w:vAlign w:val="center"/>
                </w:tcPr>
                <w:p w14:paraId="26F36396">
                  <w:pPr>
                    <w:pStyle w:val="101"/>
                    <w:snapToGrid w:val="0"/>
                    <w:spacing w:line="240" w:lineRule="auto"/>
                    <w:ind w:firstLine="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67.6</w:t>
                  </w:r>
                </w:p>
              </w:tc>
              <w:tc>
                <w:tcPr>
                  <w:tcW w:w="503" w:type="pct"/>
                  <w:tcBorders>
                    <w:right w:val="single" w:color="auto" w:sz="4" w:space="0"/>
                  </w:tcBorders>
                  <w:noWrap/>
                  <w:vAlign w:val="center"/>
                </w:tcPr>
                <w:p w14:paraId="3BF6F2FF">
                  <w:pPr>
                    <w:pStyle w:val="101"/>
                    <w:snapToGrid w:val="0"/>
                    <w:spacing w:line="240" w:lineRule="auto"/>
                    <w:ind w:firstLine="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w:t>
                  </w:r>
                </w:p>
              </w:tc>
            </w:tr>
            <w:tr w14:paraId="06F50FA8">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108" w:type="dxa"/>
                  <w:bottom w:w="0" w:type="dxa"/>
                  <w:right w:w="108" w:type="dxa"/>
                </w:tblCellMar>
              </w:tblPrEx>
              <w:trPr>
                <w:trHeight w:val="221" w:hRule="atLeast"/>
              </w:trPr>
              <w:tc>
                <w:tcPr>
                  <w:tcW w:w="1205" w:type="pct"/>
                  <w:tcBorders>
                    <w:bottom w:val="single" w:color="auto" w:sz="4" w:space="0"/>
                  </w:tcBorders>
                  <w:noWrap/>
                  <w:vAlign w:val="center"/>
                </w:tcPr>
                <w:p w14:paraId="46FBF817">
                  <w:pPr>
                    <w:adjustRightInd w:val="0"/>
                    <w:snapToGrid w:val="0"/>
                    <w:spacing w:line="240" w:lineRule="auto"/>
                    <w:ind w:firstLine="0" w:firstLineChars="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预测值</w:t>
                  </w:r>
                </w:p>
              </w:tc>
              <w:tc>
                <w:tcPr>
                  <w:tcW w:w="454" w:type="pct"/>
                  <w:noWrap/>
                  <w:vAlign w:val="center"/>
                </w:tcPr>
                <w:p w14:paraId="01AB8015">
                  <w:pPr>
                    <w:pStyle w:val="101"/>
                    <w:snapToGrid w:val="0"/>
                    <w:spacing w:line="240" w:lineRule="auto"/>
                    <w:ind w:firstLine="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56.91</w:t>
                  </w:r>
                </w:p>
              </w:tc>
              <w:tc>
                <w:tcPr>
                  <w:tcW w:w="429" w:type="pct"/>
                  <w:noWrap/>
                  <w:vAlign w:val="center"/>
                </w:tcPr>
                <w:p w14:paraId="0B60EFA4">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auto"/>
                      <w:sz w:val="21"/>
                      <w:szCs w:val="21"/>
                      <w:highlight w:val="none"/>
                      <w:lang w:val="en-US" w:eastAsia="zh-CN"/>
                    </w:rPr>
                    <w:t>29.87</w:t>
                  </w:r>
                </w:p>
              </w:tc>
              <w:tc>
                <w:tcPr>
                  <w:tcW w:w="435" w:type="pct"/>
                  <w:noWrap/>
                  <w:vAlign w:val="center"/>
                </w:tcPr>
                <w:p w14:paraId="0F58FE1D">
                  <w:pPr>
                    <w:pStyle w:val="101"/>
                    <w:snapToGrid w:val="0"/>
                    <w:spacing w:line="240" w:lineRule="auto"/>
                    <w:ind w:firstLine="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58.34</w:t>
                  </w:r>
                </w:p>
              </w:tc>
              <w:tc>
                <w:tcPr>
                  <w:tcW w:w="423" w:type="pct"/>
                  <w:noWrap/>
                  <w:vAlign w:val="center"/>
                </w:tcPr>
                <w:p w14:paraId="33E0FEF5">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auto"/>
                      <w:sz w:val="21"/>
                      <w:szCs w:val="21"/>
                      <w:highlight w:val="none"/>
                      <w:lang w:val="en-US" w:eastAsia="zh-CN"/>
                    </w:rPr>
                    <w:t>43.44</w:t>
                  </w:r>
                </w:p>
              </w:tc>
              <w:tc>
                <w:tcPr>
                  <w:tcW w:w="490" w:type="pct"/>
                  <w:noWrap/>
                  <w:vAlign w:val="center"/>
                </w:tcPr>
                <w:p w14:paraId="3F4AFBB8">
                  <w:pPr>
                    <w:pStyle w:val="101"/>
                    <w:snapToGrid w:val="0"/>
                    <w:spacing w:line="240" w:lineRule="auto"/>
                    <w:ind w:firstLine="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56.63</w:t>
                  </w:r>
                </w:p>
              </w:tc>
              <w:tc>
                <w:tcPr>
                  <w:tcW w:w="529" w:type="pct"/>
                  <w:tcBorders>
                    <w:right w:val="single" w:color="auto" w:sz="4" w:space="0"/>
                  </w:tcBorders>
                  <w:noWrap/>
                  <w:vAlign w:val="center"/>
                </w:tcPr>
                <w:p w14:paraId="6971B30F">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auto"/>
                      <w:sz w:val="21"/>
                      <w:szCs w:val="21"/>
                      <w:highlight w:val="none"/>
                      <w:lang w:val="en-US" w:eastAsia="zh-CN"/>
                    </w:rPr>
                    <w:t>46.36</w:t>
                  </w:r>
                </w:p>
              </w:tc>
              <w:tc>
                <w:tcPr>
                  <w:tcW w:w="527" w:type="pct"/>
                  <w:tcBorders>
                    <w:left w:val="single" w:color="auto" w:sz="4" w:space="0"/>
                    <w:right w:val="single" w:color="auto" w:sz="4" w:space="0"/>
                  </w:tcBorders>
                  <w:noWrap/>
                  <w:vAlign w:val="center"/>
                </w:tcPr>
                <w:p w14:paraId="4735908A">
                  <w:pPr>
                    <w:pStyle w:val="101"/>
                    <w:snapToGrid w:val="0"/>
                    <w:spacing w:line="240" w:lineRule="auto"/>
                    <w:ind w:firstLine="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67.6</w:t>
                  </w:r>
                </w:p>
              </w:tc>
              <w:tc>
                <w:tcPr>
                  <w:tcW w:w="503" w:type="pct"/>
                  <w:tcBorders>
                    <w:right w:val="single" w:color="auto" w:sz="4" w:space="0"/>
                  </w:tcBorders>
                  <w:noWrap/>
                  <w:vAlign w:val="center"/>
                </w:tcPr>
                <w:p w14:paraId="4E2B5EF6">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auto"/>
                      <w:sz w:val="21"/>
                      <w:szCs w:val="21"/>
                      <w:highlight w:val="none"/>
                      <w:lang w:val="en-US" w:eastAsia="zh-CN"/>
                    </w:rPr>
                    <w:t>26.16</w:t>
                  </w:r>
                </w:p>
              </w:tc>
            </w:tr>
            <w:tr w14:paraId="763D486B">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108" w:type="dxa"/>
                  <w:bottom w:w="0" w:type="dxa"/>
                  <w:right w:w="108" w:type="dxa"/>
                </w:tblCellMar>
              </w:tblPrEx>
              <w:trPr>
                <w:trHeight w:val="253" w:hRule="atLeast"/>
              </w:trPr>
              <w:tc>
                <w:tcPr>
                  <w:tcW w:w="1205" w:type="pct"/>
                  <w:tcBorders>
                    <w:top w:val="single" w:color="auto" w:sz="4" w:space="0"/>
                    <w:bottom w:val="single" w:color="auto" w:sz="4" w:space="0"/>
                  </w:tcBorders>
                  <w:noWrap/>
                  <w:vAlign w:val="center"/>
                </w:tcPr>
                <w:p w14:paraId="51F884B6">
                  <w:pPr>
                    <w:adjustRightInd w:val="0"/>
                    <w:snapToGrid w:val="0"/>
                    <w:spacing w:line="240" w:lineRule="auto"/>
                    <w:ind w:firstLine="0" w:firstLineChars="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标准限值</w:t>
                  </w:r>
                </w:p>
              </w:tc>
              <w:tc>
                <w:tcPr>
                  <w:tcW w:w="2763" w:type="pct"/>
                  <w:gridSpan w:val="6"/>
                  <w:tcBorders>
                    <w:right w:val="single" w:color="auto" w:sz="4" w:space="0"/>
                  </w:tcBorders>
                  <w:noWrap/>
                  <w:vAlign w:val="center"/>
                </w:tcPr>
                <w:p w14:paraId="5AA24599">
                  <w:pPr>
                    <w:pStyle w:val="101"/>
                    <w:snapToGrid w:val="0"/>
                    <w:spacing w:line="240" w:lineRule="auto"/>
                    <w:ind w:firstLine="0"/>
                    <w:jc w:val="center"/>
                    <w:rPr>
                      <w:rFonts w:hint="default" w:ascii="Times New Roman" w:hAnsi="Times New Roman" w:eastAsia="宋体" w:cs="Times New Roman"/>
                      <w:bCs/>
                      <w:color w:val="000000" w:themeColor="text1"/>
                      <w:sz w:val="21"/>
                      <w:szCs w:val="21"/>
                      <w:highlight w:val="none"/>
                      <w:lang w:eastAsia="zh-CN"/>
                      <w14:textFill>
                        <w14:solidFill>
                          <w14:schemeClr w14:val="tx1"/>
                        </w14:solidFill>
                      </w14:textFill>
                    </w:rPr>
                  </w:pPr>
                  <w:r>
                    <w:rPr>
                      <w:rFonts w:hint="default" w:ascii="Times New Roman" w:hAnsi="Times New Roman" w:cs="Times New Roman"/>
                      <w:bCs/>
                      <w:color w:val="000000" w:themeColor="text1"/>
                      <w:sz w:val="21"/>
                      <w:szCs w:val="21"/>
                      <w:highlight w:val="none"/>
                      <w14:textFill>
                        <w14:solidFill>
                          <w14:schemeClr w14:val="tx1"/>
                        </w14:solidFill>
                      </w14:textFill>
                    </w:rPr>
                    <w:t>昼间≤6</w:t>
                  </w:r>
                  <w:r>
                    <w:rPr>
                      <w:rFonts w:hint="default" w:ascii="Times New Roman" w:hAnsi="Times New Roman" w:cs="Times New Roman"/>
                      <w:bCs/>
                      <w:color w:val="000000" w:themeColor="text1"/>
                      <w:sz w:val="21"/>
                      <w:szCs w:val="21"/>
                      <w:highlight w:val="none"/>
                      <w:lang w:val="en-US" w:eastAsia="zh-CN"/>
                      <w14:textFill>
                        <w14:solidFill>
                          <w14:schemeClr w14:val="tx1"/>
                        </w14:solidFill>
                      </w14:textFill>
                    </w:rPr>
                    <w:t>0</w:t>
                  </w:r>
                  <w:r>
                    <w:rPr>
                      <w:rFonts w:hint="default" w:ascii="Times New Roman" w:hAnsi="Times New Roman" w:cs="Times New Roman"/>
                      <w:bCs/>
                      <w:color w:val="000000" w:themeColor="text1"/>
                      <w:sz w:val="21"/>
                      <w:szCs w:val="21"/>
                      <w:highlight w:val="none"/>
                      <w14:textFill>
                        <w14:solidFill>
                          <w14:schemeClr w14:val="tx1"/>
                        </w14:solidFill>
                      </w14:textFill>
                    </w:rPr>
                    <w:t>，夜间≤5</w:t>
                  </w:r>
                  <w:r>
                    <w:rPr>
                      <w:rFonts w:hint="default" w:ascii="Times New Roman" w:hAnsi="Times New Roman" w:cs="Times New Roman"/>
                      <w:bCs/>
                      <w:color w:val="000000" w:themeColor="text1"/>
                      <w:sz w:val="21"/>
                      <w:szCs w:val="21"/>
                      <w:highlight w:val="none"/>
                      <w:lang w:val="en-US" w:eastAsia="zh-CN"/>
                      <w14:textFill>
                        <w14:solidFill>
                          <w14:schemeClr w14:val="tx1"/>
                        </w14:solidFill>
                      </w14:textFill>
                    </w:rPr>
                    <w:t>0</w:t>
                  </w:r>
                </w:p>
              </w:tc>
              <w:tc>
                <w:tcPr>
                  <w:tcW w:w="1030" w:type="pct"/>
                  <w:gridSpan w:val="2"/>
                  <w:tcBorders>
                    <w:left w:val="single" w:color="auto" w:sz="4" w:space="0"/>
                  </w:tcBorders>
                  <w:noWrap/>
                  <w:vAlign w:val="center"/>
                </w:tcPr>
                <w:p w14:paraId="28BE3D9D">
                  <w:pPr>
                    <w:pStyle w:val="101"/>
                    <w:snapToGrid w:val="0"/>
                    <w:spacing w:line="240" w:lineRule="auto"/>
                    <w:ind w:firstLine="0"/>
                    <w:jc w:val="center"/>
                    <w:rPr>
                      <w:rFonts w:hint="default" w:ascii="Times New Roman" w:hAnsi="Times New Roman" w:cs="Times New Roman"/>
                      <w:bCs/>
                      <w:color w:val="000000" w:themeColor="text1"/>
                      <w:sz w:val="21"/>
                      <w:szCs w:val="21"/>
                      <w:highlight w:val="none"/>
                      <w14:textFill>
                        <w14:solidFill>
                          <w14:schemeClr w14:val="tx1"/>
                        </w14:solidFill>
                      </w14:textFill>
                    </w:rPr>
                  </w:pPr>
                  <w:r>
                    <w:rPr>
                      <w:rFonts w:hint="default" w:ascii="Times New Roman" w:hAnsi="Times New Roman" w:cs="Times New Roman"/>
                      <w:bCs/>
                      <w:color w:val="000000" w:themeColor="text1"/>
                      <w:sz w:val="21"/>
                      <w:szCs w:val="21"/>
                      <w:highlight w:val="none"/>
                      <w14:textFill>
                        <w14:solidFill>
                          <w14:schemeClr w14:val="tx1"/>
                        </w14:solidFill>
                      </w14:textFill>
                    </w:rPr>
                    <w:t>昼间≤</w:t>
                  </w:r>
                  <w:r>
                    <w:rPr>
                      <w:rFonts w:hint="default" w:ascii="Times New Roman" w:hAnsi="Times New Roman" w:cs="Times New Roman"/>
                      <w:bCs/>
                      <w:color w:val="000000" w:themeColor="text1"/>
                      <w:sz w:val="21"/>
                      <w:szCs w:val="21"/>
                      <w:highlight w:val="none"/>
                      <w:lang w:val="en-US" w:eastAsia="zh-CN"/>
                      <w14:textFill>
                        <w14:solidFill>
                          <w14:schemeClr w14:val="tx1"/>
                        </w14:solidFill>
                      </w14:textFill>
                    </w:rPr>
                    <w:t>70</w:t>
                  </w:r>
                  <w:r>
                    <w:rPr>
                      <w:rFonts w:hint="default" w:ascii="Times New Roman" w:hAnsi="Times New Roman" w:cs="Times New Roman"/>
                      <w:bCs/>
                      <w:color w:val="000000" w:themeColor="text1"/>
                      <w:sz w:val="21"/>
                      <w:szCs w:val="21"/>
                      <w:highlight w:val="none"/>
                      <w14:textFill>
                        <w14:solidFill>
                          <w14:schemeClr w14:val="tx1"/>
                        </w14:solidFill>
                      </w14:textFill>
                    </w:rPr>
                    <w:t>，夜间≤5</w:t>
                  </w:r>
                  <w:r>
                    <w:rPr>
                      <w:rFonts w:hint="default" w:ascii="Times New Roman" w:hAnsi="Times New Roman" w:cs="Times New Roman"/>
                      <w:bCs/>
                      <w:color w:val="000000" w:themeColor="text1"/>
                      <w:sz w:val="21"/>
                      <w:szCs w:val="21"/>
                      <w:highlight w:val="none"/>
                      <w:lang w:val="en-US" w:eastAsia="zh-CN"/>
                      <w14:textFill>
                        <w14:solidFill>
                          <w14:schemeClr w14:val="tx1"/>
                        </w14:solidFill>
                      </w14:textFill>
                    </w:rPr>
                    <w:t>5</w:t>
                  </w:r>
                </w:p>
              </w:tc>
            </w:tr>
            <w:tr w14:paraId="032510D2">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108" w:type="dxa"/>
                  <w:bottom w:w="0" w:type="dxa"/>
                  <w:right w:w="108" w:type="dxa"/>
                </w:tblCellMar>
              </w:tblPrEx>
              <w:trPr>
                <w:trHeight w:val="250" w:hRule="atLeast"/>
              </w:trPr>
              <w:tc>
                <w:tcPr>
                  <w:tcW w:w="1205" w:type="pct"/>
                  <w:tcBorders>
                    <w:top w:val="single" w:color="auto" w:sz="4" w:space="0"/>
                  </w:tcBorders>
                  <w:noWrap/>
                  <w:vAlign w:val="center"/>
                </w:tcPr>
                <w:p w14:paraId="53A6EEBB">
                  <w:pPr>
                    <w:adjustRightInd w:val="0"/>
                    <w:snapToGrid w:val="0"/>
                    <w:spacing w:line="240" w:lineRule="auto"/>
                    <w:ind w:firstLine="0" w:firstLineChars="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评价结果</w:t>
                  </w:r>
                </w:p>
              </w:tc>
              <w:tc>
                <w:tcPr>
                  <w:tcW w:w="883" w:type="pct"/>
                  <w:gridSpan w:val="2"/>
                  <w:noWrap/>
                  <w:vAlign w:val="center"/>
                </w:tcPr>
                <w:p w14:paraId="70B89E53">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达标</w:t>
                  </w:r>
                </w:p>
              </w:tc>
              <w:tc>
                <w:tcPr>
                  <w:tcW w:w="859" w:type="pct"/>
                  <w:gridSpan w:val="2"/>
                  <w:noWrap/>
                  <w:vAlign w:val="center"/>
                </w:tcPr>
                <w:p w14:paraId="2F7CC4C5">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达标</w:t>
                  </w:r>
                </w:p>
              </w:tc>
              <w:tc>
                <w:tcPr>
                  <w:tcW w:w="1020" w:type="pct"/>
                  <w:gridSpan w:val="2"/>
                  <w:noWrap/>
                  <w:vAlign w:val="center"/>
                </w:tcPr>
                <w:p w14:paraId="09C4AE8E">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达标</w:t>
                  </w:r>
                </w:p>
              </w:tc>
              <w:tc>
                <w:tcPr>
                  <w:tcW w:w="1030" w:type="pct"/>
                  <w:gridSpan w:val="2"/>
                  <w:noWrap/>
                  <w:vAlign w:val="center"/>
                </w:tcPr>
                <w:p w14:paraId="67D67758">
                  <w:pPr>
                    <w:pStyle w:val="101"/>
                    <w:snapToGrid w:val="0"/>
                    <w:spacing w:line="240" w:lineRule="auto"/>
                    <w:ind w:firstLine="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达标</w:t>
                  </w:r>
                </w:p>
              </w:tc>
            </w:tr>
          </w:tbl>
          <w:p w14:paraId="13681E8D">
            <w:pPr>
              <w:widowControl/>
              <w:adjustRightInd w:val="0"/>
              <w:snapToGrid w:val="0"/>
              <w:spacing w:line="360" w:lineRule="auto"/>
              <w:ind w:firstLine="420"/>
              <w:textAlignment w:val="baseline"/>
              <w:rPr>
                <w:rFonts w:hint="default" w:ascii="Times New Roman" w:hAnsi="Times New Roman" w:cs="Times New Roman"/>
                <w:color w:val="auto"/>
                <w:kern w:val="24"/>
                <w:sz w:val="24"/>
                <w:szCs w:val="24"/>
                <w:highlight w:val="none"/>
              </w:rPr>
            </w:pPr>
            <w:r>
              <w:rPr>
                <w:rFonts w:hint="default" w:ascii="Times New Roman" w:hAnsi="Times New Roman" w:cs="Times New Roman"/>
                <w:color w:val="auto"/>
                <w:kern w:val="24"/>
                <w:sz w:val="24"/>
                <w:szCs w:val="24"/>
                <w:highlight w:val="none"/>
              </w:rPr>
              <w:t>（2）达标情况分析</w:t>
            </w:r>
          </w:p>
          <w:p w14:paraId="0E0492B8">
            <w:pPr>
              <w:keepNext w:val="0"/>
              <w:keepLines w:val="0"/>
              <w:pageBreakBefore w:val="0"/>
              <w:widowControl/>
              <w:kinsoku/>
              <w:wordWrap/>
              <w:overflowPunct/>
              <w:topLinePunct w:val="0"/>
              <w:autoSpaceDE/>
              <w:autoSpaceDN/>
              <w:bidi w:val="0"/>
              <w:adjustRightInd w:val="0"/>
              <w:snapToGrid w:val="0"/>
              <w:spacing w:line="360" w:lineRule="auto"/>
              <w:ind w:firstLine="480" w:firstLineChars="200"/>
              <w:jc w:val="both"/>
              <w:textAlignment w:val="baseline"/>
              <w:rPr>
                <w:rFonts w:hint="default" w:ascii="Times New Roman" w:hAnsi="Times New Roman" w:cs="Times New Roman"/>
                <w:color w:val="auto"/>
                <w:kern w:val="24"/>
                <w:sz w:val="24"/>
                <w:szCs w:val="24"/>
                <w:highlight w:val="none"/>
              </w:rPr>
            </w:pPr>
            <w:r>
              <w:rPr>
                <w:rFonts w:hint="default" w:ascii="Times New Roman" w:hAnsi="Times New Roman" w:cs="Times New Roman"/>
                <w:color w:val="auto"/>
                <w:kern w:val="24"/>
                <w:sz w:val="24"/>
                <w:szCs w:val="24"/>
                <w:highlight w:val="none"/>
              </w:rPr>
              <w:t>各产噪设备采取</w:t>
            </w:r>
            <w:r>
              <w:rPr>
                <w:rFonts w:hint="default" w:ascii="Times New Roman" w:hAnsi="Times New Roman" w:cs="Times New Roman"/>
                <w:color w:val="auto"/>
                <w:kern w:val="24"/>
                <w:sz w:val="24"/>
                <w:szCs w:val="24"/>
                <w:highlight w:val="none"/>
                <w:lang w:val="en-US" w:eastAsia="zh-CN"/>
              </w:rPr>
              <w:t>安装基础减振、选用低噪声设备、厂房隔声等</w:t>
            </w:r>
            <w:r>
              <w:rPr>
                <w:rFonts w:hint="default" w:ascii="Times New Roman" w:hAnsi="Times New Roman" w:cs="Times New Roman"/>
                <w:color w:val="auto"/>
                <w:kern w:val="24"/>
                <w:sz w:val="24"/>
                <w:szCs w:val="24"/>
                <w:highlight w:val="none"/>
              </w:rPr>
              <w:t>降噪措施再经距离衰减，</w:t>
            </w:r>
            <w:r>
              <w:rPr>
                <w:rFonts w:hint="default" w:ascii="Times New Roman" w:hAnsi="Times New Roman" w:cs="Times New Roman"/>
                <w:color w:val="000000" w:themeColor="text1"/>
                <w:highlight w:val="none"/>
                <w14:textFill>
                  <w14:solidFill>
                    <w14:schemeClr w14:val="tx1"/>
                  </w14:solidFill>
                </w14:textFill>
              </w:rPr>
              <w:t>与现状背景值叠加，</w:t>
            </w:r>
            <w:r>
              <w:rPr>
                <w:rFonts w:hint="default" w:ascii="Times New Roman" w:hAnsi="Times New Roman" w:cs="Times New Roman"/>
                <w:color w:val="auto"/>
                <w:highlight w:val="none"/>
                <w:lang w:val="en-US" w:eastAsia="zh-CN"/>
              </w:rPr>
              <w:t>东、西、南</w:t>
            </w:r>
            <w:r>
              <w:rPr>
                <w:rFonts w:hint="default" w:ascii="Times New Roman" w:hAnsi="Times New Roman" w:cs="Times New Roman"/>
                <w:color w:val="auto"/>
                <w:highlight w:val="none"/>
              </w:rPr>
              <w:t>厂界噪声</w:t>
            </w:r>
            <w:r>
              <w:rPr>
                <w:rFonts w:hint="default" w:ascii="Times New Roman" w:hAnsi="Times New Roman" w:cs="Times New Roman"/>
                <w:color w:val="auto"/>
                <w:highlight w:val="none"/>
                <w:lang w:val="en-US" w:eastAsia="zh-CN"/>
              </w:rPr>
              <w:t>满足</w:t>
            </w:r>
            <w:r>
              <w:rPr>
                <w:rFonts w:hint="default" w:ascii="Times New Roman" w:hAnsi="Times New Roman" w:cs="Times New Roman"/>
                <w:color w:val="auto"/>
                <w:highlight w:val="none"/>
              </w:rPr>
              <w:t>符合《工业企业厂界环境噪声排放标准》（GB12348-2008）</w:t>
            </w:r>
            <w:r>
              <w:rPr>
                <w:rFonts w:hint="default" w:ascii="Times New Roman" w:hAnsi="Times New Roman" w:cs="Times New Roman"/>
                <w:color w:val="auto"/>
                <w:highlight w:val="none"/>
                <w:lang w:val="en-US" w:eastAsia="zh-CN"/>
              </w:rPr>
              <w:t>2</w:t>
            </w:r>
            <w:r>
              <w:rPr>
                <w:rFonts w:hint="default" w:ascii="Times New Roman" w:hAnsi="Times New Roman" w:cs="Times New Roman"/>
                <w:color w:val="auto"/>
                <w:highlight w:val="none"/>
              </w:rPr>
              <w:t>类标准要求</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北厂界满足4类标准要求</w:t>
            </w:r>
            <w:r>
              <w:rPr>
                <w:rFonts w:hint="default" w:ascii="Times New Roman" w:hAnsi="Times New Roman" w:cs="Times New Roman"/>
                <w:color w:val="auto"/>
                <w:sz w:val="24"/>
                <w:szCs w:val="32"/>
                <w:highlight w:val="none"/>
              </w:rPr>
              <w:t>，</w:t>
            </w:r>
            <w:r>
              <w:rPr>
                <w:rFonts w:hint="default" w:ascii="Times New Roman" w:hAnsi="Times New Roman" w:cs="Times New Roman"/>
                <w:color w:val="auto"/>
                <w:kern w:val="24"/>
                <w:sz w:val="24"/>
                <w:szCs w:val="24"/>
                <w:highlight w:val="none"/>
              </w:rPr>
              <w:t>对周围声环境影响较小。</w:t>
            </w:r>
          </w:p>
          <w:p w14:paraId="1D74237D">
            <w:pPr>
              <w:widowControl/>
              <w:adjustRightInd w:val="0"/>
              <w:snapToGrid w:val="0"/>
              <w:spacing w:line="360" w:lineRule="auto"/>
              <w:ind w:firstLine="420"/>
              <w:textAlignment w:val="baseline"/>
              <w:rPr>
                <w:rFonts w:hint="default" w:ascii="Times New Roman" w:hAnsi="Times New Roman" w:cs="Times New Roman"/>
                <w:color w:val="auto"/>
                <w:kern w:val="24"/>
                <w:sz w:val="24"/>
                <w:szCs w:val="24"/>
                <w:highlight w:val="none"/>
              </w:rPr>
            </w:pPr>
            <w:r>
              <w:rPr>
                <w:rFonts w:hint="default" w:ascii="Times New Roman" w:hAnsi="Times New Roman" w:cs="Times New Roman"/>
                <w:color w:val="auto"/>
                <w:kern w:val="24"/>
                <w:sz w:val="24"/>
                <w:szCs w:val="24"/>
                <w:highlight w:val="none"/>
              </w:rPr>
              <w:t>（3）监测要求</w:t>
            </w:r>
          </w:p>
          <w:p w14:paraId="2AE3609C">
            <w:pPr>
              <w:widowControl/>
              <w:adjustRightInd w:val="0"/>
              <w:snapToGrid w:val="0"/>
              <w:spacing w:line="360" w:lineRule="auto"/>
              <w:ind w:firstLine="420"/>
              <w:textAlignment w:val="baseline"/>
              <w:rPr>
                <w:rFonts w:hint="default" w:ascii="Times New Roman" w:hAnsi="Times New Roman" w:cs="Times New Roman"/>
                <w:color w:val="auto"/>
                <w:kern w:val="24"/>
                <w:sz w:val="24"/>
                <w:szCs w:val="24"/>
                <w:highlight w:val="none"/>
              </w:rPr>
            </w:pPr>
            <w:r>
              <w:rPr>
                <w:rFonts w:hint="default" w:ascii="Times New Roman" w:hAnsi="Times New Roman" w:cs="Times New Roman"/>
                <w:color w:val="auto"/>
                <w:kern w:val="24"/>
                <w:sz w:val="24"/>
                <w:szCs w:val="24"/>
                <w:highlight w:val="none"/>
              </w:rPr>
              <w:t>本项目噪声监测要求见下表。</w:t>
            </w:r>
          </w:p>
          <w:p w14:paraId="7EEAEE58">
            <w:pPr>
              <w:adjustRightInd w:val="0"/>
              <w:snapToGrid w:val="0"/>
              <w:spacing w:line="240" w:lineRule="auto"/>
              <w:jc w:val="center"/>
              <w:rPr>
                <w:rFonts w:hint="default" w:ascii="Times New Roman" w:hAnsi="Times New Roman" w:cs="Times New Roman"/>
                <w:b/>
                <w:color w:val="auto"/>
                <w:sz w:val="24"/>
                <w:szCs w:val="24"/>
                <w:highlight w:val="none"/>
              </w:rPr>
            </w:pPr>
          </w:p>
          <w:p w14:paraId="768D966D">
            <w:pPr>
              <w:adjustRightInd w:val="0"/>
              <w:snapToGrid w:val="0"/>
              <w:spacing w:line="240" w:lineRule="auto"/>
              <w:jc w:val="center"/>
              <w:rPr>
                <w:rFonts w:hint="default" w:ascii="Times New Roman" w:hAnsi="Times New Roman" w:cs="Times New Roman"/>
                <w:b/>
                <w:color w:val="auto"/>
                <w:sz w:val="24"/>
                <w:szCs w:val="24"/>
                <w:highlight w:val="none"/>
              </w:rPr>
            </w:pPr>
          </w:p>
          <w:p w14:paraId="44E64C35">
            <w:pPr>
              <w:adjustRightInd w:val="0"/>
              <w:snapToGrid w:val="0"/>
              <w:spacing w:line="240" w:lineRule="auto"/>
              <w:jc w:val="center"/>
              <w:rPr>
                <w:rFonts w:hint="default" w:ascii="Times New Roman" w:hAnsi="Times New Roman" w:cs="Times New Roman"/>
                <w:b/>
                <w:color w:val="auto"/>
                <w:sz w:val="24"/>
                <w:szCs w:val="24"/>
                <w:highlight w:val="none"/>
              </w:rPr>
            </w:pPr>
            <w:r>
              <w:rPr>
                <w:rFonts w:hint="default" w:ascii="Times New Roman" w:hAnsi="Times New Roman" w:cs="Times New Roman"/>
                <w:b/>
                <w:color w:val="auto"/>
                <w:sz w:val="24"/>
                <w:szCs w:val="24"/>
                <w:highlight w:val="none"/>
              </w:rPr>
              <w:t>表4-</w:t>
            </w:r>
            <w:r>
              <w:rPr>
                <w:rFonts w:hint="eastAsia" w:cs="Times New Roman"/>
                <w:b/>
                <w:color w:val="auto"/>
                <w:sz w:val="24"/>
                <w:szCs w:val="24"/>
                <w:highlight w:val="none"/>
                <w:lang w:val="en-US" w:eastAsia="zh-CN"/>
              </w:rPr>
              <w:t>7</w:t>
            </w:r>
            <w:r>
              <w:rPr>
                <w:rFonts w:hint="default" w:ascii="Times New Roman" w:hAnsi="Times New Roman" w:cs="Times New Roman"/>
                <w:b/>
                <w:color w:val="auto"/>
                <w:sz w:val="24"/>
                <w:szCs w:val="24"/>
                <w:highlight w:val="none"/>
              </w:rPr>
              <w:t xml:space="preserve">   噪声监测要求一览表</w:t>
            </w:r>
          </w:p>
          <w:tbl>
            <w:tblPr>
              <w:tblStyle w:val="3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83"/>
              <w:gridCol w:w="1513"/>
              <w:gridCol w:w="1125"/>
              <w:gridCol w:w="4243"/>
            </w:tblGrid>
            <w:tr w14:paraId="0F926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5" w:type="pct"/>
                  <w:noWrap w:val="0"/>
                  <w:vAlign w:val="center"/>
                </w:tcPr>
                <w:p w14:paraId="26820FA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监测点位</w:t>
                  </w:r>
                </w:p>
              </w:tc>
              <w:tc>
                <w:tcPr>
                  <w:tcW w:w="893" w:type="pct"/>
                  <w:noWrap w:val="0"/>
                  <w:vAlign w:val="center"/>
                </w:tcPr>
                <w:p w14:paraId="79EBADE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监测指标</w:t>
                  </w:r>
                </w:p>
              </w:tc>
              <w:tc>
                <w:tcPr>
                  <w:tcW w:w="664" w:type="pct"/>
                  <w:noWrap w:val="0"/>
                  <w:vAlign w:val="center"/>
                </w:tcPr>
                <w:p w14:paraId="59101D23">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监测频次</w:t>
                  </w:r>
                </w:p>
              </w:tc>
              <w:tc>
                <w:tcPr>
                  <w:tcW w:w="2505" w:type="pct"/>
                  <w:noWrap w:val="0"/>
                  <w:vAlign w:val="center"/>
                </w:tcPr>
                <w:p w14:paraId="6DF6D98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执行排放标准</w:t>
                  </w:r>
                </w:p>
              </w:tc>
            </w:tr>
            <w:tr w14:paraId="6097C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935" w:type="pct"/>
                  <w:noWrap w:val="0"/>
                  <w:vAlign w:val="center"/>
                </w:tcPr>
                <w:p w14:paraId="0A0AC79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厂界四周</w:t>
                  </w:r>
                </w:p>
              </w:tc>
              <w:tc>
                <w:tcPr>
                  <w:tcW w:w="893" w:type="pct"/>
                  <w:noWrap w:val="0"/>
                  <w:vAlign w:val="center"/>
                </w:tcPr>
                <w:p w14:paraId="4A3E5E9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Leq</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lang w:val="en-US" w:eastAsia="zh-CN"/>
                    </w:rPr>
                    <w:t>偶发噪声、频发噪声</w:t>
                  </w:r>
                </w:p>
              </w:tc>
              <w:tc>
                <w:tcPr>
                  <w:tcW w:w="664" w:type="pct"/>
                  <w:noWrap w:val="0"/>
                  <w:vAlign w:val="center"/>
                </w:tcPr>
                <w:p w14:paraId="08D1F20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每季一次</w:t>
                  </w:r>
                </w:p>
              </w:tc>
              <w:tc>
                <w:tcPr>
                  <w:tcW w:w="2505" w:type="pct"/>
                  <w:noWrap w:val="0"/>
                  <w:vAlign w:val="center"/>
                </w:tcPr>
                <w:p w14:paraId="1E1C460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东、西、南</w:t>
                  </w:r>
                  <w:r>
                    <w:rPr>
                      <w:rFonts w:hint="default" w:ascii="Times New Roman" w:hAnsi="Times New Roman" w:cs="Times New Roman"/>
                      <w:color w:val="auto"/>
                      <w:sz w:val="21"/>
                      <w:szCs w:val="21"/>
                      <w:highlight w:val="none"/>
                    </w:rPr>
                    <w:t>厂界噪声</w:t>
                  </w:r>
                  <w:r>
                    <w:rPr>
                      <w:rFonts w:hint="default" w:ascii="Times New Roman" w:hAnsi="Times New Roman" w:cs="Times New Roman"/>
                      <w:color w:val="auto"/>
                      <w:sz w:val="21"/>
                      <w:szCs w:val="21"/>
                      <w:highlight w:val="none"/>
                      <w:lang w:val="en-US" w:eastAsia="zh-CN"/>
                    </w:rPr>
                    <w:t>满足</w:t>
                  </w:r>
                  <w:r>
                    <w:rPr>
                      <w:rFonts w:hint="default" w:ascii="Times New Roman" w:hAnsi="Times New Roman" w:cs="Times New Roman"/>
                      <w:color w:val="auto"/>
                      <w:sz w:val="21"/>
                      <w:szCs w:val="21"/>
                      <w:highlight w:val="none"/>
                    </w:rPr>
                    <w:t>符合《工业企业厂界环境噪声排放标准》（GB12348-2008）</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类标准要求</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lang w:val="en-US" w:eastAsia="zh-CN"/>
                    </w:rPr>
                    <w:t>北厂界满足4类标准要求</w:t>
                  </w:r>
                </w:p>
              </w:tc>
            </w:tr>
          </w:tbl>
          <w:p w14:paraId="776674E1">
            <w:pPr>
              <w:pStyle w:val="8"/>
              <w:rPr>
                <w:rFonts w:hint="default" w:ascii="Times New Roman" w:hAnsi="Times New Roman" w:cs="Times New Roman"/>
                <w:color w:val="auto"/>
                <w:highlight w:val="none"/>
              </w:rPr>
            </w:pPr>
            <w:r>
              <w:rPr>
                <w:rFonts w:hint="default" w:ascii="Times New Roman" w:hAnsi="Times New Roman" w:cs="Times New Roman"/>
                <w:color w:val="auto"/>
                <w:highlight w:val="none"/>
              </w:rPr>
              <w:t>4 固废环境影响分析</w:t>
            </w:r>
          </w:p>
          <w:p w14:paraId="4B88147E">
            <w:pPr>
              <w:ind w:firstLine="480" w:firstLineChars="200"/>
              <w:rPr>
                <w:rFonts w:hint="default" w:ascii="Times New Roman" w:hAnsi="Times New Roman" w:cs="Times New Roman"/>
                <w:color w:val="auto"/>
                <w:highlight w:val="none"/>
                <w:lang w:val="en-US"/>
              </w:rPr>
            </w:pPr>
            <w:r>
              <w:rPr>
                <w:rFonts w:hint="default" w:ascii="Times New Roman" w:hAnsi="Times New Roman" w:cs="Times New Roman"/>
                <w:color w:val="auto"/>
                <w:highlight w:val="none"/>
                <w:lang w:val="en-US" w:eastAsia="zh-CN"/>
              </w:rPr>
              <w:t>根据《固体废物鉴别标准通则》 （GB34330-2017）识别出本项目产生的固体废物有不含切削液金属屑、除尘灰、废布袋、边角料、不合格品、油泥、废渣、片碱包装袋、盐酸废包装瓶、废油桶、废切削液桶、废切削液、含切削液金属屑等，识别过程见下表。</w:t>
            </w:r>
          </w:p>
          <w:p w14:paraId="33C832DF">
            <w:pPr>
              <w:spacing w:line="240" w:lineRule="auto"/>
              <w:ind w:firstLine="0" w:firstLineChars="0"/>
              <w:jc w:val="center"/>
              <w:rPr>
                <w:rFonts w:hint="default" w:ascii="Times New Roman" w:hAnsi="Times New Roman" w:eastAsia="宋体" w:cs="Times New Roman"/>
                <w:b/>
                <w:bCs/>
                <w:color w:val="auto"/>
                <w:highlight w:val="none"/>
                <w:lang w:val="en-US" w:eastAsia="zh-CN"/>
              </w:rPr>
            </w:pPr>
            <w:r>
              <w:rPr>
                <w:rFonts w:hint="default" w:ascii="Times New Roman" w:hAnsi="Times New Roman" w:cs="Times New Roman"/>
                <w:b/>
                <w:bCs/>
                <w:color w:val="auto"/>
                <w:highlight w:val="none"/>
                <w:lang w:val="en-US" w:eastAsia="zh-CN"/>
              </w:rPr>
              <w:t>表4-</w:t>
            </w:r>
            <w:r>
              <w:rPr>
                <w:rFonts w:hint="eastAsia" w:cs="Times New Roman"/>
                <w:b/>
                <w:bCs/>
                <w:color w:val="auto"/>
                <w:highlight w:val="none"/>
                <w:lang w:val="en-US" w:eastAsia="zh-CN"/>
              </w:rPr>
              <w:t>8</w:t>
            </w:r>
            <w:r>
              <w:rPr>
                <w:rFonts w:hint="default" w:ascii="Times New Roman" w:hAnsi="Times New Roman" w:cs="Times New Roman"/>
                <w:b/>
                <w:bCs/>
                <w:color w:val="auto"/>
                <w:highlight w:val="none"/>
                <w:lang w:val="en-US" w:eastAsia="zh-CN"/>
              </w:rPr>
              <w:t xml:space="preserve">  固体废物识别依据一览表</w:t>
            </w:r>
          </w:p>
          <w:tbl>
            <w:tblPr>
              <w:tblStyle w:val="3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0"/>
              <w:gridCol w:w="1982"/>
              <w:gridCol w:w="5712"/>
            </w:tblGrid>
            <w:tr w14:paraId="05FC9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 w:hRule="atLeast"/>
                <w:jc w:val="center"/>
              </w:trPr>
              <w:tc>
                <w:tcPr>
                  <w:tcW w:w="770" w:type="dxa"/>
                  <w:noWrap w:val="0"/>
                  <w:vAlign w:val="center"/>
                </w:tcPr>
                <w:p w14:paraId="47291204">
                  <w:pPr>
                    <w:pStyle w:val="58"/>
                    <w:ind w:firstLine="0"/>
                    <w:rPr>
                      <w:rFonts w:hint="default" w:ascii="Times New Roman" w:hAnsi="Times New Roman"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序号</w:t>
                  </w:r>
                </w:p>
              </w:tc>
              <w:tc>
                <w:tcPr>
                  <w:tcW w:w="1982" w:type="dxa"/>
                  <w:noWrap w:val="0"/>
                  <w:vAlign w:val="center"/>
                </w:tcPr>
                <w:p w14:paraId="3962705F">
                  <w:pPr>
                    <w:pStyle w:val="58"/>
                    <w:ind w:firstLine="0"/>
                    <w:rPr>
                      <w:rFonts w:hint="default" w:ascii="Times New Roman" w:hAnsi="Times New Roman"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名称</w:t>
                  </w:r>
                </w:p>
              </w:tc>
              <w:tc>
                <w:tcPr>
                  <w:tcW w:w="5712" w:type="dxa"/>
                  <w:noWrap w:val="0"/>
                  <w:vAlign w:val="center"/>
                </w:tcPr>
                <w:p w14:paraId="6C689C40">
                  <w:pPr>
                    <w:pStyle w:val="58"/>
                    <w:ind w:firstLine="0"/>
                    <w:rPr>
                      <w:rFonts w:hint="default" w:ascii="Times New Roman" w:hAnsi="Times New Roman"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识别依据</w:t>
                  </w:r>
                </w:p>
              </w:tc>
            </w:tr>
            <w:tr w14:paraId="4D871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770" w:type="dxa"/>
                  <w:noWrap w:val="0"/>
                  <w:vAlign w:val="center"/>
                </w:tcPr>
                <w:p w14:paraId="10D50292">
                  <w:pPr>
                    <w:pStyle w:val="58"/>
                    <w:ind w:firstLine="0"/>
                    <w:rPr>
                      <w:rFonts w:hint="default" w:ascii="Times New Roman" w:hAnsi="Times New Roman"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w:t>
                  </w:r>
                </w:p>
              </w:tc>
              <w:tc>
                <w:tcPr>
                  <w:tcW w:w="1982" w:type="dxa"/>
                  <w:noWrap w:val="0"/>
                  <w:vAlign w:val="center"/>
                </w:tcPr>
                <w:p w14:paraId="35770ADC">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highlight w:val="none"/>
                      <w:lang w:val="en-US" w:eastAsia="zh-CN"/>
                    </w:rPr>
                    <w:t>不含切削液金属屑</w:t>
                  </w:r>
                </w:p>
              </w:tc>
              <w:tc>
                <w:tcPr>
                  <w:tcW w:w="5712" w:type="dxa"/>
                  <w:noWrap w:val="0"/>
                  <w:vAlign w:val="center"/>
                </w:tcPr>
                <w:p w14:paraId="10168D2D">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Cs w:val="21"/>
                      <w:highlight w:val="none"/>
                      <w:lang w:val="en-US" w:eastAsia="zh-CN"/>
                    </w:rPr>
                    <w:t>产品加工和制造过程中产生的下脚料、边角料、残余物质等</w:t>
                  </w:r>
                </w:p>
              </w:tc>
            </w:tr>
            <w:tr w14:paraId="6FF07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jc w:val="center"/>
              </w:trPr>
              <w:tc>
                <w:tcPr>
                  <w:tcW w:w="770" w:type="dxa"/>
                  <w:noWrap w:val="0"/>
                  <w:vAlign w:val="center"/>
                </w:tcPr>
                <w:p w14:paraId="296F20F6">
                  <w:pPr>
                    <w:pStyle w:val="58"/>
                    <w:ind w:firstLine="0"/>
                    <w:rPr>
                      <w:rFonts w:hint="default" w:ascii="Times New Roman" w:hAnsi="Times New Roman"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2</w:t>
                  </w:r>
                </w:p>
              </w:tc>
              <w:tc>
                <w:tcPr>
                  <w:tcW w:w="1982" w:type="dxa"/>
                  <w:noWrap w:val="0"/>
                  <w:vAlign w:val="center"/>
                </w:tcPr>
                <w:p w14:paraId="064E940B">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highlight w:val="none"/>
                      <w:lang w:val="en-US" w:eastAsia="zh-CN"/>
                    </w:rPr>
                    <w:t>油泥</w:t>
                  </w:r>
                </w:p>
              </w:tc>
              <w:tc>
                <w:tcPr>
                  <w:tcW w:w="5712" w:type="dxa"/>
                  <w:noWrap w:val="0"/>
                  <w:vAlign w:val="center"/>
                </w:tcPr>
                <w:p w14:paraId="36BA4D7D">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Cs w:val="21"/>
                      <w:highlight w:val="none"/>
                      <w:lang w:val="en-US" w:eastAsia="zh-CN"/>
                    </w:rPr>
                    <w:t>因丧失原有功能而无法继续使用的物质</w:t>
                  </w:r>
                </w:p>
              </w:tc>
            </w:tr>
            <w:tr w14:paraId="5516F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770" w:type="dxa"/>
                  <w:noWrap w:val="0"/>
                  <w:vAlign w:val="center"/>
                </w:tcPr>
                <w:p w14:paraId="067B7958">
                  <w:pPr>
                    <w:pStyle w:val="58"/>
                    <w:ind w:firstLine="0"/>
                    <w:rPr>
                      <w:rFonts w:hint="default" w:ascii="Times New Roman" w:hAnsi="Times New Roman"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3</w:t>
                  </w:r>
                </w:p>
              </w:tc>
              <w:tc>
                <w:tcPr>
                  <w:tcW w:w="1982" w:type="dxa"/>
                  <w:noWrap w:val="0"/>
                  <w:vAlign w:val="center"/>
                </w:tcPr>
                <w:p w14:paraId="0901EBA0">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highlight w:val="none"/>
                      <w:lang w:val="en-US" w:eastAsia="zh-CN"/>
                    </w:rPr>
                    <w:t>废渣</w:t>
                  </w:r>
                </w:p>
              </w:tc>
              <w:tc>
                <w:tcPr>
                  <w:tcW w:w="5712" w:type="dxa"/>
                  <w:noWrap w:val="0"/>
                  <w:vAlign w:val="center"/>
                </w:tcPr>
                <w:p w14:paraId="43C6B132">
                  <w:pPr>
                    <w:pStyle w:val="58"/>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Cs w:val="21"/>
                      <w:highlight w:val="none"/>
                      <w:lang w:val="en-US" w:eastAsia="zh-CN"/>
                    </w:rPr>
                    <w:t>因丧失原有功能而无法继续使用的物质</w:t>
                  </w:r>
                </w:p>
              </w:tc>
            </w:tr>
            <w:tr w14:paraId="1B471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770" w:type="dxa"/>
                  <w:noWrap w:val="0"/>
                  <w:vAlign w:val="center"/>
                </w:tcPr>
                <w:p w14:paraId="5AD8D482">
                  <w:pPr>
                    <w:pStyle w:val="58"/>
                    <w:ind w:firstLine="0"/>
                    <w:rPr>
                      <w:rFonts w:hint="default" w:ascii="Times New Roman" w:hAnsi="Times New Roman"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4</w:t>
                  </w:r>
                </w:p>
              </w:tc>
              <w:tc>
                <w:tcPr>
                  <w:tcW w:w="1982" w:type="dxa"/>
                  <w:noWrap w:val="0"/>
                  <w:vAlign w:val="center"/>
                </w:tcPr>
                <w:p w14:paraId="491A97D5">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highlight w:val="none"/>
                      <w:lang w:val="en-US" w:eastAsia="zh-CN"/>
                    </w:rPr>
                    <w:t>片碱包装袋</w:t>
                  </w:r>
                </w:p>
              </w:tc>
              <w:tc>
                <w:tcPr>
                  <w:tcW w:w="5712" w:type="dxa"/>
                  <w:noWrap w:val="0"/>
                  <w:vAlign w:val="center"/>
                </w:tcPr>
                <w:p w14:paraId="467830B5">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Cs w:val="21"/>
                      <w:highlight w:val="none"/>
                      <w:lang w:val="en-US" w:eastAsia="zh-CN"/>
                    </w:rPr>
                    <w:t>因丧失原有功能而无法继续使用的物质</w:t>
                  </w:r>
                </w:p>
              </w:tc>
            </w:tr>
            <w:tr w14:paraId="12835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jc w:val="center"/>
              </w:trPr>
              <w:tc>
                <w:tcPr>
                  <w:tcW w:w="770" w:type="dxa"/>
                  <w:noWrap w:val="0"/>
                  <w:vAlign w:val="center"/>
                </w:tcPr>
                <w:p w14:paraId="2E70B432">
                  <w:pPr>
                    <w:pStyle w:val="58"/>
                    <w:ind w:firstLine="0"/>
                    <w:rPr>
                      <w:rFonts w:hint="default" w:ascii="Times New Roman" w:hAnsi="Times New Roman"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5</w:t>
                  </w:r>
                </w:p>
              </w:tc>
              <w:tc>
                <w:tcPr>
                  <w:tcW w:w="1982" w:type="dxa"/>
                  <w:noWrap w:val="0"/>
                  <w:vAlign w:val="center"/>
                </w:tcPr>
                <w:p w14:paraId="69A45B96">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highlight w:val="none"/>
                      <w:lang w:val="en-US" w:eastAsia="zh-CN"/>
                    </w:rPr>
                    <w:t>盐酸废包装瓶</w:t>
                  </w:r>
                </w:p>
              </w:tc>
              <w:tc>
                <w:tcPr>
                  <w:tcW w:w="5712" w:type="dxa"/>
                  <w:noWrap w:val="0"/>
                  <w:vAlign w:val="center"/>
                </w:tcPr>
                <w:p w14:paraId="382F0FBC">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Cs w:val="21"/>
                      <w:highlight w:val="none"/>
                      <w:lang w:val="en-US" w:eastAsia="zh-CN"/>
                    </w:rPr>
                    <w:t>因丧失原有功能而无法继续使用的物质</w:t>
                  </w:r>
                </w:p>
              </w:tc>
            </w:tr>
            <w:tr w14:paraId="7ADED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jc w:val="center"/>
              </w:trPr>
              <w:tc>
                <w:tcPr>
                  <w:tcW w:w="770" w:type="dxa"/>
                  <w:noWrap w:val="0"/>
                  <w:vAlign w:val="center"/>
                </w:tcPr>
                <w:p w14:paraId="2E5F8725">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Cs w:val="21"/>
                      <w:highlight w:val="none"/>
                      <w:lang w:val="en-US" w:eastAsia="zh-CN"/>
                    </w:rPr>
                    <w:t>6</w:t>
                  </w:r>
                </w:p>
              </w:tc>
              <w:tc>
                <w:tcPr>
                  <w:tcW w:w="1982" w:type="dxa"/>
                  <w:noWrap w:val="0"/>
                  <w:vAlign w:val="center"/>
                </w:tcPr>
                <w:p w14:paraId="3FB98638">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highlight w:val="none"/>
                      <w:lang w:val="en-US" w:eastAsia="zh-CN"/>
                    </w:rPr>
                    <w:t>废油桶</w:t>
                  </w:r>
                </w:p>
              </w:tc>
              <w:tc>
                <w:tcPr>
                  <w:tcW w:w="5712" w:type="dxa"/>
                  <w:noWrap w:val="0"/>
                  <w:vAlign w:val="center"/>
                </w:tcPr>
                <w:p w14:paraId="47A90991">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Cs w:val="21"/>
                      <w:highlight w:val="none"/>
                      <w:lang w:val="en-US" w:eastAsia="zh-CN"/>
                    </w:rPr>
                    <w:t>因丧失原有功能而无法继续使用的物质</w:t>
                  </w:r>
                </w:p>
              </w:tc>
            </w:tr>
            <w:tr w14:paraId="01E1F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70" w:type="dxa"/>
                  <w:noWrap w:val="0"/>
                  <w:vAlign w:val="center"/>
                </w:tcPr>
                <w:p w14:paraId="6D82E8C6">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Cs w:val="21"/>
                      <w:highlight w:val="none"/>
                      <w:lang w:val="en-US" w:eastAsia="zh-CN"/>
                    </w:rPr>
                    <w:t>7</w:t>
                  </w:r>
                </w:p>
              </w:tc>
              <w:tc>
                <w:tcPr>
                  <w:tcW w:w="1982" w:type="dxa"/>
                  <w:noWrap w:val="0"/>
                  <w:vAlign w:val="center"/>
                </w:tcPr>
                <w:p w14:paraId="7A4DC559">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highlight w:val="none"/>
                      <w:lang w:val="en-US" w:eastAsia="zh-CN"/>
                    </w:rPr>
                    <w:t>废切削液桶</w:t>
                  </w:r>
                </w:p>
              </w:tc>
              <w:tc>
                <w:tcPr>
                  <w:tcW w:w="5712" w:type="dxa"/>
                  <w:noWrap w:val="0"/>
                  <w:vAlign w:val="center"/>
                </w:tcPr>
                <w:p w14:paraId="7E717CF5">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Cs w:val="21"/>
                      <w:highlight w:val="none"/>
                      <w:lang w:val="en-US" w:eastAsia="zh-CN"/>
                    </w:rPr>
                    <w:t>因丧失原有功能而无法继续使用的物质</w:t>
                  </w:r>
                </w:p>
              </w:tc>
            </w:tr>
            <w:tr w14:paraId="0C7B7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70" w:type="dxa"/>
                  <w:noWrap w:val="0"/>
                  <w:vAlign w:val="center"/>
                </w:tcPr>
                <w:p w14:paraId="21B7B16C">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Cs w:val="21"/>
                      <w:highlight w:val="none"/>
                      <w:lang w:val="en-US" w:eastAsia="zh-CN"/>
                    </w:rPr>
                    <w:t>8</w:t>
                  </w:r>
                </w:p>
              </w:tc>
              <w:tc>
                <w:tcPr>
                  <w:tcW w:w="1982" w:type="dxa"/>
                  <w:noWrap w:val="0"/>
                  <w:vAlign w:val="center"/>
                </w:tcPr>
                <w:p w14:paraId="4A31FDD8">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highlight w:val="none"/>
                      <w:lang w:val="en-US" w:eastAsia="zh-CN"/>
                    </w:rPr>
                    <w:t>废切削液</w:t>
                  </w:r>
                </w:p>
              </w:tc>
              <w:tc>
                <w:tcPr>
                  <w:tcW w:w="5712" w:type="dxa"/>
                  <w:noWrap w:val="0"/>
                  <w:vAlign w:val="center"/>
                </w:tcPr>
                <w:p w14:paraId="15C28C85">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Cs w:val="21"/>
                      <w:highlight w:val="none"/>
                      <w:lang w:val="en-US" w:eastAsia="zh-CN"/>
                    </w:rPr>
                    <w:t>因丧失原有功能而无法继续使用的物质</w:t>
                  </w:r>
                </w:p>
              </w:tc>
            </w:tr>
            <w:tr w14:paraId="4FD39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70" w:type="dxa"/>
                  <w:noWrap w:val="0"/>
                  <w:vAlign w:val="center"/>
                </w:tcPr>
                <w:p w14:paraId="3684884C">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Cs w:val="21"/>
                      <w:highlight w:val="none"/>
                      <w:lang w:val="en-US" w:eastAsia="zh-CN"/>
                    </w:rPr>
                    <w:t>9</w:t>
                  </w:r>
                </w:p>
              </w:tc>
              <w:tc>
                <w:tcPr>
                  <w:tcW w:w="1982" w:type="dxa"/>
                  <w:noWrap w:val="0"/>
                  <w:vAlign w:val="center"/>
                </w:tcPr>
                <w:p w14:paraId="2D7BF0BF">
                  <w:pPr>
                    <w:pStyle w:val="58"/>
                    <w:ind w:firstLine="0" w:firstLineChars="0"/>
                    <w:rPr>
                      <w:rFonts w:hint="default" w:ascii="Times New Roman" w:hAnsi="Times New Roman" w:eastAsia="宋体" w:cs="Times New Roman"/>
                      <w:color w:val="auto"/>
                      <w:kern w:val="0"/>
                      <w:sz w:val="21"/>
                      <w:szCs w:val="20"/>
                      <w:highlight w:val="none"/>
                      <w:lang w:val="en-US" w:eastAsia="zh-CN" w:bidi="ar-SA"/>
                    </w:rPr>
                  </w:pPr>
                  <w:r>
                    <w:rPr>
                      <w:rFonts w:hint="default" w:ascii="Times New Roman" w:hAnsi="Times New Roman" w:cs="Times New Roman"/>
                      <w:color w:val="auto"/>
                      <w:highlight w:val="none"/>
                      <w:lang w:val="en-US" w:eastAsia="zh-CN"/>
                    </w:rPr>
                    <w:t>含切削液金属屑</w:t>
                  </w:r>
                </w:p>
              </w:tc>
              <w:tc>
                <w:tcPr>
                  <w:tcW w:w="5712" w:type="dxa"/>
                  <w:noWrap w:val="0"/>
                  <w:vAlign w:val="center"/>
                </w:tcPr>
                <w:p w14:paraId="1CBDD43E">
                  <w:pPr>
                    <w:pStyle w:val="58"/>
                    <w:ind w:firstLine="0" w:firstLineChars="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Cs w:val="21"/>
                      <w:highlight w:val="none"/>
                      <w:lang w:val="en-US" w:eastAsia="zh-CN"/>
                    </w:rPr>
                    <w:t>产品加工和制造过程中产生的下脚料、边角料、残余物质等</w:t>
                  </w:r>
                </w:p>
              </w:tc>
            </w:tr>
            <w:tr w14:paraId="3275E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70" w:type="dxa"/>
                  <w:noWrap w:val="0"/>
                  <w:vAlign w:val="center"/>
                </w:tcPr>
                <w:p w14:paraId="362E3D9D">
                  <w:pPr>
                    <w:pStyle w:val="58"/>
                    <w:ind w:firstLine="0" w:firstLineChars="0"/>
                    <w:rPr>
                      <w:rFonts w:hint="default" w:ascii="Times New Roman" w:hAnsi="Times New Roman"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10</w:t>
                  </w:r>
                </w:p>
              </w:tc>
              <w:tc>
                <w:tcPr>
                  <w:tcW w:w="1982" w:type="dxa"/>
                  <w:noWrap w:val="0"/>
                  <w:vAlign w:val="center"/>
                </w:tcPr>
                <w:p w14:paraId="4C15D361">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不合格品</w:t>
                  </w:r>
                </w:p>
              </w:tc>
              <w:tc>
                <w:tcPr>
                  <w:tcW w:w="5712" w:type="dxa"/>
                  <w:noWrap w:val="0"/>
                  <w:vAlign w:val="center"/>
                </w:tcPr>
                <w:p w14:paraId="45501348">
                  <w:pPr>
                    <w:pStyle w:val="58"/>
                    <w:ind w:firstLine="0" w:firstLineChars="0"/>
                    <w:rPr>
                      <w:rFonts w:hint="default" w:ascii="Times New Roman" w:hAnsi="Times New Roman"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因丧失原有功能而无法继续使用的物质</w:t>
                  </w:r>
                </w:p>
              </w:tc>
            </w:tr>
            <w:tr w14:paraId="13E5A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70" w:type="dxa"/>
                  <w:noWrap w:val="0"/>
                  <w:vAlign w:val="center"/>
                </w:tcPr>
                <w:p w14:paraId="40E8C169">
                  <w:pPr>
                    <w:pStyle w:val="58"/>
                    <w:ind w:firstLine="0" w:firstLineChars="0"/>
                    <w:rPr>
                      <w:rFonts w:hint="default" w:ascii="Times New Roman" w:hAnsi="Times New Roman"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11</w:t>
                  </w:r>
                </w:p>
              </w:tc>
              <w:tc>
                <w:tcPr>
                  <w:tcW w:w="1982" w:type="dxa"/>
                  <w:noWrap w:val="0"/>
                  <w:vAlign w:val="center"/>
                </w:tcPr>
                <w:p w14:paraId="3ABD918E">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边角料</w:t>
                  </w:r>
                </w:p>
              </w:tc>
              <w:tc>
                <w:tcPr>
                  <w:tcW w:w="5712" w:type="dxa"/>
                  <w:noWrap w:val="0"/>
                  <w:vAlign w:val="center"/>
                </w:tcPr>
                <w:p w14:paraId="15EDC11A">
                  <w:pPr>
                    <w:pStyle w:val="58"/>
                    <w:ind w:firstLine="0" w:firstLineChars="0"/>
                    <w:rPr>
                      <w:rFonts w:hint="default" w:ascii="Times New Roman" w:hAnsi="Times New Roman"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产品加工和制造过程中产生的下脚料、边角料、残余物质等</w:t>
                  </w:r>
                </w:p>
              </w:tc>
            </w:tr>
          </w:tbl>
          <w:p w14:paraId="1102C560">
            <w:pPr>
              <w:pStyle w:val="9"/>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4.1 生活垃圾</w:t>
            </w:r>
          </w:p>
          <w:p w14:paraId="2B086A57">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本次扩建项目不新增劳动定员，无新增生活垃圾</w:t>
            </w:r>
            <w:r>
              <w:rPr>
                <w:rFonts w:hint="default" w:ascii="Times New Roman" w:hAnsi="Times New Roman" w:cs="Times New Roman"/>
                <w:color w:val="auto"/>
                <w:highlight w:val="none"/>
              </w:rPr>
              <w:t>，</w:t>
            </w:r>
            <w:r>
              <w:rPr>
                <w:rFonts w:hint="default" w:ascii="Times New Roman" w:hAnsi="Times New Roman" w:cs="Times New Roman"/>
                <w:color w:val="auto"/>
                <w:highlight w:val="none"/>
                <w:lang w:val="en-US" w:eastAsia="zh-CN"/>
              </w:rPr>
              <w:t>现有</w:t>
            </w:r>
            <w:r>
              <w:rPr>
                <w:rFonts w:hint="default" w:ascii="Times New Roman" w:hAnsi="Times New Roman" w:cs="Times New Roman"/>
                <w:color w:val="auto"/>
                <w:highlight w:val="none"/>
              </w:rPr>
              <w:t>生活垃圾由环卫部门定期清运。</w:t>
            </w:r>
          </w:p>
          <w:p w14:paraId="23A0E697">
            <w:pPr>
              <w:pStyle w:val="9"/>
              <w:rPr>
                <w:rFonts w:hint="default" w:ascii="Times New Roman" w:hAnsi="Times New Roman" w:cs="Times New Roman"/>
                <w:color w:val="auto"/>
                <w:highlight w:val="none"/>
              </w:rPr>
            </w:pPr>
            <w:r>
              <w:rPr>
                <w:rFonts w:hint="default" w:ascii="Times New Roman" w:hAnsi="Times New Roman" w:cs="Times New Roman"/>
                <w:color w:val="auto"/>
                <w:highlight w:val="none"/>
              </w:rPr>
              <w:t>4</w:t>
            </w:r>
            <w:r>
              <w:rPr>
                <w:rFonts w:hint="default" w:ascii="Times New Roman" w:hAnsi="Times New Roman" w:cs="Times New Roman"/>
                <w:color w:val="auto"/>
                <w:highlight w:val="none"/>
                <w:lang w:val="en-US" w:eastAsia="zh-CN"/>
              </w:rPr>
              <w:t>.2</w:t>
            </w:r>
            <w:r>
              <w:rPr>
                <w:rFonts w:hint="default" w:ascii="Times New Roman" w:hAnsi="Times New Roman" w:cs="Times New Roman"/>
                <w:color w:val="auto"/>
                <w:highlight w:val="none"/>
              </w:rPr>
              <w:t xml:space="preserve"> 一般工业固体废物</w:t>
            </w:r>
          </w:p>
          <w:p w14:paraId="4D0A5984">
            <w:pPr>
              <w:ind w:firstLine="480" w:firstLineChars="200"/>
              <w:rPr>
                <w:rStyle w:val="80"/>
                <w:rFonts w:hint="default" w:ascii="Times New Roman" w:hAnsi="Times New Roman" w:cs="Times New Roman"/>
                <w:b/>
                <w:color w:val="auto"/>
                <w:highlight w:val="none"/>
                <w:lang w:val="en-US" w:eastAsia="zh-CN"/>
              </w:rPr>
            </w:pPr>
            <w:r>
              <w:rPr>
                <w:rFonts w:hint="default" w:ascii="Times New Roman" w:hAnsi="Times New Roman" w:cs="Times New Roman"/>
                <w:color w:val="auto"/>
                <w:highlight w:val="none"/>
                <w:lang w:val="en-US" w:eastAsia="zh-CN"/>
              </w:rPr>
              <w:t>扩建项目</w:t>
            </w:r>
            <w:r>
              <w:rPr>
                <w:rFonts w:hint="default" w:ascii="Times New Roman" w:hAnsi="Times New Roman" w:cs="Times New Roman"/>
                <w:color w:val="auto"/>
                <w:highlight w:val="none"/>
              </w:rPr>
              <w:t>一般</w:t>
            </w:r>
            <w:r>
              <w:rPr>
                <w:rFonts w:hint="default" w:ascii="Times New Roman" w:hAnsi="Times New Roman" w:cs="Times New Roman"/>
                <w:color w:val="auto"/>
                <w:highlight w:val="none"/>
                <w:lang w:val="en-US" w:eastAsia="zh-CN"/>
              </w:rPr>
              <w:t>工业</w:t>
            </w:r>
            <w:r>
              <w:rPr>
                <w:rFonts w:hint="default" w:ascii="Times New Roman" w:hAnsi="Times New Roman" w:cs="Times New Roman"/>
                <w:color w:val="auto"/>
                <w:highlight w:val="none"/>
              </w:rPr>
              <w:t>固废</w:t>
            </w:r>
            <w:r>
              <w:rPr>
                <w:rFonts w:hint="default" w:ascii="Times New Roman" w:hAnsi="Times New Roman" w:cs="Times New Roman"/>
                <w:color w:val="auto"/>
                <w:highlight w:val="none"/>
                <w:lang w:val="en-US" w:eastAsia="zh-CN"/>
              </w:rPr>
              <w:t>产生及处置方式见下表</w:t>
            </w:r>
            <w:r>
              <w:rPr>
                <w:rFonts w:hint="default" w:ascii="Times New Roman" w:hAnsi="Times New Roman" w:cs="Times New Roman"/>
                <w:color w:val="auto"/>
                <w:highlight w:val="none"/>
              </w:rPr>
              <w:t>。</w:t>
            </w:r>
          </w:p>
          <w:p w14:paraId="02AF6620">
            <w:pPr>
              <w:pStyle w:val="47"/>
              <w:bidi w:val="0"/>
              <w:rPr>
                <w:rFonts w:hint="default" w:ascii="Times New Roman" w:hAnsi="Times New Roman" w:cs="Times New Roman"/>
                <w:color w:val="auto"/>
                <w:highlight w:val="none"/>
                <w:lang w:val="en-US" w:eastAsia="zh-CN"/>
              </w:rPr>
            </w:pPr>
            <w:r>
              <w:rPr>
                <w:rStyle w:val="80"/>
                <w:rFonts w:hint="default" w:ascii="Times New Roman" w:hAnsi="Times New Roman" w:cs="Times New Roman"/>
                <w:b/>
                <w:color w:val="auto"/>
                <w:highlight w:val="none"/>
                <w:lang w:val="en-US" w:eastAsia="zh-CN"/>
              </w:rPr>
              <w:t>表4-</w:t>
            </w:r>
            <w:r>
              <w:rPr>
                <w:rStyle w:val="80"/>
                <w:rFonts w:hint="eastAsia" w:cs="Times New Roman"/>
                <w:b/>
                <w:color w:val="auto"/>
                <w:highlight w:val="none"/>
                <w:lang w:val="en-US" w:eastAsia="zh-CN"/>
              </w:rPr>
              <w:t>9</w:t>
            </w:r>
            <w:r>
              <w:rPr>
                <w:rStyle w:val="80"/>
                <w:rFonts w:hint="default" w:ascii="Times New Roman" w:hAnsi="Times New Roman" w:cs="Times New Roman"/>
                <w:b/>
                <w:color w:val="auto"/>
                <w:highlight w:val="none"/>
                <w:lang w:val="en-US" w:eastAsia="zh-CN"/>
              </w:rPr>
              <w:t xml:space="preserve">  扩建项目</w:t>
            </w:r>
            <w:r>
              <w:rPr>
                <w:rFonts w:hint="default" w:ascii="Times New Roman" w:hAnsi="Times New Roman" w:cs="Times New Roman"/>
                <w:color w:val="auto"/>
                <w:highlight w:val="none"/>
                <w:lang w:val="en-US" w:eastAsia="zh-CN"/>
              </w:rPr>
              <w:t>一般工业固体废物汇总表</w:t>
            </w:r>
          </w:p>
          <w:tbl>
            <w:tblPr>
              <w:tblStyle w:val="35"/>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5"/>
              <w:gridCol w:w="1123"/>
              <w:gridCol w:w="774"/>
              <w:gridCol w:w="806"/>
              <w:gridCol w:w="959"/>
              <w:gridCol w:w="1118"/>
              <w:gridCol w:w="854"/>
              <w:gridCol w:w="1184"/>
              <w:gridCol w:w="1116"/>
            </w:tblGrid>
            <w:tr w14:paraId="5997C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310" w:type="pct"/>
                  <w:vAlign w:val="center"/>
                </w:tcPr>
                <w:p w14:paraId="58AF728C">
                  <w:pPr>
                    <w:keepNext w:val="0"/>
                    <w:keepLines w:val="0"/>
                    <w:pageBreakBefore w:val="0"/>
                    <w:widowControl w:val="0"/>
                    <w:kinsoku/>
                    <w:wordWrap/>
                    <w:overflowPunct/>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序号</w:t>
                  </w:r>
                </w:p>
              </w:tc>
              <w:tc>
                <w:tcPr>
                  <w:tcW w:w="663" w:type="pct"/>
                  <w:vAlign w:val="center"/>
                </w:tcPr>
                <w:p w14:paraId="550F53C1">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废物名称</w:t>
                  </w:r>
                </w:p>
              </w:tc>
              <w:tc>
                <w:tcPr>
                  <w:tcW w:w="457" w:type="pct"/>
                  <w:vAlign w:val="center"/>
                </w:tcPr>
                <w:p w14:paraId="0B5BFB95">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废物类别</w:t>
                  </w:r>
                </w:p>
              </w:tc>
              <w:tc>
                <w:tcPr>
                  <w:tcW w:w="476" w:type="pct"/>
                  <w:vAlign w:val="center"/>
                </w:tcPr>
                <w:p w14:paraId="3C03488A">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代码</w:t>
                  </w:r>
                </w:p>
              </w:tc>
              <w:tc>
                <w:tcPr>
                  <w:tcW w:w="566" w:type="pct"/>
                  <w:vAlign w:val="center"/>
                </w:tcPr>
                <w:p w14:paraId="53806B35">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产生量（t/a）</w:t>
                  </w:r>
                </w:p>
              </w:tc>
              <w:tc>
                <w:tcPr>
                  <w:tcW w:w="660" w:type="pct"/>
                  <w:vAlign w:val="center"/>
                </w:tcPr>
                <w:p w14:paraId="3409B597">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产生工序</w:t>
                  </w:r>
                </w:p>
              </w:tc>
              <w:tc>
                <w:tcPr>
                  <w:tcW w:w="504" w:type="pct"/>
                  <w:vAlign w:val="center"/>
                </w:tcPr>
                <w:p w14:paraId="777AD86C">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形态</w:t>
                  </w:r>
                </w:p>
              </w:tc>
              <w:tc>
                <w:tcPr>
                  <w:tcW w:w="699" w:type="pct"/>
                  <w:vAlign w:val="center"/>
                </w:tcPr>
                <w:p w14:paraId="2A671169">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产废周期</w:t>
                  </w:r>
                </w:p>
              </w:tc>
              <w:tc>
                <w:tcPr>
                  <w:tcW w:w="659" w:type="pct"/>
                  <w:vAlign w:val="center"/>
                </w:tcPr>
                <w:p w14:paraId="63E79636">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污染防治措施</w:t>
                  </w:r>
                </w:p>
              </w:tc>
            </w:tr>
            <w:tr w14:paraId="6DFBF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0" w:type="pct"/>
                  <w:vAlign w:val="center"/>
                </w:tcPr>
                <w:p w14:paraId="485F1B79">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1</w:t>
                  </w:r>
                </w:p>
              </w:tc>
              <w:tc>
                <w:tcPr>
                  <w:tcW w:w="663" w:type="pct"/>
                  <w:vAlign w:val="center"/>
                </w:tcPr>
                <w:p w14:paraId="5498332A">
                  <w:pPr>
                    <w:pStyle w:val="58"/>
                    <w:ind w:firstLine="0" w:firstLineChars="0"/>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不含切削液金属屑</w:t>
                  </w:r>
                </w:p>
              </w:tc>
              <w:tc>
                <w:tcPr>
                  <w:tcW w:w="457" w:type="pct"/>
                  <w:vMerge w:val="restart"/>
                  <w:vAlign w:val="center"/>
                </w:tcPr>
                <w:p w14:paraId="3F9D8AD2">
                  <w:pPr>
                    <w:keepNext w:val="0"/>
                    <w:keepLines w:val="0"/>
                    <w:pageBreakBefore w:val="0"/>
                    <w:widowControl w:val="0"/>
                    <w:kinsoku/>
                    <w:wordWrap/>
                    <w:overflowPunct/>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kern w:val="0"/>
                      <w:sz w:val="21"/>
                      <w:szCs w:val="21"/>
                      <w:highlight w:val="none"/>
                      <w:lang w:val="en-US" w:eastAsia="zh-CN" w:bidi="ar-SA"/>
                    </w:rPr>
                    <w:t>一般工业固体废物</w:t>
                  </w:r>
                </w:p>
              </w:tc>
              <w:tc>
                <w:tcPr>
                  <w:tcW w:w="476" w:type="pct"/>
                  <w:vAlign w:val="center"/>
                </w:tcPr>
                <w:p w14:paraId="39355311">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SW17</w:t>
                  </w:r>
                </w:p>
              </w:tc>
              <w:tc>
                <w:tcPr>
                  <w:tcW w:w="566" w:type="pct"/>
                  <w:vAlign w:val="center"/>
                </w:tcPr>
                <w:p w14:paraId="385AB88C">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12</w:t>
                  </w:r>
                </w:p>
              </w:tc>
              <w:tc>
                <w:tcPr>
                  <w:tcW w:w="660" w:type="pct"/>
                  <w:vAlign w:val="center"/>
                </w:tcPr>
                <w:p w14:paraId="4C06EB75">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加工处理</w:t>
                  </w:r>
                </w:p>
              </w:tc>
              <w:tc>
                <w:tcPr>
                  <w:tcW w:w="504" w:type="pct"/>
                  <w:vAlign w:val="center"/>
                </w:tcPr>
                <w:p w14:paraId="34AED9AC">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固态</w:t>
                  </w:r>
                </w:p>
              </w:tc>
              <w:tc>
                <w:tcPr>
                  <w:tcW w:w="699" w:type="pct"/>
                  <w:vAlign w:val="center"/>
                </w:tcPr>
                <w:p w14:paraId="31E883F9">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1次/d</w:t>
                  </w:r>
                </w:p>
              </w:tc>
              <w:tc>
                <w:tcPr>
                  <w:tcW w:w="659" w:type="pct"/>
                  <w:vMerge w:val="restart"/>
                  <w:vAlign w:val="center"/>
                </w:tcPr>
                <w:p w14:paraId="19CF5712">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收集后外售</w:t>
                  </w:r>
                </w:p>
              </w:tc>
            </w:tr>
            <w:tr w14:paraId="6051A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0" w:type="pct"/>
                  <w:vAlign w:val="center"/>
                </w:tcPr>
                <w:p w14:paraId="1781E4B5">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w:t>
                  </w:r>
                </w:p>
              </w:tc>
              <w:tc>
                <w:tcPr>
                  <w:tcW w:w="663" w:type="pct"/>
                  <w:vAlign w:val="center"/>
                </w:tcPr>
                <w:p w14:paraId="196D3570">
                  <w:pPr>
                    <w:pStyle w:val="58"/>
                    <w:ind w:firstLine="0" w:firstLineChars="0"/>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不合格品</w:t>
                  </w:r>
                </w:p>
              </w:tc>
              <w:tc>
                <w:tcPr>
                  <w:tcW w:w="457" w:type="pct"/>
                  <w:vMerge w:val="continue"/>
                  <w:vAlign w:val="center"/>
                </w:tcPr>
                <w:p w14:paraId="5CE736C6">
                  <w:pPr>
                    <w:keepNext w:val="0"/>
                    <w:keepLines w:val="0"/>
                    <w:pageBreakBefore w:val="0"/>
                    <w:widowControl w:val="0"/>
                    <w:kinsoku/>
                    <w:wordWrap/>
                    <w:overflowPunct/>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vertAlign w:val="baseline"/>
                      <w:lang w:val="en-US" w:eastAsia="zh-CN"/>
                    </w:rPr>
                  </w:pPr>
                </w:p>
              </w:tc>
              <w:tc>
                <w:tcPr>
                  <w:tcW w:w="476" w:type="pct"/>
                  <w:vAlign w:val="center"/>
                </w:tcPr>
                <w:p w14:paraId="79D95E3B">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SW17</w:t>
                  </w:r>
                </w:p>
              </w:tc>
              <w:tc>
                <w:tcPr>
                  <w:tcW w:w="566" w:type="pct"/>
                  <w:vAlign w:val="center"/>
                </w:tcPr>
                <w:p w14:paraId="17C6205C">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2</w:t>
                  </w:r>
                </w:p>
              </w:tc>
              <w:tc>
                <w:tcPr>
                  <w:tcW w:w="660" w:type="pct"/>
                  <w:vAlign w:val="center"/>
                </w:tcPr>
                <w:p w14:paraId="3C82426B">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加工处理</w:t>
                  </w:r>
                </w:p>
              </w:tc>
              <w:tc>
                <w:tcPr>
                  <w:tcW w:w="504" w:type="pct"/>
                  <w:vAlign w:val="center"/>
                </w:tcPr>
                <w:p w14:paraId="385B1855">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固态</w:t>
                  </w:r>
                </w:p>
              </w:tc>
              <w:tc>
                <w:tcPr>
                  <w:tcW w:w="699" w:type="pct"/>
                  <w:vAlign w:val="center"/>
                </w:tcPr>
                <w:p w14:paraId="1EEA09FB">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1次/d</w:t>
                  </w:r>
                </w:p>
              </w:tc>
              <w:tc>
                <w:tcPr>
                  <w:tcW w:w="659" w:type="pct"/>
                  <w:vMerge w:val="continue"/>
                  <w:vAlign w:val="center"/>
                </w:tcPr>
                <w:p w14:paraId="16EE4065">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p>
              </w:tc>
            </w:tr>
            <w:tr w14:paraId="44E9F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0" w:type="pct"/>
                  <w:vAlign w:val="center"/>
                </w:tcPr>
                <w:p w14:paraId="13AB3589">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w:t>
                  </w:r>
                </w:p>
              </w:tc>
              <w:tc>
                <w:tcPr>
                  <w:tcW w:w="663" w:type="pct"/>
                  <w:vAlign w:val="center"/>
                </w:tcPr>
                <w:p w14:paraId="2012A20A">
                  <w:pPr>
                    <w:pStyle w:val="58"/>
                    <w:ind w:firstLine="0" w:firstLineChars="0"/>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边角料</w:t>
                  </w:r>
                </w:p>
              </w:tc>
              <w:tc>
                <w:tcPr>
                  <w:tcW w:w="457" w:type="pct"/>
                  <w:vMerge w:val="continue"/>
                  <w:vAlign w:val="center"/>
                </w:tcPr>
                <w:p w14:paraId="19129E68">
                  <w:pPr>
                    <w:keepNext w:val="0"/>
                    <w:keepLines w:val="0"/>
                    <w:pageBreakBefore w:val="0"/>
                    <w:widowControl w:val="0"/>
                    <w:kinsoku/>
                    <w:wordWrap/>
                    <w:overflowPunct/>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vertAlign w:val="baseline"/>
                      <w:lang w:val="en-US" w:eastAsia="zh-CN"/>
                    </w:rPr>
                  </w:pPr>
                </w:p>
              </w:tc>
              <w:tc>
                <w:tcPr>
                  <w:tcW w:w="476" w:type="pct"/>
                  <w:vAlign w:val="center"/>
                </w:tcPr>
                <w:p w14:paraId="1E81C2D7">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SW17</w:t>
                  </w:r>
                </w:p>
              </w:tc>
              <w:tc>
                <w:tcPr>
                  <w:tcW w:w="566" w:type="pct"/>
                  <w:vAlign w:val="center"/>
                </w:tcPr>
                <w:p w14:paraId="75F51DE2">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11</w:t>
                  </w:r>
                </w:p>
              </w:tc>
              <w:tc>
                <w:tcPr>
                  <w:tcW w:w="660" w:type="pct"/>
                  <w:vAlign w:val="center"/>
                </w:tcPr>
                <w:p w14:paraId="1EC467CD">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加工处理</w:t>
                  </w:r>
                </w:p>
              </w:tc>
              <w:tc>
                <w:tcPr>
                  <w:tcW w:w="504" w:type="pct"/>
                  <w:vAlign w:val="center"/>
                </w:tcPr>
                <w:p w14:paraId="17ACEBBF">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固态</w:t>
                  </w:r>
                </w:p>
              </w:tc>
              <w:tc>
                <w:tcPr>
                  <w:tcW w:w="699" w:type="pct"/>
                  <w:vAlign w:val="center"/>
                </w:tcPr>
                <w:p w14:paraId="76850FB8">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1次/d</w:t>
                  </w:r>
                </w:p>
              </w:tc>
              <w:tc>
                <w:tcPr>
                  <w:tcW w:w="659" w:type="pct"/>
                  <w:vMerge w:val="continue"/>
                  <w:vAlign w:val="center"/>
                </w:tcPr>
                <w:p w14:paraId="500AB1D1">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p>
              </w:tc>
            </w:tr>
          </w:tbl>
          <w:p w14:paraId="05DE7ED6">
            <w:pPr>
              <w:pStyle w:val="16"/>
              <w:snapToGrid w:val="0"/>
              <w:spacing w:line="360" w:lineRule="auto"/>
              <w:ind w:firstLine="480" w:firstLineChars="200"/>
              <w:rPr>
                <w:rFonts w:hint="default" w:ascii="Times New Roman" w:hAnsi="Times New Roman" w:cs="Times New Roman"/>
                <w:color w:val="auto"/>
                <w:sz w:val="24"/>
                <w:szCs w:val="24"/>
                <w:highlight w:val="none"/>
              </w:rPr>
            </w:pPr>
          </w:p>
          <w:p w14:paraId="741F8EA4">
            <w:pPr>
              <w:pStyle w:val="17"/>
              <w:rPr>
                <w:rFonts w:hint="default" w:ascii="Times New Roman" w:hAnsi="Times New Roman" w:cs="Times New Roman"/>
                <w:color w:val="auto"/>
                <w:sz w:val="24"/>
                <w:szCs w:val="24"/>
                <w:highlight w:val="none"/>
              </w:rPr>
            </w:pPr>
          </w:p>
          <w:p w14:paraId="3017A3B9">
            <w:pPr>
              <w:pStyle w:val="47"/>
              <w:bidi w:val="0"/>
              <w:rPr>
                <w:rFonts w:hint="default" w:ascii="Times New Roman" w:hAnsi="Times New Roman" w:cs="Times New Roman"/>
                <w:color w:val="auto"/>
                <w:highlight w:val="none"/>
                <w:lang w:val="en-US" w:eastAsia="zh-CN"/>
              </w:rPr>
            </w:pPr>
            <w:r>
              <w:rPr>
                <w:rStyle w:val="80"/>
                <w:rFonts w:hint="default" w:ascii="Times New Roman" w:hAnsi="Times New Roman" w:cs="Times New Roman"/>
                <w:b/>
                <w:color w:val="auto"/>
                <w:highlight w:val="none"/>
                <w:lang w:val="en-US" w:eastAsia="zh-CN"/>
              </w:rPr>
              <w:t>表4-</w:t>
            </w:r>
            <w:r>
              <w:rPr>
                <w:rStyle w:val="80"/>
                <w:rFonts w:hint="eastAsia" w:cs="Times New Roman"/>
                <w:b/>
                <w:color w:val="auto"/>
                <w:highlight w:val="none"/>
                <w:lang w:val="en-US" w:eastAsia="zh-CN"/>
              </w:rPr>
              <w:t>10</w:t>
            </w:r>
            <w:r>
              <w:rPr>
                <w:rStyle w:val="80"/>
                <w:rFonts w:hint="default" w:ascii="Times New Roman" w:hAnsi="Times New Roman" w:cs="Times New Roman"/>
                <w:b/>
                <w:color w:val="auto"/>
                <w:highlight w:val="none"/>
                <w:lang w:val="en-US" w:eastAsia="zh-CN"/>
              </w:rPr>
              <w:t xml:space="preserve">  </w:t>
            </w:r>
            <w:r>
              <w:rPr>
                <w:rFonts w:hint="default" w:ascii="Times New Roman" w:hAnsi="Times New Roman" w:cs="Times New Roman"/>
                <w:color w:val="auto"/>
                <w:highlight w:val="none"/>
                <w:lang w:val="en-US" w:eastAsia="zh-CN"/>
              </w:rPr>
              <w:t>扩建项目完成后全厂一般工业固体废物汇总表</w:t>
            </w:r>
          </w:p>
          <w:tbl>
            <w:tblPr>
              <w:tblStyle w:val="35"/>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5"/>
              <w:gridCol w:w="1123"/>
              <w:gridCol w:w="774"/>
              <w:gridCol w:w="806"/>
              <w:gridCol w:w="959"/>
              <w:gridCol w:w="1118"/>
              <w:gridCol w:w="854"/>
              <w:gridCol w:w="1184"/>
              <w:gridCol w:w="1116"/>
            </w:tblGrid>
            <w:tr w14:paraId="33B9F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310" w:type="pct"/>
                  <w:vAlign w:val="center"/>
                </w:tcPr>
                <w:p w14:paraId="1D4D69E6">
                  <w:pPr>
                    <w:keepNext w:val="0"/>
                    <w:keepLines w:val="0"/>
                    <w:pageBreakBefore w:val="0"/>
                    <w:widowControl w:val="0"/>
                    <w:kinsoku/>
                    <w:wordWrap/>
                    <w:overflowPunct/>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序号</w:t>
                  </w:r>
                </w:p>
              </w:tc>
              <w:tc>
                <w:tcPr>
                  <w:tcW w:w="663" w:type="pct"/>
                  <w:vAlign w:val="center"/>
                </w:tcPr>
                <w:p w14:paraId="3A7D1052">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废物名称</w:t>
                  </w:r>
                </w:p>
              </w:tc>
              <w:tc>
                <w:tcPr>
                  <w:tcW w:w="457" w:type="pct"/>
                  <w:vAlign w:val="center"/>
                </w:tcPr>
                <w:p w14:paraId="62946604">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废物类别</w:t>
                  </w:r>
                </w:p>
              </w:tc>
              <w:tc>
                <w:tcPr>
                  <w:tcW w:w="476" w:type="pct"/>
                  <w:vAlign w:val="center"/>
                </w:tcPr>
                <w:p w14:paraId="44C28B94">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代码</w:t>
                  </w:r>
                </w:p>
              </w:tc>
              <w:tc>
                <w:tcPr>
                  <w:tcW w:w="566" w:type="pct"/>
                  <w:vAlign w:val="center"/>
                </w:tcPr>
                <w:p w14:paraId="46B3374A">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产生量（t/a）</w:t>
                  </w:r>
                </w:p>
              </w:tc>
              <w:tc>
                <w:tcPr>
                  <w:tcW w:w="660" w:type="pct"/>
                  <w:vAlign w:val="center"/>
                </w:tcPr>
                <w:p w14:paraId="0C80309A">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产生工序</w:t>
                  </w:r>
                </w:p>
              </w:tc>
              <w:tc>
                <w:tcPr>
                  <w:tcW w:w="504" w:type="pct"/>
                  <w:vAlign w:val="center"/>
                </w:tcPr>
                <w:p w14:paraId="12D5EED1">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形态</w:t>
                  </w:r>
                </w:p>
              </w:tc>
              <w:tc>
                <w:tcPr>
                  <w:tcW w:w="699" w:type="pct"/>
                  <w:vAlign w:val="center"/>
                </w:tcPr>
                <w:p w14:paraId="1B8D224E">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产废周期</w:t>
                  </w:r>
                </w:p>
              </w:tc>
              <w:tc>
                <w:tcPr>
                  <w:tcW w:w="659" w:type="pct"/>
                  <w:vAlign w:val="center"/>
                </w:tcPr>
                <w:p w14:paraId="15C338A1">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污染防治措施</w:t>
                  </w:r>
                </w:p>
              </w:tc>
            </w:tr>
            <w:tr w14:paraId="3A386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0" w:type="pct"/>
                  <w:vAlign w:val="center"/>
                </w:tcPr>
                <w:p w14:paraId="185D74CE">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1</w:t>
                  </w:r>
                </w:p>
              </w:tc>
              <w:tc>
                <w:tcPr>
                  <w:tcW w:w="663" w:type="pct"/>
                  <w:vAlign w:val="center"/>
                </w:tcPr>
                <w:p w14:paraId="3B47C4D0">
                  <w:pPr>
                    <w:pStyle w:val="58"/>
                    <w:ind w:firstLine="0" w:firstLineChars="0"/>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不含切削液金属屑</w:t>
                  </w:r>
                </w:p>
              </w:tc>
              <w:tc>
                <w:tcPr>
                  <w:tcW w:w="457" w:type="pct"/>
                  <w:vMerge w:val="restart"/>
                  <w:vAlign w:val="center"/>
                </w:tcPr>
                <w:p w14:paraId="3ED7A776">
                  <w:pPr>
                    <w:keepNext w:val="0"/>
                    <w:keepLines w:val="0"/>
                    <w:pageBreakBefore w:val="0"/>
                    <w:widowControl w:val="0"/>
                    <w:kinsoku/>
                    <w:wordWrap/>
                    <w:overflowPunct/>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kern w:val="0"/>
                      <w:sz w:val="21"/>
                      <w:szCs w:val="21"/>
                      <w:highlight w:val="none"/>
                      <w:lang w:val="en-US" w:eastAsia="zh-CN" w:bidi="ar-SA"/>
                    </w:rPr>
                    <w:t>一般工业固体废物</w:t>
                  </w:r>
                </w:p>
              </w:tc>
              <w:tc>
                <w:tcPr>
                  <w:tcW w:w="476" w:type="pct"/>
                  <w:vAlign w:val="center"/>
                </w:tcPr>
                <w:p w14:paraId="2219C3D6">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SW17</w:t>
                  </w:r>
                </w:p>
              </w:tc>
              <w:tc>
                <w:tcPr>
                  <w:tcW w:w="566" w:type="pct"/>
                  <w:vAlign w:val="center"/>
                </w:tcPr>
                <w:p w14:paraId="3168B311">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15</w:t>
                  </w:r>
                </w:p>
              </w:tc>
              <w:tc>
                <w:tcPr>
                  <w:tcW w:w="660" w:type="pct"/>
                  <w:vAlign w:val="center"/>
                </w:tcPr>
                <w:p w14:paraId="7E6450FB">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加工处理</w:t>
                  </w:r>
                </w:p>
              </w:tc>
              <w:tc>
                <w:tcPr>
                  <w:tcW w:w="504" w:type="pct"/>
                  <w:vAlign w:val="center"/>
                </w:tcPr>
                <w:p w14:paraId="32371649">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固态</w:t>
                  </w:r>
                </w:p>
              </w:tc>
              <w:tc>
                <w:tcPr>
                  <w:tcW w:w="699" w:type="pct"/>
                  <w:vAlign w:val="center"/>
                </w:tcPr>
                <w:p w14:paraId="3327330B">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1次/d</w:t>
                  </w:r>
                </w:p>
              </w:tc>
              <w:tc>
                <w:tcPr>
                  <w:tcW w:w="659" w:type="pct"/>
                  <w:vMerge w:val="restart"/>
                  <w:vAlign w:val="center"/>
                </w:tcPr>
                <w:p w14:paraId="6E971A4D">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收集后外售</w:t>
                  </w:r>
                </w:p>
              </w:tc>
            </w:tr>
            <w:tr w14:paraId="7BAAF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0" w:type="pct"/>
                  <w:vAlign w:val="center"/>
                </w:tcPr>
                <w:p w14:paraId="1D9932CE">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w:t>
                  </w:r>
                </w:p>
              </w:tc>
              <w:tc>
                <w:tcPr>
                  <w:tcW w:w="663" w:type="pct"/>
                  <w:vAlign w:val="center"/>
                </w:tcPr>
                <w:p w14:paraId="780217D0">
                  <w:pPr>
                    <w:pStyle w:val="58"/>
                    <w:ind w:firstLine="0" w:firstLineChars="0"/>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不合格品</w:t>
                  </w:r>
                </w:p>
              </w:tc>
              <w:tc>
                <w:tcPr>
                  <w:tcW w:w="457" w:type="pct"/>
                  <w:vMerge w:val="continue"/>
                  <w:vAlign w:val="center"/>
                </w:tcPr>
                <w:p w14:paraId="614F12AB">
                  <w:pPr>
                    <w:keepNext w:val="0"/>
                    <w:keepLines w:val="0"/>
                    <w:pageBreakBefore w:val="0"/>
                    <w:widowControl w:val="0"/>
                    <w:kinsoku/>
                    <w:wordWrap/>
                    <w:overflowPunct/>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vertAlign w:val="baseline"/>
                      <w:lang w:val="en-US" w:eastAsia="zh-CN"/>
                    </w:rPr>
                  </w:pPr>
                </w:p>
              </w:tc>
              <w:tc>
                <w:tcPr>
                  <w:tcW w:w="476" w:type="pct"/>
                  <w:vAlign w:val="center"/>
                </w:tcPr>
                <w:p w14:paraId="5546A278">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SW17</w:t>
                  </w:r>
                </w:p>
              </w:tc>
              <w:tc>
                <w:tcPr>
                  <w:tcW w:w="566" w:type="pct"/>
                  <w:vAlign w:val="center"/>
                </w:tcPr>
                <w:p w14:paraId="3DFE7BD5">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3</w:t>
                  </w:r>
                </w:p>
              </w:tc>
              <w:tc>
                <w:tcPr>
                  <w:tcW w:w="660" w:type="pct"/>
                  <w:vAlign w:val="center"/>
                </w:tcPr>
                <w:p w14:paraId="34D062A0">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加工处理</w:t>
                  </w:r>
                </w:p>
              </w:tc>
              <w:tc>
                <w:tcPr>
                  <w:tcW w:w="504" w:type="pct"/>
                  <w:vAlign w:val="center"/>
                </w:tcPr>
                <w:p w14:paraId="35BEB797">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固态</w:t>
                  </w:r>
                </w:p>
              </w:tc>
              <w:tc>
                <w:tcPr>
                  <w:tcW w:w="699" w:type="pct"/>
                  <w:vAlign w:val="center"/>
                </w:tcPr>
                <w:p w14:paraId="6084DDB0">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1次/d</w:t>
                  </w:r>
                </w:p>
              </w:tc>
              <w:tc>
                <w:tcPr>
                  <w:tcW w:w="659" w:type="pct"/>
                  <w:vMerge w:val="continue"/>
                  <w:vAlign w:val="center"/>
                </w:tcPr>
                <w:p w14:paraId="46FF6242">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p>
              </w:tc>
            </w:tr>
            <w:tr w14:paraId="40E43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0" w:type="pct"/>
                  <w:vAlign w:val="center"/>
                </w:tcPr>
                <w:p w14:paraId="5B9D6B37">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w:t>
                  </w:r>
                </w:p>
              </w:tc>
              <w:tc>
                <w:tcPr>
                  <w:tcW w:w="663" w:type="pct"/>
                  <w:vAlign w:val="center"/>
                </w:tcPr>
                <w:p w14:paraId="34583224">
                  <w:pPr>
                    <w:pStyle w:val="58"/>
                    <w:ind w:firstLine="0" w:firstLineChars="0"/>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边角料</w:t>
                  </w:r>
                </w:p>
              </w:tc>
              <w:tc>
                <w:tcPr>
                  <w:tcW w:w="457" w:type="pct"/>
                  <w:vMerge w:val="continue"/>
                  <w:vAlign w:val="center"/>
                </w:tcPr>
                <w:p w14:paraId="7832CC47">
                  <w:pPr>
                    <w:keepNext w:val="0"/>
                    <w:keepLines w:val="0"/>
                    <w:pageBreakBefore w:val="0"/>
                    <w:widowControl w:val="0"/>
                    <w:kinsoku/>
                    <w:wordWrap/>
                    <w:overflowPunct/>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vertAlign w:val="baseline"/>
                      <w:lang w:val="en-US" w:eastAsia="zh-CN"/>
                    </w:rPr>
                  </w:pPr>
                </w:p>
              </w:tc>
              <w:tc>
                <w:tcPr>
                  <w:tcW w:w="476" w:type="pct"/>
                  <w:vAlign w:val="center"/>
                </w:tcPr>
                <w:p w14:paraId="0D5512DE">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SW17</w:t>
                  </w:r>
                </w:p>
              </w:tc>
              <w:tc>
                <w:tcPr>
                  <w:tcW w:w="566" w:type="pct"/>
                  <w:vAlign w:val="center"/>
                </w:tcPr>
                <w:p w14:paraId="0EDB8741">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15</w:t>
                  </w:r>
                </w:p>
              </w:tc>
              <w:tc>
                <w:tcPr>
                  <w:tcW w:w="660" w:type="pct"/>
                  <w:vAlign w:val="center"/>
                </w:tcPr>
                <w:p w14:paraId="1E5BE08B">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加工处理</w:t>
                  </w:r>
                </w:p>
              </w:tc>
              <w:tc>
                <w:tcPr>
                  <w:tcW w:w="504" w:type="pct"/>
                  <w:vAlign w:val="center"/>
                </w:tcPr>
                <w:p w14:paraId="33FCA3D7">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固态</w:t>
                  </w:r>
                </w:p>
              </w:tc>
              <w:tc>
                <w:tcPr>
                  <w:tcW w:w="699" w:type="pct"/>
                  <w:vAlign w:val="center"/>
                </w:tcPr>
                <w:p w14:paraId="7E33B1F1">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1次/d</w:t>
                  </w:r>
                </w:p>
              </w:tc>
              <w:tc>
                <w:tcPr>
                  <w:tcW w:w="659" w:type="pct"/>
                  <w:vMerge w:val="continue"/>
                  <w:vAlign w:val="center"/>
                </w:tcPr>
                <w:p w14:paraId="527BA014">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vertAlign w:val="baseline"/>
                      <w:lang w:val="en-US" w:eastAsia="zh-CN"/>
                    </w:rPr>
                  </w:pPr>
                </w:p>
              </w:tc>
            </w:tr>
          </w:tbl>
          <w:p w14:paraId="362E8E71">
            <w:pPr>
              <w:pStyle w:val="16"/>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4.</w:t>
            </w:r>
            <w:r>
              <w:rPr>
                <w:rFonts w:hint="default" w:ascii="Times New Roman" w:hAnsi="Times New Roman" w:cs="Times New Roman"/>
                <w:color w:val="auto"/>
                <w:sz w:val="24"/>
                <w:szCs w:val="24"/>
                <w:highlight w:val="none"/>
                <w:lang w:val="en-US" w:eastAsia="zh-CN"/>
              </w:rPr>
              <w:t>2</w:t>
            </w:r>
            <w:r>
              <w:rPr>
                <w:rFonts w:hint="default" w:ascii="Times New Roman" w:hAnsi="Times New Roman" w:cs="Times New Roman"/>
                <w:color w:val="auto"/>
                <w:sz w:val="24"/>
                <w:szCs w:val="24"/>
                <w:highlight w:val="none"/>
              </w:rPr>
              <w:t>.1管理台账要求</w:t>
            </w:r>
          </w:p>
          <w:p w14:paraId="367F71BF">
            <w:pPr>
              <w:pStyle w:val="16"/>
              <w:snapToGrid w:val="0"/>
              <w:spacing w:line="360" w:lineRule="auto"/>
              <w:ind w:firstLine="480" w:firstLineChars="200"/>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根据《一般工业固体废物管理台账制定指南（试行）》（2021-12-30），本项目一般固体废物管理台账要求如下：</w:t>
            </w:r>
          </w:p>
          <w:p w14:paraId="26BCB852">
            <w:pPr>
              <w:pStyle w:val="16"/>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1</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一般工业固体废物管理台账实施分级管理；</w:t>
            </w:r>
          </w:p>
          <w:p w14:paraId="087EF869">
            <w:pPr>
              <w:pStyle w:val="16"/>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鼓励产废单位采用国家建立的一般工业固体废物管理电子台账，简化数据填写、台账管理等工作。地方和企业自行开发的电子台账要实现与国家系统对接。建立电子台账的产废单位，可不再记录纸质台账；</w:t>
            </w:r>
          </w:p>
          <w:p w14:paraId="356DE04B">
            <w:pPr>
              <w:pStyle w:val="16"/>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3</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台账记录表各表单的负责人对记录信息的真实性、完整性和规范性负责；</w:t>
            </w:r>
          </w:p>
          <w:p w14:paraId="61A169AF">
            <w:pPr>
              <w:pStyle w:val="16"/>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4</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产废单位填写台账记录表时，应当根据自身固体废物产生情况并根据固体废物种类确定固体废物的具体名称；</w:t>
            </w:r>
          </w:p>
          <w:p w14:paraId="31A27076">
            <w:pPr>
              <w:pStyle w:val="16"/>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5</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产废单位应当设立专人负责台账的管理与归档，一般工业固体废物管理台账保存期限不少于5年台账记录表各表单的负责人对记录信息的真实性、完整性和规范性负责；</w:t>
            </w:r>
          </w:p>
          <w:p w14:paraId="06686652">
            <w:pPr>
              <w:pStyle w:val="16"/>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6</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鼓励有条件的产废单位在固体废物产生场所、贮存场所及磅秤位置等关键点位设置视频监控，提高台账记录信息的准确性。</w:t>
            </w:r>
          </w:p>
          <w:p w14:paraId="675EF9F9">
            <w:pPr>
              <w:pStyle w:val="9"/>
              <w:rPr>
                <w:rFonts w:hint="default" w:ascii="Times New Roman" w:hAnsi="Times New Roman" w:eastAsia="宋体" w:cs="Times New Roman"/>
                <w:color w:val="auto"/>
                <w:highlight w:val="none"/>
                <w:lang w:eastAsia="zh-CN"/>
              </w:rPr>
            </w:pPr>
            <w:r>
              <w:rPr>
                <w:rFonts w:hint="default" w:ascii="Times New Roman" w:hAnsi="Times New Roman" w:cs="Times New Roman"/>
                <w:color w:val="auto"/>
                <w:highlight w:val="none"/>
                <w:lang w:val="en-US" w:eastAsia="zh-CN"/>
              </w:rPr>
              <w:t>4.3危险废物</w:t>
            </w:r>
          </w:p>
          <w:p w14:paraId="7F72DBF7">
            <w:pPr>
              <w:keepNext w:val="0"/>
              <w:keepLines w:val="0"/>
              <w:pageBreakBefore w:val="0"/>
              <w:widowControl w:val="0"/>
              <w:kinsoku/>
              <w:wordWrap/>
              <w:overflowPunct/>
              <w:topLinePunct w:val="0"/>
              <w:autoSpaceDE/>
              <w:autoSpaceDN/>
              <w:bidi w:val="0"/>
              <w:adjustRightInd w:val="0"/>
              <w:snapToGrid w:val="0"/>
              <w:ind w:firstLine="480" w:firstLineChars="200"/>
              <w:jc w:val="left"/>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本项目危险废物主要为油泥、废渣、片碱包装袋、盐酸废包装瓶、废油桶、废切削液桶、废切削液、含切削液金属屑，</w:t>
            </w:r>
            <w:r>
              <w:rPr>
                <w:rFonts w:hint="default" w:ascii="Times New Roman" w:hAnsi="Times New Roman" w:cs="Times New Roman"/>
                <w:color w:val="auto"/>
                <w:sz w:val="24"/>
                <w:szCs w:val="24"/>
                <w:highlight w:val="none"/>
                <w:lang w:val="en-US" w:eastAsia="zh-CN"/>
              </w:rPr>
              <w:t>危险废物</w:t>
            </w:r>
            <w:r>
              <w:rPr>
                <w:rFonts w:hint="default" w:ascii="Times New Roman" w:hAnsi="Times New Roman" w:cs="Times New Roman"/>
                <w:color w:val="auto"/>
                <w:highlight w:val="none"/>
                <w:lang w:val="en-US" w:eastAsia="zh-CN"/>
              </w:rPr>
              <w:t>收集后暂存在危险废物暂存间内定期交由有资质单位进行处置。</w:t>
            </w:r>
          </w:p>
          <w:p w14:paraId="6978EBDC">
            <w:pPr>
              <w:pStyle w:val="47"/>
              <w:ind w:left="422" w:hanging="422"/>
              <w:rPr>
                <w:rFonts w:hint="default" w:ascii="Times New Roman" w:hAnsi="Times New Roman" w:cs="Times New Roman"/>
                <w:color w:val="auto"/>
                <w:sz w:val="24"/>
                <w:szCs w:val="22"/>
                <w:highlight w:val="none"/>
              </w:rPr>
            </w:pPr>
            <w:r>
              <w:rPr>
                <w:rFonts w:hint="default" w:ascii="Times New Roman" w:hAnsi="Times New Roman" w:cs="Times New Roman"/>
                <w:color w:val="auto"/>
                <w:sz w:val="24"/>
                <w:szCs w:val="22"/>
                <w:highlight w:val="none"/>
              </w:rPr>
              <w:t>表4-</w:t>
            </w:r>
            <w:r>
              <w:rPr>
                <w:rFonts w:hint="eastAsia" w:cs="Times New Roman"/>
                <w:color w:val="auto"/>
                <w:sz w:val="24"/>
                <w:szCs w:val="22"/>
                <w:highlight w:val="none"/>
                <w:lang w:val="en-US" w:eastAsia="zh-CN"/>
              </w:rPr>
              <w:t>11</w:t>
            </w:r>
            <w:r>
              <w:rPr>
                <w:rFonts w:hint="default" w:ascii="Times New Roman" w:hAnsi="Times New Roman" w:cs="Times New Roman"/>
                <w:color w:val="auto"/>
                <w:sz w:val="24"/>
                <w:szCs w:val="22"/>
                <w:highlight w:val="none"/>
                <w:lang w:val="en-US" w:eastAsia="zh-CN"/>
              </w:rPr>
              <w:t xml:space="preserve"> </w:t>
            </w:r>
            <w:r>
              <w:rPr>
                <w:rFonts w:hint="default" w:ascii="Times New Roman" w:hAnsi="Times New Roman" w:cs="Times New Roman"/>
                <w:color w:val="auto"/>
                <w:sz w:val="24"/>
                <w:szCs w:val="22"/>
                <w:highlight w:val="none"/>
              </w:rPr>
              <w:t xml:space="preserve"> </w:t>
            </w:r>
            <w:r>
              <w:rPr>
                <w:rFonts w:hint="default" w:ascii="Times New Roman" w:hAnsi="Times New Roman" w:cs="Times New Roman"/>
                <w:color w:val="auto"/>
                <w:sz w:val="24"/>
                <w:szCs w:val="22"/>
                <w:highlight w:val="none"/>
                <w:lang w:val="en-US" w:eastAsia="zh-CN"/>
              </w:rPr>
              <w:t>扩建项目</w:t>
            </w:r>
            <w:r>
              <w:rPr>
                <w:rFonts w:hint="default" w:ascii="Times New Roman" w:hAnsi="Times New Roman" w:cs="Times New Roman"/>
                <w:color w:val="auto"/>
                <w:sz w:val="24"/>
                <w:szCs w:val="22"/>
                <w:highlight w:val="none"/>
              </w:rPr>
              <w:t>危险废物属性一览表</w:t>
            </w:r>
          </w:p>
          <w:tbl>
            <w:tblPr>
              <w:tblStyle w:val="35"/>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3"/>
              <w:gridCol w:w="1669"/>
              <w:gridCol w:w="1336"/>
              <w:gridCol w:w="1470"/>
              <w:gridCol w:w="1336"/>
              <w:gridCol w:w="1196"/>
              <w:gridCol w:w="909"/>
            </w:tblGrid>
            <w:tr w14:paraId="355EC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exact"/>
                <w:jc w:val="center"/>
              </w:trPr>
              <w:tc>
                <w:tcPr>
                  <w:tcW w:w="321" w:type="pct"/>
                  <w:tcBorders>
                    <w:tl2br w:val="nil"/>
                    <w:tr2bl w:val="nil"/>
                  </w:tcBorders>
                  <w:vAlign w:val="center"/>
                </w:tcPr>
                <w:p w14:paraId="67D3EED0">
                  <w:pPr>
                    <w:pageBreakBefore w:val="0"/>
                    <w:widowControl w:val="0"/>
                    <w:kinsoku/>
                    <w:wordWrap/>
                    <w:overflowPunct/>
                    <w:topLinePunct w:val="0"/>
                    <w:autoSpaceDE/>
                    <w:autoSpaceDN/>
                    <w:bidi w:val="0"/>
                    <w:spacing w:line="240" w:lineRule="auto"/>
                    <w:ind w:firstLine="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序号</w:t>
                  </w:r>
                </w:p>
              </w:tc>
              <w:tc>
                <w:tcPr>
                  <w:tcW w:w="986" w:type="pct"/>
                  <w:tcBorders>
                    <w:tl2br w:val="nil"/>
                    <w:tr2bl w:val="nil"/>
                  </w:tcBorders>
                  <w:vAlign w:val="center"/>
                </w:tcPr>
                <w:p w14:paraId="447A87EC">
                  <w:pPr>
                    <w:pageBreakBefore w:val="0"/>
                    <w:widowControl w:val="0"/>
                    <w:kinsoku/>
                    <w:wordWrap/>
                    <w:overflowPunct/>
                    <w:topLinePunct w:val="0"/>
                    <w:autoSpaceDE/>
                    <w:autoSpaceDN/>
                    <w:bidi w:val="0"/>
                    <w:spacing w:line="240" w:lineRule="auto"/>
                    <w:ind w:firstLine="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名称</w:t>
                  </w:r>
                </w:p>
              </w:tc>
              <w:tc>
                <w:tcPr>
                  <w:tcW w:w="789" w:type="pct"/>
                  <w:tcBorders>
                    <w:tl2br w:val="nil"/>
                    <w:tr2bl w:val="nil"/>
                  </w:tcBorders>
                  <w:vAlign w:val="center"/>
                </w:tcPr>
                <w:p w14:paraId="41DE3159">
                  <w:pPr>
                    <w:pageBreakBefore w:val="0"/>
                    <w:widowControl w:val="0"/>
                    <w:kinsoku/>
                    <w:wordWrap/>
                    <w:overflowPunct/>
                    <w:topLinePunct w:val="0"/>
                    <w:autoSpaceDE/>
                    <w:autoSpaceDN/>
                    <w:bidi w:val="0"/>
                    <w:spacing w:line="240" w:lineRule="auto"/>
                    <w:ind w:firstLine="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产生节点</w:t>
                  </w:r>
                </w:p>
              </w:tc>
              <w:tc>
                <w:tcPr>
                  <w:tcW w:w="868" w:type="pct"/>
                  <w:tcBorders>
                    <w:tl2br w:val="nil"/>
                    <w:tr2bl w:val="nil"/>
                  </w:tcBorders>
                  <w:vAlign w:val="center"/>
                </w:tcPr>
                <w:p w14:paraId="672307CD">
                  <w:pPr>
                    <w:pageBreakBefore w:val="0"/>
                    <w:widowControl w:val="0"/>
                    <w:kinsoku/>
                    <w:wordWrap/>
                    <w:overflowPunct/>
                    <w:topLinePunct w:val="0"/>
                    <w:autoSpaceDE/>
                    <w:autoSpaceDN/>
                    <w:bidi w:val="0"/>
                    <w:spacing w:line="240" w:lineRule="auto"/>
                    <w:ind w:firstLine="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产生量（t/a）</w:t>
                  </w:r>
                </w:p>
              </w:tc>
              <w:tc>
                <w:tcPr>
                  <w:tcW w:w="789" w:type="pct"/>
                  <w:tcBorders>
                    <w:tl2br w:val="nil"/>
                    <w:tr2bl w:val="nil"/>
                  </w:tcBorders>
                  <w:vAlign w:val="center"/>
                </w:tcPr>
                <w:p w14:paraId="3C788922">
                  <w:pPr>
                    <w:pageBreakBefore w:val="0"/>
                    <w:widowControl w:val="0"/>
                    <w:kinsoku/>
                    <w:wordWrap/>
                    <w:overflowPunct/>
                    <w:topLinePunct w:val="0"/>
                    <w:autoSpaceDE/>
                    <w:autoSpaceDN/>
                    <w:bidi w:val="0"/>
                    <w:spacing w:line="240" w:lineRule="auto"/>
                    <w:ind w:firstLine="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废物类别</w:t>
                  </w:r>
                </w:p>
              </w:tc>
              <w:tc>
                <w:tcPr>
                  <w:tcW w:w="706" w:type="pct"/>
                  <w:tcBorders>
                    <w:tl2br w:val="nil"/>
                    <w:tr2bl w:val="nil"/>
                  </w:tcBorders>
                  <w:vAlign w:val="center"/>
                </w:tcPr>
                <w:p w14:paraId="3C401473">
                  <w:pPr>
                    <w:pageBreakBefore w:val="0"/>
                    <w:widowControl w:val="0"/>
                    <w:kinsoku/>
                    <w:wordWrap/>
                    <w:overflowPunct/>
                    <w:topLinePunct w:val="0"/>
                    <w:autoSpaceDE/>
                    <w:autoSpaceDN/>
                    <w:bidi w:val="0"/>
                    <w:spacing w:line="240" w:lineRule="auto"/>
                    <w:ind w:firstLine="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废物代码</w:t>
                  </w:r>
                </w:p>
              </w:tc>
              <w:tc>
                <w:tcPr>
                  <w:tcW w:w="537" w:type="pct"/>
                  <w:tcBorders>
                    <w:tl2br w:val="nil"/>
                    <w:tr2bl w:val="nil"/>
                  </w:tcBorders>
                  <w:vAlign w:val="center"/>
                </w:tcPr>
                <w:p w14:paraId="52537BBC">
                  <w:pPr>
                    <w:pageBreakBefore w:val="0"/>
                    <w:widowControl w:val="0"/>
                    <w:kinsoku/>
                    <w:wordWrap/>
                    <w:overflowPunct/>
                    <w:topLinePunct w:val="0"/>
                    <w:autoSpaceDE/>
                    <w:autoSpaceDN/>
                    <w:bidi w:val="0"/>
                    <w:spacing w:line="240" w:lineRule="auto"/>
                    <w:ind w:firstLine="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危险特性</w:t>
                  </w:r>
                </w:p>
              </w:tc>
            </w:tr>
            <w:tr w14:paraId="2F216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exact"/>
                <w:jc w:val="center"/>
              </w:trPr>
              <w:tc>
                <w:tcPr>
                  <w:tcW w:w="321" w:type="pct"/>
                  <w:tcBorders>
                    <w:tl2br w:val="nil"/>
                    <w:tr2bl w:val="nil"/>
                  </w:tcBorders>
                  <w:vAlign w:val="center"/>
                </w:tcPr>
                <w:p w14:paraId="48D9936A">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1</w:t>
                  </w:r>
                </w:p>
              </w:tc>
              <w:tc>
                <w:tcPr>
                  <w:tcW w:w="986" w:type="pct"/>
                  <w:tcBorders>
                    <w:tl2br w:val="nil"/>
                    <w:tr2bl w:val="nil"/>
                  </w:tcBorders>
                  <w:vAlign w:val="center"/>
                </w:tcPr>
                <w:p w14:paraId="11F5D32C">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油泥</w:t>
                  </w:r>
                </w:p>
              </w:tc>
              <w:tc>
                <w:tcPr>
                  <w:tcW w:w="789" w:type="pct"/>
                  <w:tcBorders>
                    <w:tl2br w:val="nil"/>
                    <w:tr2bl w:val="nil"/>
                  </w:tcBorders>
                  <w:vAlign w:val="center"/>
                </w:tcPr>
                <w:p w14:paraId="5A5C8173">
                  <w:pPr>
                    <w:pageBreakBefore w:val="0"/>
                    <w:widowControl w:val="0"/>
                    <w:kinsoku/>
                    <w:wordWrap/>
                    <w:overflowPunct/>
                    <w:topLinePunct w:val="0"/>
                    <w:autoSpaceDE/>
                    <w:autoSpaceDN/>
                    <w:bidi w:val="0"/>
                    <w:spacing w:line="240" w:lineRule="auto"/>
                    <w:ind w:firstLine="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油洗</w:t>
                  </w:r>
                </w:p>
              </w:tc>
              <w:tc>
                <w:tcPr>
                  <w:tcW w:w="868" w:type="pct"/>
                  <w:tcBorders>
                    <w:tl2br w:val="nil"/>
                    <w:tr2bl w:val="nil"/>
                  </w:tcBorders>
                  <w:vAlign w:val="center"/>
                </w:tcPr>
                <w:p w14:paraId="5817C0B8">
                  <w:pPr>
                    <w:pStyle w:val="106"/>
                    <w:pageBreakBefore w:val="0"/>
                    <w:widowControl w:val="0"/>
                    <w:kinsoku/>
                    <w:wordWrap/>
                    <w:overflowPunct/>
                    <w:topLinePunct w:val="0"/>
                    <w:autoSpaceDE/>
                    <w:autoSpaceDN/>
                    <w:bidi w:val="0"/>
                    <w:spacing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0.05</w:t>
                  </w:r>
                </w:p>
              </w:tc>
              <w:tc>
                <w:tcPr>
                  <w:tcW w:w="789" w:type="pct"/>
                  <w:tcBorders>
                    <w:tl2br w:val="nil"/>
                    <w:tr2bl w:val="nil"/>
                  </w:tcBorders>
                  <w:vAlign w:val="center"/>
                </w:tcPr>
                <w:p w14:paraId="54E0866C">
                  <w:pPr>
                    <w:pStyle w:val="106"/>
                    <w:pageBreakBefore w:val="0"/>
                    <w:widowControl w:val="0"/>
                    <w:kinsoku/>
                    <w:wordWrap/>
                    <w:overflowPunct/>
                    <w:topLinePunct w:val="0"/>
                    <w:autoSpaceDE/>
                    <w:autoSpaceDN/>
                    <w:bidi w:val="0"/>
                    <w:spacing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HW08</w:t>
                  </w:r>
                </w:p>
              </w:tc>
              <w:tc>
                <w:tcPr>
                  <w:tcW w:w="706" w:type="pct"/>
                  <w:tcBorders>
                    <w:tl2br w:val="nil"/>
                    <w:tr2bl w:val="nil"/>
                  </w:tcBorders>
                  <w:vAlign w:val="center"/>
                </w:tcPr>
                <w:p w14:paraId="4BF39A04">
                  <w:pPr>
                    <w:pStyle w:val="106"/>
                    <w:pageBreakBefore w:val="0"/>
                    <w:widowControl w:val="0"/>
                    <w:kinsoku/>
                    <w:wordWrap/>
                    <w:overflowPunct/>
                    <w:topLinePunct w:val="0"/>
                    <w:autoSpaceDE/>
                    <w:autoSpaceDN/>
                    <w:bidi w:val="0"/>
                    <w:spacing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900-249-08</w:t>
                  </w:r>
                </w:p>
              </w:tc>
              <w:tc>
                <w:tcPr>
                  <w:tcW w:w="537" w:type="pct"/>
                  <w:tcBorders>
                    <w:tl2br w:val="nil"/>
                    <w:tr2bl w:val="nil"/>
                  </w:tcBorders>
                  <w:vAlign w:val="center"/>
                </w:tcPr>
                <w:p w14:paraId="22376BA5">
                  <w:pPr>
                    <w:pStyle w:val="106"/>
                    <w:pageBreakBefore w:val="0"/>
                    <w:widowControl w:val="0"/>
                    <w:kinsoku/>
                    <w:wordWrap/>
                    <w:overflowPunct/>
                    <w:topLinePunct w:val="0"/>
                    <w:autoSpaceDE/>
                    <w:autoSpaceDN/>
                    <w:bidi w:val="0"/>
                    <w:spacing w:line="240" w:lineRule="auto"/>
                    <w:ind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T/I</w:t>
                  </w:r>
                </w:p>
              </w:tc>
            </w:tr>
            <w:tr w14:paraId="231E8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exact"/>
                <w:jc w:val="center"/>
              </w:trPr>
              <w:tc>
                <w:tcPr>
                  <w:tcW w:w="321" w:type="pct"/>
                  <w:tcBorders>
                    <w:tl2br w:val="nil"/>
                    <w:tr2bl w:val="nil"/>
                  </w:tcBorders>
                  <w:vAlign w:val="center"/>
                </w:tcPr>
                <w:p w14:paraId="60F8CAA7">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w:t>
                  </w:r>
                </w:p>
              </w:tc>
              <w:tc>
                <w:tcPr>
                  <w:tcW w:w="986" w:type="pct"/>
                  <w:tcBorders>
                    <w:tl2br w:val="nil"/>
                    <w:tr2bl w:val="nil"/>
                  </w:tcBorders>
                  <w:vAlign w:val="center"/>
                </w:tcPr>
                <w:p w14:paraId="72D5DF2F">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废渣</w:t>
                  </w:r>
                </w:p>
              </w:tc>
              <w:tc>
                <w:tcPr>
                  <w:tcW w:w="789" w:type="pct"/>
                  <w:tcBorders>
                    <w:tl2br w:val="nil"/>
                    <w:tr2bl w:val="nil"/>
                  </w:tcBorders>
                  <w:vAlign w:val="center"/>
                </w:tcPr>
                <w:p w14:paraId="651FB644">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碱洗、酸洗</w:t>
                  </w:r>
                </w:p>
              </w:tc>
              <w:tc>
                <w:tcPr>
                  <w:tcW w:w="868" w:type="pct"/>
                  <w:tcBorders>
                    <w:tl2br w:val="nil"/>
                    <w:tr2bl w:val="nil"/>
                  </w:tcBorders>
                  <w:vAlign w:val="center"/>
                </w:tcPr>
                <w:p w14:paraId="1849F8D5">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0.05</w:t>
                  </w:r>
                </w:p>
              </w:tc>
              <w:tc>
                <w:tcPr>
                  <w:tcW w:w="789" w:type="pct"/>
                  <w:tcBorders>
                    <w:tl2br w:val="nil"/>
                    <w:tr2bl w:val="nil"/>
                  </w:tcBorders>
                  <w:vAlign w:val="center"/>
                </w:tcPr>
                <w:p w14:paraId="062FA21A">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HW34</w:t>
                  </w:r>
                </w:p>
              </w:tc>
              <w:tc>
                <w:tcPr>
                  <w:tcW w:w="706" w:type="pct"/>
                  <w:tcBorders>
                    <w:tl2br w:val="nil"/>
                    <w:tr2bl w:val="nil"/>
                  </w:tcBorders>
                  <w:vAlign w:val="center"/>
                </w:tcPr>
                <w:p w14:paraId="4139B48E">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900-349-34</w:t>
                  </w:r>
                </w:p>
              </w:tc>
              <w:tc>
                <w:tcPr>
                  <w:tcW w:w="537" w:type="pct"/>
                  <w:tcBorders>
                    <w:tl2br w:val="nil"/>
                    <w:tr2bl w:val="nil"/>
                  </w:tcBorders>
                  <w:vAlign w:val="center"/>
                </w:tcPr>
                <w:p w14:paraId="26F41F94">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C/ T</w:t>
                  </w:r>
                </w:p>
              </w:tc>
            </w:tr>
            <w:tr w14:paraId="3FCA3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exact"/>
                <w:jc w:val="center"/>
              </w:trPr>
              <w:tc>
                <w:tcPr>
                  <w:tcW w:w="321" w:type="pct"/>
                  <w:tcBorders>
                    <w:tl2br w:val="nil"/>
                    <w:tr2bl w:val="nil"/>
                  </w:tcBorders>
                  <w:vAlign w:val="center"/>
                </w:tcPr>
                <w:p w14:paraId="238461F4">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3</w:t>
                  </w:r>
                </w:p>
              </w:tc>
              <w:tc>
                <w:tcPr>
                  <w:tcW w:w="986" w:type="pct"/>
                  <w:tcBorders>
                    <w:tl2br w:val="nil"/>
                    <w:tr2bl w:val="nil"/>
                  </w:tcBorders>
                  <w:vAlign w:val="center"/>
                </w:tcPr>
                <w:p w14:paraId="2213529C">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片碱包装袋</w:t>
                  </w:r>
                </w:p>
              </w:tc>
              <w:tc>
                <w:tcPr>
                  <w:tcW w:w="789" w:type="pct"/>
                  <w:tcBorders>
                    <w:tl2br w:val="nil"/>
                    <w:tr2bl w:val="nil"/>
                  </w:tcBorders>
                  <w:vAlign w:val="center"/>
                </w:tcPr>
                <w:p w14:paraId="0246C83C">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碱洗</w:t>
                  </w:r>
                </w:p>
              </w:tc>
              <w:tc>
                <w:tcPr>
                  <w:tcW w:w="868" w:type="pct"/>
                  <w:tcBorders>
                    <w:tl2br w:val="nil"/>
                    <w:tr2bl w:val="nil"/>
                  </w:tcBorders>
                  <w:vAlign w:val="center"/>
                </w:tcPr>
                <w:p w14:paraId="0BBD5137">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0.02</w:t>
                  </w:r>
                </w:p>
              </w:tc>
              <w:tc>
                <w:tcPr>
                  <w:tcW w:w="789" w:type="pct"/>
                  <w:tcBorders>
                    <w:tl2br w:val="nil"/>
                    <w:tr2bl w:val="nil"/>
                  </w:tcBorders>
                  <w:vAlign w:val="center"/>
                </w:tcPr>
                <w:p w14:paraId="1221103B">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HW49</w:t>
                  </w:r>
                </w:p>
              </w:tc>
              <w:tc>
                <w:tcPr>
                  <w:tcW w:w="706" w:type="pct"/>
                  <w:tcBorders>
                    <w:tl2br w:val="nil"/>
                    <w:tr2bl w:val="nil"/>
                  </w:tcBorders>
                  <w:vAlign w:val="center"/>
                </w:tcPr>
                <w:p w14:paraId="0F847547">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900-041-49</w:t>
                  </w:r>
                </w:p>
              </w:tc>
              <w:tc>
                <w:tcPr>
                  <w:tcW w:w="537" w:type="pct"/>
                  <w:tcBorders>
                    <w:tl2br w:val="nil"/>
                    <w:tr2bl w:val="nil"/>
                  </w:tcBorders>
                  <w:vAlign w:val="center"/>
                </w:tcPr>
                <w:p w14:paraId="6617AF70">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T/In</w:t>
                  </w:r>
                </w:p>
              </w:tc>
            </w:tr>
            <w:tr w14:paraId="29E253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 w:hRule="atLeast"/>
                <w:jc w:val="center"/>
              </w:trPr>
              <w:tc>
                <w:tcPr>
                  <w:tcW w:w="321" w:type="pct"/>
                  <w:tcBorders>
                    <w:tl2br w:val="nil"/>
                    <w:tr2bl w:val="nil"/>
                  </w:tcBorders>
                  <w:vAlign w:val="center"/>
                </w:tcPr>
                <w:p w14:paraId="060AEA2F">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4</w:t>
                  </w:r>
                </w:p>
              </w:tc>
              <w:tc>
                <w:tcPr>
                  <w:tcW w:w="986" w:type="pct"/>
                  <w:tcBorders>
                    <w:tl2br w:val="nil"/>
                    <w:tr2bl w:val="nil"/>
                  </w:tcBorders>
                  <w:vAlign w:val="center"/>
                </w:tcPr>
                <w:p w14:paraId="07AC601E">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盐酸废包装瓶</w:t>
                  </w:r>
                </w:p>
              </w:tc>
              <w:tc>
                <w:tcPr>
                  <w:tcW w:w="789" w:type="pct"/>
                  <w:tcBorders>
                    <w:tl2br w:val="nil"/>
                    <w:tr2bl w:val="nil"/>
                  </w:tcBorders>
                  <w:vAlign w:val="center"/>
                </w:tcPr>
                <w:p w14:paraId="605560F0">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酸洗</w:t>
                  </w:r>
                </w:p>
              </w:tc>
              <w:tc>
                <w:tcPr>
                  <w:tcW w:w="868" w:type="pct"/>
                  <w:tcBorders>
                    <w:tl2br w:val="nil"/>
                    <w:tr2bl w:val="nil"/>
                  </w:tcBorders>
                  <w:vAlign w:val="center"/>
                </w:tcPr>
                <w:p w14:paraId="02669857">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0.01</w:t>
                  </w:r>
                </w:p>
              </w:tc>
              <w:tc>
                <w:tcPr>
                  <w:tcW w:w="789" w:type="pct"/>
                  <w:tcBorders>
                    <w:tl2br w:val="nil"/>
                    <w:tr2bl w:val="nil"/>
                  </w:tcBorders>
                  <w:vAlign w:val="center"/>
                </w:tcPr>
                <w:p w14:paraId="4FE35C34">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HW49</w:t>
                  </w:r>
                </w:p>
              </w:tc>
              <w:tc>
                <w:tcPr>
                  <w:tcW w:w="706" w:type="pct"/>
                  <w:tcBorders>
                    <w:tl2br w:val="nil"/>
                    <w:tr2bl w:val="nil"/>
                  </w:tcBorders>
                  <w:vAlign w:val="center"/>
                </w:tcPr>
                <w:p w14:paraId="4E69E9E0">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900-041-49</w:t>
                  </w:r>
                </w:p>
              </w:tc>
              <w:tc>
                <w:tcPr>
                  <w:tcW w:w="537" w:type="pct"/>
                  <w:tcBorders>
                    <w:tl2br w:val="nil"/>
                    <w:tr2bl w:val="nil"/>
                  </w:tcBorders>
                  <w:vAlign w:val="center"/>
                </w:tcPr>
                <w:p w14:paraId="319BF73E">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T/In</w:t>
                  </w:r>
                </w:p>
              </w:tc>
            </w:tr>
            <w:tr w14:paraId="699FB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exact"/>
                <w:jc w:val="center"/>
              </w:trPr>
              <w:tc>
                <w:tcPr>
                  <w:tcW w:w="321" w:type="pct"/>
                  <w:tcBorders>
                    <w:tl2br w:val="nil"/>
                    <w:tr2bl w:val="nil"/>
                  </w:tcBorders>
                  <w:vAlign w:val="center"/>
                </w:tcPr>
                <w:p w14:paraId="12E21936">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5</w:t>
                  </w:r>
                </w:p>
              </w:tc>
              <w:tc>
                <w:tcPr>
                  <w:tcW w:w="986" w:type="pct"/>
                  <w:tcBorders>
                    <w:tl2br w:val="nil"/>
                    <w:tr2bl w:val="nil"/>
                  </w:tcBorders>
                  <w:vAlign w:val="center"/>
                </w:tcPr>
                <w:p w14:paraId="5B7A2304">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废油桶</w:t>
                  </w:r>
                </w:p>
              </w:tc>
              <w:tc>
                <w:tcPr>
                  <w:tcW w:w="789" w:type="pct"/>
                  <w:tcBorders>
                    <w:tl2br w:val="nil"/>
                    <w:tr2bl w:val="nil"/>
                  </w:tcBorders>
                  <w:vAlign w:val="center"/>
                </w:tcPr>
                <w:p w14:paraId="02E46553">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油洗</w:t>
                  </w:r>
                </w:p>
              </w:tc>
              <w:tc>
                <w:tcPr>
                  <w:tcW w:w="868" w:type="pct"/>
                  <w:tcBorders>
                    <w:tl2br w:val="nil"/>
                    <w:tr2bl w:val="nil"/>
                  </w:tcBorders>
                  <w:vAlign w:val="center"/>
                </w:tcPr>
                <w:p w14:paraId="5690C768">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0.05</w:t>
                  </w:r>
                </w:p>
              </w:tc>
              <w:tc>
                <w:tcPr>
                  <w:tcW w:w="789" w:type="pct"/>
                  <w:tcBorders>
                    <w:tl2br w:val="nil"/>
                    <w:tr2bl w:val="nil"/>
                  </w:tcBorders>
                  <w:vAlign w:val="center"/>
                </w:tcPr>
                <w:p w14:paraId="7AAEB8E4">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HW49</w:t>
                  </w:r>
                </w:p>
              </w:tc>
              <w:tc>
                <w:tcPr>
                  <w:tcW w:w="706" w:type="pct"/>
                  <w:tcBorders>
                    <w:tl2br w:val="nil"/>
                    <w:tr2bl w:val="nil"/>
                  </w:tcBorders>
                  <w:vAlign w:val="center"/>
                </w:tcPr>
                <w:p w14:paraId="1DD91B7F">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900-041-49</w:t>
                  </w:r>
                </w:p>
              </w:tc>
              <w:tc>
                <w:tcPr>
                  <w:tcW w:w="537" w:type="pct"/>
                  <w:tcBorders>
                    <w:tl2br w:val="nil"/>
                    <w:tr2bl w:val="nil"/>
                  </w:tcBorders>
                  <w:vAlign w:val="center"/>
                </w:tcPr>
                <w:p w14:paraId="66B1D8B6">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T/In</w:t>
                  </w:r>
                </w:p>
              </w:tc>
            </w:tr>
            <w:tr w14:paraId="19B58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exact"/>
                <w:jc w:val="center"/>
              </w:trPr>
              <w:tc>
                <w:tcPr>
                  <w:tcW w:w="321" w:type="pct"/>
                  <w:tcBorders>
                    <w:tl2br w:val="nil"/>
                    <w:tr2bl w:val="nil"/>
                  </w:tcBorders>
                  <w:vAlign w:val="center"/>
                </w:tcPr>
                <w:p w14:paraId="30E79E2E">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6</w:t>
                  </w:r>
                </w:p>
              </w:tc>
              <w:tc>
                <w:tcPr>
                  <w:tcW w:w="986" w:type="pct"/>
                  <w:tcBorders>
                    <w:tl2br w:val="nil"/>
                    <w:tr2bl w:val="nil"/>
                  </w:tcBorders>
                  <w:vAlign w:val="center"/>
                </w:tcPr>
                <w:p w14:paraId="52CFC05E">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废切削液桶</w:t>
                  </w:r>
                </w:p>
              </w:tc>
              <w:tc>
                <w:tcPr>
                  <w:tcW w:w="789" w:type="pct"/>
                  <w:tcBorders>
                    <w:tl2br w:val="nil"/>
                    <w:tr2bl w:val="nil"/>
                  </w:tcBorders>
                  <w:vAlign w:val="center"/>
                </w:tcPr>
                <w:p w14:paraId="1A7DECDA">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加工</w:t>
                  </w:r>
                </w:p>
              </w:tc>
              <w:tc>
                <w:tcPr>
                  <w:tcW w:w="868" w:type="pct"/>
                  <w:tcBorders>
                    <w:tl2br w:val="nil"/>
                    <w:tr2bl w:val="nil"/>
                  </w:tcBorders>
                  <w:vAlign w:val="center"/>
                </w:tcPr>
                <w:p w14:paraId="5575FFFD">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0.03</w:t>
                  </w:r>
                </w:p>
              </w:tc>
              <w:tc>
                <w:tcPr>
                  <w:tcW w:w="789" w:type="pct"/>
                  <w:tcBorders>
                    <w:tl2br w:val="nil"/>
                    <w:tr2bl w:val="nil"/>
                  </w:tcBorders>
                  <w:vAlign w:val="center"/>
                </w:tcPr>
                <w:p w14:paraId="44EC21B4">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HW49</w:t>
                  </w:r>
                </w:p>
              </w:tc>
              <w:tc>
                <w:tcPr>
                  <w:tcW w:w="706" w:type="pct"/>
                  <w:tcBorders>
                    <w:tl2br w:val="nil"/>
                    <w:tr2bl w:val="nil"/>
                  </w:tcBorders>
                  <w:vAlign w:val="center"/>
                </w:tcPr>
                <w:p w14:paraId="09B9DADF">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900-041-49</w:t>
                  </w:r>
                </w:p>
              </w:tc>
              <w:tc>
                <w:tcPr>
                  <w:tcW w:w="537" w:type="pct"/>
                  <w:tcBorders>
                    <w:tl2br w:val="nil"/>
                    <w:tr2bl w:val="nil"/>
                  </w:tcBorders>
                  <w:vAlign w:val="center"/>
                </w:tcPr>
                <w:p w14:paraId="09AA32DF">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T/In</w:t>
                  </w:r>
                </w:p>
              </w:tc>
            </w:tr>
            <w:tr w14:paraId="62E47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exact"/>
                <w:jc w:val="center"/>
              </w:trPr>
              <w:tc>
                <w:tcPr>
                  <w:tcW w:w="321" w:type="pct"/>
                  <w:tcBorders>
                    <w:tl2br w:val="nil"/>
                    <w:tr2bl w:val="nil"/>
                  </w:tcBorders>
                  <w:vAlign w:val="center"/>
                </w:tcPr>
                <w:p w14:paraId="5A1353F6">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7</w:t>
                  </w:r>
                </w:p>
              </w:tc>
              <w:tc>
                <w:tcPr>
                  <w:tcW w:w="986" w:type="pct"/>
                  <w:tcBorders>
                    <w:tl2br w:val="nil"/>
                    <w:tr2bl w:val="nil"/>
                  </w:tcBorders>
                  <w:vAlign w:val="center"/>
                </w:tcPr>
                <w:p w14:paraId="6FEDCD9D">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废切削液</w:t>
                  </w:r>
                </w:p>
              </w:tc>
              <w:tc>
                <w:tcPr>
                  <w:tcW w:w="789" w:type="pct"/>
                  <w:tcBorders>
                    <w:tl2br w:val="nil"/>
                    <w:tr2bl w:val="nil"/>
                  </w:tcBorders>
                  <w:vAlign w:val="center"/>
                </w:tcPr>
                <w:p w14:paraId="08E4490C">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加工</w:t>
                  </w:r>
                </w:p>
              </w:tc>
              <w:tc>
                <w:tcPr>
                  <w:tcW w:w="868" w:type="pct"/>
                  <w:tcBorders>
                    <w:tl2br w:val="nil"/>
                    <w:tr2bl w:val="nil"/>
                  </w:tcBorders>
                  <w:vAlign w:val="center"/>
                </w:tcPr>
                <w:p w14:paraId="4D5F8EB1">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0.05</w:t>
                  </w:r>
                </w:p>
              </w:tc>
              <w:tc>
                <w:tcPr>
                  <w:tcW w:w="789" w:type="pct"/>
                  <w:tcBorders>
                    <w:tl2br w:val="nil"/>
                    <w:tr2bl w:val="nil"/>
                  </w:tcBorders>
                  <w:vAlign w:val="center"/>
                </w:tcPr>
                <w:p w14:paraId="61E1B528">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HW09</w:t>
                  </w:r>
                </w:p>
              </w:tc>
              <w:tc>
                <w:tcPr>
                  <w:tcW w:w="706" w:type="pct"/>
                  <w:tcBorders>
                    <w:tl2br w:val="nil"/>
                    <w:tr2bl w:val="nil"/>
                  </w:tcBorders>
                  <w:vAlign w:val="center"/>
                </w:tcPr>
                <w:p w14:paraId="1E04113E">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900-006-09</w:t>
                  </w:r>
                </w:p>
              </w:tc>
              <w:tc>
                <w:tcPr>
                  <w:tcW w:w="537" w:type="pct"/>
                  <w:tcBorders>
                    <w:tl2br w:val="nil"/>
                    <w:tr2bl w:val="nil"/>
                  </w:tcBorders>
                  <w:vAlign w:val="center"/>
                </w:tcPr>
                <w:p w14:paraId="060C2198">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T</w:t>
                  </w:r>
                </w:p>
              </w:tc>
            </w:tr>
            <w:tr w14:paraId="601F5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exact"/>
                <w:jc w:val="center"/>
              </w:trPr>
              <w:tc>
                <w:tcPr>
                  <w:tcW w:w="321" w:type="pct"/>
                  <w:tcBorders>
                    <w:tl2br w:val="nil"/>
                    <w:tr2bl w:val="nil"/>
                  </w:tcBorders>
                  <w:vAlign w:val="center"/>
                </w:tcPr>
                <w:p w14:paraId="194468D0">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w:t>
                  </w:r>
                </w:p>
              </w:tc>
              <w:tc>
                <w:tcPr>
                  <w:tcW w:w="986" w:type="pct"/>
                  <w:tcBorders>
                    <w:tl2br w:val="nil"/>
                    <w:tr2bl w:val="nil"/>
                  </w:tcBorders>
                  <w:vAlign w:val="center"/>
                </w:tcPr>
                <w:p w14:paraId="5DDA2229">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含切削液金属屑</w:t>
                  </w:r>
                </w:p>
              </w:tc>
              <w:tc>
                <w:tcPr>
                  <w:tcW w:w="789" w:type="pct"/>
                  <w:tcBorders>
                    <w:tl2br w:val="nil"/>
                    <w:tr2bl w:val="nil"/>
                  </w:tcBorders>
                  <w:vAlign w:val="center"/>
                </w:tcPr>
                <w:p w14:paraId="7A0F76FC">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加工</w:t>
                  </w:r>
                </w:p>
              </w:tc>
              <w:tc>
                <w:tcPr>
                  <w:tcW w:w="868" w:type="pct"/>
                  <w:tcBorders>
                    <w:tl2br w:val="nil"/>
                    <w:tr2bl w:val="nil"/>
                  </w:tcBorders>
                  <w:vAlign w:val="center"/>
                </w:tcPr>
                <w:p w14:paraId="205CE46D">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789" w:type="pct"/>
                  <w:tcBorders>
                    <w:tl2br w:val="nil"/>
                    <w:tr2bl w:val="nil"/>
                  </w:tcBorders>
                  <w:vAlign w:val="center"/>
                </w:tcPr>
                <w:p w14:paraId="5756F25C">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w:t>
                  </w:r>
                  <w:r>
                    <w:rPr>
                      <w:rFonts w:hint="default" w:ascii="Times New Roman" w:hAnsi="Times New Roman" w:cs="Times New Roman"/>
                      <w:color w:val="auto"/>
                      <w:sz w:val="21"/>
                      <w:szCs w:val="21"/>
                      <w:highlight w:val="none"/>
                      <w:lang w:val="en-US" w:eastAsia="zh-CN"/>
                    </w:rPr>
                    <w:t>49</w:t>
                  </w:r>
                </w:p>
              </w:tc>
              <w:tc>
                <w:tcPr>
                  <w:tcW w:w="706" w:type="pct"/>
                  <w:tcBorders>
                    <w:tl2br w:val="nil"/>
                    <w:tr2bl w:val="nil"/>
                  </w:tcBorders>
                  <w:vAlign w:val="center"/>
                </w:tcPr>
                <w:p w14:paraId="35AB56A0">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900-041-49</w:t>
                  </w:r>
                </w:p>
              </w:tc>
              <w:tc>
                <w:tcPr>
                  <w:tcW w:w="537" w:type="pct"/>
                  <w:tcBorders>
                    <w:tl2br w:val="nil"/>
                    <w:tr2bl w:val="nil"/>
                  </w:tcBorders>
                  <w:vAlign w:val="center"/>
                </w:tcPr>
                <w:p w14:paraId="7CCBC0CA">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T/I</w:t>
                  </w:r>
                </w:p>
              </w:tc>
            </w:tr>
          </w:tbl>
          <w:p w14:paraId="047C0987">
            <w:pPr>
              <w:keepNext w:val="0"/>
              <w:keepLines w:val="0"/>
              <w:pageBreakBefore w:val="0"/>
              <w:widowControl w:val="0"/>
              <w:kinsoku/>
              <w:wordWrap/>
              <w:overflowPunct/>
              <w:topLinePunct w:val="0"/>
              <w:autoSpaceDE/>
              <w:autoSpaceDN/>
              <w:bidi w:val="0"/>
              <w:adjustRightInd w:val="0"/>
              <w:snapToGrid w:val="0"/>
              <w:ind w:firstLine="480" w:firstLineChars="200"/>
              <w:jc w:val="left"/>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sz w:val="24"/>
                <w:highlight w:val="none"/>
              </w:rPr>
              <w:t>注：毒性（Toxicity, T）、易燃性（Ignitability, I）、感染性（Infectivity, In）</w:t>
            </w:r>
          </w:p>
          <w:p w14:paraId="5CBD3BDC">
            <w:pPr>
              <w:pStyle w:val="47"/>
              <w:ind w:left="422" w:hanging="422"/>
              <w:rPr>
                <w:rFonts w:hint="default" w:ascii="Times New Roman" w:hAnsi="Times New Roman" w:cs="Times New Roman"/>
                <w:color w:val="auto"/>
                <w:sz w:val="24"/>
                <w:szCs w:val="22"/>
                <w:highlight w:val="none"/>
              </w:rPr>
            </w:pPr>
            <w:r>
              <w:rPr>
                <w:rFonts w:hint="default" w:ascii="Times New Roman" w:hAnsi="Times New Roman" w:cs="Times New Roman"/>
                <w:color w:val="auto"/>
                <w:sz w:val="24"/>
                <w:szCs w:val="22"/>
                <w:highlight w:val="none"/>
              </w:rPr>
              <w:t>表4-</w:t>
            </w:r>
            <w:r>
              <w:rPr>
                <w:rFonts w:hint="default" w:ascii="Times New Roman" w:hAnsi="Times New Roman" w:cs="Times New Roman"/>
                <w:color w:val="auto"/>
                <w:sz w:val="24"/>
                <w:szCs w:val="22"/>
                <w:highlight w:val="none"/>
                <w:lang w:val="en-US" w:eastAsia="zh-CN"/>
              </w:rPr>
              <w:t>1</w:t>
            </w:r>
            <w:r>
              <w:rPr>
                <w:rFonts w:hint="eastAsia" w:cs="Times New Roman"/>
                <w:color w:val="auto"/>
                <w:sz w:val="24"/>
                <w:szCs w:val="22"/>
                <w:highlight w:val="none"/>
                <w:lang w:val="en-US" w:eastAsia="zh-CN"/>
              </w:rPr>
              <w:t>2</w:t>
            </w:r>
            <w:r>
              <w:rPr>
                <w:rFonts w:hint="default" w:ascii="Times New Roman" w:hAnsi="Times New Roman" w:cs="Times New Roman"/>
                <w:color w:val="auto"/>
                <w:sz w:val="24"/>
                <w:szCs w:val="22"/>
                <w:highlight w:val="none"/>
                <w:lang w:val="en-US" w:eastAsia="zh-CN"/>
              </w:rPr>
              <w:t xml:space="preserve"> </w:t>
            </w:r>
            <w:r>
              <w:rPr>
                <w:rFonts w:hint="default" w:ascii="Times New Roman" w:hAnsi="Times New Roman" w:cs="Times New Roman"/>
                <w:color w:val="auto"/>
                <w:sz w:val="24"/>
                <w:szCs w:val="22"/>
                <w:highlight w:val="none"/>
              </w:rPr>
              <w:t xml:space="preserve"> </w:t>
            </w:r>
            <w:r>
              <w:rPr>
                <w:rFonts w:hint="default" w:ascii="Times New Roman" w:hAnsi="Times New Roman" w:cs="Times New Roman"/>
                <w:color w:val="auto"/>
                <w:sz w:val="24"/>
                <w:szCs w:val="22"/>
                <w:highlight w:val="none"/>
                <w:lang w:val="en-US" w:eastAsia="zh-CN"/>
              </w:rPr>
              <w:t>扩建项目完成后全厂</w:t>
            </w:r>
            <w:r>
              <w:rPr>
                <w:rFonts w:hint="default" w:ascii="Times New Roman" w:hAnsi="Times New Roman" w:cs="Times New Roman"/>
                <w:color w:val="auto"/>
                <w:sz w:val="24"/>
                <w:szCs w:val="22"/>
                <w:highlight w:val="none"/>
              </w:rPr>
              <w:t>危险废物属性一览表</w:t>
            </w:r>
          </w:p>
          <w:tbl>
            <w:tblPr>
              <w:tblStyle w:val="3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1228"/>
              <w:gridCol w:w="972"/>
              <w:gridCol w:w="1075"/>
              <w:gridCol w:w="972"/>
              <w:gridCol w:w="972"/>
              <w:gridCol w:w="972"/>
              <w:gridCol w:w="1196"/>
              <w:gridCol w:w="648"/>
            </w:tblGrid>
            <w:tr w14:paraId="25FBA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exact"/>
                <w:jc w:val="center"/>
              </w:trPr>
              <w:tc>
                <w:tcPr>
                  <w:tcW w:w="232" w:type="pct"/>
                  <w:tcBorders>
                    <w:tl2br w:val="nil"/>
                    <w:tr2bl w:val="nil"/>
                  </w:tcBorders>
                  <w:vAlign w:val="center"/>
                </w:tcPr>
                <w:p w14:paraId="43564FDA">
                  <w:pPr>
                    <w:pageBreakBefore w:val="0"/>
                    <w:widowControl w:val="0"/>
                    <w:kinsoku/>
                    <w:wordWrap/>
                    <w:overflowPunct/>
                    <w:topLinePunct w:val="0"/>
                    <w:autoSpaceDE/>
                    <w:autoSpaceDN/>
                    <w:bidi w:val="0"/>
                    <w:spacing w:line="240" w:lineRule="auto"/>
                    <w:ind w:firstLine="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序号</w:t>
                  </w:r>
                </w:p>
              </w:tc>
              <w:tc>
                <w:tcPr>
                  <w:tcW w:w="740" w:type="pct"/>
                  <w:tcBorders>
                    <w:tl2br w:val="nil"/>
                    <w:tr2bl w:val="nil"/>
                  </w:tcBorders>
                  <w:vAlign w:val="center"/>
                </w:tcPr>
                <w:p w14:paraId="44D0918D">
                  <w:pPr>
                    <w:pageBreakBefore w:val="0"/>
                    <w:widowControl w:val="0"/>
                    <w:kinsoku/>
                    <w:wordWrap/>
                    <w:overflowPunct/>
                    <w:topLinePunct w:val="0"/>
                    <w:autoSpaceDE/>
                    <w:autoSpaceDN/>
                    <w:bidi w:val="0"/>
                    <w:spacing w:line="240" w:lineRule="auto"/>
                    <w:ind w:firstLine="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名称</w:t>
                  </w:r>
                </w:p>
              </w:tc>
              <w:tc>
                <w:tcPr>
                  <w:tcW w:w="589" w:type="pct"/>
                  <w:tcBorders>
                    <w:tl2br w:val="nil"/>
                    <w:tr2bl w:val="nil"/>
                  </w:tcBorders>
                  <w:vAlign w:val="center"/>
                </w:tcPr>
                <w:p w14:paraId="7E78B32C">
                  <w:pPr>
                    <w:pageBreakBefore w:val="0"/>
                    <w:widowControl w:val="0"/>
                    <w:kinsoku/>
                    <w:wordWrap/>
                    <w:overflowPunct/>
                    <w:topLinePunct w:val="0"/>
                    <w:autoSpaceDE/>
                    <w:autoSpaceDN/>
                    <w:bidi w:val="0"/>
                    <w:spacing w:line="240" w:lineRule="auto"/>
                    <w:ind w:firstLine="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产生节点</w:t>
                  </w:r>
                </w:p>
              </w:tc>
              <w:tc>
                <w:tcPr>
                  <w:tcW w:w="650" w:type="pct"/>
                  <w:tcBorders>
                    <w:tl2br w:val="nil"/>
                    <w:tr2bl w:val="nil"/>
                  </w:tcBorders>
                  <w:vAlign w:val="center"/>
                </w:tcPr>
                <w:p w14:paraId="33BC75D6">
                  <w:pPr>
                    <w:pageBreakBefore w:val="0"/>
                    <w:widowControl w:val="0"/>
                    <w:kinsoku/>
                    <w:wordWrap/>
                    <w:overflowPunct/>
                    <w:topLinePunct w:val="0"/>
                    <w:autoSpaceDE/>
                    <w:autoSpaceDN/>
                    <w:bidi w:val="0"/>
                    <w:spacing w:line="240" w:lineRule="auto"/>
                    <w:ind w:firstLine="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现有项目产生量（t/a）</w:t>
                  </w:r>
                </w:p>
              </w:tc>
              <w:tc>
                <w:tcPr>
                  <w:tcW w:w="589" w:type="pct"/>
                  <w:tcBorders>
                    <w:tl2br w:val="nil"/>
                    <w:tr2bl w:val="nil"/>
                  </w:tcBorders>
                  <w:vAlign w:val="center"/>
                </w:tcPr>
                <w:p w14:paraId="101BEB5C">
                  <w:pPr>
                    <w:pageBreakBefore w:val="0"/>
                    <w:widowControl w:val="0"/>
                    <w:kinsoku/>
                    <w:wordWrap/>
                    <w:overflowPunct/>
                    <w:topLinePunct w:val="0"/>
                    <w:autoSpaceDE/>
                    <w:autoSpaceDN/>
                    <w:bidi w:val="0"/>
                    <w:spacing w:line="240" w:lineRule="auto"/>
                    <w:ind w:firstLine="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扩建项目产生量（t/a）</w:t>
                  </w:r>
                </w:p>
              </w:tc>
              <w:tc>
                <w:tcPr>
                  <w:tcW w:w="589" w:type="pct"/>
                  <w:tcBorders>
                    <w:tl2br w:val="nil"/>
                    <w:tr2bl w:val="nil"/>
                  </w:tcBorders>
                  <w:vAlign w:val="center"/>
                </w:tcPr>
                <w:p w14:paraId="330A4E46">
                  <w:pPr>
                    <w:pageBreakBefore w:val="0"/>
                    <w:widowControl w:val="0"/>
                    <w:kinsoku/>
                    <w:wordWrap/>
                    <w:overflowPunct/>
                    <w:topLinePunct w:val="0"/>
                    <w:autoSpaceDE/>
                    <w:autoSpaceDN/>
                    <w:bidi w:val="0"/>
                    <w:spacing w:line="240" w:lineRule="auto"/>
                    <w:ind w:firstLine="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全厂总量（t/a）</w:t>
                  </w:r>
                </w:p>
              </w:tc>
              <w:tc>
                <w:tcPr>
                  <w:tcW w:w="589" w:type="pct"/>
                  <w:tcBorders>
                    <w:tl2br w:val="nil"/>
                    <w:tr2bl w:val="nil"/>
                  </w:tcBorders>
                  <w:vAlign w:val="center"/>
                </w:tcPr>
                <w:p w14:paraId="30949E11">
                  <w:pPr>
                    <w:pageBreakBefore w:val="0"/>
                    <w:widowControl w:val="0"/>
                    <w:kinsoku/>
                    <w:wordWrap/>
                    <w:overflowPunct/>
                    <w:topLinePunct w:val="0"/>
                    <w:autoSpaceDE/>
                    <w:autoSpaceDN/>
                    <w:bidi w:val="0"/>
                    <w:spacing w:line="240" w:lineRule="auto"/>
                    <w:ind w:firstLine="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废物类别</w:t>
                  </w:r>
                </w:p>
              </w:tc>
              <w:tc>
                <w:tcPr>
                  <w:tcW w:w="623" w:type="pct"/>
                  <w:tcBorders>
                    <w:tl2br w:val="nil"/>
                    <w:tr2bl w:val="nil"/>
                  </w:tcBorders>
                  <w:vAlign w:val="center"/>
                </w:tcPr>
                <w:p w14:paraId="276A86B3">
                  <w:pPr>
                    <w:pageBreakBefore w:val="0"/>
                    <w:widowControl w:val="0"/>
                    <w:kinsoku/>
                    <w:wordWrap/>
                    <w:overflowPunct/>
                    <w:topLinePunct w:val="0"/>
                    <w:autoSpaceDE/>
                    <w:autoSpaceDN/>
                    <w:bidi w:val="0"/>
                    <w:spacing w:line="240" w:lineRule="auto"/>
                    <w:ind w:firstLine="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废物代码</w:t>
                  </w:r>
                </w:p>
              </w:tc>
              <w:tc>
                <w:tcPr>
                  <w:tcW w:w="397" w:type="pct"/>
                  <w:tcBorders>
                    <w:tl2br w:val="nil"/>
                    <w:tr2bl w:val="nil"/>
                  </w:tcBorders>
                  <w:vAlign w:val="center"/>
                </w:tcPr>
                <w:p w14:paraId="45A5AEE8">
                  <w:pPr>
                    <w:pageBreakBefore w:val="0"/>
                    <w:widowControl w:val="0"/>
                    <w:kinsoku/>
                    <w:wordWrap/>
                    <w:overflowPunct/>
                    <w:topLinePunct w:val="0"/>
                    <w:autoSpaceDE/>
                    <w:autoSpaceDN/>
                    <w:bidi w:val="0"/>
                    <w:spacing w:line="240" w:lineRule="auto"/>
                    <w:ind w:firstLine="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危险特性</w:t>
                  </w:r>
                </w:p>
              </w:tc>
            </w:tr>
            <w:tr w14:paraId="4CECA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exact"/>
                <w:jc w:val="center"/>
              </w:trPr>
              <w:tc>
                <w:tcPr>
                  <w:tcW w:w="232" w:type="pct"/>
                  <w:tcBorders>
                    <w:tl2br w:val="nil"/>
                    <w:tr2bl w:val="nil"/>
                  </w:tcBorders>
                  <w:vAlign w:val="center"/>
                </w:tcPr>
                <w:p w14:paraId="06CDE6EB">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1</w:t>
                  </w:r>
                </w:p>
              </w:tc>
              <w:tc>
                <w:tcPr>
                  <w:tcW w:w="740" w:type="pct"/>
                  <w:tcBorders>
                    <w:tl2br w:val="nil"/>
                    <w:tr2bl w:val="nil"/>
                  </w:tcBorders>
                  <w:vAlign w:val="center"/>
                </w:tcPr>
                <w:p w14:paraId="6FA0E92E">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油泥</w:t>
                  </w:r>
                </w:p>
              </w:tc>
              <w:tc>
                <w:tcPr>
                  <w:tcW w:w="589" w:type="pct"/>
                  <w:tcBorders>
                    <w:tl2br w:val="nil"/>
                    <w:tr2bl w:val="nil"/>
                  </w:tcBorders>
                  <w:vAlign w:val="center"/>
                </w:tcPr>
                <w:p w14:paraId="63FD8724">
                  <w:pPr>
                    <w:pageBreakBefore w:val="0"/>
                    <w:widowControl w:val="0"/>
                    <w:kinsoku/>
                    <w:wordWrap/>
                    <w:overflowPunct/>
                    <w:topLinePunct w:val="0"/>
                    <w:autoSpaceDE/>
                    <w:autoSpaceDN/>
                    <w:bidi w:val="0"/>
                    <w:spacing w:line="240" w:lineRule="auto"/>
                    <w:ind w:firstLine="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油洗</w:t>
                  </w:r>
                </w:p>
              </w:tc>
              <w:tc>
                <w:tcPr>
                  <w:tcW w:w="650" w:type="pct"/>
                  <w:tcBorders>
                    <w:tl2br w:val="nil"/>
                    <w:tr2bl w:val="nil"/>
                  </w:tcBorders>
                  <w:vAlign w:val="center"/>
                </w:tcPr>
                <w:p w14:paraId="7DDC8FAD">
                  <w:pPr>
                    <w:pStyle w:val="106"/>
                    <w:pageBreakBefore w:val="0"/>
                    <w:widowControl w:val="0"/>
                    <w:kinsoku/>
                    <w:wordWrap/>
                    <w:overflowPunct/>
                    <w:topLinePunct w:val="0"/>
                    <w:autoSpaceDE/>
                    <w:autoSpaceDN/>
                    <w:bidi w:val="0"/>
                    <w:spacing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w:t>
                  </w:r>
                </w:p>
              </w:tc>
              <w:tc>
                <w:tcPr>
                  <w:tcW w:w="972" w:type="dxa"/>
                  <w:tcBorders>
                    <w:tl2br w:val="nil"/>
                    <w:tr2bl w:val="nil"/>
                  </w:tcBorders>
                  <w:vAlign w:val="center"/>
                </w:tcPr>
                <w:p w14:paraId="1638B5F7">
                  <w:pPr>
                    <w:pStyle w:val="106"/>
                    <w:pageBreakBefore w:val="0"/>
                    <w:widowControl w:val="0"/>
                    <w:kinsoku/>
                    <w:wordWrap/>
                    <w:overflowPunct/>
                    <w:topLinePunct w:val="0"/>
                    <w:autoSpaceDE/>
                    <w:autoSpaceDN/>
                    <w:bidi w:val="0"/>
                    <w:spacing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0.05</w:t>
                  </w:r>
                </w:p>
              </w:tc>
              <w:tc>
                <w:tcPr>
                  <w:tcW w:w="972" w:type="dxa"/>
                  <w:tcBorders>
                    <w:tl2br w:val="nil"/>
                    <w:tr2bl w:val="nil"/>
                  </w:tcBorders>
                  <w:vAlign w:val="center"/>
                </w:tcPr>
                <w:p w14:paraId="7D135622">
                  <w:pPr>
                    <w:pStyle w:val="106"/>
                    <w:pageBreakBefore w:val="0"/>
                    <w:widowControl w:val="0"/>
                    <w:kinsoku/>
                    <w:wordWrap/>
                    <w:overflowPunct/>
                    <w:topLinePunct w:val="0"/>
                    <w:autoSpaceDE/>
                    <w:autoSpaceDN/>
                    <w:bidi w:val="0"/>
                    <w:spacing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0.05</w:t>
                  </w:r>
                </w:p>
              </w:tc>
              <w:tc>
                <w:tcPr>
                  <w:tcW w:w="589" w:type="pct"/>
                  <w:tcBorders>
                    <w:tl2br w:val="nil"/>
                    <w:tr2bl w:val="nil"/>
                  </w:tcBorders>
                  <w:vAlign w:val="center"/>
                </w:tcPr>
                <w:p w14:paraId="342A99F5">
                  <w:pPr>
                    <w:pStyle w:val="106"/>
                    <w:pageBreakBefore w:val="0"/>
                    <w:widowControl w:val="0"/>
                    <w:kinsoku/>
                    <w:wordWrap/>
                    <w:overflowPunct/>
                    <w:topLinePunct w:val="0"/>
                    <w:autoSpaceDE/>
                    <w:autoSpaceDN/>
                    <w:bidi w:val="0"/>
                    <w:spacing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HW08</w:t>
                  </w:r>
                </w:p>
              </w:tc>
              <w:tc>
                <w:tcPr>
                  <w:tcW w:w="623" w:type="pct"/>
                  <w:tcBorders>
                    <w:tl2br w:val="nil"/>
                    <w:tr2bl w:val="nil"/>
                  </w:tcBorders>
                  <w:vAlign w:val="center"/>
                </w:tcPr>
                <w:p w14:paraId="2C0CC8B3">
                  <w:pPr>
                    <w:pStyle w:val="106"/>
                    <w:pageBreakBefore w:val="0"/>
                    <w:widowControl w:val="0"/>
                    <w:kinsoku/>
                    <w:wordWrap/>
                    <w:overflowPunct/>
                    <w:topLinePunct w:val="0"/>
                    <w:autoSpaceDE/>
                    <w:autoSpaceDN/>
                    <w:bidi w:val="0"/>
                    <w:spacing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900-249-08</w:t>
                  </w:r>
                </w:p>
              </w:tc>
              <w:tc>
                <w:tcPr>
                  <w:tcW w:w="397" w:type="pct"/>
                  <w:tcBorders>
                    <w:tl2br w:val="nil"/>
                    <w:tr2bl w:val="nil"/>
                  </w:tcBorders>
                  <w:vAlign w:val="center"/>
                </w:tcPr>
                <w:p w14:paraId="4AC6B987">
                  <w:pPr>
                    <w:pStyle w:val="106"/>
                    <w:pageBreakBefore w:val="0"/>
                    <w:widowControl w:val="0"/>
                    <w:kinsoku/>
                    <w:wordWrap/>
                    <w:overflowPunct/>
                    <w:topLinePunct w:val="0"/>
                    <w:autoSpaceDE/>
                    <w:autoSpaceDN/>
                    <w:bidi w:val="0"/>
                    <w:spacing w:line="240" w:lineRule="auto"/>
                    <w:ind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T/I</w:t>
                  </w:r>
                </w:p>
              </w:tc>
            </w:tr>
            <w:tr w14:paraId="68612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exact"/>
                <w:jc w:val="center"/>
              </w:trPr>
              <w:tc>
                <w:tcPr>
                  <w:tcW w:w="232" w:type="pct"/>
                  <w:tcBorders>
                    <w:tl2br w:val="nil"/>
                    <w:tr2bl w:val="nil"/>
                  </w:tcBorders>
                  <w:vAlign w:val="center"/>
                </w:tcPr>
                <w:p w14:paraId="5128A121">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w:t>
                  </w:r>
                </w:p>
              </w:tc>
              <w:tc>
                <w:tcPr>
                  <w:tcW w:w="740" w:type="pct"/>
                  <w:tcBorders>
                    <w:tl2br w:val="nil"/>
                    <w:tr2bl w:val="nil"/>
                  </w:tcBorders>
                  <w:vAlign w:val="center"/>
                </w:tcPr>
                <w:p w14:paraId="64ED0E84">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废渣</w:t>
                  </w:r>
                </w:p>
              </w:tc>
              <w:tc>
                <w:tcPr>
                  <w:tcW w:w="589" w:type="pct"/>
                  <w:tcBorders>
                    <w:tl2br w:val="nil"/>
                    <w:tr2bl w:val="nil"/>
                  </w:tcBorders>
                  <w:vAlign w:val="center"/>
                </w:tcPr>
                <w:p w14:paraId="71F7A5FA">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碱洗、酸洗</w:t>
                  </w:r>
                </w:p>
              </w:tc>
              <w:tc>
                <w:tcPr>
                  <w:tcW w:w="650" w:type="pct"/>
                  <w:tcBorders>
                    <w:tl2br w:val="nil"/>
                    <w:tr2bl w:val="nil"/>
                  </w:tcBorders>
                  <w:vAlign w:val="center"/>
                </w:tcPr>
                <w:p w14:paraId="0ACD9D10">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w:t>
                  </w:r>
                </w:p>
              </w:tc>
              <w:tc>
                <w:tcPr>
                  <w:tcW w:w="972" w:type="dxa"/>
                  <w:tcBorders>
                    <w:tl2br w:val="nil"/>
                    <w:tr2bl w:val="nil"/>
                  </w:tcBorders>
                  <w:vAlign w:val="center"/>
                </w:tcPr>
                <w:p w14:paraId="64F6F6C6">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0.05</w:t>
                  </w:r>
                </w:p>
              </w:tc>
              <w:tc>
                <w:tcPr>
                  <w:tcW w:w="972" w:type="dxa"/>
                  <w:tcBorders>
                    <w:tl2br w:val="nil"/>
                    <w:tr2bl w:val="nil"/>
                  </w:tcBorders>
                  <w:vAlign w:val="center"/>
                </w:tcPr>
                <w:p w14:paraId="4F667508">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0.05</w:t>
                  </w:r>
                </w:p>
              </w:tc>
              <w:tc>
                <w:tcPr>
                  <w:tcW w:w="589" w:type="pct"/>
                  <w:tcBorders>
                    <w:tl2br w:val="nil"/>
                    <w:tr2bl w:val="nil"/>
                  </w:tcBorders>
                  <w:vAlign w:val="center"/>
                </w:tcPr>
                <w:p w14:paraId="557D59DB">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HW34</w:t>
                  </w:r>
                </w:p>
              </w:tc>
              <w:tc>
                <w:tcPr>
                  <w:tcW w:w="623" w:type="pct"/>
                  <w:tcBorders>
                    <w:tl2br w:val="nil"/>
                    <w:tr2bl w:val="nil"/>
                  </w:tcBorders>
                  <w:vAlign w:val="center"/>
                </w:tcPr>
                <w:p w14:paraId="5F6135CB">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900-349-34</w:t>
                  </w:r>
                </w:p>
              </w:tc>
              <w:tc>
                <w:tcPr>
                  <w:tcW w:w="397" w:type="pct"/>
                  <w:tcBorders>
                    <w:tl2br w:val="nil"/>
                    <w:tr2bl w:val="nil"/>
                  </w:tcBorders>
                  <w:vAlign w:val="center"/>
                </w:tcPr>
                <w:p w14:paraId="53A3B19F">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C/ T</w:t>
                  </w:r>
                </w:p>
              </w:tc>
            </w:tr>
            <w:tr w14:paraId="3DD45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exact"/>
                <w:jc w:val="center"/>
              </w:trPr>
              <w:tc>
                <w:tcPr>
                  <w:tcW w:w="232" w:type="pct"/>
                  <w:tcBorders>
                    <w:tl2br w:val="nil"/>
                    <w:tr2bl w:val="nil"/>
                  </w:tcBorders>
                  <w:vAlign w:val="center"/>
                </w:tcPr>
                <w:p w14:paraId="3A608B5B">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3</w:t>
                  </w:r>
                </w:p>
              </w:tc>
              <w:tc>
                <w:tcPr>
                  <w:tcW w:w="740" w:type="pct"/>
                  <w:tcBorders>
                    <w:tl2br w:val="nil"/>
                    <w:tr2bl w:val="nil"/>
                  </w:tcBorders>
                  <w:vAlign w:val="center"/>
                </w:tcPr>
                <w:p w14:paraId="380A4A08">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片碱包装袋</w:t>
                  </w:r>
                </w:p>
              </w:tc>
              <w:tc>
                <w:tcPr>
                  <w:tcW w:w="589" w:type="pct"/>
                  <w:tcBorders>
                    <w:tl2br w:val="nil"/>
                    <w:tr2bl w:val="nil"/>
                  </w:tcBorders>
                  <w:vAlign w:val="center"/>
                </w:tcPr>
                <w:p w14:paraId="65C9BE1B">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碱洗</w:t>
                  </w:r>
                </w:p>
              </w:tc>
              <w:tc>
                <w:tcPr>
                  <w:tcW w:w="650" w:type="pct"/>
                  <w:tcBorders>
                    <w:tl2br w:val="nil"/>
                    <w:tr2bl w:val="nil"/>
                  </w:tcBorders>
                  <w:vAlign w:val="center"/>
                </w:tcPr>
                <w:p w14:paraId="5EF85D14">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w:t>
                  </w:r>
                </w:p>
              </w:tc>
              <w:tc>
                <w:tcPr>
                  <w:tcW w:w="972" w:type="dxa"/>
                  <w:tcBorders>
                    <w:tl2br w:val="nil"/>
                    <w:tr2bl w:val="nil"/>
                  </w:tcBorders>
                  <w:vAlign w:val="center"/>
                </w:tcPr>
                <w:p w14:paraId="69D3CD80">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0.02</w:t>
                  </w:r>
                </w:p>
              </w:tc>
              <w:tc>
                <w:tcPr>
                  <w:tcW w:w="972" w:type="dxa"/>
                  <w:tcBorders>
                    <w:tl2br w:val="nil"/>
                    <w:tr2bl w:val="nil"/>
                  </w:tcBorders>
                  <w:vAlign w:val="center"/>
                </w:tcPr>
                <w:p w14:paraId="6EC9D08E">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0.02</w:t>
                  </w:r>
                </w:p>
              </w:tc>
              <w:tc>
                <w:tcPr>
                  <w:tcW w:w="589" w:type="pct"/>
                  <w:tcBorders>
                    <w:tl2br w:val="nil"/>
                    <w:tr2bl w:val="nil"/>
                  </w:tcBorders>
                  <w:vAlign w:val="center"/>
                </w:tcPr>
                <w:p w14:paraId="36862B66">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HW49</w:t>
                  </w:r>
                </w:p>
              </w:tc>
              <w:tc>
                <w:tcPr>
                  <w:tcW w:w="623" w:type="pct"/>
                  <w:tcBorders>
                    <w:tl2br w:val="nil"/>
                    <w:tr2bl w:val="nil"/>
                  </w:tcBorders>
                  <w:vAlign w:val="center"/>
                </w:tcPr>
                <w:p w14:paraId="27613BA4">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900-041-49</w:t>
                  </w:r>
                </w:p>
              </w:tc>
              <w:tc>
                <w:tcPr>
                  <w:tcW w:w="397" w:type="pct"/>
                  <w:tcBorders>
                    <w:tl2br w:val="nil"/>
                    <w:tr2bl w:val="nil"/>
                  </w:tcBorders>
                  <w:vAlign w:val="center"/>
                </w:tcPr>
                <w:p w14:paraId="09EE58D2">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T/In</w:t>
                  </w:r>
                </w:p>
              </w:tc>
            </w:tr>
            <w:tr w14:paraId="0182B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 w:hRule="atLeast"/>
                <w:jc w:val="center"/>
              </w:trPr>
              <w:tc>
                <w:tcPr>
                  <w:tcW w:w="232" w:type="pct"/>
                  <w:tcBorders>
                    <w:tl2br w:val="nil"/>
                    <w:tr2bl w:val="nil"/>
                  </w:tcBorders>
                  <w:vAlign w:val="center"/>
                </w:tcPr>
                <w:p w14:paraId="69397C31">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4</w:t>
                  </w:r>
                </w:p>
              </w:tc>
              <w:tc>
                <w:tcPr>
                  <w:tcW w:w="740" w:type="pct"/>
                  <w:tcBorders>
                    <w:tl2br w:val="nil"/>
                    <w:tr2bl w:val="nil"/>
                  </w:tcBorders>
                  <w:vAlign w:val="center"/>
                </w:tcPr>
                <w:p w14:paraId="0BA72199">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盐酸废包装瓶</w:t>
                  </w:r>
                </w:p>
              </w:tc>
              <w:tc>
                <w:tcPr>
                  <w:tcW w:w="589" w:type="pct"/>
                  <w:tcBorders>
                    <w:tl2br w:val="nil"/>
                    <w:tr2bl w:val="nil"/>
                  </w:tcBorders>
                  <w:vAlign w:val="center"/>
                </w:tcPr>
                <w:p w14:paraId="6B8B0E5F">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酸洗</w:t>
                  </w:r>
                </w:p>
              </w:tc>
              <w:tc>
                <w:tcPr>
                  <w:tcW w:w="650" w:type="pct"/>
                  <w:tcBorders>
                    <w:tl2br w:val="nil"/>
                    <w:tr2bl w:val="nil"/>
                  </w:tcBorders>
                  <w:vAlign w:val="center"/>
                </w:tcPr>
                <w:p w14:paraId="5E2C5061">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w:t>
                  </w:r>
                </w:p>
              </w:tc>
              <w:tc>
                <w:tcPr>
                  <w:tcW w:w="972" w:type="dxa"/>
                  <w:tcBorders>
                    <w:tl2br w:val="nil"/>
                    <w:tr2bl w:val="nil"/>
                  </w:tcBorders>
                  <w:vAlign w:val="center"/>
                </w:tcPr>
                <w:p w14:paraId="4B752340">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0.01</w:t>
                  </w:r>
                </w:p>
              </w:tc>
              <w:tc>
                <w:tcPr>
                  <w:tcW w:w="972" w:type="dxa"/>
                  <w:tcBorders>
                    <w:tl2br w:val="nil"/>
                    <w:tr2bl w:val="nil"/>
                  </w:tcBorders>
                  <w:vAlign w:val="center"/>
                </w:tcPr>
                <w:p w14:paraId="2AFF5153">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0.01</w:t>
                  </w:r>
                </w:p>
              </w:tc>
              <w:tc>
                <w:tcPr>
                  <w:tcW w:w="589" w:type="pct"/>
                  <w:tcBorders>
                    <w:tl2br w:val="nil"/>
                    <w:tr2bl w:val="nil"/>
                  </w:tcBorders>
                  <w:vAlign w:val="center"/>
                </w:tcPr>
                <w:p w14:paraId="6EA5DC34">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HW49</w:t>
                  </w:r>
                </w:p>
              </w:tc>
              <w:tc>
                <w:tcPr>
                  <w:tcW w:w="623" w:type="pct"/>
                  <w:tcBorders>
                    <w:tl2br w:val="nil"/>
                    <w:tr2bl w:val="nil"/>
                  </w:tcBorders>
                  <w:vAlign w:val="center"/>
                </w:tcPr>
                <w:p w14:paraId="3D9F43F9">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900-041-49</w:t>
                  </w:r>
                </w:p>
              </w:tc>
              <w:tc>
                <w:tcPr>
                  <w:tcW w:w="397" w:type="pct"/>
                  <w:tcBorders>
                    <w:tl2br w:val="nil"/>
                    <w:tr2bl w:val="nil"/>
                  </w:tcBorders>
                  <w:vAlign w:val="center"/>
                </w:tcPr>
                <w:p w14:paraId="247CAAF9">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T/In</w:t>
                  </w:r>
                </w:p>
              </w:tc>
            </w:tr>
            <w:tr w14:paraId="4115B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exact"/>
                <w:jc w:val="center"/>
              </w:trPr>
              <w:tc>
                <w:tcPr>
                  <w:tcW w:w="232" w:type="pct"/>
                  <w:tcBorders>
                    <w:tl2br w:val="nil"/>
                    <w:tr2bl w:val="nil"/>
                  </w:tcBorders>
                  <w:vAlign w:val="center"/>
                </w:tcPr>
                <w:p w14:paraId="7F9E478F">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5</w:t>
                  </w:r>
                </w:p>
              </w:tc>
              <w:tc>
                <w:tcPr>
                  <w:tcW w:w="740" w:type="pct"/>
                  <w:tcBorders>
                    <w:tl2br w:val="nil"/>
                    <w:tr2bl w:val="nil"/>
                  </w:tcBorders>
                  <w:vAlign w:val="center"/>
                </w:tcPr>
                <w:p w14:paraId="3B092D9F">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废油桶</w:t>
                  </w:r>
                </w:p>
              </w:tc>
              <w:tc>
                <w:tcPr>
                  <w:tcW w:w="589" w:type="pct"/>
                  <w:tcBorders>
                    <w:tl2br w:val="nil"/>
                    <w:tr2bl w:val="nil"/>
                  </w:tcBorders>
                  <w:vAlign w:val="center"/>
                </w:tcPr>
                <w:p w14:paraId="063227E2">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油洗</w:t>
                  </w:r>
                </w:p>
              </w:tc>
              <w:tc>
                <w:tcPr>
                  <w:tcW w:w="650" w:type="pct"/>
                  <w:tcBorders>
                    <w:tl2br w:val="nil"/>
                    <w:tr2bl w:val="nil"/>
                  </w:tcBorders>
                  <w:vAlign w:val="center"/>
                </w:tcPr>
                <w:p w14:paraId="3503CFDE">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w:t>
                  </w:r>
                </w:p>
              </w:tc>
              <w:tc>
                <w:tcPr>
                  <w:tcW w:w="972" w:type="dxa"/>
                  <w:tcBorders>
                    <w:tl2br w:val="nil"/>
                    <w:tr2bl w:val="nil"/>
                  </w:tcBorders>
                  <w:vAlign w:val="center"/>
                </w:tcPr>
                <w:p w14:paraId="21703D19">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0.05</w:t>
                  </w:r>
                </w:p>
              </w:tc>
              <w:tc>
                <w:tcPr>
                  <w:tcW w:w="972" w:type="dxa"/>
                  <w:tcBorders>
                    <w:tl2br w:val="nil"/>
                    <w:tr2bl w:val="nil"/>
                  </w:tcBorders>
                  <w:vAlign w:val="center"/>
                </w:tcPr>
                <w:p w14:paraId="3C14A30F">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0.05</w:t>
                  </w:r>
                </w:p>
              </w:tc>
              <w:tc>
                <w:tcPr>
                  <w:tcW w:w="589" w:type="pct"/>
                  <w:tcBorders>
                    <w:tl2br w:val="nil"/>
                    <w:tr2bl w:val="nil"/>
                  </w:tcBorders>
                  <w:vAlign w:val="center"/>
                </w:tcPr>
                <w:p w14:paraId="38A8378B">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HW49</w:t>
                  </w:r>
                </w:p>
              </w:tc>
              <w:tc>
                <w:tcPr>
                  <w:tcW w:w="623" w:type="pct"/>
                  <w:tcBorders>
                    <w:tl2br w:val="nil"/>
                    <w:tr2bl w:val="nil"/>
                  </w:tcBorders>
                  <w:vAlign w:val="center"/>
                </w:tcPr>
                <w:p w14:paraId="7A037BC8">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900-041-49</w:t>
                  </w:r>
                </w:p>
              </w:tc>
              <w:tc>
                <w:tcPr>
                  <w:tcW w:w="397" w:type="pct"/>
                  <w:tcBorders>
                    <w:tl2br w:val="nil"/>
                    <w:tr2bl w:val="nil"/>
                  </w:tcBorders>
                  <w:vAlign w:val="center"/>
                </w:tcPr>
                <w:p w14:paraId="6BCEE7A2">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T/In</w:t>
                  </w:r>
                </w:p>
              </w:tc>
            </w:tr>
            <w:tr w14:paraId="307C9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exact"/>
                <w:jc w:val="center"/>
              </w:trPr>
              <w:tc>
                <w:tcPr>
                  <w:tcW w:w="232" w:type="pct"/>
                  <w:tcBorders>
                    <w:tl2br w:val="nil"/>
                    <w:tr2bl w:val="nil"/>
                  </w:tcBorders>
                  <w:vAlign w:val="center"/>
                </w:tcPr>
                <w:p w14:paraId="45CA9DA4">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6</w:t>
                  </w:r>
                </w:p>
              </w:tc>
              <w:tc>
                <w:tcPr>
                  <w:tcW w:w="740" w:type="pct"/>
                  <w:tcBorders>
                    <w:tl2br w:val="nil"/>
                    <w:tr2bl w:val="nil"/>
                  </w:tcBorders>
                  <w:vAlign w:val="center"/>
                </w:tcPr>
                <w:p w14:paraId="15DE69B0">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废切削液桶</w:t>
                  </w:r>
                </w:p>
              </w:tc>
              <w:tc>
                <w:tcPr>
                  <w:tcW w:w="589" w:type="pct"/>
                  <w:tcBorders>
                    <w:tl2br w:val="nil"/>
                    <w:tr2bl w:val="nil"/>
                  </w:tcBorders>
                  <w:vAlign w:val="center"/>
                </w:tcPr>
                <w:p w14:paraId="1861A279">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加工</w:t>
                  </w:r>
                </w:p>
              </w:tc>
              <w:tc>
                <w:tcPr>
                  <w:tcW w:w="650" w:type="pct"/>
                  <w:tcBorders>
                    <w:tl2br w:val="nil"/>
                    <w:tr2bl w:val="nil"/>
                  </w:tcBorders>
                  <w:vAlign w:val="center"/>
                </w:tcPr>
                <w:p w14:paraId="2D2DE274">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0.02</w:t>
                  </w:r>
                </w:p>
              </w:tc>
              <w:tc>
                <w:tcPr>
                  <w:tcW w:w="972" w:type="dxa"/>
                  <w:tcBorders>
                    <w:tl2br w:val="nil"/>
                    <w:tr2bl w:val="nil"/>
                  </w:tcBorders>
                  <w:vAlign w:val="center"/>
                </w:tcPr>
                <w:p w14:paraId="16C354F9">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0.03</w:t>
                  </w:r>
                </w:p>
              </w:tc>
              <w:tc>
                <w:tcPr>
                  <w:tcW w:w="972" w:type="dxa"/>
                  <w:tcBorders>
                    <w:tl2br w:val="nil"/>
                    <w:tr2bl w:val="nil"/>
                  </w:tcBorders>
                  <w:vAlign w:val="center"/>
                </w:tcPr>
                <w:p w14:paraId="5BFBE6AB">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0.05</w:t>
                  </w:r>
                </w:p>
              </w:tc>
              <w:tc>
                <w:tcPr>
                  <w:tcW w:w="589" w:type="pct"/>
                  <w:tcBorders>
                    <w:tl2br w:val="nil"/>
                    <w:tr2bl w:val="nil"/>
                  </w:tcBorders>
                  <w:vAlign w:val="center"/>
                </w:tcPr>
                <w:p w14:paraId="6628B933">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HW49</w:t>
                  </w:r>
                </w:p>
              </w:tc>
              <w:tc>
                <w:tcPr>
                  <w:tcW w:w="623" w:type="pct"/>
                  <w:tcBorders>
                    <w:tl2br w:val="nil"/>
                    <w:tr2bl w:val="nil"/>
                  </w:tcBorders>
                  <w:vAlign w:val="center"/>
                </w:tcPr>
                <w:p w14:paraId="76CB94DB">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900-041-49</w:t>
                  </w:r>
                </w:p>
              </w:tc>
              <w:tc>
                <w:tcPr>
                  <w:tcW w:w="397" w:type="pct"/>
                  <w:tcBorders>
                    <w:tl2br w:val="nil"/>
                    <w:tr2bl w:val="nil"/>
                  </w:tcBorders>
                  <w:vAlign w:val="center"/>
                </w:tcPr>
                <w:p w14:paraId="07F714D2">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T/In</w:t>
                  </w:r>
                </w:p>
              </w:tc>
            </w:tr>
            <w:tr w14:paraId="0F287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exact"/>
                <w:jc w:val="center"/>
              </w:trPr>
              <w:tc>
                <w:tcPr>
                  <w:tcW w:w="232" w:type="pct"/>
                  <w:tcBorders>
                    <w:tl2br w:val="nil"/>
                    <w:tr2bl w:val="nil"/>
                  </w:tcBorders>
                  <w:vAlign w:val="center"/>
                </w:tcPr>
                <w:p w14:paraId="1F476DC0">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7</w:t>
                  </w:r>
                </w:p>
              </w:tc>
              <w:tc>
                <w:tcPr>
                  <w:tcW w:w="740" w:type="pct"/>
                  <w:tcBorders>
                    <w:tl2br w:val="nil"/>
                    <w:tr2bl w:val="nil"/>
                  </w:tcBorders>
                  <w:vAlign w:val="center"/>
                </w:tcPr>
                <w:p w14:paraId="6B082147">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废切削液</w:t>
                  </w:r>
                </w:p>
              </w:tc>
              <w:tc>
                <w:tcPr>
                  <w:tcW w:w="589" w:type="pct"/>
                  <w:tcBorders>
                    <w:tl2br w:val="nil"/>
                    <w:tr2bl w:val="nil"/>
                  </w:tcBorders>
                  <w:vAlign w:val="center"/>
                </w:tcPr>
                <w:p w14:paraId="303D12DB">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加工</w:t>
                  </w:r>
                </w:p>
              </w:tc>
              <w:tc>
                <w:tcPr>
                  <w:tcW w:w="650" w:type="pct"/>
                  <w:tcBorders>
                    <w:tl2br w:val="nil"/>
                    <w:tr2bl w:val="nil"/>
                  </w:tcBorders>
                  <w:vAlign w:val="center"/>
                </w:tcPr>
                <w:p w14:paraId="6046E713">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0.03</w:t>
                  </w:r>
                </w:p>
              </w:tc>
              <w:tc>
                <w:tcPr>
                  <w:tcW w:w="972" w:type="dxa"/>
                  <w:tcBorders>
                    <w:tl2br w:val="nil"/>
                    <w:tr2bl w:val="nil"/>
                  </w:tcBorders>
                  <w:vAlign w:val="center"/>
                </w:tcPr>
                <w:p w14:paraId="3A1325F9">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0.05</w:t>
                  </w:r>
                </w:p>
              </w:tc>
              <w:tc>
                <w:tcPr>
                  <w:tcW w:w="972" w:type="dxa"/>
                  <w:tcBorders>
                    <w:tl2br w:val="nil"/>
                    <w:tr2bl w:val="nil"/>
                  </w:tcBorders>
                  <w:vAlign w:val="center"/>
                </w:tcPr>
                <w:p w14:paraId="631CE9F5">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0.08</w:t>
                  </w:r>
                </w:p>
              </w:tc>
              <w:tc>
                <w:tcPr>
                  <w:tcW w:w="589" w:type="pct"/>
                  <w:tcBorders>
                    <w:tl2br w:val="nil"/>
                    <w:tr2bl w:val="nil"/>
                  </w:tcBorders>
                  <w:vAlign w:val="center"/>
                </w:tcPr>
                <w:p w14:paraId="4AF1179E">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HW09</w:t>
                  </w:r>
                </w:p>
              </w:tc>
              <w:tc>
                <w:tcPr>
                  <w:tcW w:w="623" w:type="pct"/>
                  <w:tcBorders>
                    <w:tl2br w:val="nil"/>
                    <w:tr2bl w:val="nil"/>
                  </w:tcBorders>
                  <w:vAlign w:val="center"/>
                </w:tcPr>
                <w:p w14:paraId="4861EE22">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900-006-09</w:t>
                  </w:r>
                </w:p>
              </w:tc>
              <w:tc>
                <w:tcPr>
                  <w:tcW w:w="397" w:type="pct"/>
                  <w:tcBorders>
                    <w:tl2br w:val="nil"/>
                    <w:tr2bl w:val="nil"/>
                  </w:tcBorders>
                  <w:vAlign w:val="center"/>
                </w:tcPr>
                <w:p w14:paraId="65694858">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T</w:t>
                  </w:r>
                </w:p>
              </w:tc>
            </w:tr>
            <w:tr w14:paraId="1DEFF0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exact"/>
                <w:jc w:val="center"/>
              </w:trPr>
              <w:tc>
                <w:tcPr>
                  <w:tcW w:w="232" w:type="pct"/>
                  <w:tcBorders>
                    <w:tl2br w:val="nil"/>
                    <w:tr2bl w:val="nil"/>
                  </w:tcBorders>
                  <w:vAlign w:val="center"/>
                </w:tcPr>
                <w:p w14:paraId="7E318D50">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w:t>
                  </w:r>
                </w:p>
              </w:tc>
              <w:tc>
                <w:tcPr>
                  <w:tcW w:w="740" w:type="pct"/>
                  <w:tcBorders>
                    <w:tl2br w:val="nil"/>
                    <w:tr2bl w:val="nil"/>
                  </w:tcBorders>
                  <w:vAlign w:val="center"/>
                </w:tcPr>
                <w:p w14:paraId="224EE3B8">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含切削液金属屑</w:t>
                  </w:r>
                </w:p>
              </w:tc>
              <w:tc>
                <w:tcPr>
                  <w:tcW w:w="589" w:type="pct"/>
                  <w:tcBorders>
                    <w:tl2br w:val="nil"/>
                    <w:tr2bl w:val="nil"/>
                  </w:tcBorders>
                  <w:vAlign w:val="center"/>
                </w:tcPr>
                <w:p w14:paraId="2432211D">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加工</w:t>
                  </w:r>
                </w:p>
              </w:tc>
              <w:tc>
                <w:tcPr>
                  <w:tcW w:w="650" w:type="pct"/>
                  <w:tcBorders>
                    <w:tl2br w:val="nil"/>
                    <w:tr2bl w:val="nil"/>
                  </w:tcBorders>
                  <w:vAlign w:val="center"/>
                </w:tcPr>
                <w:p w14:paraId="1DDCB7B2">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972" w:type="dxa"/>
                  <w:tcBorders>
                    <w:tl2br w:val="nil"/>
                    <w:tr2bl w:val="nil"/>
                  </w:tcBorders>
                  <w:vAlign w:val="center"/>
                </w:tcPr>
                <w:p w14:paraId="00AEFD96">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972" w:type="dxa"/>
                  <w:tcBorders>
                    <w:tl2br w:val="nil"/>
                    <w:tr2bl w:val="nil"/>
                  </w:tcBorders>
                  <w:vAlign w:val="center"/>
                </w:tcPr>
                <w:p w14:paraId="3F291B4C">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2.5</w:t>
                  </w:r>
                </w:p>
              </w:tc>
              <w:tc>
                <w:tcPr>
                  <w:tcW w:w="589" w:type="pct"/>
                  <w:tcBorders>
                    <w:tl2br w:val="nil"/>
                    <w:tr2bl w:val="nil"/>
                  </w:tcBorders>
                  <w:vAlign w:val="center"/>
                </w:tcPr>
                <w:p w14:paraId="4C676649">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w:t>
                  </w:r>
                  <w:r>
                    <w:rPr>
                      <w:rFonts w:hint="default" w:ascii="Times New Roman" w:hAnsi="Times New Roman" w:cs="Times New Roman"/>
                      <w:color w:val="auto"/>
                      <w:sz w:val="21"/>
                      <w:szCs w:val="21"/>
                      <w:highlight w:val="none"/>
                      <w:lang w:val="en-US" w:eastAsia="zh-CN"/>
                    </w:rPr>
                    <w:t>49</w:t>
                  </w:r>
                </w:p>
              </w:tc>
              <w:tc>
                <w:tcPr>
                  <w:tcW w:w="623" w:type="pct"/>
                  <w:tcBorders>
                    <w:tl2br w:val="nil"/>
                    <w:tr2bl w:val="nil"/>
                  </w:tcBorders>
                  <w:vAlign w:val="center"/>
                </w:tcPr>
                <w:p w14:paraId="0A32FD6E">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900-041-49</w:t>
                  </w:r>
                </w:p>
              </w:tc>
              <w:tc>
                <w:tcPr>
                  <w:tcW w:w="397" w:type="pct"/>
                  <w:tcBorders>
                    <w:tl2br w:val="nil"/>
                    <w:tr2bl w:val="nil"/>
                  </w:tcBorders>
                  <w:vAlign w:val="center"/>
                </w:tcPr>
                <w:p w14:paraId="00852CCD">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T/I</w:t>
                  </w:r>
                </w:p>
              </w:tc>
            </w:tr>
          </w:tbl>
          <w:p w14:paraId="30B5D823">
            <w:pPr>
              <w:pStyle w:val="16"/>
              <w:adjustRightInd w:val="0"/>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4.</w:t>
            </w:r>
            <w:r>
              <w:rPr>
                <w:rFonts w:hint="default" w:ascii="Times New Roman" w:hAnsi="Times New Roman" w:cs="Times New Roman"/>
                <w:color w:val="auto"/>
                <w:sz w:val="24"/>
                <w:szCs w:val="24"/>
                <w:highlight w:val="none"/>
                <w:lang w:val="en-US" w:eastAsia="zh-CN"/>
              </w:rPr>
              <w:t>3</w:t>
            </w:r>
            <w:r>
              <w:rPr>
                <w:rFonts w:hint="default" w:ascii="Times New Roman" w:hAnsi="Times New Roman" w:cs="Times New Roman"/>
                <w:color w:val="auto"/>
                <w:sz w:val="24"/>
                <w:szCs w:val="24"/>
                <w:highlight w:val="none"/>
              </w:rPr>
              <w:t>.1危险废物贮存场所环境影响分析</w:t>
            </w:r>
          </w:p>
          <w:p w14:paraId="1012FA51">
            <w:pPr>
              <w:pStyle w:val="16"/>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1、依托可行性分析</w:t>
            </w:r>
          </w:p>
          <w:p w14:paraId="01552108">
            <w:pPr>
              <w:pStyle w:val="16"/>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highlight w:val="none"/>
              </w:rPr>
              <w:t>本项目厂区内现有一座危险废物暂存间，面积6m</w:t>
            </w:r>
            <w:r>
              <w:rPr>
                <w:rFonts w:hint="default" w:ascii="Times New Roman" w:hAnsi="Times New Roman" w:cs="Times New Roman"/>
                <w:color w:val="auto"/>
                <w:highlight w:val="none"/>
                <w:vertAlign w:val="superscript"/>
              </w:rPr>
              <w:t>2</w:t>
            </w:r>
            <w:r>
              <w:rPr>
                <w:rFonts w:hint="default" w:ascii="Times New Roman" w:hAnsi="Times New Roman" w:cs="Times New Roman"/>
                <w:color w:val="auto"/>
                <w:highlight w:val="none"/>
              </w:rPr>
              <w:t>，</w:t>
            </w:r>
            <w:r>
              <w:rPr>
                <w:rFonts w:hint="default" w:ascii="Times New Roman" w:hAnsi="Times New Roman" w:cs="Times New Roman"/>
                <w:color w:val="auto"/>
                <w:sz w:val="24"/>
                <w:szCs w:val="24"/>
                <w:highlight w:val="none"/>
                <w:lang w:val="en-US" w:eastAsia="zh-CN"/>
              </w:rPr>
              <w:t>已完成环保验收，</w:t>
            </w:r>
            <w:r>
              <w:rPr>
                <w:rFonts w:hint="default" w:ascii="Times New Roman" w:hAnsi="Times New Roman" w:cs="Times New Roman"/>
                <w:color w:val="auto"/>
                <w:sz w:val="24"/>
                <w:szCs w:val="24"/>
                <w:highlight w:val="none"/>
              </w:rPr>
              <w:t>危废间地面及裙墙均采取防腐防渗措施，渗透系数小于10</w:t>
            </w:r>
            <w:r>
              <w:rPr>
                <w:rFonts w:hint="default" w:ascii="Times New Roman" w:hAnsi="Times New Roman" w:cs="Times New Roman"/>
                <w:color w:val="auto"/>
                <w:sz w:val="24"/>
                <w:szCs w:val="24"/>
                <w:highlight w:val="none"/>
                <w:vertAlign w:val="superscript"/>
              </w:rPr>
              <w:t>-10</w:t>
            </w:r>
            <w:r>
              <w:rPr>
                <w:rFonts w:hint="default" w:ascii="Times New Roman" w:hAnsi="Times New Roman" w:cs="Times New Roman"/>
                <w:color w:val="auto"/>
                <w:sz w:val="24"/>
                <w:szCs w:val="24"/>
                <w:highlight w:val="none"/>
              </w:rPr>
              <w:t>cm/s，</w:t>
            </w:r>
            <w:r>
              <w:rPr>
                <w:rFonts w:hint="default" w:ascii="Times New Roman" w:hAnsi="Times New Roman" w:cs="Times New Roman"/>
                <w:color w:val="auto"/>
                <w:sz w:val="24"/>
                <w:szCs w:val="24"/>
                <w:highlight w:val="none"/>
                <w:lang w:val="en-US" w:eastAsia="zh-CN"/>
              </w:rPr>
              <w:t>满足相关要求</w:t>
            </w:r>
            <w:r>
              <w:rPr>
                <w:rFonts w:hint="default" w:ascii="Times New Roman" w:hAnsi="Times New Roman" w:cs="Times New Roman"/>
                <w:color w:val="auto"/>
                <w:sz w:val="24"/>
                <w:szCs w:val="24"/>
                <w:highlight w:val="none"/>
              </w:rPr>
              <w:t>。</w:t>
            </w:r>
          </w:p>
          <w:p w14:paraId="5004DA04">
            <w:pPr>
              <w:ind w:firstLine="480"/>
              <w:rPr>
                <w:rFonts w:hint="default" w:ascii="Times New Roman" w:hAnsi="Times New Roman" w:cs="Times New Roman"/>
                <w:b/>
                <w:color w:val="auto"/>
                <w:highlight w:val="none"/>
              </w:rPr>
            </w:pPr>
            <w:r>
              <w:rPr>
                <w:rFonts w:hint="default" w:ascii="Times New Roman" w:hAnsi="Times New Roman" w:cs="Times New Roman"/>
                <w:color w:val="auto"/>
                <w:highlight w:val="none"/>
                <w:lang w:val="en-US" w:eastAsia="zh-CN"/>
              </w:rPr>
              <w:t>危险废物</w:t>
            </w:r>
            <w:r>
              <w:rPr>
                <w:rFonts w:hint="default" w:ascii="Times New Roman" w:hAnsi="Times New Roman" w:cs="Times New Roman"/>
                <w:color w:val="auto"/>
                <w:highlight w:val="none"/>
              </w:rPr>
              <w:t>定期交由资质单位进行委托处置。目前，现有工程产生的危险废物均暂存于危险废物暂存间内，分区暂存，不长期储存，</w:t>
            </w:r>
            <w:r>
              <w:rPr>
                <w:rFonts w:hint="default" w:ascii="Times New Roman" w:hAnsi="Times New Roman" w:cs="Times New Roman"/>
                <w:color w:val="auto"/>
                <w:highlight w:val="none"/>
                <w:lang w:val="en-US" w:eastAsia="zh-CN"/>
              </w:rPr>
              <w:t>扩建项目</w:t>
            </w:r>
            <w:r>
              <w:rPr>
                <w:rFonts w:hint="default" w:ascii="Times New Roman" w:hAnsi="Times New Roman" w:cs="Times New Roman"/>
                <w:color w:val="auto"/>
                <w:highlight w:val="none"/>
              </w:rPr>
              <w:t>新增的危险废物种类产生量较少，</w:t>
            </w:r>
            <w:r>
              <w:rPr>
                <w:rFonts w:hint="default" w:ascii="Times New Roman" w:hAnsi="Times New Roman" w:cs="Times New Roman"/>
                <w:color w:val="auto"/>
                <w:highlight w:val="none"/>
                <w:lang w:val="en-US" w:eastAsia="zh-CN"/>
              </w:rPr>
              <w:t>贮存所需空间小，</w:t>
            </w:r>
            <w:r>
              <w:rPr>
                <w:rFonts w:hint="default" w:ascii="Times New Roman" w:hAnsi="Times New Roman" w:cs="Times New Roman"/>
                <w:color w:val="auto"/>
                <w:highlight w:val="none"/>
              </w:rPr>
              <w:t>厂区现有的危险废物间储存规模可以完全满足本项目暂存的需要，因此其依托措施可行。</w:t>
            </w:r>
          </w:p>
          <w:p w14:paraId="2F14F8DB">
            <w:pPr>
              <w:pStyle w:val="16"/>
              <w:adjustRightInd w:val="0"/>
              <w:snapToGrid w:val="0"/>
              <w:spacing w:line="360" w:lineRule="auto"/>
              <w:ind w:firstLine="480" w:firstLineChars="200"/>
              <w:rPr>
                <w:rFonts w:hint="default" w:ascii="Times New Roman" w:hAnsi="Times New Roman" w:eastAsia="宋体" w:cs="Times New Roman"/>
                <w:b w:val="0"/>
                <w:bCs w:val="0"/>
                <w:color w:val="auto"/>
                <w:sz w:val="24"/>
                <w:szCs w:val="24"/>
                <w:highlight w:val="none"/>
                <w:lang w:val="en-US" w:eastAsia="zh-CN"/>
              </w:rPr>
            </w:pPr>
            <w:r>
              <w:rPr>
                <w:rFonts w:hint="default" w:ascii="Times New Roman" w:hAnsi="Times New Roman" w:cs="Times New Roman"/>
                <w:b w:val="0"/>
                <w:bCs w:val="0"/>
                <w:color w:val="auto"/>
                <w:sz w:val="24"/>
                <w:szCs w:val="24"/>
                <w:highlight w:val="none"/>
                <w:lang w:val="en-US" w:eastAsia="zh-CN"/>
              </w:rPr>
              <w:t>2、</w:t>
            </w:r>
            <w:r>
              <w:rPr>
                <w:rFonts w:hint="default" w:ascii="Times New Roman" w:hAnsi="Times New Roman" w:cs="Times New Roman"/>
                <w:b w:val="0"/>
                <w:bCs w:val="0"/>
                <w:color w:val="auto"/>
                <w:sz w:val="24"/>
                <w:szCs w:val="24"/>
                <w:highlight w:val="none"/>
              </w:rPr>
              <w:t>危险废物</w:t>
            </w:r>
            <w:r>
              <w:rPr>
                <w:rFonts w:hint="default" w:ascii="Times New Roman" w:hAnsi="Times New Roman" w:cs="Times New Roman"/>
                <w:b w:val="0"/>
                <w:bCs w:val="0"/>
                <w:color w:val="auto"/>
                <w:sz w:val="24"/>
                <w:szCs w:val="24"/>
                <w:highlight w:val="none"/>
                <w:lang w:val="en-US" w:eastAsia="zh-CN"/>
              </w:rPr>
              <w:t>管理要求</w:t>
            </w:r>
          </w:p>
          <w:p w14:paraId="07DFE286">
            <w:pPr>
              <w:pStyle w:val="16"/>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kern w:val="2"/>
                <w:sz w:val="24"/>
                <w:szCs w:val="24"/>
                <w:lang w:val="en-US" w:eastAsia="zh-CN" w:bidi="ar-SA"/>
              </w:rPr>
              <w:t>（1）</w:t>
            </w:r>
            <w:r>
              <w:rPr>
                <w:rFonts w:hint="default" w:ascii="Times New Roman" w:hAnsi="Times New Roman" w:cs="Times New Roman"/>
                <w:color w:val="auto"/>
                <w:sz w:val="24"/>
                <w:szCs w:val="24"/>
                <w:highlight w:val="none"/>
              </w:rPr>
              <w:t>贮存设施应根据危险废物的形态、物理化学性质、包装形式和污染物迁移途径，采取必要的防风、防晒、防雨、防漏、防渗、防腐以及其他环境污染防治措施，不应露天堆放危险废物</w:t>
            </w:r>
            <w:r>
              <w:rPr>
                <w:rFonts w:hint="default" w:ascii="Times New Roman" w:hAnsi="Times New Roman" w:cs="Times New Roman"/>
                <w:color w:val="auto"/>
                <w:sz w:val="24"/>
                <w:szCs w:val="24"/>
                <w:highlight w:val="none"/>
                <w:lang w:eastAsia="zh-CN"/>
              </w:rPr>
              <w:t>；</w:t>
            </w:r>
          </w:p>
          <w:p w14:paraId="60AC61BB">
            <w:pPr>
              <w:pStyle w:val="16"/>
              <w:keepNext w:val="0"/>
              <w:keepLines w:val="0"/>
              <w:pageBreakBefore w:val="0"/>
              <w:widowControl w:val="0"/>
              <w:numPr>
                <w:ilvl w:val="-1"/>
                <w:numId w:val="0"/>
              </w:numPr>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贮存设施应根据危险废物的类别、数量、形态、物理化学性质和污染防治等要求设置必要的贮存分区，避免不相容的危险废物接触、混合</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 </w:t>
            </w:r>
          </w:p>
          <w:p w14:paraId="164EFAD0">
            <w:pPr>
              <w:pStyle w:val="16"/>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3</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贮存设施或贮存分区内地面、墙面裙脚、堵截泄漏的围堰、接触危险废物的隔板和墙体等应采用坚固的材料建造，表面无裂缝；</w:t>
            </w:r>
          </w:p>
          <w:p w14:paraId="4F802261">
            <w:pPr>
              <w:pStyle w:val="16"/>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4</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贮存设施地面与裙脚应采取表面防渗措施:表面防渗材料应与所接触的物料或污染物相容，可采用抗渗混凝土、高密度聚乙烯膜、钠基膨润土防水毯或其他防渗性能等效的材料。贮存的危险废物直接接触地面的，还应进行基础防渗，防渗层为至少1m厚黏土层(渗透系数不大于10</w:t>
            </w:r>
            <w:r>
              <w:rPr>
                <w:rFonts w:hint="default" w:ascii="Times New Roman" w:hAnsi="Times New Roman" w:cs="Times New Roman"/>
                <w:color w:val="auto"/>
                <w:sz w:val="24"/>
                <w:szCs w:val="24"/>
                <w:highlight w:val="none"/>
                <w:vertAlign w:val="superscript"/>
              </w:rPr>
              <w:t>-</w:t>
            </w:r>
            <w:r>
              <w:rPr>
                <w:rFonts w:hint="default" w:ascii="Times New Roman" w:hAnsi="Times New Roman" w:cs="Times New Roman"/>
                <w:color w:val="auto"/>
                <w:sz w:val="24"/>
                <w:szCs w:val="24"/>
                <w:highlight w:val="none"/>
                <w:vertAlign w:val="superscript"/>
                <w:lang w:val="en-US" w:eastAsia="zh-CN"/>
              </w:rPr>
              <w:t>7</w:t>
            </w:r>
            <w:r>
              <w:rPr>
                <w:rFonts w:hint="default" w:ascii="Times New Roman" w:hAnsi="Times New Roman" w:cs="Times New Roman"/>
                <w:color w:val="auto"/>
                <w:sz w:val="24"/>
                <w:szCs w:val="24"/>
                <w:highlight w:val="none"/>
              </w:rPr>
              <w:t>cms)，或至少2 mm厚高密度聚乙烯膜等人工防渗材料(渗透系数不大于10</w:t>
            </w:r>
            <w:r>
              <w:rPr>
                <w:rFonts w:hint="default" w:ascii="Times New Roman" w:hAnsi="Times New Roman" w:cs="Times New Roman"/>
                <w:color w:val="auto"/>
                <w:sz w:val="24"/>
                <w:szCs w:val="24"/>
                <w:highlight w:val="none"/>
                <w:vertAlign w:val="superscript"/>
              </w:rPr>
              <w:t>-10</w:t>
            </w:r>
            <w:r>
              <w:rPr>
                <w:rFonts w:hint="default" w:ascii="Times New Roman" w:hAnsi="Times New Roman" w:cs="Times New Roman"/>
                <w:color w:val="auto"/>
                <w:sz w:val="24"/>
                <w:szCs w:val="24"/>
                <w:highlight w:val="none"/>
              </w:rPr>
              <w:t>cs)，或其他防渗性能等效的材料；</w:t>
            </w:r>
          </w:p>
          <w:p w14:paraId="26514D2A">
            <w:pPr>
              <w:pStyle w:val="16"/>
              <w:adjustRightInd w:val="0"/>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5</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同一贮存设施宜采用相同的防渗、防腐工艺(包括防渗、防腐结构或材料)，防渗、防腐材料应覆盖所有可能与废物及其渗滤液、渗漏液等接触的构筑物表面:采用不同防渗、防腐工艺应分别建设贮存分区。</w:t>
            </w:r>
          </w:p>
          <w:p w14:paraId="5736CAEE">
            <w:pPr>
              <w:pStyle w:val="17"/>
              <w:adjustRightInd w:val="0"/>
              <w:snapToGrid w:val="0"/>
              <w:spacing w:line="360" w:lineRule="auto"/>
              <w:ind w:firstLine="480" w:firstLineChars="200"/>
              <w:jc w:val="both"/>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（6）贮存设施应采取技术和管理措施防止无关人员进入；</w:t>
            </w:r>
          </w:p>
          <w:p w14:paraId="24D0B49D">
            <w:pPr>
              <w:pStyle w:val="16"/>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7）在贮存库内或通过贮存分区方式贮存液态危险废物的，应具有液体泄漏堵截设施，堵截设施最小容积不应低于对应贮存区域最大液态废物容器容积或液态废物总储量1/10(二者取较大者)；用于贮存可能产生渗滤液的危险废物的贮存库或贮存分区应设计渗滤液收集设施,收集设施容积应满足渗滤液的收集要求</w:t>
            </w:r>
            <w:r>
              <w:rPr>
                <w:rFonts w:hint="default" w:ascii="Times New Roman" w:hAnsi="Times New Roman" w:cs="Times New Roman"/>
                <w:color w:val="auto"/>
                <w:sz w:val="24"/>
                <w:szCs w:val="24"/>
                <w:highlight w:val="none"/>
                <w:lang w:eastAsia="zh-CN"/>
              </w:rPr>
              <w:t>。</w:t>
            </w:r>
          </w:p>
          <w:p w14:paraId="7A83F86F">
            <w:pPr>
              <w:pStyle w:val="16"/>
              <w:adjustRightInd w:val="0"/>
              <w:snapToGrid w:val="0"/>
              <w:spacing w:line="360" w:lineRule="auto"/>
              <w:ind w:firstLine="480" w:firstLineChars="200"/>
              <w:rPr>
                <w:rFonts w:hint="default" w:ascii="Times New Roman" w:hAnsi="Times New Roman" w:cs="Times New Roman"/>
                <w:b w:val="0"/>
                <w:bCs w:val="0"/>
                <w:color w:val="auto"/>
                <w:sz w:val="24"/>
                <w:szCs w:val="24"/>
                <w:highlight w:val="none"/>
              </w:rPr>
            </w:pPr>
            <w:r>
              <w:rPr>
                <w:rFonts w:hint="default" w:ascii="Times New Roman" w:hAnsi="Times New Roman" w:cs="Times New Roman"/>
                <w:b w:val="0"/>
                <w:bCs w:val="0"/>
                <w:color w:val="auto"/>
                <w:sz w:val="24"/>
                <w:szCs w:val="24"/>
                <w:highlight w:val="none"/>
                <w:lang w:val="en-US" w:eastAsia="zh-CN"/>
              </w:rPr>
              <w:t>4.3.2</w:t>
            </w:r>
            <w:r>
              <w:rPr>
                <w:rFonts w:hint="default" w:ascii="Times New Roman" w:hAnsi="Times New Roman" w:cs="Times New Roman"/>
                <w:b w:val="0"/>
                <w:bCs w:val="0"/>
                <w:color w:val="auto"/>
                <w:sz w:val="24"/>
                <w:szCs w:val="24"/>
                <w:highlight w:val="none"/>
              </w:rPr>
              <w:t>危险废物台账要求</w:t>
            </w:r>
          </w:p>
          <w:p w14:paraId="0417BCB5">
            <w:pPr>
              <w:pStyle w:val="16"/>
              <w:adjustRightInd w:val="0"/>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 xml:space="preserve">1、产生危险废物的单位应建立危险废物管理台账，落实危险废物管理台账记录的责任人，明确工作职责，并对危险废物管理台账的真实性、准确性和完整性负法律责任。 </w:t>
            </w:r>
          </w:p>
          <w:p w14:paraId="6F304D05">
            <w:pPr>
              <w:pStyle w:val="16"/>
              <w:adjustRightInd w:val="0"/>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2、产生危险废物的单位应根据危险废物产生、贮存、利用、处置等环节的动态流向，如实建立各环节的危险废物管理台账。</w:t>
            </w:r>
          </w:p>
          <w:p w14:paraId="726C0A91">
            <w:pPr>
              <w:pStyle w:val="16"/>
              <w:adjustRightInd w:val="0"/>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3、危险废物管理台账分为电子管理台账和纸质管理台账两种形式。产生危险废物的单位可通过国家危险废物信息管理系统、企业自建信息管理系统或第三方平台等方式记录电子管理台账。</w:t>
            </w:r>
            <w:r>
              <w:rPr>
                <w:rFonts w:hint="default" w:ascii="Times New Roman" w:hAnsi="Times New Roman" w:cs="Times New Roman"/>
                <w:color w:val="auto"/>
                <w:sz w:val="24"/>
                <w:szCs w:val="24"/>
                <w:highlight w:val="none"/>
                <w:lang w:val="en-US" w:eastAsia="zh-CN"/>
              </w:rPr>
              <w:t>台账保存期限为十年</w:t>
            </w:r>
          </w:p>
          <w:p w14:paraId="7739D3A5">
            <w:pPr>
              <w:pStyle w:val="16"/>
              <w:adjustRightInd w:val="0"/>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4.</w:t>
            </w:r>
            <w:r>
              <w:rPr>
                <w:rFonts w:hint="default" w:ascii="Times New Roman" w:hAnsi="Times New Roman" w:cs="Times New Roman"/>
                <w:color w:val="auto"/>
                <w:sz w:val="24"/>
                <w:szCs w:val="24"/>
                <w:highlight w:val="none"/>
                <w:lang w:val="en-US" w:eastAsia="zh-CN"/>
              </w:rPr>
              <w:t>3</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3</w:t>
            </w:r>
            <w:r>
              <w:rPr>
                <w:rFonts w:hint="default" w:ascii="Times New Roman" w:hAnsi="Times New Roman" w:cs="Times New Roman"/>
                <w:color w:val="auto"/>
                <w:sz w:val="24"/>
                <w:szCs w:val="24"/>
                <w:highlight w:val="none"/>
              </w:rPr>
              <w:t>运输过程环境影响分析</w:t>
            </w:r>
          </w:p>
          <w:p w14:paraId="1B909357">
            <w:pPr>
              <w:pStyle w:val="16"/>
              <w:adjustRightInd w:val="0"/>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危险废物从设备产生后，直接装入专业容器内，密封后运至危险废物贮存库内暂存。要求危险废物由产生点至贮存库的运输过程，应严格按照《危险废物收集贮存运输技术规范》的要求进行。危废间位于厂区内，危险废物产生点距离危废间的最远距离不建议超过100m左右。由于装有危险废物的容器保持密封，由专用车辆运输，危险废物产生点距离危废间较近，危险废物从产生点至贮存库的运输过程不会对周边环境造成不利影响。</w:t>
            </w:r>
          </w:p>
          <w:p w14:paraId="068904C3">
            <w:pPr>
              <w:pStyle w:val="16"/>
              <w:adjustRightInd w:val="0"/>
              <w:snapToGrid w:val="0"/>
              <w:spacing w:line="360" w:lineRule="auto"/>
              <w:ind w:firstLine="480" w:firstLineChars="200"/>
              <w:rPr>
                <w:rFonts w:hint="default" w:ascii="Times New Roman" w:hAnsi="Times New Roman" w:cs="Times New Roman"/>
                <w:b w:val="0"/>
                <w:bCs w:val="0"/>
                <w:color w:val="auto"/>
                <w:sz w:val="24"/>
                <w:szCs w:val="24"/>
                <w:highlight w:val="none"/>
                <w:lang w:val="en-US" w:eastAsia="zh-CN"/>
              </w:rPr>
            </w:pPr>
            <w:r>
              <w:rPr>
                <w:rFonts w:hint="default" w:ascii="Times New Roman" w:hAnsi="Times New Roman" w:cs="Times New Roman"/>
                <w:b w:val="0"/>
                <w:bCs w:val="0"/>
                <w:color w:val="auto"/>
                <w:sz w:val="24"/>
                <w:szCs w:val="24"/>
                <w:highlight w:val="none"/>
                <w:lang w:val="en-US" w:eastAsia="zh-CN"/>
              </w:rPr>
              <w:t>4.3.4容器和包装物污染控制要求</w:t>
            </w:r>
          </w:p>
          <w:p w14:paraId="5AD36C80">
            <w:pPr>
              <w:pStyle w:val="16"/>
              <w:numPr>
                <w:ilvl w:val="0"/>
                <w:numId w:val="5"/>
              </w:numPr>
              <w:adjustRightInd w:val="0"/>
              <w:snapToGrid w:val="0"/>
              <w:spacing w:line="360" w:lineRule="auto"/>
              <w:ind w:firstLine="480" w:firstLineChars="200"/>
              <w:rPr>
                <w:rFonts w:hint="default" w:ascii="Times New Roman" w:hAnsi="Times New Roman" w:cs="Times New Roman"/>
                <w:b w:val="0"/>
                <w:bCs w:val="0"/>
                <w:color w:val="auto"/>
                <w:sz w:val="24"/>
                <w:szCs w:val="24"/>
                <w:highlight w:val="none"/>
                <w:lang w:val="en-US" w:eastAsia="zh-CN"/>
              </w:rPr>
            </w:pPr>
            <w:r>
              <w:rPr>
                <w:rFonts w:hint="default" w:ascii="Times New Roman" w:hAnsi="Times New Roman" w:cs="Times New Roman"/>
                <w:b w:val="0"/>
                <w:bCs w:val="0"/>
                <w:color w:val="auto"/>
                <w:sz w:val="24"/>
                <w:szCs w:val="24"/>
                <w:highlight w:val="none"/>
                <w:lang w:val="en-US" w:eastAsia="zh-CN"/>
              </w:rPr>
              <w:t>容器和包装物材质、内衬应与盛装的危险废物相容；</w:t>
            </w:r>
          </w:p>
          <w:p w14:paraId="688F03BD">
            <w:pPr>
              <w:pStyle w:val="16"/>
              <w:numPr>
                <w:ilvl w:val="0"/>
                <w:numId w:val="5"/>
              </w:numPr>
              <w:adjustRightInd w:val="0"/>
              <w:snapToGrid w:val="0"/>
              <w:spacing w:line="360" w:lineRule="auto"/>
              <w:ind w:firstLine="480" w:firstLineChars="200"/>
              <w:rPr>
                <w:rFonts w:hint="default" w:ascii="Times New Roman" w:hAnsi="Times New Roman" w:cs="Times New Roman"/>
                <w:b w:val="0"/>
                <w:bCs w:val="0"/>
                <w:color w:val="auto"/>
                <w:sz w:val="24"/>
                <w:szCs w:val="24"/>
                <w:highlight w:val="none"/>
                <w:lang w:val="en-US" w:eastAsia="zh-CN"/>
              </w:rPr>
            </w:pPr>
            <w:r>
              <w:rPr>
                <w:rFonts w:hint="default" w:ascii="Times New Roman" w:hAnsi="Times New Roman" w:cs="Times New Roman"/>
                <w:b w:val="0"/>
                <w:bCs w:val="0"/>
                <w:color w:val="auto"/>
                <w:sz w:val="24"/>
                <w:szCs w:val="24"/>
                <w:highlight w:val="none"/>
                <w:lang w:val="en-US" w:eastAsia="zh-CN"/>
              </w:rPr>
              <w:t>针对不同类别、形态、物理化学性质的危险废物，其容器和包装物应满足相应的防渗、防漏、防腐和强度等要求；</w:t>
            </w:r>
          </w:p>
          <w:p w14:paraId="4894E944">
            <w:pPr>
              <w:pStyle w:val="16"/>
              <w:numPr>
                <w:ilvl w:val="0"/>
                <w:numId w:val="5"/>
              </w:numPr>
              <w:adjustRightInd w:val="0"/>
              <w:snapToGrid w:val="0"/>
              <w:spacing w:line="360" w:lineRule="auto"/>
              <w:ind w:firstLine="480" w:firstLineChars="200"/>
              <w:rPr>
                <w:rFonts w:hint="default" w:ascii="Times New Roman" w:hAnsi="Times New Roman" w:cs="Times New Roman"/>
                <w:b w:val="0"/>
                <w:bCs w:val="0"/>
                <w:color w:val="auto"/>
                <w:sz w:val="24"/>
                <w:szCs w:val="24"/>
                <w:highlight w:val="none"/>
                <w:lang w:val="en-US" w:eastAsia="zh-CN"/>
              </w:rPr>
            </w:pPr>
            <w:r>
              <w:rPr>
                <w:rFonts w:hint="default" w:ascii="Times New Roman" w:hAnsi="Times New Roman" w:cs="Times New Roman"/>
                <w:b w:val="0"/>
                <w:bCs w:val="0"/>
                <w:color w:val="auto"/>
                <w:sz w:val="24"/>
                <w:szCs w:val="24"/>
                <w:highlight w:val="none"/>
                <w:lang w:val="en-US" w:eastAsia="zh-CN"/>
              </w:rPr>
              <w:t>硬质容器和包装物及其支护结构堆叠码放时不应有明显变形，无破损泄漏；</w:t>
            </w:r>
          </w:p>
          <w:p w14:paraId="3A9C812F">
            <w:pPr>
              <w:pStyle w:val="16"/>
              <w:numPr>
                <w:ilvl w:val="0"/>
                <w:numId w:val="5"/>
              </w:numPr>
              <w:adjustRightInd w:val="0"/>
              <w:snapToGrid w:val="0"/>
              <w:spacing w:line="360" w:lineRule="auto"/>
              <w:ind w:firstLine="480" w:firstLineChars="200"/>
              <w:rPr>
                <w:rFonts w:hint="default" w:ascii="Times New Roman" w:hAnsi="Times New Roman" w:cs="Times New Roman"/>
                <w:b w:val="0"/>
                <w:bCs w:val="0"/>
                <w:color w:val="auto"/>
                <w:sz w:val="24"/>
                <w:szCs w:val="24"/>
                <w:highlight w:val="none"/>
                <w:lang w:val="en-US" w:eastAsia="zh-CN"/>
              </w:rPr>
            </w:pPr>
            <w:r>
              <w:rPr>
                <w:rFonts w:hint="default" w:ascii="Times New Roman" w:hAnsi="Times New Roman" w:cs="Times New Roman"/>
                <w:b w:val="0"/>
                <w:bCs w:val="0"/>
                <w:color w:val="auto"/>
                <w:sz w:val="24"/>
                <w:szCs w:val="24"/>
                <w:highlight w:val="none"/>
                <w:lang w:val="en-US" w:eastAsia="zh-CN"/>
              </w:rPr>
              <w:t>使用容器盛装液态、半固态危险废物时，容器内部应留有适当的空间，以适应因温度变化等可能引发的收缩和膨胀，防止其导致容器渗漏或永久变形；</w:t>
            </w:r>
          </w:p>
          <w:p w14:paraId="78660354">
            <w:pPr>
              <w:pStyle w:val="16"/>
              <w:numPr>
                <w:ilvl w:val="0"/>
                <w:numId w:val="5"/>
              </w:numPr>
              <w:adjustRightInd w:val="0"/>
              <w:snapToGrid w:val="0"/>
              <w:spacing w:line="360" w:lineRule="auto"/>
              <w:ind w:firstLine="480" w:firstLineChars="200"/>
              <w:rPr>
                <w:rFonts w:hint="default" w:ascii="Times New Roman" w:hAnsi="Times New Roman" w:cs="Times New Roman"/>
                <w:b w:val="0"/>
                <w:bCs w:val="0"/>
                <w:color w:val="auto"/>
                <w:sz w:val="24"/>
                <w:szCs w:val="24"/>
                <w:highlight w:val="none"/>
                <w:lang w:val="en-US" w:eastAsia="zh-CN"/>
              </w:rPr>
            </w:pPr>
            <w:r>
              <w:rPr>
                <w:rFonts w:hint="default" w:ascii="Times New Roman" w:hAnsi="Times New Roman" w:cs="Times New Roman"/>
                <w:b w:val="0"/>
                <w:bCs w:val="0"/>
                <w:color w:val="auto"/>
                <w:sz w:val="24"/>
                <w:szCs w:val="24"/>
                <w:highlight w:val="none"/>
                <w:lang w:val="en-US" w:eastAsia="zh-CN"/>
              </w:rPr>
              <w:t>容器和包装物外表面应保持清洁。</w:t>
            </w:r>
          </w:p>
          <w:p w14:paraId="75EC8A2B">
            <w:pPr>
              <w:pStyle w:val="16"/>
              <w:adjustRightInd w:val="0"/>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4.</w:t>
            </w:r>
            <w:r>
              <w:rPr>
                <w:rFonts w:hint="default" w:ascii="Times New Roman" w:hAnsi="Times New Roman" w:cs="Times New Roman"/>
                <w:color w:val="auto"/>
                <w:sz w:val="24"/>
                <w:szCs w:val="24"/>
                <w:highlight w:val="none"/>
                <w:lang w:val="en-US" w:eastAsia="zh-CN"/>
              </w:rPr>
              <w:t>3</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5</w:t>
            </w:r>
            <w:r>
              <w:rPr>
                <w:rFonts w:hint="default" w:ascii="Times New Roman" w:hAnsi="Times New Roman" w:cs="Times New Roman"/>
                <w:color w:val="auto"/>
                <w:sz w:val="24"/>
                <w:szCs w:val="24"/>
                <w:highlight w:val="none"/>
              </w:rPr>
              <w:t>危废暂存间建设可行性分析</w:t>
            </w:r>
          </w:p>
          <w:p w14:paraId="3E4DF6B0">
            <w:pPr>
              <w:pStyle w:val="103"/>
              <w:spacing w:line="240" w:lineRule="auto"/>
              <w:rPr>
                <w:rFonts w:hint="default" w:ascii="Times New Roman" w:hAnsi="Times New Roman" w:cs="Times New Roman"/>
                <w:bCs/>
                <w:color w:val="auto"/>
                <w:sz w:val="24"/>
                <w:highlight w:val="none"/>
              </w:rPr>
            </w:pPr>
            <w:r>
              <w:rPr>
                <w:rFonts w:hint="default" w:ascii="Times New Roman" w:hAnsi="Times New Roman" w:cs="Times New Roman"/>
                <w:bCs/>
                <w:color w:val="auto"/>
                <w:sz w:val="24"/>
                <w:highlight w:val="none"/>
              </w:rPr>
              <w:t>表4-</w:t>
            </w:r>
            <w:r>
              <w:rPr>
                <w:rFonts w:hint="default" w:ascii="Times New Roman" w:hAnsi="Times New Roman" w:cs="Times New Roman"/>
                <w:bCs/>
                <w:color w:val="auto"/>
                <w:sz w:val="24"/>
                <w:highlight w:val="none"/>
                <w:lang w:val="en-US" w:eastAsia="zh-CN"/>
              </w:rPr>
              <w:t>1</w:t>
            </w:r>
            <w:r>
              <w:rPr>
                <w:rFonts w:hint="eastAsia" w:cs="Times New Roman"/>
                <w:bCs/>
                <w:color w:val="auto"/>
                <w:sz w:val="24"/>
                <w:highlight w:val="none"/>
                <w:lang w:val="en-US" w:eastAsia="zh-CN"/>
              </w:rPr>
              <w:t>3</w:t>
            </w:r>
            <w:r>
              <w:rPr>
                <w:rFonts w:hint="default" w:ascii="Times New Roman" w:hAnsi="Times New Roman" w:cs="Times New Roman"/>
                <w:bCs/>
                <w:color w:val="auto"/>
                <w:sz w:val="24"/>
                <w:highlight w:val="none"/>
              </w:rPr>
              <w:t xml:space="preserve">  危险废物贮存情况表</w:t>
            </w:r>
          </w:p>
          <w:tbl>
            <w:tblPr>
              <w:tblStyle w:val="3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2"/>
              <w:gridCol w:w="886"/>
              <w:gridCol w:w="1293"/>
              <w:gridCol w:w="1000"/>
              <w:gridCol w:w="1250"/>
              <w:gridCol w:w="683"/>
              <w:gridCol w:w="751"/>
              <w:gridCol w:w="685"/>
              <w:gridCol w:w="783"/>
              <w:gridCol w:w="681"/>
            </w:tblGrid>
            <w:tr w14:paraId="16F48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7" w:type="pct"/>
                  <w:vAlign w:val="center"/>
                </w:tcPr>
                <w:p w14:paraId="128BFD4F">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序号</w:t>
                  </w:r>
                </w:p>
              </w:tc>
              <w:tc>
                <w:tcPr>
                  <w:tcW w:w="523" w:type="pct"/>
                  <w:vAlign w:val="center"/>
                </w:tcPr>
                <w:p w14:paraId="7F89D5EE">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贮存场所名称</w:t>
                  </w:r>
                </w:p>
              </w:tc>
              <w:tc>
                <w:tcPr>
                  <w:tcW w:w="763" w:type="pct"/>
                  <w:vAlign w:val="center"/>
                </w:tcPr>
                <w:p w14:paraId="082D8705">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危险废物名称</w:t>
                  </w:r>
                </w:p>
              </w:tc>
              <w:tc>
                <w:tcPr>
                  <w:tcW w:w="590" w:type="pct"/>
                  <w:vAlign w:val="center"/>
                </w:tcPr>
                <w:p w14:paraId="48266BDD">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危险废物类别</w:t>
                  </w:r>
                </w:p>
              </w:tc>
              <w:tc>
                <w:tcPr>
                  <w:tcW w:w="738" w:type="pct"/>
                  <w:vAlign w:val="center"/>
                </w:tcPr>
                <w:p w14:paraId="7869220C">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危险废物代码</w:t>
                  </w:r>
                </w:p>
              </w:tc>
              <w:tc>
                <w:tcPr>
                  <w:tcW w:w="403" w:type="pct"/>
                  <w:vAlign w:val="center"/>
                </w:tcPr>
                <w:p w14:paraId="15120975">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位置</w:t>
                  </w:r>
                </w:p>
              </w:tc>
              <w:tc>
                <w:tcPr>
                  <w:tcW w:w="443" w:type="pct"/>
                  <w:vAlign w:val="center"/>
                </w:tcPr>
                <w:p w14:paraId="160AB192">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占地面积</w:t>
                  </w:r>
                </w:p>
              </w:tc>
              <w:tc>
                <w:tcPr>
                  <w:tcW w:w="404" w:type="pct"/>
                  <w:vAlign w:val="center"/>
                </w:tcPr>
                <w:p w14:paraId="73208223">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贮存方式</w:t>
                  </w:r>
                </w:p>
              </w:tc>
              <w:tc>
                <w:tcPr>
                  <w:tcW w:w="462" w:type="pct"/>
                  <w:vAlign w:val="center"/>
                </w:tcPr>
                <w:p w14:paraId="7AD6109D">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贮存</w:t>
                  </w:r>
                </w:p>
                <w:p w14:paraId="7436FFF6">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能力</w:t>
                  </w:r>
                </w:p>
              </w:tc>
              <w:tc>
                <w:tcPr>
                  <w:tcW w:w="402" w:type="pct"/>
                  <w:vAlign w:val="center"/>
                </w:tcPr>
                <w:p w14:paraId="5B81D9C3">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贮存</w:t>
                  </w:r>
                </w:p>
                <w:p w14:paraId="39144DA4">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周期</w:t>
                  </w:r>
                </w:p>
              </w:tc>
            </w:tr>
            <w:tr w14:paraId="322E9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 w:hRule="atLeast"/>
                <w:jc w:val="center"/>
              </w:trPr>
              <w:tc>
                <w:tcPr>
                  <w:tcW w:w="267" w:type="pct"/>
                  <w:vAlign w:val="center"/>
                </w:tcPr>
                <w:p w14:paraId="5B187B39">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p>
              </w:tc>
              <w:tc>
                <w:tcPr>
                  <w:tcW w:w="523" w:type="pct"/>
                  <w:vMerge w:val="restart"/>
                  <w:vAlign w:val="center"/>
                </w:tcPr>
                <w:p w14:paraId="63B0AD2C">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危废暂存间</w:t>
                  </w:r>
                </w:p>
              </w:tc>
              <w:tc>
                <w:tcPr>
                  <w:tcW w:w="763" w:type="pct"/>
                  <w:vAlign w:val="center"/>
                </w:tcPr>
                <w:p w14:paraId="29673A33">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油泥</w:t>
                  </w:r>
                </w:p>
              </w:tc>
              <w:tc>
                <w:tcPr>
                  <w:tcW w:w="590" w:type="pct"/>
                  <w:vAlign w:val="center"/>
                </w:tcPr>
                <w:p w14:paraId="3341C725">
                  <w:pPr>
                    <w:pStyle w:val="106"/>
                    <w:pageBreakBefore w:val="0"/>
                    <w:widowControl w:val="0"/>
                    <w:kinsoku/>
                    <w:wordWrap/>
                    <w:overflowPunct/>
                    <w:topLinePunct w:val="0"/>
                    <w:autoSpaceDE/>
                    <w:autoSpaceDN/>
                    <w:bidi w:val="0"/>
                    <w:spacing w:line="240" w:lineRule="auto"/>
                    <w:ind w:firstLine="0" w:firstLineChars="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HW08</w:t>
                  </w:r>
                </w:p>
              </w:tc>
              <w:tc>
                <w:tcPr>
                  <w:tcW w:w="738" w:type="pct"/>
                  <w:vAlign w:val="center"/>
                </w:tcPr>
                <w:p w14:paraId="5F3EE767">
                  <w:pPr>
                    <w:pStyle w:val="106"/>
                    <w:pageBreakBefore w:val="0"/>
                    <w:widowControl w:val="0"/>
                    <w:kinsoku/>
                    <w:wordWrap/>
                    <w:overflowPunct/>
                    <w:topLinePunct w:val="0"/>
                    <w:autoSpaceDE/>
                    <w:autoSpaceDN/>
                    <w:bidi w:val="0"/>
                    <w:spacing w:line="240" w:lineRule="auto"/>
                    <w:ind w:firstLine="0" w:firstLineChars="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900-249-08</w:t>
                  </w:r>
                </w:p>
              </w:tc>
              <w:tc>
                <w:tcPr>
                  <w:tcW w:w="403" w:type="pct"/>
                  <w:vMerge w:val="restart"/>
                  <w:vAlign w:val="center"/>
                </w:tcPr>
                <w:p w14:paraId="6AA09183">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厂区西北角危废间</w:t>
                  </w:r>
                </w:p>
              </w:tc>
              <w:tc>
                <w:tcPr>
                  <w:tcW w:w="443" w:type="pct"/>
                  <w:vMerge w:val="restart"/>
                  <w:vAlign w:val="center"/>
                </w:tcPr>
                <w:p w14:paraId="4138EDEF">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6m</w:t>
                  </w:r>
                  <w:r>
                    <w:rPr>
                      <w:rFonts w:hint="default" w:ascii="Times New Roman" w:hAnsi="Times New Roman" w:cs="Times New Roman"/>
                      <w:color w:val="auto"/>
                      <w:sz w:val="21"/>
                      <w:szCs w:val="21"/>
                      <w:highlight w:val="none"/>
                      <w:vertAlign w:val="superscript"/>
                      <w:lang w:val="en-US" w:eastAsia="zh-CN"/>
                    </w:rPr>
                    <w:t>2</w:t>
                  </w:r>
                </w:p>
              </w:tc>
              <w:tc>
                <w:tcPr>
                  <w:tcW w:w="404" w:type="pct"/>
                  <w:vAlign w:val="center"/>
                </w:tcPr>
                <w:p w14:paraId="5F48205B">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桶装</w:t>
                  </w:r>
                </w:p>
              </w:tc>
              <w:tc>
                <w:tcPr>
                  <w:tcW w:w="462" w:type="pct"/>
                  <w:vMerge w:val="restart"/>
                  <w:vAlign w:val="center"/>
                </w:tcPr>
                <w:p w14:paraId="2DB8DF6A">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5t</w:t>
                  </w:r>
                </w:p>
              </w:tc>
              <w:tc>
                <w:tcPr>
                  <w:tcW w:w="402" w:type="pct"/>
                  <w:vMerge w:val="restart"/>
                  <w:vAlign w:val="center"/>
                </w:tcPr>
                <w:p w14:paraId="4FC7C0EB">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0.5</w:t>
                  </w:r>
                  <w:r>
                    <w:rPr>
                      <w:rFonts w:hint="default" w:ascii="Times New Roman" w:hAnsi="Times New Roman" w:cs="Times New Roman"/>
                      <w:color w:val="auto"/>
                      <w:sz w:val="21"/>
                      <w:szCs w:val="21"/>
                      <w:highlight w:val="none"/>
                    </w:rPr>
                    <w:t>年</w:t>
                  </w:r>
                </w:p>
              </w:tc>
            </w:tr>
            <w:tr w14:paraId="5B32C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67" w:type="pct"/>
                  <w:vAlign w:val="center"/>
                </w:tcPr>
                <w:p w14:paraId="02B0962F">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2"/>
                      <w:sz w:val="21"/>
                      <w:szCs w:val="21"/>
                      <w:highlight w:val="none"/>
                      <w:lang w:val="en-US" w:eastAsia="zh-CN" w:bidi="ar-SA"/>
                    </w:rPr>
                    <w:t>2</w:t>
                  </w:r>
                </w:p>
              </w:tc>
              <w:tc>
                <w:tcPr>
                  <w:tcW w:w="523" w:type="pct"/>
                  <w:vMerge w:val="continue"/>
                  <w:vAlign w:val="center"/>
                </w:tcPr>
                <w:p w14:paraId="6EC2079B">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rPr>
                  </w:pPr>
                </w:p>
              </w:tc>
              <w:tc>
                <w:tcPr>
                  <w:tcW w:w="763" w:type="pct"/>
                  <w:vAlign w:val="center"/>
                </w:tcPr>
                <w:p w14:paraId="2A1D20FA">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废渣</w:t>
                  </w:r>
                </w:p>
              </w:tc>
              <w:tc>
                <w:tcPr>
                  <w:tcW w:w="590" w:type="pct"/>
                  <w:vAlign w:val="center"/>
                </w:tcPr>
                <w:p w14:paraId="5114CD37">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HW34</w:t>
                  </w:r>
                </w:p>
              </w:tc>
              <w:tc>
                <w:tcPr>
                  <w:tcW w:w="738" w:type="pct"/>
                  <w:vAlign w:val="center"/>
                </w:tcPr>
                <w:p w14:paraId="18C0C782">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900-349-34</w:t>
                  </w:r>
                </w:p>
              </w:tc>
              <w:tc>
                <w:tcPr>
                  <w:tcW w:w="403" w:type="pct"/>
                  <w:vMerge w:val="continue"/>
                  <w:vAlign w:val="center"/>
                </w:tcPr>
                <w:p w14:paraId="581B8131">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43" w:type="pct"/>
                  <w:vMerge w:val="continue"/>
                  <w:vAlign w:val="center"/>
                </w:tcPr>
                <w:p w14:paraId="4E50DC6D">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04" w:type="pct"/>
                  <w:vAlign w:val="center"/>
                </w:tcPr>
                <w:p w14:paraId="4D2549FF">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桶装</w:t>
                  </w:r>
                </w:p>
              </w:tc>
              <w:tc>
                <w:tcPr>
                  <w:tcW w:w="462" w:type="pct"/>
                  <w:vMerge w:val="continue"/>
                  <w:vAlign w:val="center"/>
                </w:tcPr>
                <w:p w14:paraId="1F17069E">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02" w:type="pct"/>
                  <w:vMerge w:val="continue"/>
                  <w:vAlign w:val="center"/>
                </w:tcPr>
                <w:p w14:paraId="5B82CBB1">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r>
            <w:tr w14:paraId="67480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67" w:type="pct"/>
                  <w:vAlign w:val="center"/>
                </w:tcPr>
                <w:p w14:paraId="3FAB1C88">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2"/>
                      <w:sz w:val="21"/>
                      <w:szCs w:val="21"/>
                      <w:highlight w:val="none"/>
                      <w:lang w:val="en-US" w:eastAsia="zh-CN" w:bidi="ar-SA"/>
                    </w:rPr>
                    <w:t>3</w:t>
                  </w:r>
                </w:p>
              </w:tc>
              <w:tc>
                <w:tcPr>
                  <w:tcW w:w="523" w:type="pct"/>
                  <w:vMerge w:val="continue"/>
                  <w:vAlign w:val="center"/>
                </w:tcPr>
                <w:p w14:paraId="087835E1">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rPr>
                  </w:pPr>
                </w:p>
              </w:tc>
              <w:tc>
                <w:tcPr>
                  <w:tcW w:w="763" w:type="pct"/>
                  <w:vAlign w:val="center"/>
                </w:tcPr>
                <w:p w14:paraId="3BC8872F">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片碱包装袋</w:t>
                  </w:r>
                </w:p>
              </w:tc>
              <w:tc>
                <w:tcPr>
                  <w:tcW w:w="590" w:type="pct"/>
                  <w:vAlign w:val="center"/>
                </w:tcPr>
                <w:p w14:paraId="6CDD918B">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HW49</w:t>
                  </w:r>
                </w:p>
              </w:tc>
              <w:tc>
                <w:tcPr>
                  <w:tcW w:w="738" w:type="pct"/>
                  <w:vAlign w:val="center"/>
                </w:tcPr>
                <w:p w14:paraId="2DF28C92">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900-041-49</w:t>
                  </w:r>
                </w:p>
              </w:tc>
              <w:tc>
                <w:tcPr>
                  <w:tcW w:w="403" w:type="pct"/>
                  <w:vMerge w:val="continue"/>
                  <w:vAlign w:val="center"/>
                </w:tcPr>
                <w:p w14:paraId="71612B33">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43" w:type="pct"/>
                  <w:vMerge w:val="continue"/>
                  <w:vAlign w:val="center"/>
                </w:tcPr>
                <w:p w14:paraId="36158057">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04" w:type="pct"/>
                  <w:vAlign w:val="center"/>
                </w:tcPr>
                <w:p w14:paraId="0DBEEEE3">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袋装</w:t>
                  </w:r>
                </w:p>
              </w:tc>
              <w:tc>
                <w:tcPr>
                  <w:tcW w:w="462" w:type="pct"/>
                  <w:vMerge w:val="continue"/>
                  <w:vAlign w:val="center"/>
                </w:tcPr>
                <w:p w14:paraId="4D15EC59">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02" w:type="pct"/>
                  <w:vMerge w:val="continue"/>
                  <w:vAlign w:val="center"/>
                </w:tcPr>
                <w:p w14:paraId="7858DB64">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r>
            <w:tr w14:paraId="3526B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67" w:type="pct"/>
                  <w:vAlign w:val="center"/>
                </w:tcPr>
                <w:p w14:paraId="5B186661">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4</w:t>
                  </w:r>
                </w:p>
              </w:tc>
              <w:tc>
                <w:tcPr>
                  <w:tcW w:w="523" w:type="pct"/>
                  <w:vMerge w:val="continue"/>
                  <w:vAlign w:val="center"/>
                </w:tcPr>
                <w:p w14:paraId="034822BE">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rPr>
                  </w:pPr>
                </w:p>
              </w:tc>
              <w:tc>
                <w:tcPr>
                  <w:tcW w:w="763" w:type="pct"/>
                  <w:vAlign w:val="center"/>
                </w:tcPr>
                <w:p w14:paraId="1564DB26">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盐酸废包装瓶</w:t>
                  </w:r>
                </w:p>
              </w:tc>
              <w:tc>
                <w:tcPr>
                  <w:tcW w:w="590" w:type="pct"/>
                  <w:vAlign w:val="center"/>
                </w:tcPr>
                <w:p w14:paraId="7C0C8077">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HW49</w:t>
                  </w:r>
                </w:p>
              </w:tc>
              <w:tc>
                <w:tcPr>
                  <w:tcW w:w="738" w:type="pct"/>
                  <w:vAlign w:val="center"/>
                </w:tcPr>
                <w:p w14:paraId="5612D8D5">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900-041-49</w:t>
                  </w:r>
                </w:p>
              </w:tc>
              <w:tc>
                <w:tcPr>
                  <w:tcW w:w="403" w:type="pct"/>
                  <w:vMerge w:val="continue"/>
                  <w:vAlign w:val="center"/>
                </w:tcPr>
                <w:p w14:paraId="00916A18">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43" w:type="pct"/>
                  <w:vMerge w:val="continue"/>
                  <w:vAlign w:val="center"/>
                </w:tcPr>
                <w:p w14:paraId="5AD62A1A">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04" w:type="pct"/>
                  <w:vAlign w:val="center"/>
                </w:tcPr>
                <w:p w14:paraId="6B0ACD99">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袋装</w:t>
                  </w:r>
                </w:p>
              </w:tc>
              <w:tc>
                <w:tcPr>
                  <w:tcW w:w="462" w:type="pct"/>
                  <w:vMerge w:val="continue"/>
                  <w:vAlign w:val="center"/>
                </w:tcPr>
                <w:p w14:paraId="57AB7DAB">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02" w:type="pct"/>
                  <w:vMerge w:val="continue"/>
                  <w:vAlign w:val="center"/>
                </w:tcPr>
                <w:p w14:paraId="4AE3CA86">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r>
            <w:tr w14:paraId="4A05F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67" w:type="pct"/>
                  <w:vAlign w:val="center"/>
                </w:tcPr>
                <w:p w14:paraId="655FE956">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5</w:t>
                  </w:r>
                </w:p>
              </w:tc>
              <w:tc>
                <w:tcPr>
                  <w:tcW w:w="523" w:type="pct"/>
                  <w:vMerge w:val="continue"/>
                  <w:vAlign w:val="center"/>
                </w:tcPr>
                <w:p w14:paraId="38488DC0">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rPr>
                  </w:pPr>
                </w:p>
              </w:tc>
              <w:tc>
                <w:tcPr>
                  <w:tcW w:w="763" w:type="pct"/>
                  <w:vAlign w:val="center"/>
                </w:tcPr>
                <w:p w14:paraId="48DA493B">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废油桶</w:t>
                  </w:r>
                </w:p>
              </w:tc>
              <w:tc>
                <w:tcPr>
                  <w:tcW w:w="590" w:type="pct"/>
                  <w:vAlign w:val="center"/>
                </w:tcPr>
                <w:p w14:paraId="6018623D">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HW49</w:t>
                  </w:r>
                </w:p>
              </w:tc>
              <w:tc>
                <w:tcPr>
                  <w:tcW w:w="738" w:type="pct"/>
                  <w:vAlign w:val="center"/>
                </w:tcPr>
                <w:p w14:paraId="2A1F3A93">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900-041-49</w:t>
                  </w:r>
                </w:p>
              </w:tc>
              <w:tc>
                <w:tcPr>
                  <w:tcW w:w="403" w:type="pct"/>
                  <w:vMerge w:val="continue"/>
                  <w:vAlign w:val="center"/>
                </w:tcPr>
                <w:p w14:paraId="69EF9131">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43" w:type="pct"/>
                  <w:vMerge w:val="continue"/>
                  <w:vAlign w:val="center"/>
                </w:tcPr>
                <w:p w14:paraId="11AD193C">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04" w:type="pct"/>
                  <w:vAlign w:val="center"/>
                </w:tcPr>
                <w:p w14:paraId="320CE4FA">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462" w:type="pct"/>
                  <w:vMerge w:val="continue"/>
                  <w:vAlign w:val="center"/>
                </w:tcPr>
                <w:p w14:paraId="19EFCF36">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02" w:type="pct"/>
                  <w:vMerge w:val="continue"/>
                  <w:vAlign w:val="center"/>
                </w:tcPr>
                <w:p w14:paraId="5C252377">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r>
            <w:tr w14:paraId="08A9E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67" w:type="pct"/>
                  <w:vAlign w:val="center"/>
                </w:tcPr>
                <w:p w14:paraId="557A3B40">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6</w:t>
                  </w:r>
                </w:p>
              </w:tc>
              <w:tc>
                <w:tcPr>
                  <w:tcW w:w="523" w:type="pct"/>
                  <w:vMerge w:val="continue"/>
                  <w:vAlign w:val="center"/>
                </w:tcPr>
                <w:p w14:paraId="314BBDD7">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rPr>
                  </w:pPr>
                </w:p>
              </w:tc>
              <w:tc>
                <w:tcPr>
                  <w:tcW w:w="763" w:type="pct"/>
                  <w:vAlign w:val="center"/>
                </w:tcPr>
                <w:p w14:paraId="5A5A6043">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废切削液桶</w:t>
                  </w:r>
                </w:p>
              </w:tc>
              <w:tc>
                <w:tcPr>
                  <w:tcW w:w="590" w:type="pct"/>
                  <w:vAlign w:val="center"/>
                </w:tcPr>
                <w:p w14:paraId="3C82641A">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HW49</w:t>
                  </w:r>
                </w:p>
              </w:tc>
              <w:tc>
                <w:tcPr>
                  <w:tcW w:w="738" w:type="pct"/>
                  <w:vAlign w:val="center"/>
                </w:tcPr>
                <w:p w14:paraId="1A8A82F9">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900-041-49</w:t>
                  </w:r>
                </w:p>
              </w:tc>
              <w:tc>
                <w:tcPr>
                  <w:tcW w:w="403" w:type="pct"/>
                  <w:vMerge w:val="continue"/>
                  <w:vAlign w:val="center"/>
                </w:tcPr>
                <w:p w14:paraId="14CE54C0">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43" w:type="pct"/>
                  <w:vMerge w:val="continue"/>
                  <w:vAlign w:val="center"/>
                </w:tcPr>
                <w:p w14:paraId="2E99FF25">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04" w:type="pct"/>
                  <w:vAlign w:val="center"/>
                </w:tcPr>
                <w:p w14:paraId="03193579">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462" w:type="pct"/>
                  <w:vMerge w:val="continue"/>
                  <w:vAlign w:val="center"/>
                </w:tcPr>
                <w:p w14:paraId="1AE7FF3B">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02" w:type="pct"/>
                  <w:vMerge w:val="continue"/>
                  <w:vAlign w:val="center"/>
                </w:tcPr>
                <w:p w14:paraId="1AA124F4">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r>
            <w:tr w14:paraId="2707B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67" w:type="pct"/>
                  <w:vAlign w:val="center"/>
                </w:tcPr>
                <w:p w14:paraId="72F528AD">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7</w:t>
                  </w:r>
                </w:p>
              </w:tc>
              <w:tc>
                <w:tcPr>
                  <w:tcW w:w="523" w:type="pct"/>
                  <w:vMerge w:val="continue"/>
                  <w:vAlign w:val="center"/>
                </w:tcPr>
                <w:p w14:paraId="7294C76F">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rPr>
                  </w:pPr>
                </w:p>
              </w:tc>
              <w:tc>
                <w:tcPr>
                  <w:tcW w:w="763" w:type="pct"/>
                  <w:vAlign w:val="center"/>
                </w:tcPr>
                <w:p w14:paraId="2F9E26BE">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废切削液</w:t>
                  </w:r>
                </w:p>
              </w:tc>
              <w:tc>
                <w:tcPr>
                  <w:tcW w:w="590" w:type="pct"/>
                  <w:vAlign w:val="center"/>
                </w:tcPr>
                <w:p w14:paraId="1E1E0BCC">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HW09</w:t>
                  </w:r>
                </w:p>
              </w:tc>
              <w:tc>
                <w:tcPr>
                  <w:tcW w:w="738" w:type="pct"/>
                  <w:vAlign w:val="center"/>
                </w:tcPr>
                <w:p w14:paraId="704AED36">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900-006-09</w:t>
                  </w:r>
                </w:p>
              </w:tc>
              <w:tc>
                <w:tcPr>
                  <w:tcW w:w="403" w:type="pct"/>
                  <w:vMerge w:val="continue"/>
                  <w:vAlign w:val="center"/>
                </w:tcPr>
                <w:p w14:paraId="6772D61C">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43" w:type="pct"/>
                  <w:vMerge w:val="continue"/>
                  <w:vAlign w:val="center"/>
                </w:tcPr>
                <w:p w14:paraId="16A86C33">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04" w:type="pct"/>
                  <w:vAlign w:val="center"/>
                </w:tcPr>
                <w:p w14:paraId="665F9A5E">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桶装</w:t>
                  </w:r>
                </w:p>
              </w:tc>
              <w:tc>
                <w:tcPr>
                  <w:tcW w:w="462" w:type="pct"/>
                  <w:vMerge w:val="continue"/>
                  <w:vAlign w:val="center"/>
                </w:tcPr>
                <w:p w14:paraId="66170EC4">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02" w:type="pct"/>
                  <w:vMerge w:val="continue"/>
                  <w:vAlign w:val="center"/>
                </w:tcPr>
                <w:p w14:paraId="35440F61">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r>
            <w:tr w14:paraId="4DDFA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67" w:type="pct"/>
                  <w:vAlign w:val="center"/>
                </w:tcPr>
                <w:p w14:paraId="66D6D70C">
                  <w:pPr>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8</w:t>
                  </w:r>
                </w:p>
              </w:tc>
              <w:tc>
                <w:tcPr>
                  <w:tcW w:w="523" w:type="pct"/>
                  <w:vMerge w:val="continue"/>
                  <w:vAlign w:val="center"/>
                </w:tcPr>
                <w:p w14:paraId="6EDFCE11">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rPr>
                  </w:pPr>
                </w:p>
              </w:tc>
              <w:tc>
                <w:tcPr>
                  <w:tcW w:w="763" w:type="pct"/>
                  <w:vAlign w:val="center"/>
                </w:tcPr>
                <w:p w14:paraId="316628A0">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含切削液金属屑</w:t>
                  </w:r>
                </w:p>
              </w:tc>
              <w:tc>
                <w:tcPr>
                  <w:tcW w:w="590" w:type="pct"/>
                  <w:vAlign w:val="center"/>
                </w:tcPr>
                <w:p w14:paraId="0DE5D02E">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lang w:val="en-US"/>
                    </w:rPr>
                  </w:pPr>
                  <w:r>
                    <w:rPr>
                      <w:rFonts w:hint="default" w:ascii="Times New Roman" w:hAnsi="Times New Roman" w:eastAsia="宋体" w:cs="Times New Roman"/>
                      <w:color w:val="auto"/>
                      <w:sz w:val="21"/>
                      <w:szCs w:val="21"/>
                      <w:highlight w:val="none"/>
                      <w:lang w:val="en-US" w:eastAsia="zh-CN"/>
                    </w:rPr>
                    <w:t>HW</w:t>
                  </w:r>
                  <w:r>
                    <w:rPr>
                      <w:rFonts w:hint="default" w:ascii="Times New Roman" w:hAnsi="Times New Roman" w:cs="Times New Roman"/>
                      <w:color w:val="auto"/>
                      <w:sz w:val="21"/>
                      <w:szCs w:val="21"/>
                      <w:highlight w:val="none"/>
                      <w:lang w:val="en-US" w:eastAsia="zh-CN"/>
                    </w:rPr>
                    <w:t>49</w:t>
                  </w:r>
                </w:p>
              </w:tc>
              <w:tc>
                <w:tcPr>
                  <w:tcW w:w="738" w:type="pct"/>
                  <w:vAlign w:val="center"/>
                </w:tcPr>
                <w:p w14:paraId="5BB96096">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900-041-49</w:t>
                  </w:r>
                </w:p>
              </w:tc>
              <w:tc>
                <w:tcPr>
                  <w:tcW w:w="403" w:type="pct"/>
                  <w:vMerge w:val="continue"/>
                  <w:vAlign w:val="center"/>
                </w:tcPr>
                <w:p w14:paraId="288BB942">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43" w:type="pct"/>
                  <w:vMerge w:val="continue"/>
                  <w:vAlign w:val="center"/>
                </w:tcPr>
                <w:p w14:paraId="2FC6D1F8">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04" w:type="pct"/>
                  <w:vAlign w:val="center"/>
                </w:tcPr>
                <w:p w14:paraId="7EAACEDC">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桶装</w:t>
                  </w:r>
                </w:p>
              </w:tc>
              <w:tc>
                <w:tcPr>
                  <w:tcW w:w="462" w:type="pct"/>
                  <w:vMerge w:val="continue"/>
                  <w:vAlign w:val="center"/>
                </w:tcPr>
                <w:p w14:paraId="3DCA39D1">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c>
                <w:tcPr>
                  <w:tcW w:w="402" w:type="pct"/>
                  <w:vMerge w:val="continue"/>
                  <w:vAlign w:val="center"/>
                </w:tcPr>
                <w:p w14:paraId="76E8E2AC">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sz w:val="21"/>
                      <w:szCs w:val="21"/>
                      <w:highlight w:val="none"/>
                    </w:rPr>
                  </w:pPr>
                </w:p>
              </w:tc>
            </w:tr>
          </w:tbl>
          <w:p w14:paraId="1BC7F997">
            <w:pPr>
              <w:spacing w:line="240" w:lineRule="auto"/>
              <w:jc w:val="center"/>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表4-1</w:t>
            </w:r>
            <w:r>
              <w:rPr>
                <w:rFonts w:hint="eastAsia" w:cs="Times New Roman"/>
                <w:b/>
                <w:bCs/>
                <w:color w:val="auto"/>
                <w:sz w:val="24"/>
                <w:highlight w:val="none"/>
                <w:lang w:val="en-US" w:eastAsia="zh-CN"/>
              </w:rPr>
              <w:t>4</w:t>
            </w:r>
            <w:r>
              <w:rPr>
                <w:rFonts w:hint="default" w:ascii="Times New Roman" w:hAnsi="Times New Roman" w:cs="Times New Roman"/>
                <w:b/>
                <w:bCs/>
                <w:color w:val="auto"/>
                <w:sz w:val="24"/>
                <w:highlight w:val="none"/>
              </w:rPr>
              <w:t xml:space="preserve"> 危险废物暂存间</w:t>
            </w:r>
            <w:r>
              <w:rPr>
                <w:rFonts w:hint="default" w:ascii="Times New Roman" w:hAnsi="Times New Roman" w:cs="Times New Roman"/>
                <w:b/>
                <w:bCs/>
                <w:color w:val="auto"/>
                <w:sz w:val="24"/>
                <w:highlight w:val="none"/>
                <w:lang w:val="en-US" w:eastAsia="zh-CN"/>
              </w:rPr>
              <w:t>建设地点</w:t>
            </w:r>
            <w:r>
              <w:rPr>
                <w:rFonts w:hint="default" w:ascii="Times New Roman" w:hAnsi="Times New Roman" w:cs="Times New Roman"/>
                <w:b/>
                <w:bCs/>
                <w:color w:val="auto"/>
                <w:sz w:val="24"/>
                <w:highlight w:val="none"/>
              </w:rPr>
              <w:t>与（GB18597-2023）文件分析一览表</w:t>
            </w:r>
          </w:p>
          <w:tbl>
            <w:tblPr>
              <w:tblStyle w:val="3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3"/>
              <w:gridCol w:w="4234"/>
              <w:gridCol w:w="3777"/>
            </w:tblGrid>
            <w:tr w14:paraId="223D8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3" w:type="dxa"/>
                  <w:vAlign w:val="center"/>
                </w:tcPr>
                <w:p w14:paraId="79BBBE3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序</w:t>
                  </w:r>
                </w:p>
                <w:p w14:paraId="013025B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号</w:t>
                  </w:r>
                </w:p>
              </w:tc>
              <w:tc>
                <w:tcPr>
                  <w:tcW w:w="4234" w:type="dxa"/>
                  <w:vAlign w:val="center"/>
                </w:tcPr>
                <w:p w14:paraId="4A6C615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危险废物贮存污染控制标准</w:t>
                  </w:r>
                </w:p>
                <w:p w14:paraId="263FA35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（GB18597-2023）</w:t>
                  </w:r>
                </w:p>
              </w:tc>
              <w:tc>
                <w:tcPr>
                  <w:tcW w:w="3777" w:type="dxa"/>
                  <w:vAlign w:val="center"/>
                </w:tcPr>
                <w:p w14:paraId="3B17F32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项目危险废物暂存间情况</w:t>
                  </w:r>
                </w:p>
              </w:tc>
            </w:tr>
            <w:tr w14:paraId="47D0B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464" w:type="dxa"/>
                  <w:gridSpan w:val="3"/>
                  <w:vAlign w:val="center"/>
                </w:tcPr>
                <w:p w14:paraId="4093335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选址符合性分析</w:t>
                  </w:r>
                </w:p>
              </w:tc>
            </w:tr>
            <w:tr w14:paraId="16633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3" w:type="dxa"/>
                  <w:vAlign w:val="center"/>
                </w:tcPr>
                <w:p w14:paraId="636D5BE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p>
              </w:tc>
              <w:tc>
                <w:tcPr>
                  <w:tcW w:w="4234" w:type="dxa"/>
                  <w:vAlign w:val="center"/>
                </w:tcPr>
                <w:p w14:paraId="6E5A0DD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贮存得到设施选址应满足生态环境保护法律法规、规划和“三线一单”生态环境分区管控的要求，建设项目应依法进行环境影响评价。</w:t>
                  </w:r>
                </w:p>
              </w:tc>
              <w:tc>
                <w:tcPr>
                  <w:tcW w:w="3777" w:type="dxa"/>
                  <w:vAlign w:val="center"/>
                </w:tcPr>
                <w:p w14:paraId="622229B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w:t>
                  </w:r>
                  <w:r>
                    <w:rPr>
                      <w:rFonts w:hint="default" w:ascii="Times New Roman" w:hAnsi="Times New Roman" w:cs="Times New Roman"/>
                      <w:color w:val="auto"/>
                      <w:sz w:val="21"/>
                      <w:szCs w:val="21"/>
                      <w:highlight w:val="none"/>
                      <w:lang w:val="en-US" w:eastAsia="zh-CN"/>
                    </w:rPr>
                    <w:t>危险废物暂存间</w:t>
                  </w:r>
                  <w:r>
                    <w:rPr>
                      <w:rFonts w:hint="default" w:ascii="Times New Roman" w:hAnsi="Times New Roman" w:cs="Times New Roman"/>
                      <w:color w:val="auto"/>
                      <w:sz w:val="21"/>
                      <w:szCs w:val="21"/>
                      <w:highlight w:val="none"/>
                    </w:rPr>
                    <w:t>位于</w:t>
                  </w:r>
                  <w:r>
                    <w:rPr>
                      <w:rFonts w:hint="default" w:ascii="Times New Roman" w:hAnsi="Times New Roman" w:cs="Times New Roman"/>
                      <w:color w:val="auto"/>
                      <w:sz w:val="21"/>
                      <w:szCs w:val="21"/>
                      <w:highlight w:val="none"/>
                      <w:lang w:val="en-US" w:eastAsia="zh-CN"/>
                    </w:rPr>
                    <w:t>厂房内</w:t>
                  </w:r>
                  <w:r>
                    <w:rPr>
                      <w:rFonts w:hint="default" w:ascii="Times New Roman" w:hAnsi="Times New Roman" w:cs="Times New Roman"/>
                      <w:color w:val="auto"/>
                      <w:sz w:val="21"/>
                      <w:szCs w:val="21"/>
                      <w:highlight w:val="none"/>
                    </w:rPr>
                    <w:t>，满足生态环境保护法律法规、规划和“三线一单”生态环境分区管控的要求，建设项目应依法进行环境影响评价。</w:t>
                  </w:r>
                </w:p>
              </w:tc>
            </w:tr>
            <w:tr w14:paraId="3681F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5" w:hRule="atLeast"/>
                <w:jc w:val="center"/>
              </w:trPr>
              <w:tc>
                <w:tcPr>
                  <w:tcW w:w="453" w:type="dxa"/>
                  <w:vAlign w:val="center"/>
                </w:tcPr>
                <w:p w14:paraId="7B04801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w:t>
                  </w:r>
                </w:p>
              </w:tc>
              <w:tc>
                <w:tcPr>
                  <w:tcW w:w="4234" w:type="dxa"/>
                  <w:vAlign w:val="center"/>
                </w:tcPr>
                <w:p w14:paraId="2B27CDCD">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集中贮存设施不应选在生态保护红线区域、永久基本农田和其他需要特别保护的区域内，应建在溶洞区或易遭受洪水、滑坡、泥石流、</w:t>
                  </w:r>
                  <w:r>
                    <w:rPr>
                      <w:rFonts w:hint="default" w:ascii="Times New Roman" w:hAnsi="Times New Roman" w:cs="Times New Roman"/>
                      <w:color w:val="auto"/>
                      <w:sz w:val="21"/>
                      <w:szCs w:val="21"/>
                      <w:highlight w:val="none"/>
                      <w:lang w:eastAsia="zh-CN"/>
                    </w:rPr>
                    <w:t>潮汐</w:t>
                  </w:r>
                  <w:r>
                    <w:rPr>
                      <w:rFonts w:hint="default" w:ascii="Times New Roman" w:hAnsi="Times New Roman" w:cs="Times New Roman"/>
                      <w:color w:val="auto"/>
                      <w:sz w:val="21"/>
                      <w:szCs w:val="21"/>
                      <w:highlight w:val="none"/>
                    </w:rPr>
                    <w:t>等严重自然灾害影响的地区。</w:t>
                  </w:r>
                </w:p>
              </w:tc>
              <w:tc>
                <w:tcPr>
                  <w:tcW w:w="3777" w:type="dxa"/>
                  <w:vAlign w:val="center"/>
                </w:tcPr>
                <w:p w14:paraId="4EB31A6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不在生态保护红线区域、永久基本农田和其他需要特别保护的区域内，不应建在溶洞区或易遭受洪水、滑坡、泥石流、</w:t>
                  </w:r>
                  <w:r>
                    <w:rPr>
                      <w:rFonts w:hint="default" w:ascii="Times New Roman" w:hAnsi="Times New Roman" w:cs="Times New Roman"/>
                      <w:color w:val="auto"/>
                      <w:sz w:val="21"/>
                      <w:szCs w:val="21"/>
                      <w:highlight w:val="none"/>
                      <w:lang w:eastAsia="zh-CN"/>
                    </w:rPr>
                    <w:t>潮汐</w:t>
                  </w:r>
                  <w:r>
                    <w:rPr>
                      <w:rFonts w:hint="default" w:ascii="Times New Roman" w:hAnsi="Times New Roman" w:cs="Times New Roman"/>
                      <w:color w:val="auto"/>
                      <w:sz w:val="21"/>
                      <w:szCs w:val="21"/>
                      <w:highlight w:val="none"/>
                    </w:rPr>
                    <w:t>等严重自然灾害影响的地区。</w:t>
                  </w:r>
                </w:p>
              </w:tc>
            </w:tr>
            <w:tr w14:paraId="56CAD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453" w:type="dxa"/>
                  <w:vAlign w:val="center"/>
                </w:tcPr>
                <w:p w14:paraId="5E63ABF3">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w:t>
                  </w:r>
                </w:p>
              </w:tc>
              <w:tc>
                <w:tcPr>
                  <w:tcW w:w="4234" w:type="dxa"/>
                  <w:vAlign w:val="center"/>
                </w:tcPr>
                <w:p w14:paraId="3223AD7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贮存设施不应选在江河、湖泊、运河、渠道、水库集气最高水位线</w:t>
                  </w:r>
                  <w:r>
                    <w:rPr>
                      <w:rFonts w:hint="default" w:ascii="Times New Roman" w:hAnsi="Times New Roman" w:cs="Times New Roman"/>
                      <w:color w:val="auto"/>
                      <w:sz w:val="21"/>
                      <w:szCs w:val="21"/>
                      <w:highlight w:val="none"/>
                      <w:lang w:eastAsia="zh-CN"/>
                    </w:rPr>
                    <w:t>以下</w:t>
                  </w:r>
                  <w:r>
                    <w:rPr>
                      <w:rFonts w:hint="default" w:ascii="Times New Roman" w:hAnsi="Times New Roman" w:cs="Times New Roman"/>
                      <w:color w:val="auto"/>
                      <w:sz w:val="21"/>
                      <w:szCs w:val="21"/>
                      <w:highlight w:val="none"/>
                    </w:rPr>
                    <w:t>的滩地和岸坡，以及法律法规规定禁止贮存危险废物的其他地点。</w:t>
                  </w:r>
                </w:p>
              </w:tc>
              <w:tc>
                <w:tcPr>
                  <w:tcW w:w="3777" w:type="dxa"/>
                  <w:vAlign w:val="center"/>
                </w:tcPr>
                <w:p w14:paraId="5EE2C97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项目危废间位于</w:t>
                  </w:r>
                  <w:r>
                    <w:rPr>
                      <w:rFonts w:hint="default" w:ascii="Times New Roman" w:hAnsi="Times New Roman" w:cs="Times New Roman"/>
                      <w:color w:val="auto"/>
                      <w:sz w:val="21"/>
                      <w:szCs w:val="21"/>
                      <w:highlight w:val="none"/>
                      <w:lang w:val="en-US" w:eastAsia="zh-CN"/>
                    </w:rPr>
                    <w:t>厂区内</w:t>
                  </w:r>
                  <w:r>
                    <w:rPr>
                      <w:rFonts w:hint="default" w:ascii="Times New Roman" w:hAnsi="Times New Roman" w:cs="Times New Roman"/>
                      <w:color w:val="auto"/>
                      <w:sz w:val="21"/>
                      <w:szCs w:val="21"/>
                      <w:highlight w:val="none"/>
                    </w:rPr>
                    <w:t>，选取位置不在江河、湖泊、运河、渠道、水库及其最</w:t>
                  </w:r>
                  <w:r>
                    <w:rPr>
                      <w:rFonts w:hint="default" w:ascii="Times New Roman" w:hAnsi="Times New Roman" w:cs="Times New Roman"/>
                      <w:color w:val="auto"/>
                      <w:sz w:val="21"/>
                      <w:szCs w:val="21"/>
                      <w:highlight w:val="none"/>
                      <w:lang w:val="en-US" w:eastAsia="zh-CN"/>
                    </w:rPr>
                    <w:t>新</w:t>
                  </w:r>
                  <w:r>
                    <w:rPr>
                      <w:rFonts w:hint="default" w:ascii="Times New Roman" w:hAnsi="Times New Roman" w:cs="Times New Roman"/>
                      <w:color w:val="auto"/>
                      <w:sz w:val="21"/>
                      <w:szCs w:val="21"/>
                      <w:highlight w:val="none"/>
                    </w:rPr>
                    <w:t>法规规定禁止贮存危险废物的其他地点。</w:t>
                  </w:r>
                </w:p>
              </w:tc>
            </w:tr>
            <w:tr w14:paraId="0254B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3" w:type="dxa"/>
                  <w:vAlign w:val="center"/>
                </w:tcPr>
                <w:p w14:paraId="1BFC434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w:t>
                  </w:r>
                </w:p>
              </w:tc>
              <w:tc>
                <w:tcPr>
                  <w:tcW w:w="4234" w:type="dxa"/>
                  <w:vAlign w:val="center"/>
                </w:tcPr>
                <w:p w14:paraId="456D63C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贮存目标的距离应依据环境影响评价文件确定。</w:t>
                  </w:r>
                </w:p>
              </w:tc>
              <w:tc>
                <w:tcPr>
                  <w:tcW w:w="3777" w:type="dxa"/>
                  <w:vAlign w:val="center"/>
                </w:tcPr>
                <w:p w14:paraId="484FB0B3">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项目最近敏感点为</w:t>
                  </w:r>
                  <w:r>
                    <w:rPr>
                      <w:rFonts w:hint="default" w:ascii="Times New Roman" w:hAnsi="Times New Roman" w:cs="Times New Roman"/>
                      <w:color w:val="auto"/>
                      <w:sz w:val="21"/>
                      <w:szCs w:val="21"/>
                      <w:highlight w:val="none"/>
                      <w:lang w:val="en-US" w:eastAsia="zh-CN"/>
                    </w:rPr>
                    <w:t>东北侧423刘庄村，</w:t>
                  </w:r>
                  <w:r>
                    <w:rPr>
                      <w:rFonts w:hint="default" w:ascii="Times New Roman" w:hAnsi="Times New Roman" w:cs="Times New Roman"/>
                      <w:color w:val="auto"/>
                      <w:sz w:val="21"/>
                      <w:szCs w:val="21"/>
                      <w:highlight w:val="none"/>
                    </w:rPr>
                    <w:t>不会对其造成影响。</w:t>
                  </w:r>
                </w:p>
              </w:tc>
            </w:tr>
            <w:tr w14:paraId="765BF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464" w:type="dxa"/>
                  <w:gridSpan w:val="3"/>
                  <w:vAlign w:val="center"/>
                </w:tcPr>
                <w:p w14:paraId="3F4B872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防腐防渗符合性分析</w:t>
                  </w:r>
                </w:p>
              </w:tc>
            </w:tr>
            <w:tr w14:paraId="3A598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3" w:type="dxa"/>
                  <w:vAlign w:val="center"/>
                </w:tcPr>
                <w:p w14:paraId="06CB1D8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w:t>
                  </w:r>
                </w:p>
              </w:tc>
              <w:tc>
                <w:tcPr>
                  <w:tcW w:w="4234" w:type="dxa"/>
                  <w:vAlign w:val="center"/>
                </w:tcPr>
                <w:p w14:paraId="5EDC0DE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贮存库内不同贮存分区之间应采取</w:t>
                  </w:r>
                  <w:r>
                    <w:rPr>
                      <w:rFonts w:hint="default" w:ascii="Times New Roman" w:hAnsi="Times New Roman" w:cs="Times New Roman"/>
                      <w:color w:val="auto"/>
                      <w:sz w:val="21"/>
                      <w:szCs w:val="21"/>
                      <w:highlight w:val="none"/>
                      <w:lang w:eastAsia="zh-CN"/>
                    </w:rPr>
                    <w:t>隔离</w:t>
                  </w:r>
                  <w:r>
                    <w:rPr>
                      <w:rFonts w:hint="default" w:ascii="Times New Roman" w:hAnsi="Times New Roman" w:cs="Times New Roman"/>
                      <w:color w:val="auto"/>
                      <w:sz w:val="21"/>
                      <w:szCs w:val="21"/>
                      <w:highlight w:val="none"/>
                    </w:rPr>
                    <w:t>措施可根据危险废物特性采用施。过道、隔板或隔墙等方式。</w:t>
                  </w:r>
                </w:p>
              </w:tc>
              <w:tc>
                <w:tcPr>
                  <w:tcW w:w="3777" w:type="dxa"/>
                  <w:vAlign w:val="center"/>
                </w:tcPr>
                <w:p w14:paraId="489BA15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项目设危废暂存间，</w:t>
                  </w:r>
                  <w:r>
                    <w:rPr>
                      <w:rFonts w:hint="default" w:ascii="Times New Roman" w:hAnsi="Times New Roman" w:cs="Times New Roman"/>
                      <w:color w:val="auto"/>
                      <w:sz w:val="21"/>
                      <w:szCs w:val="21"/>
                      <w:highlight w:val="none"/>
                      <w:lang w:val="en-US" w:eastAsia="zh-CN"/>
                    </w:rPr>
                    <w:t>各类危险废物分区贮存</w:t>
                  </w:r>
                  <w:r>
                    <w:rPr>
                      <w:rFonts w:hint="default" w:ascii="Times New Roman" w:hAnsi="Times New Roman" w:cs="Times New Roman"/>
                      <w:color w:val="auto"/>
                      <w:sz w:val="21"/>
                      <w:szCs w:val="21"/>
                      <w:highlight w:val="none"/>
                    </w:rPr>
                    <w:t>。</w:t>
                  </w:r>
                </w:p>
              </w:tc>
            </w:tr>
            <w:tr w14:paraId="3BF13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3" w:type="dxa"/>
                  <w:vAlign w:val="center"/>
                </w:tcPr>
                <w:p w14:paraId="5B4D610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6</w:t>
                  </w:r>
                </w:p>
              </w:tc>
              <w:tc>
                <w:tcPr>
                  <w:tcW w:w="4234" w:type="dxa"/>
                  <w:vAlign w:val="center"/>
                </w:tcPr>
                <w:p w14:paraId="13C0F1C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在贮存库内或通过贮存分区方式贮存液态危险废物的，应具有液体泄漏堵截设施，堵截设施最小容积不应低于对应</w:t>
                  </w:r>
                  <w:r>
                    <w:rPr>
                      <w:rFonts w:hint="default" w:ascii="Times New Roman" w:hAnsi="Times New Roman" w:cs="Times New Roman"/>
                      <w:color w:val="auto"/>
                      <w:sz w:val="21"/>
                      <w:szCs w:val="21"/>
                      <w:highlight w:val="none"/>
                      <w:lang w:eastAsia="zh-CN"/>
                    </w:rPr>
                    <w:t>贮存</w:t>
                  </w:r>
                  <w:r>
                    <w:rPr>
                      <w:rFonts w:hint="default" w:ascii="Times New Roman" w:hAnsi="Times New Roman" w:cs="Times New Roman"/>
                      <w:color w:val="auto"/>
                      <w:sz w:val="21"/>
                      <w:szCs w:val="21"/>
                      <w:highlight w:val="none"/>
                    </w:rPr>
                    <w:t>区域最大液态废物容器容积或液态废物总储量 1/10(二者取较大者]</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 xml:space="preserve"> 用于贮存可能产生渗滤液的危险废物的贮存库或贮存分区应设计渗滤液收集设施，收集设施容积应满足渗滤液的收集要求。</w:t>
                  </w:r>
                </w:p>
              </w:tc>
              <w:tc>
                <w:tcPr>
                  <w:tcW w:w="3777" w:type="dxa"/>
                  <w:vAlign w:val="center"/>
                </w:tcPr>
                <w:p w14:paraId="735E31F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在贮存库内贮存液态危险废物，具有液体泄</w:t>
                  </w:r>
                  <w:r>
                    <w:rPr>
                      <w:rFonts w:hint="default" w:ascii="Times New Roman" w:hAnsi="Times New Roman" w:cs="Times New Roman"/>
                      <w:color w:val="auto"/>
                      <w:sz w:val="21"/>
                      <w:szCs w:val="21"/>
                      <w:highlight w:val="none"/>
                      <w:lang w:val="en-US" w:eastAsia="zh-CN"/>
                    </w:rPr>
                    <w:t>漏</w:t>
                  </w:r>
                  <w:r>
                    <w:rPr>
                      <w:rFonts w:hint="default" w:ascii="Times New Roman" w:hAnsi="Times New Roman" w:cs="Times New Roman"/>
                      <w:color w:val="auto"/>
                      <w:sz w:val="21"/>
                      <w:szCs w:val="21"/>
                      <w:highlight w:val="none"/>
                    </w:rPr>
                    <w:t xml:space="preserve">堵截设施，堵截设施最小容积不低于对应贮存区域最大液态废物容器容积或液态废物总储量1/10(二者取较大者) </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收集设施容积满足渗滤液的收集要求。</w:t>
                  </w:r>
                </w:p>
              </w:tc>
            </w:tr>
            <w:tr w14:paraId="1AB49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3" w:type="dxa"/>
                  <w:vAlign w:val="center"/>
                </w:tcPr>
                <w:p w14:paraId="67A6D5D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7</w:t>
                  </w:r>
                </w:p>
              </w:tc>
              <w:tc>
                <w:tcPr>
                  <w:tcW w:w="4234" w:type="dxa"/>
                  <w:vAlign w:val="center"/>
                </w:tcPr>
                <w:p w14:paraId="663888A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贮存易产生粉尘、VOCs、酸雾、有毒有害大气污染物和刺激性气味气体的危险废物贮存库，应设置气体收集装置和气体酸雾、有毒有害大气污染物和刺激性气味</w:t>
                  </w:r>
                  <w:r>
                    <w:rPr>
                      <w:rFonts w:hint="default" w:ascii="Times New Roman" w:hAnsi="Times New Roman" w:cs="Times New Roman"/>
                      <w:color w:val="auto"/>
                      <w:sz w:val="21"/>
                      <w:szCs w:val="21"/>
                      <w:highlight w:val="none"/>
                      <w:lang w:eastAsia="zh-CN"/>
                    </w:rPr>
                    <w:t>空气</w:t>
                  </w:r>
                  <w:r>
                    <w:rPr>
                      <w:rFonts w:hint="default" w:ascii="Times New Roman" w:hAnsi="Times New Roman" w:cs="Times New Roman"/>
                      <w:color w:val="auto"/>
                      <w:sz w:val="21"/>
                      <w:szCs w:val="21"/>
                      <w:highlight w:val="none"/>
                    </w:rPr>
                    <w:t>净化设施</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气体净化设施的</w:t>
                  </w:r>
                  <w:r>
                    <w:rPr>
                      <w:rFonts w:hint="default" w:ascii="Times New Roman" w:hAnsi="Times New Roman" w:cs="Times New Roman"/>
                      <w:color w:val="auto"/>
                      <w:sz w:val="21"/>
                      <w:szCs w:val="21"/>
                      <w:highlight w:val="none"/>
                      <w:lang w:eastAsia="zh-CN"/>
                    </w:rPr>
                    <w:t>排气筒</w:t>
                  </w:r>
                  <w:r>
                    <w:rPr>
                      <w:rFonts w:hint="default" w:ascii="Times New Roman" w:hAnsi="Times New Roman" w:cs="Times New Roman"/>
                      <w:color w:val="auto"/>
                      <w:sz w:val="21"/>
                      <w:szCs w:val="21"/>
                      <w:highlight w:val="none"/>
                    </w:rPr>
                    <w:t>高度应符合 GB16297 要求。</w:t>
                  </w:r>
                </w:p>
              </w:tc>
              <w:tc>
                <w:tcPr>
                  <w:tcW w:w="3777" w:type="dxa"/>
                  <w:vAlign w:val="center"/>
                </w:tcPr>
                <w:p w14:paraId="0AABEA9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本项目危废间不贮存易产生粉尘、VOCs、酸雾、有毒有害大气污染物和刺激性气味气体的危险废物</w:t>
                  </w:r>
                </w:p>
              </w:tc>
            </w:tr>
          </w:tbl>
          <w:p w14:paraId="6C30C7D3">
            <w:pPr>
              <w:overflowPunct w:val="0"/>
              <w:topLinePunct/>
              <w:adjustRightInd w:val="0"/>
              <w:snapToGrid w:val="0"/>
              <w:spacing w:line="360" w:lineRule="auto"/>
              <w:ind w:firstLine="480" w:firstLineChars="200"/>
              <w:textAlignment w:val="baseline"/>
              <w:rPr>
                <w:rFonts w:hint="default" w:ascii="Times New Roman" w:hAnsi="Times New Roman" w:cs="Times New Roman"/>
                <w:bCs/>
                <w:color w:val="auto"/>
                <w:kern w:val="0"/>
                <w:sz w:val="24"/>
                <w:highlight w:val="none"/>
              </w:rPr>
            </w:pPr>
            <w:r>
              <w:rPr>
                <w:rFonts w:hint="default" w:ascii="Times New Roman" w:hAnsi="Times New Roman" w:cs="Times New Roman"/>
                <w:bCs/>
                <w:color w:val="auto"/>
                <w:kern w:val="0"/>
                <w:sz w:val="24"/>
                <w:highlight w:val="none"/>
              </w:rPr>
              <w:t>综上所述，本项目危废间建设满足相关要求</w:t>
            </w:r>
            <w:r>
              <w:rPr>
                <w:rFonts w:hint="default" w:ascii="Times New Roman" w:hAnsi="Times New Roman" w:cs="Times New Roman"/>
                <w:bCs/>
                <w:color w:val="auto"/>
                <w:kern w:val="0"/>
                <w:sz w:val="24"/>
                <w:highlight w:val="none"/>
                <w:lang w:eastAsia="zh-CN"/>
              </w:rPr>
              <w:t>，</w:t>
            </w:r>
            <w:r>
              <w:rPr>
                <w:rFonts w:hint="default" w:ascii="Times New Roman" w:hAnsi="Times New Roman" w:cs="Times New Roman"/>
                <w:bCs/>
                <w:color w:val="auto"/>
                <w:kern w:val="0"/>
                <w:sz w:val="24"/>
                <w:highlight w:val="none"/>
                <w:lang w:val="en-US" w:eastAsia="zh-CN"/>
              </w:rPr>
              <w:t>依托可行</w:t>
            </w:r>
            <w:r>
              <w:rPr>
                <w:rFonts w:hint="default" w:ascii="Times New Roman" w:hAnsi="Times New Roman" w:cs="Times New Roman"/>
                <w:bCs/>
                <w:color w:val="auto"/>
                <w:kern w:val="0"/>
                <w:sz w:val="24"/>
                <w:highlight w:val="none"/>
              </w:rPr>
              <w:t>。</w:t>
            </w:r>
          </w:p>
          <w:p w14:paraId="2319808A">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综上所述，只要企业在项目建成后落实上述固废处理措施，做到及时清运，则固废不会对环境造成较大影响。项目所有固体废物均得到了合理处置，对周围环境影响较小。</w:t>
            </w:r>
          </w:p>
          <w:p w14:paraId="3CAD40A7">
            <w:pPr>
              <w:pStyle w:val="8"/>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5土壤、地下水环境影响分析</w:t>
            </w:r>
          </w:p>
          <w:p w14:paraId="2EA2051F">
            <w:pPr>
              <w:adjustRightInd w:val="0"/>
              <w:snapToGrid w:val="0"/>
              <w:spacing w:line="360" w:lineRule="auto"/>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本项目运营期发黑过程建设6个槽，其中酸洗、油洗、水洗槽均为pp材质，碱槽位铁槽，槽置于地面上，车间地面硬化，槽发生破损后槽内溶液会泄漏至车间，可快速发现进行处理。不会污染地下水或土壤。</w:t>
            </w:r>
          </w:p>
          <w:p w14:paraId="1CF29963">
            <w:pPr>
              <w:adjustRightInd w:val="0"/>
              <w:snapToGrid w:val="0"/>
              <w:spacing w:line="360" w:lineRule="auto"/>
              <w:ind w:firstLine="480" w:firstLineChars="200"/>
              <w:rPr>
                <w:rFonts w:hint="default" w:ascii="Times New Roman" w:hAnsi="Times New Roman" w:cs="Times New Roman"/>
                <w:snapToGrid w:val="0"/>
                <w:color w:val="auto"/>
                <w:kern w:val="0"/>
                <w:sz w:val="24"/>
                <w:szCs w:val="24"/>
                <w:highlight w:val="none"/>
              </w:rPr>
            </w:pPr>
            <w:r>
              <w:rPr>
                <w:rFonts w:hint="default" w:ascii="Times New Roman" w:hAnsi="Times New Roman" w:cs="Times New Roman"/>
                <w:snapToGrid w:val="0"/>
                <w:color w:val="auto"/>
                <w:kern w:val="0"/>
                <w:sz w:val="24"/>
                <w:szCs w:val="24"/>
                <w:highlight w:val="none"/>
              </w:rPr>
              <w:t>为防止</w:t>
            </w:r>
            <w:r>
              <w:rPr>
                <w:rFonts w:hint="default" w:ascii="Times New Roman" w:hAnsi="Times New Roman" w:cs="Times New Roman"/>
                <w:snapToGrid w:val="0"/>
                <w:color w:val="auto"/>
                <w:kern w:val="0"/>
                <w:sz w:val="24"/>
                <w:szCs w:val="24"/>
                <w:highlight w:val="none"/>
                <w:lang w:val="en-US" w:eastAsia="zh-CN"/>
              </w:rPr>
              <w:t>风险物质</w:t>
            </w:r>
            <w:r>
              <w:rPr>
                <w:rFonts w:hint="default" w:ascii="Times New Roman" w:hAnsi="Times New Roman" w:cs="Times New Roman"/>
                <w:snapToGrid w:val="0"/>
                <w:color w:val="auto"/>
                <w:kern w:val="0"/>
                <w:sz w:val="24"/>
                <w:szCs w:val="24"/>
                <w:highlight w:val="none"/>
              </w:rPr>
              <w:t>对浅层地下水地表土壤造成污染，项目应采取相应的防渗措施：</w:t>
            </w:r>
          </w:p>
          <w:p w14:paraId="1A799167">
            <w:pPr>
              <w:adjustRightInd w:val="0"/>
              <w:snapToGrid w:val="0"/>
              <w:spacing w:line="360" w:lineRule="auto"/>
              <w:ind w:firstLine="480" w:firstLineChars="200"/>
              <w:rPr>
                <w:rFonts w:hint="default" w:ascii="Times New Roman" w:hAnsi="Times New Roman" w:cs="Times New Roman"/>
                <w:snapToGrid w:val="0"/>
                <w:color w:val="auto"/>
                <w:kern w:val="0"/>
                <w:sz w:val="24"/>
                <w:szCs w:val="24"/>
                <w:highlight w:val="none"/>
              </w:rPr>
            </w:pPr>
            <w:r>
              <w:rPr>
                <w:rFonts w:hint="default" w:ascii="Times New Roman" w:hAnsi="Times New Roman" w:cs="Times New Roman"/>
                <w:snapToGrid w:val="0"/>
                <w:color w:val="auto"/>
                <w:kern w:val="0"/>
                <w:sz w:val="24"/>
                <w:szCs w:val="24"/>
                <w:highlight w:val="none"/>
              </w:rPr>
              <w:t>（1）源头控制措施</w:t>
            </w:r>
          </w:p>
          <w:p w14:paraId="46D88B0B">
            <w:pPr>
              <w:adjustRightInd w:val="0"/>
              <w:snapToGrid w:val="0"/>
              <w:spacing w:line="360" w:lineRule="auto"/>
              <w:ind w:firstLine="480" w:firstLineChars="200"/>
              <w:rPr>
                <w:rFonts w:hint="default" w:ascii="Times New Roman" w:hAnsi="Times New Roman" w:cs="Times New Roman"/>
                <w:snapToGrid w:val="0"/>
                <w:color w:val="auto"/>
                <w:kern w:val="0"/>
                <w:sz w:val="24"/>
                <w:szCs w:val="24"/>
                <w:highlight w:val="none"/>
              </w:rPr>
            </w:pPr>
            <w:r>
              <w:rPr>
                <w:rFonts w:hint="default" w:ascii="Times New Roman" w:hAnsi="Times New Roman" w:cs="Times New Roman"/>
                <w:snapToGrid w:val="0"/>
                <w:color w:val="auto"/>
                <w:kern w:val="0"/>
                <w:sz w:val="24"/>
                <w:szCs w:val="24"/>
                <w:highlight w:val="none"/>
                <w:lang w:val="en-US" w:eastAsia="zh-CN"/>
              </w:rPr>
              <w:t>1）</w:t>
            </w:r>
            <w:r>
              <w:rPr>
                <w:rFonts w:hint="default" w:ascii="Times New Roman" w:hAnsi="Times New Roman" w:cs="Times New Roman"/>
                <w:snapToGrid w:val="0"/>
                <w:color w:val="auto"/>
                <w:kern w:val="0"/>
                <w:sz w:val="24"/>
                <w:szCs w:val="24"/>
                <w:highlight w:val="none"/>
              </w:rPr>
              <w:t>提高企业清洁生产水平，减少污染物产生量；</w:t>
            </w:r>
          </w:p>
          <w:p w14:paraId="7EC53D5A">
            <w:pPr>
              <w:adjustRightInd w:val="0"/>
              <w:snapToGrid w:val="0"/>
              <w:spacing w:line="360" w:lineRule="auto"/>
              <w:ind w:firstLine="480" w:firstLineChars="200"/>
              <w:rPr>
                <w:rFonts w:hint="default" w:ascii="Times New Roman" w:hAnsi="Times New Roman"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2）日常对危险废物暂存间进行巡检，发现储存桶有破损、渗漏情况，应及时修补或进行更换。</w:t>
            </w:r>
          </w:p>
          <w:p w14:paraId="476241A4">
            <w:pPr>
              <w:adjustRightInd w:val="0"/>
              <w:snapToGrid w:val="0"/>
              <w:spacing w:line="360" w:lineRule="auto"/>
              <w:ind w:firstLine="480" w:firstLineChars="200"/>
              <w:rPr>
                <w:rFonts w:hint="default" w:ascii="Times New Roman" w:hAnsi="Times New Roman"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3）加强对槽维护及巡查，减少跑、冒滴、漏对地下水及土壤的影响。</w:t>
            </w:r>
          </w:p>
          <w:p w14:paraId="720A61AC">
            <w:pPr>
              <w:adjustRightInd w:val="0"/>
              <w:snapToGrid w:val="0"/>
              <w:spacing w:line="360" w:lineRule="auto"/>
              <w:ind w:firstLine="480" w:firstLineChars="200"/>
              <w:rPr>
                <w:rFonts w:hint="default" w:ascii="Times New Roman" w:hAnsi="Times New Roman" w:cs="Times New Roman"/>
                <w:snapToGrid w:val="0"/>
                <w:color w:val="auto"/>
                <w:kern w:val="0"/>
                <w:sz w:val="24"/>
                <w:szCs w:val="24"/>
                <w:highlight w:val="none"/>
              </w:rPr>
            </w:pPr>
            <w:r>
              <w:rPr>
                <w:rFonts w:hint="default" w:ascii="Times New Roman" w:hAnsi="Times New Roman" w:cs="Times New Roman"/>
                <w:snapToGrid w:val="0"/>
                <w:color w:val="auto"/>
                <w:kern w:val="0"/>
                <w:sz w:val="24"/>
                <w:szCs w:val="24"/>
                <w:highlight w:val="none"/>
              </w:rPr>
              <w:t>（2）分区防渗措施</w:t>
            </w:r>
          </w:p>
          <w:p w14:paraId="2B522E86">
            <w:pPr>
              <w:adjustRightInd w:val="0"/>
              <w:snapToGrid w:val="0"/>
              <w:spacing w:line="360" w:lineRule="auto"/>
              <w:ind w:firstLine="480" w:firstLineChars="200"/>
              <w:jc w:val="left"/>
              <w:rPr>
                <w:rFonts w:hint="default" w:ascii="Times New Roman" w:hAnsi="Times New Roman" w:cs="Times New Roman"/>
                <w:b/>
                <w:snapToGrid w:val="0"/>
                <w:color w:val="auto"/>
                <w:sz w:val="24"/>
                <w:szCs w:val="24"/>
                <w:highlight w:val="none"/>
              </w:rPr>
            </w:pPr>
            <w:r>
              <w:rPr>
                <w:rFonts w:hint="default" w:ascii="Times New Roman" w:hAnsi="Times New Roman" w:cs="Times New Roman"/>
                <w:snapToGrid w:val="0"/>
                <w:color w:val="auto"/>
                <w:kern w:val="0"/>
                <w:sz w:val="24"/>
                <w:szCs w:val="24"/>
                <w:highlight w:val="none"/>
              </w:rPr>
              <w:t>依据本项目污染物产生、处理的过程，结合</w:t>
            </w:r>
            <w:r>
              <w:rPr>
                <w:rFonts w:hint="default" w:ascii="Times New Roman" w:hAnsi="Times New Roman" w:cs="Times New Roman"/>
                <w:snapToGrid w:val="0"/>
                <w:color w:val="auto"/>
                <w:kern w:val="0"/>
                <w:sz w:val="24"/>
                <w:szCs w:val="24"/>
                <w:highlight w:val="none"/>
                <w:lang w:val="en-US" w:eastAsia="zh-CN"/>
              </w:rPr>
              <w:t>厂区</w:t>
            </w:r>
            <w:r>
              <w:rPr>
                <w:rFonts w:hint="default" w:ascii="Times New Roman" w:hAnsi="Times New Roman" w:cs="Times New Roman"/>
                <w:snapToGrid w:val="0"/>
                <w:color w:val="auto"/>
                <w:kern w:val="0"/>
                <w:sz w:val="24"/>
                <w:szCs w:val="24"/>
                <w:highlight w:val="none"/>
              </w:rPr>
              <w:t>总平面布置情况，根据《环境影响评价技术导则地下水环境》（HJ610-2016）表7中防渗的相关要求，厂区拟采取防渗措施：</w:t>
            </w:r>
          </w:p>
          <w:p w14:paraId="235C2872">
            <w:pPr>
              <w:adjustRightInd w:val="0"/>
              <w:snapToGrid w:val="0"/>
              <w:spacing w:line="240" w:lineRule="auto"/>
              <w:jc w:val="center"/>
              <w:rPr>
                <w:rFonts w:hint="default" w:ascii="Times New Roman" w:hAnsi="Times New Roman" w:cs="Times New Roman"/>
                <w:b/>
                <w:snapToGrid w:val="0"/>
                <w:color w:val="auto"/>
                <w:sz w:val="24"/>
                <w:szCs w:val="24"/>
                <w:highlight w:val="none"/>
              </w:rPr>
            </w:pPr>
            <w:r>
              <w:rPr>
                <w:rFonts w:hint="default" w:ascii="Times New Roman" w:hAnsi="Times New Roman" w:cs="Times New Roman"/>
                <w:b/>
                <w:snapToGrid w:val="0"/>
                <w:color w:val="auto"/>
                <w:sz w:val="24"/>
                <w:szCs w:val="24"/>
                <w:highlight w:val="none"/>
              </w:rPr>
              <w:t>表4-1</w:t>
            </w:r>
            <w:r>
              <w:rPr>
                <w:rFonts w:hint="eastAsia" w:cs="Times New Roman"/>
                <w:b/>
                <w:snapToGrid w:val="0"/>
                <w:color w:val="auto"/>
                <w:sz w:val="24"/>
                <w:szCs w:val="24"/>
                <w:highlight w:val="none"/>
                <w:lang w:val="en-US" w:eastAsia="zh-CN"/>
              </w:rPr>
              <w:t>5</w:t>
            </w:r>
            <w:r>
              <w:rPr>
                <w:rFonts w:hint="default" w:ascii="Times New Roman" w:hAnsi="Times New Roman" w:cs="Times New Roman"/>
                <w:b/>
                <w:snapToGrid w:val="0"/>
                <w:color w:val="auto"/>
                <w:sz w:val="24"/>
                <w:szCs w:val="24"/>
                <w:highlight w:val="none"/>
              </w:rPr>
              <w:t xml:space="preserve">  工程污染分区及防渗措施一览表</w:t>
            </w:r>
          </w:p>
          <w:tbl>
            <w:tblPr>
              <w:tblStyle w:val="3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6"/>
              <w:gridCol w:w="1183"/>
              <w:gridCol w:w="1532"/>
              <w:gridCol w:w="5000"/>
            </w:tblGrid>
            <w:tr w14:paraId="623BC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41" w:type="pct"/>
                  <w:noWrap w:val="0"/>
                  <w:vAlign w:val="center"/>
                </w:tcPr>
                <w:p w14:paraId="3E6A93A4">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序号</w:t>
                  </w:r>
                </w:p>
              </w:tc>
              <w:tc>
                <w:tcPr>
                  <w:tcW w:w="699" w:type="pct"/>
                  <w:noWrap w:val="0"/>
                  <w:vAlign w:val="center"/>
                </w:tcPr>
                <w:p w14:paraId="7BB2AF8E">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污染分区</w:t>
                  </w:r>
                </w:p>
              </w:tc>
              <w:tc>
                <w:tcPr>
                  <w:tcW w:w="905" w:type="pct"/>
                  <w:noWrap w:val="0"/>
                  <w:vAlign w:val="center"/>
                </w:tcPr>
                <w:p w14:paraId="59B63452">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名称</w:t>
                  </w:r>
                </w:p>
              </w:tc>
              <w:tc>
                <w:tcPr>
                  <w:tcW w:w="2954" w:type="pct"/>
                  <w:noWrap w:val="0"/>
                  <w:vAlign w:val="center"/>
                </w:tcPr>
                <w:p w14:paraId="40B1CBBF">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防渗技术要求。</w:t>
                  </w:r>
                </w:p>
              </w:tc>
            </w:tr>
            <w:tr w14:paraId="7E9CA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1" w:type="pct"/>
                  <w:noWrap w:val="0"/>
                  <w:vAlign w:val="center"/>
                </w:tcPr>
                <w:p w14:paraId="79041D33">
                  <w:pPr>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1</w:t>
                  </w:r>
                </w:p>
              </w:tc>
              <w:tc>
                <w:tcPr>
                  <w:tcW w:w="699" w:type="pct"/>
                  <w:noWrap w:val="0"/>
                  <w:vAlign w:val="center"/>
                </w:tcPr>
                <w:p w14:paraId="39A7DE64">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重点防渗区</w:t>
                  </w:r>
                </w:p>
              </w:tc>
              <w:tc>
                <w:tcPr>
                  <w:tcW w:w="905" w:type="pct"/>
                  <w:noWrap w:val="0"/>
                  <w:vAlign w:val="center"/>
                </w:tcPr>
                <w:p w14:paraId="4948977B">
                  <w:pPr>
                    <w:adjustRightInd w:val="0"/>
                    <w:snapToGrid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sz w:val="21"/>
                      <w:szCs w:val="21"/>
                      <w:highlight w:val="none"/>
                      <w:lang w:val="en-US" w:eastAsia="zh-CN"/>
                    </w:rPr>
                    <w:t>危险废物暂存间、酸洗槽、油洗槽、碱洗槽、水洗槽</w:t>
                  </w:r>
                </w:p>
              </w:tc>
              <w:tc>
                <w:tcPr>
                  <w:tcW w:w="2954" w:type="pct"/>
                  <w:noWrap w:val="0"/>
                  <w:vAlign w:val="center"/>
                </w:tcPr>
                <w:p w14:paraId="4C00417F">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20cm厚P8混凝，并采取2mm厚高密度聚乙烯防渗,渗透系数≤10</w:t>
                  </w:r>
                  <w:r>
                    <w:rPr>
                      <w:rFonts w:hint="default" w:ascii="Times New Roman" w:hAnsi="Times New Roman" w:cs="Times New Roman"/>
                      <w:color w:val="auto"/>
                      <w:sz w:val="21"/>
                      <w:szCs w:val="21"/>
                      <w:highlight w:val="none"/>
                      <w:vertAlign w:val="superscript"/>
                    </w:rPr>
                    <w:t>-10</w:t>
                  </w:r>
                  <w:r>
                    <w:rPr>
                      <w:rFonts w:hint="default" w:ascii="Times New Roman" w:hAnsi="Times New Roman" w:cs="Times New Roman"/>
                      <w:color w:val="auto"/>
                      <w:sz w:val="21"/>
                      <w:szCs w:val="21"/>
                      <w:highlight w:val="none"/>
                    </w:rPr>
                    <w:t>cm/s ，并设置堵截泄漏的裙脚，且做到表面无裂隙，避免泄漏对地下水产生污染影响；并设置泄漏液体的收集装置</w:t>
                  </w:r>
                </w:p>
              </w:tc>
            </w:tr>
            <w:tr w14:paraId="5134F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1" w:type="pct"/>
                  <w:noWrap w:val="0"/>
                  <w:vAlign w:val="center"/>
                </w:tcPr>
                <w:p w14:paraId="26A396A7">
                  <w:pPr>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2</w:t>
                  </w:r>
                </w:p>
              </w:tc>
              <w:tc>
                <w:tcPr>
                  <w:tcW w:w="699" w:type="pct"/>
                  <w:noWrap w:val="0"/>
                  <w:vAlign w:val="center"/>
                </w:tcPr>
                <w:p w14:paraId="03D640DB">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一般防渗区</w:t>
                  </w:r>
                </w:p>
              </w:tc>
              <w:tc>
                <w:tcPr>
                  <w:tcW w:w="905" w:type="pct"/>
                  <w:noWrap w:val="0"/>
                  <w:vAlign w:val="center"/>
                </w:tcPr>
                <w:p w14:paraId="47FBCE14">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生产车间</w:t>
                  </w:r>
                  <w:r>
                    <w:rPr>
                      <w:rFonts w:hint="eastAsia"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lang w:val="en-US" w:eastAsia="zh-CN"/>
                    </w:rPr>
                    <w:t>废水池</w:t>
                  </w:r>
                </w:p>
              </w:tc>
              <w:tc>
                <w:tcPr>
                  <w:tcW w:w="2954" w:type="pct"/>
                  <w:noWrap w:val="0"/>
                  <w:vAlign w:val="center"/>
                </w:tcPr>
                <w:p w14:paraId="5CD41D77">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等效黏土防渗层Mb≥1.5m，渗透系数≤</w:t>
                  </w:r>
                </w:p>
                <w:p w14:paraId="6F39A309">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1.0×10</w:t>
                  </w:r>
                  <w:r>
                    <w:rPr>
                      <w:rFonts w:hint="default" w:ascii="Times New Roman" w:hAnsi="Times New Roman" w:cs="Times New Roman"/>
                      <w:color w:val="auto"/>
                      <w:sz w:val="21"/>
                      <w:szCs w:val="21"/>
                      <w:highlight w:val="none"/>
                      <w:vertAlign w:val="superscript"/>
                    </w:rPr>
                    <w:t>-7</w:t>
                  </w:r>
                  <w:r>
                    <w:rPr>
                      <w:rFonts w:hint="default" w:ascii="Times New Roman" w:hAnsi="Times New Roman" w:cs="Times New Roman"/>
                      <w:color w:val="auto"/>
                      <w:sz w:val="21"/>
                      <w:szCs w:val="21"/>
                      <w:highlight w:val="none"/>
                    </w:rPr>
                    <w:t>cm/s；或参考GB/T50934 执行</w:t>
                  </w:r>
                </w:p>
              </w:tc>
            </w:tr>
          </w:tbl>
          <w:p w14:paraId="4C2B9BC7">
            <w:pPr>
              <w:adjustRightInd w:val="0"/>
              <w:snapToGrid w:val="0"/>
              <w:spacing w:line="360" w:lineRule="auto"/>
              <w:ind w:firstLine="480" w:firstLineChars="200"/>
              <w:rPr>
                <w:rFonts w:hint="default" w:ascii="Times New Roman" w:hAnsi="Times New Roman" w:cs="Times New Roman"/>
                <w:snapToGrid w:val="0"/>
                <w:color w:val="auto"/>
                <w:kern w:val="0"/>
                <w:sz w:val="24"/>
                <w:szCs w:val="24"/>
                <w:highlight w:val="none"/>
              </w:rPr>
            </w:pPr>
            <w:r>
              <w:rPr>
                <w:rFonts w:hint="default" w:ascii="Times New Roman" w:hAnsi="Times New Roman" w:cs="Times New Roman"/>
                <w:snapToGrid w:val="0"/>
                <w:color w:val="auto"/>
                <w:kern w:val="0"/>
                <w:sz w:val="24"/>
                <w:szCs w:val="24"/>
                <w:highlight w:val="none"/>
              </w:rPr>
              <w:t>项目根据防渗技术要求，对其地面做防渗处理，同时提高操作人员技术水平，完善管理，建立严格的生产管理制度，遵守操作规程。采取以上措施后，可有效防止污染物通过跑、冒、滴、漏对地下水及土壤环境带来的威胁，</w:t>
            </w:r>
            <w:r>
              <w:rPr>
                <w:rFonts w:hint="default" w:ascii="Times New Roman" w:hAnsi="Times New Roman" w:cs="Times New Roman"/>
                <w:color w:val="auto"/>
                <w:sz w:val="24"/>
                <w:highlight w:val="none"/>
              </w:rPr>
              <w:t>本项目运营过程中不会对地下水以及土壤环境产生影响</w:t>
            </w:r>
            <w:r>
              <w:rPr>
                <w:rFonts w:hint="default" w:ascii="Times New Roman" w:hAnsi="Times New Roman" w:cs="Times New Roman"/>
                <w:snapToGrid w:val="0"/>
                <w:color w:val="auto"/>
                <w:kern w:val="0"/>
                <w:sz w:val="24"/>
                <w:szCs w:val="24"/>
                <w:highlight w:val="none"/>
              </w:rPr>
              <w:t>。</w:t>
            </w:r>
          </w:p>
          <w:p w14:paraId="7139EE2C">
            <w:pPr>
              <w:adjustRightInd w:val="0"/>
              <w:snapToGrid w:val="0"/>
              <w:spacing w:line="360" w:lineRule="auto"/>
              <w:rPr>
                <w:rFonts w:hint="default" w:ascii="Times New Roman" w:hAnsi="Times New Roman" w:cs="Times New Roman"/>
                <w:b/>
                <w:color w:val="auto"/>
                <w:sz w:val="28"/>
                <w:szCs w:val="28"/>
                <w:highlight w:val="none"/>
                <w:lang w:val="en-US" w:eastAsia="zh-CN"/>
              </w:rPr>
            </w:pPr>
          </w:p>
          <w:p w14:paraId="73D8E17D">
            <w:pPr>
              <w:adjustRightInd w:val="0"/>
              <w:snapToGrid w:val="0"/>
              <w:spacing w:line="240" w:lineRule="auto"/>
              <w:rPr>
                <w:rFonts w:hint="default" w:ascii="Times New Roman" w:hAnsi="Times New Roman" w:cs="Times New Roman"/>
                <w:b/>
                <w:color w:val="auto"/>
                <w:sz w:val="28"/>
                <w:szCs w:val="28"/>
                <w:highlight w:val="none"/>
              </w:rPr>
            </w:pPr>
            <w:r>
              <w:rPr>
                <w:rFonts w:hint="default" w:ascii="Times New Roman" w:hAnsi="Times New Roman" w:cs="Times New Roman"/>
                <w:b/>
                <w:color w:val="auto"/>
                <w:sz w:val="28"/>
                <w:szCs w:val="28"/>
                <w:highlight w:val="none"/>
                <w:lang w:val="en-US" w:eastAsia="zh-CN"/>
              </w:rPr>
              <w:t>6</w:t>
            </w:r>
            <w:r>
              <w:rPr>
                <w:rFonts w:hint="default" w:ascii="Times New Roman" w:hAnsi="Times New Roman" w:cs="Times New Roman"/>
                <w:b/>
                <w:color w:val="auto"/>
                <w:sz w:val="28"/>
                <w:szCs w:val="28"/>
                <w:highlight w:val="none"/>
              </w:rPr>
              <w:t>环境风险</w:t>
            </w:r>
          </w:p>
          <w:p w14:paraId="60CFB150">
            <w:pPr>
              <w:adjustRightInd w:val="0"/>
              <w:snapToGrid w:val="0"/>
              <w:spacing w:line="360" w:lineRule="auto"/>
              <w:ind w:firstLine="480" w:firstLineChars="200"/>
              <w:rPr>
                <w:rFonts w:hint="default" w:ascii="Times New Roman" w:hAnsi="Times New Roman" w:cs="Times New Roman"/>
                <w:bCs/>
                <w:snapToGrid w:val="0"/>
                <w:color w:val="auto"/>
                <w:sz w:val="24"/>
                <w:szCs w:val="24"/>
                <w:highlight w:val="none"/>
              </w:rPr>
            </w:pPr>
            <w:r>
              <w:rPr>
                <w:rFonts w:hint="default" w:ascii="Times New Roman" w:hAnsi="Times New Roman" w:cs="Times New Roman"/>
                <w:bCs/>
                <w:snapToGrid w:val="0"/>
                <w:color w:val="auto"/>
                <w:sz w:val="24"/>
                <w:szCs w:val="24"/>
                <w:highlight w:val="none"/>
              </w:rPr>
              <w:t>（1） 风险源调查</w:t>
            </w:r>
          </w:p>
          <w:p w14:paraId="37CECABB">
            <w:pPr>
              <w:adjustRightInd w:val="0"/>
              <w:snapToGrid w:val="0"/>
              <w:spacing w:line="360" w:lineRule="auto"/>
              <w:ind w:firstLine="480" w:firstLineChars="200"/>
              <w:rPr>
                <w:rFonts w:hint="default" w:ascii="Times New Roman" w:hAnsi="Times New Roman" w:cs="Times New Roman"/>
                <w:bCs/>
                <w:color w:val="auto"/>
                <w:sz w:val="24"/>
                <w:szCs w:val="24"/>
                <w:highlight w:val="none"/>
                <w:lang w:val="en-US" w:eastAsia="zh-CN"/>
              </w:rPr>
            </w:pPr>
            <w:r>
              <w:rPr>
                <w:rFonts w:hint="default" w:ascii="Times New Roman" w:hAnsi="Times New Roman" w:cs="Times New Roman"/>
                <w:bCs/>
                <w:color w:val="auto"/>
                <w:sz w:val="24"/>
                <w:szCs w:val="24"/>
                <w:highlight w:val="none"/>
              </w:rPr>
              <w:t>本项目生产工艺简单，</w:t>
            </w:r>
            <w:r>
              <w:rPr>
                <w:rFonts w:hint="default" w:ascii="Times New Roman" w:hAnsi="Times New Roman" w:cs="Times New Roman"/>
                <w:bCs/>
                <w:color w:val="auto"/>
                <w:sz w:val="24"/>
                <w:szCs w:val="24"/>
                <w:highlight w:val="none"/>
                <w:lang w:val="en-US" w:eastAsia="zh-CN"/>
              </w:rPr>
              <w:t>生产过程中主要风险物质为危险废物、盐酸、液压油、切削液。公司与其他企业合用厂区，不具备收集初期雨水条件，且项目生产过程均在车间内进行，原料、产品等不会受到雨水冲刷，雨水不会受到污染，厂区雨水采取漫流的方式出厂界。</w:t>
            </w:r>
          </w:p>
          <w:p w14:paraId="492BFA61">
            <w:pPr>
              <w:adjustRightInd w:val="0"/>
              <w:snapToGrid w:val="0"/>
              <w:spacing w:line="24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（2）风险潜势初判</w:t>
            </w:r>
          </w:p>
          <w:p w14:paraId="68257822">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根据《建设项目环境风险技术评价导则》（HJ169-2018）附录C中C.C.1危险物质数量与临界量比值Q的计算方法：</w:t>
            </w:r>
          </w:p>
          <w:p w14:paraId="5B85F9B6">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计算所涉及的每种危险物质在厂界内的最大存在总量与其在附录B中对应临界量的比值Q。在不同厂区的同一种物质，按其在厂界内的最大存在总量计算。对于长输管线项目，按照两个截断阀室之间管段危险物质最大存在总量计算。</w:t>
            </w:r>
          </w:p>
          <w:p w14:paraId="2406DB66">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当只涉及一种危险物质时，计算该物质的总量与其临界量比值，即为Q，</w:t>
            </w:r>
          </w:p>
          <w:p w14:paraId="1BAA4DAB">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当存在多种危险物质时，则按下式计算物质总量与其临界量比值（Q）：</w:t>
            </w:r>
          </w:p>
          <w:p w14:paraId="32F34DD6">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Q=q</w:t>
            </w:r>
            <w:r>
              <w:rPr>
                <w:rFonts w:hint="default" w:ascii="Times New Roman" w:hAnsi="Times New Roman" w:cs="Times New Roman"/>
                <w:snapToGrid w:val="0"/>
                <w:color w:val="auto"/>
                <w:sz w:val="24"/>
                <w:szCs w:val="24"/>
                <w:highlight w:val="none"/>
                <w:vertAlign w:val="subscript"/>
              </w:rPr>
              <w:t>1</w:t>
            </w:r>
            <w:r>
              <w:rPr>
                <w:rFonts w:hint="default" w:ascii="Times New Roman" w:hAnsi="Times New Roman" w:cs="Times New Roman"/>
                <w:snapToGrid w:val="0"/>
                <w:color w:val="auto"/>
                <w:sz w:val="24"/>
                <w:szCs w:val="24"/>
                <w:highlight w:val="none"/>
              </w:rPr>
              <w:t>/Q</w:t>
            </w:r>
            <w:r>
              <w:rPr>
                <w:rFonts w:hint="default" w:ascii="Times New Roman" w:hAnsi="Times New Roman" w:cs="Times New Roman"/>
                <w:snapToGrid w:val="0"/>
                <w:color w:val="auto"/>
                <w:sz w:val="24"/>
                <w:szCs w:val="24"/>
                <w:highlight w:val="none"/>
                <w:vertAlign w:val="subscript"/>
              </w:rPr>
              <w:t>1</w:t>
            </w:r>
            <w:r>
              <w:rPr>
                <w:rFonts w:hint="default" w:ascii="Times New Roman" w:hAnsi="Times New Roman" w:cs="Times New Roman"/>
                <w:snapToGrid w:val="0"/>
                <w:color w:val="auto"/>
                <w:sz w:val="24"/>
                <w:szCs w:val="24"/>
                <w:highlight w:val="none"/>
              </w:rPr>
              <w:t xml:space="preserve"> + q</w:t>
            </w:r>
            <w:r>
              <w:rPr>
                <w:rFonts w:hint="default" w:ascii="Times New Roman" w:hAnsi="Times New Roman" w:cs="Times New Roman"/>
                <w:snapToGrid w:val="0"/>
                <w:color w:val="auto"/>
                <w:sz w:val="24"/>
                <w:szCs w:val="24"/>
                <w:highlight w:val="none"/>
                <w:vertAlign w:val="subscript"/>
              </w:rPr>
              <w:t>2</w:t>
            </w:r>
            <w:r>
              <w:rPr>
                <w:rFonts w:hint="default" w:ascii="Times New Roman" w:hAnsi="Times New Roman" w:cs="Times New Roman"/>
                <w:snapToGrid w:val="0"/>
                <w:color w:val="auto"/>
                <w:sz w:val="24"/>
                <w:szCs w:val="24"/>
                <w:highlight w:val="none"/>
              </w:rPr>
              <w:t>/Q</w:t>
            </w:r>
            <w:r>
              <w:rPr>
                <w:rFonts w:hint="default" w:ascii="Times New Roman" w:hAnsi="Times New Roman" w:cs="Times New Roman"/>
                <w:snapToGrid w:val="0"/>
                <w:color w:val="auto"/>
                <w:sz w:val="24"/>
                <w:szCs w:val="24"/>
                <w:highlight w:val="none"/>
                <w:vertAlign w:val="subscript"/>
              </w:rPr>
              <w:t>2</w:t>
            </w:r>
            <w:r>
              <w:rPr>
                <w:rFonts w:hint="default" w:ascii="Times New Roman" w:hAnsi="Times New Roman" w:cs="Times New Roman"/>
                <w:snapToGrid w:val="0"/>
                <w:color w:val="auto"/>
                <w:sz w:val="24"/>
                <w:szCs w:val="24"/>
                <w:highlight w:val="none"/>
              </w:rPr>
              <w:t xml:space="preserve"> + … + qn/Qn </w:t>
            </w:r>
          </w:p>
          <w:p w14:paraId="79775EDF">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q</w:t>
            </w:r>
            <w:r>
              <w:rPr>
                <w:rFonts w:hint="default" w:ascii="Times New Roman" w:hAnsi="Times New Roman" w:cs="Times New Roman"/>
                <w:snapToGrid w:val="0"/>
                <w:color w:val="auto"/>
                <w:sz w:val="24"/>
                <w:szCs w:val="24"/>
                <w:highlight w:val="none"/>
                <w:vertAlign w:val="subscript"/>
              </w:rPr>
              <w:t>1</w:t>
            </w:r>
            <w:r>
              <w:rPr>
                <w:rFonts w:hint="default" w:ascii="Times New Roman" w:hAnsi="Times New Roman" w:cs="Times New Roman"/>
                <w:snapToGrid w:val="0"/>
                <w:color w:val="auto"/>
                <w:sz w:val="24"/>
                <w:szCs w:val="24"/>
                <w:highlight w:val="none"/>
              </w:rPr>
              <w:t>、q</w:t>
            </w:r>
            <w:r>
              <w:rPr>
                <w:rFonts w:hint="default" w:ascii="Times New Roman" w:hAnsi="Times New Roman" w:cs="Times New Roman"/>
                <w:snapToGrid w:val="0"/>
                <w:color w:val="auto"/>
                <w:sz w:val="24"/>
                <w:szCs w:val="24"/>
                <w:highlight w:val="none"/>
                <w:vertAlign w:val="subscript"/>
              </w:rPr>
              <w:t>2</w:t>
            </w:r>
            <w:r>
              <w:rPr>
                <w:rFonts w:hint="default" w:ascii="Times New Roman" w:hAnsi="Times New Roman" w:cs="Times New Roman"/>
                <w:snapToGrid w:val="0"/>
                <w:color w:val="auto"/>
                <w:sz w:val="24"/>
                <w:szCs w:val="24"/>
                <w:highlight w:val="none"/>
              </w:rPr>
              <w:t>……qn——每种危险物质的最大存在量，t；</w:t>
            </w:r>
          </w:p>
          <w:p w14:paraId="07505DD9">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Q</w:t>
            </w:r>
            <w:r>
              <w:rPr>
                <w:rFonts w:hint="default" w:ascii="Times New Roman" w:hAnsi="Times New Roman" w:cs="Times New Roman"/>
                <w:snapToGrid w:val="0"/>
                <w:color w:val="auto"/>
                <w:sz w:val="24"/>
                <w:szCs w:val="24"/>
                <w:highlight w:val="none"/>
                <w:vertAlign w:val="subscript"/>
              </w:rPr>
              <w:t>1</w:t>
            </w:r>
            <w:r>
              <w:rPr>
                <w:rFonts w:hint="default" w:ascii="Times New Roman" w:hAnsi="Times New Roman" w:cs="Times New Roman"/>
                <w:snapToGrid w:val="0"/>
                <w:color w:val="auto"/>
                <w:sz w:val="24"/>
                <w:szCs w:val="24"/>
                <w:highlight w:val="none"/>
              </w:rPr>
              <w:t>、Q</w:t>
            </w:r>
            <w:r>
              <w:rPr>
                <w:rFonts w:hint="default" w:ascii="Times New Roman" w:hAnsi="Times New Roman" w:cs="Times New Roman"/>
                <w:snapToGrid w:val="0"/>
                <w:color w:val="auto"/>
                <w:sz w:val="24"/>
                <w:szCs w:val="24"/>
                <w:highlight w:val="none"/>
                <w:vertAlign w:val="subscript"/>
              </w:rPr>
              <w:t>2</w:t>
            </w:r>
            <w:r>
              <w:rPr>
                <w:rFonts w:hint="default" w:ascii="Times New Roman" w:hAnsi="Times New Roman" w:cs="Times New Roman"/>
                <w:snapToGrid w:val="0"/>
                <w:color w:val="auto"/>
                <w:sz w:val="24"/>
                <w:szCs w:val="24"/>
                <w:highlight w:val="none"/>
              </w:rPr>
              <w:t>……Qn——每种物质的临界量，t。</w:t>
            </w:r>
          </w:p>
          <w:p w14:paraId="611E4826">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当Q＜1时，该项目环境风险潜势为Ⅰ。</w:t>
            </w:r>
          </w:p>
          <w:p w14:paraId="49528145">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当Q≥1时，将Q值划分为：（1）1≤Q＜10；（2）10≤Q＜100；（3）Q≥100。</w:t>
            </w:r>
          </w:p>
          <w:p w14:paraId="73B7737F">
            <w:pPr>
              <w:adjustRightInd w:val="0"/>
              <w:snapToGrid w:val="0"/>
              <w:spacing w:line="240" w:lineRule="auto"/>
              <w:jc w:val="center"/>
              <w:rPr>
                <w:rFonts w:hint="default" w:ascii="Times New Roman" w:hAnsi="Times New Roman" w:cs="Times New Roman"/>
                <w:b/>
                <w:snapToGrid w:val="0"/>
                <w:color w:val="auto"/>
                <w:sz w:val="24"/>
                <w:szCs w:val="24"/>
                <w:highlight w:val="none"/>
              </w:rPr>
            </w:pPr>
            <w:r>
              <w:rPr>
                <w:rFonts w:hint="default" w:ascii="Times New Roman" w:hAnsi="Times New Roman" w:cs="Times New Roman"/>
                <w:b/>
                <w:snapToGrid w:val="0"/>
                <w:color w:val="auto"/>
                <w:sz w:val="24"/>
                <w:szCs w:val="24"/>
                <w:highlight w:val="none"/>
              </w:rPr>
              <w:t>表4-1</w:t>
            </w:r>
            <w:r>
              <w:rPr>
                <w:rFonts w:hint="eastAsia" w:cs="Times New Roman"/>
                <w:b/>
                <w:snapToGrid w:val="0"/>
                <w:color w:val="auto"/>
                <w:sz w:val="24"/>
                <w:szCs w:val="24"/>
                <w:highlight w:val="none"/>
                <w:lang w:val="en-US" w:eastAsia="zh-CN"/>
              </w:rPr>
              <w:t>6</w:t>
            </w:r>
            <w:r>
              <w:rPr>
                <w:rFonts w:hint="default" w:ascii="Times New Roman" w:hAnsi="Times New Roman" w:cs="Times New Roman"/>
                <w:b/>
                <w:snapToGrid w:val="0"/>
                <w:color w:val="auto"/>
                <w:sz w:val="24"/>
                <w:szCs w:val="24"/>
                <w:highlight w:val="none"/>
              </w:rPr>
              <w:t xml:space="preserve">  建设项目Q值确定表</w:t>
            </w:r>
          </w:p>
          <w:tbl>
            <w:tblPr>
              <w:tblStyle w:val="3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4"/>
              <w:gridCol w:w="2317"/>
              <w:gridCol w:w="1967"/>
              <w:gridCol w:w="1451"/>
              <w:gridCol w:w="1962"/>
            </w:tblGrid>
            <w:tr w14:paraId="64FBC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2" w:type="pct"/>
                  <w:noWrap w:val="0"/>
                  <w:vAlign w:val="center"/>
                </w:tcPr>
                <w:p w14:paraId="6A48F039">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序号</w:t>
                  </w:r>
                </w:p>
              </w:tc>
              <w:tc>
                <w:tcPr>
                  <w:tcW w:w="1369" w:type="pct"/>
                  <w:noWrap w:val="0"/>
                  <w:vAlign w:val="center"/>
                </w:tcPr>
                <w:p w14:paraId="7CC30F26">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物质名称</w:t>
                  </w:r>
                </w:p>
              </w:tc>
              <w:tc>
                <w:tcPr>
                  <w:tcW w:w="1162" w:type="pct"/>
                  <w:noWrap w:val="0"/>
                  <w:vAlign w:val="center"/>
                </w:tcPr>
                <w:p w14:paraId="53DF99C8">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最大存在总量q</w:t>
                  </w:r>
                  <w:r>
                    <w:rPr>
                      <w:rFonts w:hint="default" w:ascii="Times New Roman" w:hAnsi="Times New Roman" w:cs="Times New Roman"/>
                      <w:snapToGrid w:val="0"/>
                      <w:color w:val="auto"/>
                      <w:sz w:val="21"/>
                      <w:szCs w:val="21"/>
                      <w:highlight w:val="none"/>
                      <w:vertAlign w:val="subscript"/>
                    </w:rPr>
                    <w:t>n</w:t>
                  </w:r>
                  <w:r>
                    <w:rPr>
                      <w:rFonts w:hint="default" w:ascii="Times New Roman" w:hAnsi="Times New Roman" w:cs="Times New Roman"/>
                      <w:snapToGrid w:val="0"/>
                      <w:color w:val="auto"/>
                      <w:sz w:val="21"/>
                      <w:szCs w:val="21"/>
                      <w:highlight w:val="none"/>
                    </w:rPr>
                    <w:t>/t</w:t>
                  </w:r>
                </w:p>
              </w:tc>
              <w:tc>
                <w:tcPr>
                  <w:tcW w:w="856" w:type="pct"/>
                  <w:noWrap w:val="0"/>
                  <w:vAlign w:val="center"/>
                </w:tcPr>
                <w:p w14:paraId="5C771E0F">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临界量Q</w:t>
                  </w:r>
                  <w:r>
                    <w:rPr>
                      <w:rFonts w:hint="default" w:ascii="Times New Roman" w:hAnsi="Times New Roman" w:cs="Times New Roman"/>
                      <w:snapToGrid w:val="0"/>
                      <w:color w:val="auto"/>
                      <w:sz w:val="21"/>
                      <w:szCs w:val="21"/>
                      <w:highlight w:val="none"/>
                      <w:vertAlign w:val="subscript"/>
                    </w:rPr>
                    <w:t>n</w:t>
                  </w:r>
                  <w:r>
                    <w:rPr>
                      <w:rFonts w:hint="default" w:ascii="Times New Roman" w:hAnsi="Times New Roman" w:cs="Times New Roman"/>
                      <w:snapToGrid w:val="0"/>
                      <w:color w:val="auto"/>
                      <w:sz w:val="21"/>
                      <w:szCs w:val="21"/>
                      <w:highlight w:val="none"/>
                    </w:rPr>
                    <w:t>/t</w:t>
                  </w:r>
                </w:p>
              </w:tc>
              <w:tc>
                <w:tcPr>
                  <w:tcW w:w="1159" w:type="pct"/>
                  <w:noWrap w:val="0"/>
                  <w:vAlign w:val="center"/>
                </w:tcPr>
                <w:p w14:paraId="22FB5EE3">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该种危险物质Q值</w:t>
                  </w:r>
                </w:p>
              </w:tc>
            </w:tr>
            <w:tr w14:paraId="75D9B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52" w:type="pct"/>
                  <w:noWrap w:val="0"/>
                  <w:vAlign w:val="center"/>
                </w:tcPr>
                <w:p w14:paraId="00129402">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rPr>
                    <w:t>1</w:t>
                  </w:r>
                </w:p>
              </w:tc>
              <w:tc>
                <w:tcPr>
                  <w:tcW w:w="2317" w:type="dxa"/>
                  <w:noWrap w:val="0"/>
                  <w:vAlign w:val="center"/>
                </w:tcPr>
                <w:p w14:paraId="5F996FE9">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油泥</w:t>
                  </w:r>
                </w:p>
              </w:tc>
              <w:tc>
                <w:tcPr>
                  <w:tcW w:w="1967" w:type="dxa"/>
                  <w:noWrap w:val="0"/>
                  <w:vAlign w:val="center"/>
                </w:tcPr>
                <w:p w14:paraId="0B3D119A">
                  <w:pPr>
                    <w:pStyle w:val="106"/>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0.05</w:t>
                  </w:r>
                </w:p>
              </w:tc>
              <w:tc>
                <w:tcPr>
                  <w:tcW w:w="856" w:type="pct"/>
                  <w:noWrap w:val="0"/>
                  <w:vAlign w:val="center"/>
                </w:tcPr>
                <w:p w14:paraId="6E883ACE">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color w:val="auto"/>
                      <w:kern w:val="2"/>
                      <w:sz w:val="21"/>
                      <w:szCs w:val="21"/>
                      <w:highlight w:val="none"/>
                      <w:lang w:val="en-US" w:eastAsia="zh-CN" w:bidi="ar-SA"/>
                    </w:rPr>
                    <w:t>50</w:t>
                  </w:r>
                </w:p>
              </w:tc>
              <w:tc>
                <w:tcPr>
                  <w:tcW w:w="1962" w:type="dxa"/>
                  <w:noWrap w:val="0"/>
                  <w:vAlign w:val="center"/>
                </w:tcPr>
                <w:p w14:paraId="20A337D5">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0.001</w:t>
                  </w:r>
                </w:p>
              </w:tc>
            </w:tr>
            <w:tr w14:paraId="4E3A6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jc w:val="center"/>
              </w:trPr>
              <w:tc>
                <w:tcPr>
                  <w:tcW w:w="452" w:type="pct"/>
                  <w:noWrap w:val="0"/>
                  <w:vAlign w:val="center"/>
                </w:tcPr>
                <w:p w14:paraId="0BFA0019">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2</w:t>
                  </w:r>
                </w:p>
              </w:tc>
              <w:tc>
                <w:tcPr>
                  <w:tcW w:w="2317" w:type="dxa"/>
                  <w:noWrap w:val="0"/>
                  <w:vAlign w:val="center"/>
                </w:tcPr>
                <w:p w14:paraId="1B671031">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废渣</w:t>
                  </w:r>
                </w:p>
              </w:tc>
              <w:tc>
                <w:tcPr>
                  <w:tcW w:w="1967" w:type="dxa"/>
                  <w:noWrap w:val="0"/>
                  <w:vAlign w:val="center"/>
                </w:tcPr>
                <w:p w14:paraId="7F0430DD">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0.05</w:t>
                  </w:r>
                </w:p>
              </w:tc>
              <w:tc>
                <w:tcPr>
                  <w:tcW w:w="856" w:type="pct"/>
                  <w:noWrap w:val="0"/>
                  <w:vAlign w:val="center"/>
                </w:tcPr>
                <w:p w14:paraId="071DD13F">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color w:val="auto"/>
                      <w:kern w:val="2"/>
                      <w:sz w:val="21"/>
                      <w:szCs w:val="21"/>
                      <w:highlight w:val="none"/>
                      <w:lang w:val="en-US" w:eastAsia="zh-CN" w:bidi="ar-SA"/>
                    </w:rPr>
                    <w:t>50</w:t>
                  </w:r>
                </w:p>
              </w:tc>
              <w:tc>
                <w:tcPr>
                  <w:tcW w:w="1962" w:type="dxa"/>
                  <w:noWrap w:val="0"/>
                  <w:vAlign w:val="center"/>
                </w:tcPr>
                <w:p w14:paraId="131F7B9F">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0.001</w:t>
                  </w:r>
                </w:p>
              </w:tc>
            </w:tr>
            <w:tr w14:paraId="3208A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452" w:type="pct"/>
                  <w:noWrap w:val="0"/>
                  <w:vAlign w:val="center"/>
                </w:tcPr>
                <w:p w14:paraId="3C5B2612">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3</w:t>
                  </w:r>
                </w:p>
              </w:tc>
              <w:tc>
                <w:tcPr>
                  <w:tcW w:w="2317" w:type="dxa"/>
                  <w:noWrap w:val="0"/>
                  <w:vAlign w:val="center"/>
                </w:tcPr>
                <w:p w14:paraId="6A52F217">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片碱包装袋</w:t>
                  </w:r>
                </w:p>
              </w:tc>
              <w:tc>
                <w:tcPr>
                  <w:tcW w:w="1967" w:type="dxa"/>
                  <w:noWrap w:val="0"/>
                  <w:vAlign w:val="center"/>
                </w:tcPr>
                <w:p w14:paraId="4FB60B86">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0.02</w:t>
                  </w:r>
                </w:p>
              </w:tc>
              <w:tc>
                <w:tcPr>
                  <w:tcW w:w="856" w:type="pct"/>
                  <w:noWrap w:val="0"/>
                  <w:vAlign w:val="center"/>
                </w:tcPr>
                <w:p w14:paraId="7521A2B4">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color w:val="auto"/>
                      <w:kern w:val="2"/>
                      <w:sz w:val="21"/>
                      <w:szCs w:val="21"/>
                      <w:highlight w:val="none"/>
                      <w:lang w:val="en-US" w:eastAsia="zh-CN" w:bidi="ar-SA"/>
                    </w:rPr>
                    <w:t>50</w:t>
                  </w:r>
                </w:p>
              </w:tc>
              <w:tc>
                <w:tcPr>
                  <w:tcW w:w="1962" w:type="dxa"/>
                  <w:noWrap w:val="0"/>
                  <w:vAlign w:val="center"/>
                </w:tcPr>
                <w:p w14:paraId="76E1F0E1">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0.0004</w:t>
                  </w:r>
                </w:p>
              </w:tc>
            </w:tr>
            <w:tr w14:paraId="006C5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452" w:type="pct"/>
                  <w:noWrap w:val="0"/>
                  <w:vAlign w:val="center"/>
                </w:tcPr>
                <w:p w14:paraId="3E0ED48D">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4</w:t>
                  </w:r>
                </w:p>
              </w:tc>
              <w:tc>
                <w:tcPr>
                  <w:tcW w:w="2317" w:type="dxa"/>
                  <w:noWrap w:val="0"/>
                  <w:vAlign w:val="center"/>
                </w:tcPr>
                <w:p w14:paraId="5EF707FE">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盐酸废包装瓶</w:t>
                  </w:r>
                </w:p>
              </w:tc>
              <w:tc>
                <w:tcPr>
                  <w:tcW w:w="1967" w:type="dxa"/>
                  <w:noWrap w:val="0"/>
                  <w:vAlign w:val="center"/>
                </w:tcPr>
                <w:p w14:paraId="24164E1A">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0.01</w:t>
                  </w:r>
                </w:p>
              </w:tc>
              <w:tc>
                <w:tcPr>
                  <w:tcW w:w="856" w:type="pct"/>
                  <w:noWrap w:val="0"/>
                  <w:vAlign w:val="center"/>
                </w:tcPr>
                <w:p w14:paraId="70271B31">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color w:val="auto"/>
                      <w:kern w:val="2"/>
                      <w:sz w:val="21"/>
                      <w:szCs w:val="21"/>
                      <w:highlight w:val="none"/>
                      <w:lang w:val="en-US" w:eastAsia="zh-CN" w:bidi="ar-SA"/>
                    </w:rPr>
                    <w:t>50</w:t>
                  </w:r>
                </w:p>
              </w:tc>
              <w:tc>
                <w:tcPr>
                  <w:tcW w:w="1962" w:type="dxa"/>
                  <w:noWrap w:val="0"/>
                  <w:vAlign w:val="center"/>
                </w:tcPr>
                <w:p w14:paraId="7C91FC25">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0.0002</w:t>
                  </w:r>
                </w:p>
              </w:tc>
            </w:tr>
            <w:tr w14:paraId="167DF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jc w:val="center"/>
              </w:trPr>
              <w:tc>
                <w:tcPr>
                  <w:tcW w:w="452" w:type="pct"/>
                  <w:noWrap w:val="0"/>
                  <w:vAlign w:val="center"/>
                </w:tcPr>
                <w:p w14:paraId="2561AEB4">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5</w:t>
                  </w:r>
                </w:p>
              </w:tc>
              <w:tc>
                <w:tcPr>
                  <w:tcW w:w="2317" w:type="dxa"/>
                  <w:noWrap w:val="0"/>
                  <w:vAlign w:val="center"/>
                </w:tcPr>
                <w:p w14:paraId="3FFA349B">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废油桶</w:t>
                  </w:r>
                </w:p>
              </w:tc>
              <w:tc>
                <w:tcPr>
                  <w:tcW w:w="1967" w:type="dxa"/>
                  <w:noWrap w:val="0"/>
                  <w:vAlign w:val="center"/>
                </w:tcPr>
                <w:p w14:paraId="084A0386">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0.05</w:t>
                  </w:r>
                </w:p>
              </w:tc>
              <w:tc>
                <w:tcPr>
                  <w:tcW w:w="856" w:type="pct"/>
                  <w:noWrap w:val="0"/>
                  <w:vAlign w:val="center"/>
                </w:tcPr>
                <w:p w14:paraId="19D8F9DB">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color w:val="auto"/>
                      <w:kern w:val="2"/>
                      <w:sz w:val="21"/>
                      <w:szCs w:val="21"/>
                      <w:highlight w:val="none"/>
                      <w:lang w:val="en-US" w:eastAsia="zh-CN" w:bidi="ar-SA"/>
                    </w:rPr>
                    <w:t>50</w:t>
                  </w:r>
                </w:p>
              </w:tc>
              <w:tc>
                <w:tcPr>
                  <w:tcW w:w="1962" w:type="dxa"/>
                  <w:noWrap w:val="0"/>
                  <w:vAlign w:val="center"/>
                </w:tcPr>
                <w:p w14:paraId="1BC30724">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0.001</w:t>
                  </w:r>
                </w:p>
              </w:tc>
            </w:tr>
            <w:tr w14:paraId="69389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452" w:type="pct"/>
                  <w:noWrap w:val="0"/>
                  <w:vAlign w:val="center"/>
                </w:tcPr>
                <w:p w14:paraId="5AEE04FB">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6</w:t>
                  </w:r>
                </w:p>
              </w:tc>
              <w:tc>
                <w:tcPr>
                  <w:tcW w:w="2317" w:type="dxa"/>
                  <w:noWrap w:val="0"/>
                  <w:vAlign w:val="center"/>
                </w:tcPr>
                <w:p w14:paraId="425B53AB">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废切削液桶</w:t>
                  </w:r>
                </w:p>
              </w:tc>
              <w:tc>
                <w:tcPr>
                  <w:tcW w:w="1967" w:type="dxa"/>
                  <w:noWrap w:val="0"/>
                  <w:vAlign w:val="center"/>
                </w:tcPr>
                <w:p w14:paraId="0DDF4666">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0.03</w:t>
                  </w:r>
                </w:p>
              </w:tc>
              <w:tc>
                <w:tcPr>
                  <w:tcW w:w="856" w:type="pct"/>
                  <w:noWrap w:val="0"/>
                  <w:vAlign w:val="center"/>
                </w:tcPr>
                <w:p w14:paraId="78607168">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color w:val="auto"/>
                      <w:kern w:val="2"/>
                      <w:sz w:val="21"/>
                      <w:szCs w:val="21"/>
                      <w:highlight w:val="none"/>
                      <w:lang w:val="en-US" w:eastAsia="zh-CN" w:bidi="ar-SA"/>
                    </w:rPr>
                    <w:t>50</w:t>
                  </w:r>
                </w:p>
              </w:tc>
              <w:tc>
                <w:tcPr>
                  <w:tcW w:w="1962" w:type="dxa"/>
                  <w:noWrap w:val="0"/>
                  <w:vAlign w:val="center"/>
                </w:tcPr>
                <w:p w14:paraId="3A3D68C9">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0.001</w:t>
                  </w:r>
                </w:p>
              </w:tc>
            </w:tr>
            <w:tr w14:paraId="14557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jc w:val="center"/>
              </w:trPr>
              <w:tc>
                <w:tcPr>
                  <w:tcW w:w="452" w:type="pct"/>
                  <w:noWrap w:val="0"/>
                  <w:vAlign w:val="center"/>
                </w:tcPr>
                <w:p w14:paraId="69E46150">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7</w:t>
                  </w:r>
                </w:p>
              </w:tc>
              <w:tc>
                <w:tcPr>
                  <w:tcW w:w="2317" w:type="dxa"/>
                  <w:noWrap w:val="0"/>
                  <w:vAlign w:val="center"/>
                </w:tcPr>
                <w:p w14:paraId="26A7CE7F">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废切削液</w:t>
                  </w:r>
                </w:p>
              </w:tc>
              <w:tc>
                <w:tcPr>
                  <w:tcW w:w="1967" w:type="dxa"/>
                  <w:noWrap w:val="0"/>
                  <w:vAlign w:val="center"/>
                </w:tcPr>
                <w:p w14:paraId="04DF7759">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0.05</w:t>
                  </w:r>
                </w:p>
              </w:tc>
              <w:tc>
                <w:tcPr>
                  <w:tcW w:w="856" w:type="pct"/>
                  <w:noWrap w:val="0"/>
                  <w:vAlign w:val="center"/>
                </w:tcPr>
                <w:p w14:paraId="56230BDA">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color w:val="auto"/>
                      <w:kern w:val="2"/>
                      <w:sz w:val="21"/>
                      <w:szCs w:val="21"/>
                      <w:highlight w:val="none"/>
                      <w:lang w:val="en-US" w:eastAsia="zh-CN" w:bidi="ar-SA"/>
                    </w:rPr>
                    <w:t>50</w:t>
                  </w:r>
                </w:p>
              </w:tc>
              <w:tc>
                <w:tcPr>
                  <w:tcW w:w="1962" w:type="dxa"/>
                  <w:noWrap w:val="0"/>
                  <w:vAlign w:val="center"/>
                </w:tcPr>
                <w:p w14:paraId="37E8CB5F">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0.001</w:t>
                  </w:r>
                </w:p>
              </w:tc>
            </w:tr>
            <w:tr w14:paraId="01FB8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452" w:type="pct"/>
                  <w:noWrap w:val="0"/>
                  <w:vAlign w:val="center"/>
                </w:tcPr>
                <w:p w14:paraId="7EE4A3E4">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8</w:t>
                  </w:r>
                </w:p>
              </w:tc>
              <w:tc>
                <w:tcPr>
                  <w:tcW w:w="2317" w:type="dxa"/>
                  <w:noWrap w:val="0"/>
                  <w:vAlign w:val="center"/>
                </w:tcPr>
                <w:p w14:paraId="61CEEADF">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含切削液金属屑</w:t>
                  </w:r>
                </w:p>
              </w:tc>
              <w:tc>
                <w:tcPr>
                  <w:tcW w:w="1967" w:type="dxa"/>
                  <w:noWrap w:val="0"/>
                  <w:vAlign w:val="center"/>
                </w:tcPr>
                <w:p w14:paraId="58573A2E">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856" w:type="pct"/>
                  <w:noWrap w:val="0"/>
                  <w:vAlign w:val="center"/>
                </w:tcPr>
                <w:p w14:paraId="3A8908AC">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color w:val="auto"/>
                      <w:kern w:val="2"/>
                      <w:sz w:val="21"/>
                      <w:szCs w:val="21"/>
                      <w:highlight w:val="none"/>
                      <w:lang w:val="en-US" w:eastAsia="zh-CN" w:bidi="ar-SA"/>
                    </w:rPr>
                    <w:t>50</w:t>
                  </w:r>
                </w:p>
              </w:tc>
              <w:tc>
                <w:tcPr>
                  <w:tcW w:w="1962" w:type="dxa"/>
                  <w:noWrap w:val="0"/>
                  <w:vAlign w:val="center"/>
                </w:tcPr>
                <w:p w14:paraId="2129236A">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0.03</w:t>
                  </w:r>
                </w:p>
              </w:tc>
            </w:tr>
            <w:tr w14:paraId="796FB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452" w:type="pct"/>
                  <w:noWrap w:val="0"/>
                  <w:vAlign w:val="center"/>
                </w:tcPr>
                <w:p w14:paraId="60DDCBDE">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9</w:t>
                  </w:r>
                </w:p>
              </w:tc>
              <w:tc>
                <w:tcPr>
                  <w:tcW w:w="2317" w:type="dxa"/>
                  <w:noWrap w:val="0"/>
                  <w:vAlign w:val="center"/>
                </w:tcPr>
                <w:p w14:paraId="3DD360E1">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盐酸（30%）</w:t>
                  </w:r>
                </w:p>
              </w:tc>
              <w:tc>
                <w:tcPr>
                  <w:tcW w:w="1967" w:type="dxa"/>
                  <w:noWrap w:val="0"/>
                  <w:vAlign w:val="center"/>
                </w:tcPr>
                <w:p w14:paraId="24FD0BDD">
                  <w:pPr>
                    <w:pStyle w:val="106"/>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6（折算后4.86）</w:t>
                  </w:r>
                </w:p>
              </w:tc>
              <w:tc>
                <w:tcPr>
                  <w:tcW w:w="856" w:type="pct"/>
                  <w:noWrap w:val="0"/>
                  <w:vAlign w:val="center"/>
                </w:tcPr>
                <w:p w14:paraId="30DB1E7E">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7.5</w:t>
                  </w:r>
                </w:p>
              </w:tc>
              <w:tc>
                <w:tcPr>
                  <w:tcW w:w="1962" w:type="dxa"/>
                  <w:noWrap w:val="0"/>
                  <w:vAlign w:val="center"/>
                </w:tcPr>
                <w:p w14:paraId="15E0E112">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0.648</w:t>
                  </w:r>
                  <w:r>
                    <w:rPr>
                      <w:rFonts w:hint="default" w:ascii="Times New Roman" w:hAnsi="Times New Roman" w:eastAsia="宋体" w:cs="Times New Roman"/>
                      <w:color w:val="auto"/>
                      <w:sz w:val="21"/>
                      <w:szCs w:val="21"/>
                      <w:highlight w:val="none"/>
                      <w:lang w:val="en-US" w:eastAsia="zh-CN"/>
                    </w:rPr>
                    <w:t xml:space="preserve"> </w:t>
                  </w:r>
                </w:p>
              </w:tc>
            </w:tr>
            <w:tr w14:paraId="2E77E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452" w:type="pct"/>
                  <w:noWrap w:val="0"/>
                  <w:vAlign w:val="center"/>
                </w:tcPr>
                <w:p w14:paraId="41EC2F53">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10</w:t>
                  </w:r>
                </w:p>
              </w:tc>
              <w:tc>
                <w:tcPr>
                  <w:tcW w:w="2317" w:type="dxa"/>
                  <w:noWrap w:val="0"/>
                  <w:vAlign w:val="center"/>
                </w:tcPr>
                <w:p w14:paraId="0039D872">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液压油</w:t>
                  </w:r>
                </w:p>
              </w:tc>
              <w:tc>
                <w:tcPr>
                  <w:tcW w:w="1162" w:type="pct"/>
                  <w:noWrap w:val="0"/>
                  <w:vAlign w:val="center"/>
                </w:tcPr>
                <w:p w14:paraId="6312A6FF">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3.5</w:t>
                  </w:r>
                </w:p>
              </w:tc>
              <w:tc>
                <w:tcPr>
                  <w:tcW w:w="856" w:type="pct"/>
                  <w:noWrap w:val="0"/>
                  <w:vAlign w:val="center"/>
                </w:tcPr>
                <w:p w14:paraId="21F75FBF">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2500</w:t>
                  </w:r>
                </w:p>
              </w:tc>
              <w:tc>
                <w:tcPr>
                  <w:tcW w:w="1962" w:type="dxa"/>
                  <w:noWrap w:val="0"/>
                  <w:vAlign w:val="center"/>
                </w:tcPr>
                <w:p w14:paraId="028B7B4F">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0.0014</w:t>
                  </w:r>
                </w:p>
              </w:tc>
            </w:tr>
            <w:tr w14:paraId="6DF39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452" w:type="pct"/>
                  <w:noWrap w:val="0"/>
                  <w:vAlign w:val="center"/>
                </w:tcPr>
                <w:p w14:paraId="04253DFE">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11</w:t>
                  </w:r>
                </w:p>
              </w:tc>
              <w:tc>
                <w:tcPr>
                  <w:tcW w:w="2317" w:type="dxa"/>
                  <w:noWrap w:val="0"/>
                  <w:vAlign w:val="center"/>
                </w:tcPr>
                <w:p w14:paraId="2E3EDA2F">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切削液</w:t>
                  </w:r>
                </w:p>
              </w:tc>
              <w:tc>
                <w:tcPr>
                  <w:tcW w:w="1162" w:type="pct"/>
                  <w:noWrap w:val="0"/>
                  <w:vAlign w:val="center"/>
                </w:tcPr>
                <w:p w14:paraId="0921ACF8">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0.2</w:t>
                  </w:r>
                </w:p>
              </w:tc>
              <w:tc>
                <w:tcPr>
                  <w:tcW w:w="856" w:type="pct"/>
                  <w:noWrap w:val="0"/>
                  <w:vAlign w:val="center"/>
                </w:tcPr>
                <w:p w14:paraId="670CE0BE">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2500</w:t>
                  </w:r>
                </w:p>
              </w:tc>
              <w:tc>
                <w:tcPr>
                  <w:tcW w:w="1962" w:type="dxa"/>
                  <w:noWrap w:val="0"/>
                  <w:vAlign w:val="center"/>
                </w:tcPr>
                <w:p w14:paraId="369A2BD2">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0.00008</w:t>
                  </w:r>
                </w:p>
              </w:tc>
            </w:tr>
            <w:tr w14:paraId="00406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452" w:type="pct"/>
                  <w:noWrap w:val="0"/>
                  <w:vAlign w:val="center"/>
                </w:tcPr>
                <w:p w14:paraId="71EC0AE3">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12</w:t>
                  </w:r>
                </w:p>
              </w:tc>
              <w:tc>
                <w:tcPr>
                  <w:tcW w:w="2317" w:type="dxa"/>
                  <w:noWrap w:val="0"/>
                  <w:vAlign w:val="center"/>
                </w:tcPr>
                <w:p w14:paraId="2E95F855">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碱液</w:t>
                  </w:r>
                </w:p>
              </w:tc>
              <w:tc>
                <w:tcPr>
                  <w:tcW w:w="1162" w:type="pct"/>
                  <w:noWrap w:val="0"/>
                  <w:vAlign w:val="center"/>
                </w:tcPr>
                <w:p w14:paraId="5DE7DE56">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3.5</w:t>
                  </w:r>
                </w:p>
              </w:tc>
              <w:tc>
                <w:tcPr>
                  <w:tcW w:w="856" w:type="pct"/>
                  <w:noWrap w:val="0"/>
                  <w:vAlign w:val="center"/>
                </w:tcPr>
                <w:p w14:paraId="5CA630A8">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50</w:t>
                  </w:r>
                </w:p>
              </w:tc>
              <w:tc>
                <w:tcPr>
                  <w:tcW w:w="1962" w:type="dxa"/>
                  <w:noWrap w:val="0"/>
                  <w:vAlign w:val="center"/>
                </w:tcPr>
                <w:p w14:paraId="79F8151F">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0.07</w:t>
                  </w:r>
                </w:p>
              </w:tc>
            </w:tr>
            <w:tr w14:paraId="0B27E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840" w:type="pct"/>
                  <w:gridSpan w:val="4"/>
                  <w:noWrap w:val="0"/>
                  <w:vAlign w:val="center"/>
                </w:tcPr>
                <w:p w14:paraId="0E4D1B00">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lang w:val="en-US" w:eastAsia="zh-CN"/>
                    </w:rPr>
                    <w:t>总计</w:t>
                  </w:r>
                </w:p>
              </w:tc>
              <w:tc>
                <w:tcPr>
                  <w:tcW w:w="1962" w:type="dxa"/>
                  <w:noWrap w:val="0"/>
                  <w:vAlign w:val="center"/>
                </w:tcPr>
                <w:p w14:paraId="159C2A69">
                  <w:pPr>
                    <w:pStyle w:val="58"/>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0.75468</w:t>
                  </w:r>
                </w:p>
              </w:tc>
            </w:tr>
          </w:tbl>
          <w:p w14:paraId="41F9222E">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Q</w:t>
            </w:r>
            <w:r>
              <w:rPr>
                <w:rFonts w:hint="default" w:ascii="Times New Roman" w:hAnsi="Times New Roman" w:cs="Times New Roman"/>
                <w:snapToGrid w:val="0"/>
                <w:color w:val="auto"/>
                <w:sz w:val="24"/>
                <w:szCs w:val="24"/>
                <w:highlight w:val="none"/>
                <w:lang w:val="en-US" w:eastAsia="zh-CN"/>
              </w:rPr>
              <w:t>=0.75468</w:t>
            </w:r>
            <w:r>
              <w:rPr>
                <w:rFonts w:hint="default" w:ascii="Times New Roman" w:hAnsi="Times New Roman" w:cs="Times New Roman"/>
                <w:snapToGrid w:val="0"/>
                <w:color w:val="auto"/>
                <w:sz w:val="24"/>
                <w:szCs w:val="24"/>
                <w:highlight w:val="none"/>
              </w:rPr>
              <w:t>＜1，则本项目环境风险潜势为Ⅰ。</w:t>
            </w:r>
          </w:p>
          <w:p w14:paraId="3E709DC5">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color w:val="auto"/>
                <w:sz w:val="24"/>
                <w:szCs w:val="24"/>
                <w:highlight w:val="none"/>
              </w:rPr>
              <w:t>（</w:t>
            </w:r>
            <w:r>
              <w:rPr>
                <w:rFonts w:hint="default" w:ascii="Times New Roman" w:hAnsi="Times New Roman" w:cs="Times New Roman"/>
                <w:snapToGrid w:val="0"/>
                <w:color w:val="auto"/>
                <w:sz w:val="24"/>
                <w:szCs w:val="24"/>
                <w:highlight w:val="none"/>
              </w:rPr>
              <w:t>3）环境敏感目标概况</w:t>
            </w:r>
          </w:p>
          <w:p w14:paraId="6F949A77">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本项目位于</w:t>
            </w:r>
            <w:r>
              <w:rPr>
                <w:rFonts w:hint="default" w:ascii="Times New Roman" w:hAnsi="Times New Roman" w:eastAsia="宋体" w:cs="Times New Roman"/>
                <w:color w:val="auto"/>
                <w:highlight w:val="none"/>
                <w:lang w:val="en-US" w:eastAsia="zh-CN"/>
              </w:rPr>
              <w:t>秦皇岛市抚宁区日昌升农产品有限公司院内</w:t>
            </w:r>
            <w:r>
              <w:rPr>
                <w:rFonts w:hint="default" w:ascii="Times New Roman" w:hAnsi="Times New Roman" w:cs="Times New Roman"/>
                <w:snapToGrid w:val="0"/>
                <w:color w:val="auto"/>
                <w:sz w:val="24"/>
                <w:szCs w:val="24"/>
                <w:highlight w:val="none"/>
              </w:rPr>
              <w:t>。评价范围内不涉及自然保护区、风景名胜区、饮用水源保护区等环境敏感区。</w:t>
            </w:r>
          </w:p>
          <w:p w14:paraId="7066F975">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（4）环境风险识别</w:t>
            </w:r>
          </w:p>
          <w:p w14:paraId="3CD8A08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lang w:val="en-US" w:eastAsia="zh-CN"/>
              </w:rPr>
              <w:t>危险废物</w:t>
            </w:r>
            <w:r>
              <w:rPr>
                <w:rFonts w:hint="default" w:ascii="Times New Roman" w:hAnsi="Times New Roman" w:cs="Times New Roman"/>
                <w:snapToGrid w:val="0"/>
                <w:color w:val="auto"/>
                <w:sz w:val="24"/>
                <w:szCs w:val="24"/>
                <w:highlight w:val="none"/>
              </w:rPr>
              <w:t>泄漏</w:t>
            </w:r>
            <w:r>
              <w:rPr>
                <w:rFonts w:hint="default" w:ascii="Times New Roman" w:hAnsi="Times New Roman" w:cs="Times New Roman"/>
                <w:snapToGrid w:val="0"/>
                <w:color w:val="auto"/>
                <w:sz w:val="24"/>
                <w:szCs w:val="24"/>
                <w:highlight w:val="none"/>
                <w:lang w:val="en-US" w:eastAsia="zh-CN"/>
              </w:rPr>
              <w:t>有</w:t>
            </w:r>
            <w:r>
              <w:rPr>
                <w:rFonts w:hint="default" w:ascii="Times New Roman" w:hAnsi="Times New Roman" w:cs="Times New Roman"/>
                <w:snapToGrid w:val="0"/>
                <w:color w:val="auto"/>
                <w:sz w:val="24"/>
                <w:szCs w:val="24"/>
                <w:highlight w:val="none"/>
              </w:rPr>
              <w:t>发生火灾的可能性，项目环境风险识别见下表。</w:t>
            </w:r>
          </w:p>
          <w:p w14:paraId="3850F6E4">
            <w:pPr>
              <w:adjustRightInd w:val="0"/>
              <w:snapToGrid w:val="0"/>
              <w:spacing w:line="240" w:lineRule="auto"/>
              <w:jc w:val="center"/>
              <w:rPr>
                <w:rFonts w:hint="default" w:ascii="Times New Roman" w:hAnsi="Times New Roman" w:eastAsia="宋体" w:cs="Times New Roman"/>
                <w:b/>
                <w:bCs w:val="0"/>
                <w:snapToGrid w:val="0"/>
                <w:color w:val="auto"/>
                <w:sz w:val="24"/>
                <w:szCs w:val="24"/>
                <w:highlight w:val="none"/>
              </w:rPr>
            </w:pPr>
          </w:p>
          <w:p w14:paraId="69AACC33">
            <w:pPr>
              <w:adjustRightInd w:val="0"/>
              <w:snapToGrid w:val="0"/>
              <w:spacing w:line="240" w:lineRule="auto"/>
              <w:jc w:val="center"/>
              <w:rPr>
                <w:rFonts w:hint="default" w:ascii="Times New Roman" w:hAnsi="Times New Roman" w:eastAsia="宋体" w:cs="Times New Roman"/>
                <w:b/>
                <w:bCs w:val="0"/>
                <w:snapToGrid w:val="0"/>
                <w:color w:val="auto"/>
                <w:sz w:val="24"/>
                <w:szCs w:val="24"/>
                <w:highlight w:val="none"/>
              </w:rPr>
            </w:pPr>
          </w:p>
          <w:p w14:paraId="0FDC4845">
            <w:pPr>
              <w:adjustRightInd w:val="0"/>
              <w:snapToGrid w:val="0"/>
              <w:spacing w:line="240" w:lineRule="auto"/>
              <w:jc w:val="center"/>
              <w:rPr>
                <w:rFonts w:hint="default" w:ascii="Times New Roman" w:hAnsi="Times New Roman" w:eastAsia="宋体" w:cs="Times New Roman"/>
                <w:b/>
                <w:bCs w:val="0"/>
                <w:snapToGrid w:val="0"/>
                <w:color w:val="auto"/>
                <w:sz w:val="24"/>
                <w:szCs w:val="24"/>
                <w:highlight w:val="none"/>
              </w:rPr>
            </w:pPr>
          </w:p>
          <w:p w14:paraId="06A9A7E5">
            <w:pPr>
              <w:adjustRightInd w:val="0"/>
              <w:snapToGrid w:val="0"/>
              <w:spacing w:line="240" w:lineRule="auto"/>
              <w:jc w:val="center"/>
              <w:rPr>
                <w:rFonts w:hint="default" w:ascii="Times New Roman" w:hAnsi="Times New Roman" w:eastAsia="宋体" w:cs="Times New Roman"/>
                <w:b/>
                <w:bCs w:val="0"/>
                <w:snapToGrid w:val="0"/>
                <w:color w:val="auto"/>
                <w:sz w:val="24"/>
                <w:szCs w:val="24"/>
                <w:highlight w:val="none"/>
              </w:rPr>
            </w:pPr>
          </w:p>
          <w:p w14:paraId="7B7E38EB">
            <w:pPr>
              <w:adjustRightInd w:val="0"/>
              <w:snapToGrid w:val="0"/>
              <w:spacing w:line="240" w:lineRule="auto"/>
              <w:jc w:val="center"/>
              <w:rPr>
                <w:rFonts w:hint="default" w:ascii="Times New Roman" w:hAnsi="Times New Roman" w:eastAsia="宋体" w:cs="Times New Roman"/>
                <w:b/>
                <w:bCs w:val="0"/>
                <w:snapToGrid w:val="0"/>
                <w:color w:val="auto"/>
                <w:sz w:val="24"/>
                <w:szCs w:val="24"/>
                <w:highlight w:val="none"/>
              </w:rPr>
            </w:pPr>
            <w:r>
              <w:rPr>
                <w:rFonts w:hint="default" w:ascii="Times New Roman" w:hAnsi="Times New Roman" w:eastAsia="宋体" w:cs="Times New Roman"/>
                <w:b/>
                <w:bCs w:val="0"/>
                <w:snapToGrid w:val="0"/>
                <w:color w:val="auto"/>
                <w:sz w:val="24"/>
                <w:szCs w:val="24"/>
                <w:highlight w:val="none"/>
              </w:rPr>
              <w:t>表4-1</w:t>
            </w:r>
            <w:r>
              <w:rPr>
                <w:rFonts w:hint="eastAsia" w:cs="Times New Roman"/>
                <w:b/>
                <w:bCs w:val="0"/>
                <w:snapToGrid w:val="0"/>
                <w:color w:val="auto"/>
                <w:sz w:val="24"/>
                <w:szCs w:val="24"/>
                <w:highlight w:val="none"/>
                <w:lang w:val="en-US" w:eastAsia="zh-CN"/>
              </w:rPr>
              <w:t>7</w:t>
            </w:r>
            <w:r>
              <w:rPr>
                <w:rFonts w:hint="default" w:ascii="Times New Roman" w:hAnsi="Times New Roman" w:eastAsia="宋体" w:cs="Times New Roman"/>
                <w:b/>
                <w:bCs w:val="0"/>
                <w:snapToGrid w:val="0"/>
                <w:color w:val="auto"/>
                <w:sz w:val="24"/>
                <w:szCs w:val="24"/>
                <w:highlight w:val="none"/>
              </w:rPr>
              <w:t xml:space="preserve">  环境风险识别一览表</w:t>
            </w:r>
          </w:p>
          <w:tbl>
            <w:tblPr>
              <w:tblStyle w:val="3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12"/>
              <w:gridCol w:w="2086"/>
              <w:gridCol w:w="2979"/>
              <w:gridCol w:w="2087"/>
            </w:tblGrid>
            <w:tr w14:paraId="7A2A4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5" w:type="pct"/>
                  <w:noWrap w:val="0"/>
                  <w:vAlign w:val="center"/>
                </w:tcPr>
                <w:p w14:paraId="56D1384A">
                  <w:pPr>
                    <w:adjustRightInd w:val="0"/>
                    <w:snapToGrid w:val="0"/>
                    <w:spacing w:line="240" w:lineRule="auto"/>
                    <w:jc w:val="center"/>
                    <w:rPr>
                      <w:rFonts w:hint="default" w:ascii="Times New Roman" w:hAnsi="Times New Roman" w:eastAsia="宋体" w:cs="Times New Roman"/>
                      <w:b w:val="0"/>
                      <w:bCs/>
                      <w:snapToGrid w:val="0"/>
                      <w:color w:val="auto"/>
                      <w:sz w:val="21"/>
                      <w:szCs w:val="21"/>
                      <w:highlight w:val="none"/>
                    </w:rPr>
                  </w:pPr>
                  <w:r>
                    <w:rPr>
                      <w:rFonts w:hint="default" w:ascii="Times New Roman" w:hAnsi="Times New Roman" w:eastAsia="宋体" w:cs="Times New Roman"/>
                      <w:b w:val="0"/>
                      <w:bCs/>
                      <w:snapToGrid w:val="0"/>
                      <w:color w:val="auto"/>
                      <w:sz w:val="21"/>
                      <w:szCs w:val="21"/>
                      <w:highlight w:val="none"/>
                    </w:rPr>
                    <w:t>序号</w:t>
                  </w:r>
                </w:p>
              </w:tc>
              <w:tc>
                <w:tcPr>
                  <w:tcW w:w="1232" w:type="pct"/>
                  <w:noWrap w:val="0"/>
                  <w:vAlign w:val="center"/>
                </w:tcPr>
                <w:p w14:paraId="0C5CA1B5">
                  <w:pPr>
                    <w:adjustRightInd w:val="0"/>
                    <w:snapToGrid w:val="0"/>
                    <w:spacing w:line="240" w:lineRule="auto"/>
                    <w:jc w:val="center"/>
                    <w:rPr>
                      <w:rFonts w:hint="default" w:ascii="Times New Roman" w:hAnsi="Times New Roman" w:eastAsia="宋体" w:cs="Times New Roman"/>
                      <w:b w:val="0"/>
                      <w:bCs/>
                      <w:snapToGrid w:val="0"/>
                      <w:color w:val="auto"/>
                      <w:sz w:val="21"/>
                      <w:szCs w:val="21"/>
                      <w:highlight w:val="none"/>
                    </w:rPr>
                  </w:pPr>
                  <w:r>
                    <w:rPr>
                      <w:rFonts w:hint="default" w:ascii="Times New Roman" w:hAnsi="Times New Roman" w:eastAsia="宋体" w:cs="Times New Roman"/>
                      <w:b w:val="0"/>
                      <w:bCs/>
                      <w:snapToGrid w:val="0"/>
                      <w:color w:val="auto"/>
                      <w:sz w:val="21"/>
                      <w:szCs w:val="21"/>
                      <w:highlight w:val="none"/>
                    </w:rPr>
                    <w:t>风险源</w:t>
                  </w:r>
                </w:p>
              </w:tc>
              <w:tc>
                <w:tcPr>
                  <w:tcW w:w="1759" w:type="pct"/>
                  <w:noWrap w:val="0"/>
                  <w:vAlign w:val="center"/>
                </w:tcPr>
                <w:p w14:paraId="0B2C845E">
                  <w:pPr>
                    <w:adjustRightInd w:val="0"/>
                    <w:snapToGrid w:val="0"/>
                    <w:spacing w:line="240" w:lineRule="auto"/>
                    <w:jc w:val="center"/>
                    <w:rPr>
                      <w:rFonts w:hint="default" w:ascii="Times New Roman" w:hAnsi="Times New Roman" w:eastAsia="宋体" w:cs="Times New Roman"/>
                      <w:b w:val="0"/>
                      <w:bCs/>
                      <w:snapToGrid w:val="0"/>
                      <w:color w:val="auto"/>
                      <w:sz w:val="21"/>
                      <w:szCs w:val="21"/>
                      <w:highlight w:val="none"/>
                    </w:rPr>
                  </w:pPr>
                  <w:r>
                    <w:rPr>
                      <w:rFonts w:hint="default" w:ascii="Times New Roman" w:hAnsi="Times New Roman" w:eastAsia="宋体" w:cs="Times New Roman"/>
                      <w:b w:val="0"/>
                      <w:bCs/>
                      <w:snapToGrid w:val="0"/>
                      <w:color w:val="auto"/>
                      <w:sz w:val="21"/>
                      <w:szCs w:val="21"/>
                      <w:highlight w:val="none"/>
                    </w:rPr>
                    <w:t>风险物质</w:t>
                  </w:r>
                </w:p>
              </w:tc>
              <w:tc>
                <w:tcPr>
                  <w:tcW w:w="1232" w:type="pct"/>
                  <w:noWrap w:val="0"/>
                  <w:vAlign w:val="center"/>
                </w:tcPr>
                <w:p w14:paraId="6F1B2704">
                  <w:pPr>
                    <w:adjustRightInd w:val="0"/>
                    <w:snapToGrid w:val="0"/>
                    <w:spacing w:line="240" w:lineRule="auto"/>
                    <w:jc w:val="center"/>
                    <w:rPr>
                      <w:rFonts w:hint="default" w:ascii="Times New Roman" w:hAnsi="Times New Roman" w:eastAsia="宋体" w:cs="Times New Roman"/>
                      <w:b w:val="0"/>
                      <w:bCs/>
                      <w:snapToGrid w:val="0"/>
                      <w:color w:val="auto"/>
                      <w:sz w:val="21"/>
                      <w:szCs w:val="21"/>
                      <w:highlight w:val="none"/>
                    </w:rPr>
                  </w:pPr>
                  <w:r>
                    <w:rPr>
                      <w:rFonts w:hint="default" w:ascii="Times New Roman" w:hAnsi="Times New Roman" w:eastAsia="宋体" w:cs="Times New Roman"/>
                      <w:b w:val="0"/>
                      <w:bCs/>
                      <w:snapToGrid w:val="0"/>
                      <w:color w:val="auto"/>
                      <w:sz w:val="21"/>
                      <w:szCs w:val="21"/>
                      <w:highlight w:val="none"/>
                    </w:rPr>
                    <w:t>风险类型</w:t>
                  </w:r>
                </w:p>
              </w:tc>
            </w:tr>
            <w:tr w14:paraId="1C867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5" w:type="pct"/>
                  <w:noWrap w:val="0"/>
                  <w:vAlign w:val="center"/>
                </w:tcPr>
                <w:p w14:paraId="2B80DDDE">
                  <w:pPr>
                    <w:adjustRightInd w:val="0"/>
                    <w:snapToGrid w:val="0"/>
                    <w:spacing w:line="240" w:lineRule="auto"/>
                    <w:jc w:val="center"/>
                    <w:rPr>
                      <w:rFonts w:hint="default" w:ascii="Times New Roman" w:hAnsi="Times New Roman" w:eastAsia="宋体" w:cs="Times New Roman"/>
                      <w:b w:val="0"/>
                      <w:bCs/>
                      <w:snapToGrid w:val="0"/>
                      <w:color w:val="auto"/>
                      <w:sz w:val="21"/>
                      <w:szCs w:val="21"/>
                      <w:highlight w:val="none"/>
                    </w:rPr>
                  </w:pPr>
                  <w:r>
                    <w:rPr>
                      <w:rFonts w:hint="default" w:ascii="Times New Roman" w:hAnsi="Times New Roman" w:eastAsia="宋体" w:cs="Times New Roman"/>
                      <w:b w:val="0"/>
                      <w:bCs/>
                      <w:snapToGrid w:val="0"/>
                      <w:color w:val="auto"/>
                      <w:sz w:val="21"/>
                      <w:szCs w:val="21"/>
                      <w:highlight w:val="none"/>
                    </w:rPr>
                    <w:t>1</w:t>
                  </w:r>
                </w:p>
              </w:tc>
              <w:tc>
                <w:tcPr>
                  <w:tcW w:w="1232" w:type="pct"/>
                  <w:noWrap w:val="0"/>
                  <w:vAlign w:val="center"/>
                </w:tcPr>
                <w:p w14:paraId="776E6349">
                  <w:pPr>
                    <w:adjustRightInd w:val="0"/>
                    <w:snapToGrid w:val="0"/>
                    <w:spacing w:line="240" w:lineRule="auto"/>
                    <w:jc w:val="center"/>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危险废物暂存间</w:t>
                  </w:r>
                </w:p>
              </w:tc>
              <w:tc>
                <w:tcPr>
                  <w:tcW w:w="1759" w:type="pct"/>
                  <w:noWrap w:val="0"/>
                  <w:vAlign w:val="center"/>
                </w:tcPr>
                <w:p w14:paraId="38B46177">
                  <w:pPr>
                    <w:adjustRightInd w:val="0"/>
                    <w:snapToGrid w:val="0"/>
                    <w:spacing w:line="240" w:lineRule="auto"/>
                    <w:jc w:val="center"/>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危险废物</w:t>
                  </w:r>
                </w:p>
              </w:tc>
              <w:tc>
                <w:tcPr>
                  <w:tcW w:w="1232" w:type="pct"/>
                  <w:noWrap w:val="0"/>
                  <w:vAlign w:val="center"/>
                </w:tcPr>
                <w:p w14:paraId="2259361B">
                  <w:pPr>
                    <w:adjustRightInd w:val="0"/>
                    <w:snapToGrid w:val="0"/>
                    <w:spacing w:line="240" w:lineRule="auto"/>
                    <w:jc w:val="center"/>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rPr>
                    <w:t>泄漏</w:t>
                  </w:r>
                  <w:r>
                    <w:rPr>
                      <w:rFonts w:hint="default" w:ascii="Times New Roman" w:hAnsi="Times New Roman" w:cs="Times New Roman"/>
                      <w:b w:val="0"/>
                      <w:bCs/>
                      <w:snapToGrid w:val="0"/>
                      <w:color w:val="auto"/>
                      <w:sz w:val="21"/>
                      <w:szCs w:val="21"/>
                      <w:highlight w:val="none"/>
                      <w:lang w:eastAsia="zh-CN"/>
                    </w:rPr>
                    <w:t>、</w:t>
                  </w:r>
                  <w:r>
                    <w:rPr>
                      <w:rFonts w:hint="default" w:ascii="Times New Roman" w:hAnsi="Times New Roman" w:cs="Times New Roman"/>
                      <w:b w:val="0"/>
                      <w:bCs/>
                      <w:snapToGrid w:val="0"/>
                      <w:color w:val="auto"/>
                      <w:sz w:val="21"/>
                      <w:szCs w:val="21"/>
                      <w:highlight w:val="none"/>
                      <w:lang w:val="en-US" w:eastAsia="zh-CN"/>
                    </w:rPr>
                    <w:t>火灾</w:t>
                  </w:r>
                </w:p>
              </w:tc>
            </w:tr>
            <w:tr w14:paraId="761D5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5" w:type="pct"/>
                  <w:noWrap w:val="0"/>
                  <w:vAlign w:val="center"/>
                </w:tcPr>
                <w:p w14:paraId="3927A5AE">
                  <w:pPr>
                    <w:adjustRightInd w:val="0"/>
                    <w:snapToGrid w:val="0"/>
                    <w:spacing w:line="240" w:lineRule="auto"/>
                    <w:jc w:val="center"/>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2</w:t>
                  </w:r>
                </w:p>
              </w:tc>
              <w:tc>
                <w:tcPr>
                  <w:tcW w:w="2086" w:type="dxa"/>
                  <w:noWrap w:val="0"/>
                  <w:vAlign w:val="center"/>
                </w:tcPr>
                <w:p w14:paraId="426D4E16">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b w:val="0"/>
                      <w:bCs/>
                      <w:snapToGrid w:val="0"/>
                      <w:color w:val="auto"/>
                      <w:kern w:val="2"/>
                      <w:sz w:val="21"/>
                      <w:szCs w:val="21"/>
                      <w:highlight w:val="none"/>
                      <w:lang w:val="en-US" w:eastAsia="zh-CN" w:bidi="ar-SA"/>
                    </w:rPr>
                  </w:pPr>
                  <w:r>
                    <w:rPr>
                      <w:rFonts w:hint="default" w:ascii="Times New Roman" w:hAnsi="Times New Roman" w:eastAsia="宋体" w:cs="Times New Roman"/>
                      <w:b w:val="0"/>
                      <w:bCs/>
                      <w:snapToGrid w:val="0"/>
                      <w:color w:val="auto"/>
                      <w:kern w:val="2"/>
                      <w:sz w:val="21"/>
                      <w:szCs w:val="21"/>
                      <w:highlight w:val="none"/>
                      <w:lang w:val="en-US" w:eastAsia="zh-CN" w:bidi="ar-SA"/>
                    </w:rPr>
                    <w:t>酸洗槽</w:t>
                  </w:r>
                </w:p>
              </w:tc>
              <w:tc>
                <w:tcPr>
                  <w:tcW w:w="2979" w:type="dxa"/>
                  <w:noWrap w:val="0"/>
                  <w:vAlign w:val="center"/>
                </w:tcPr>
                <w:p w14:paraId="26ADA5F8">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b w:val="0"/>
                      <w:bCs/>
                      <w:snapToGrid w:val="0"/>
                      <w:color w:val="auto"/>
                      <w:kern w:val="2"/>
                      <w:sz w:val="21"/>
                      <w:szCs w:val="21"/>
                      <w:highlight w:val="none"/>
                      <w:lang w:val="en-US" w:eastAsia="zh-CN" w:bidi="ar-SA"/>
                    </w:rPr>
                  </w:pPr>
                  <w:r>
                    <w:rPr>
                      <w:rFonts w:hint="default" w:ascii="Times New Roman" w:hAnsi="Times New Roman" w:eastAsia="宋体" w:cs="Times New Roman"/>
                      <w:b w:val="0"/>
                      <w:bCs/>
                      <w:snapToGrid w:val="0"/>
                      <w:color w:val="auto"/>
                      <w:kern w:val="2"/>
                      <w:sz w:val="21"/>
                      <w:szCs w:val="21"/>
                      <w:highlight w:val="none"/>
                      <w:lang w:val="en-US" w:eastAsia="zh-CN" w:bidi="ar-SA"/>
                    </w:rPr>
                    <w:t>盐酸（30%）</w:t>
                  </w:r>
                </w:p>
              </w:tc>
              <w:tc>
                <w:tcPr>
                  <w:tcW w:w="1232" w:type="pct"/>
                  <w:noWrap w:val="0"/>
                  <w:vAlign w:val="center"/>
                </w:tcPr>
                <w:p w14:paraId="2822CF80">
                  <w:pPr>
                    <w:adjustRightInd w:val="0"/>
                    <w:snapToGrid w:val="0"/>
                    <w:spacing w:line="240" w:lineRule="auto"/>
                    <w:jc w:val="center"/>
                    <w:rPr>
                      <w:rFonts w:hint="default" w:ascii="Times New Roman" w:hAnsi="Times New Roman" w:eastAsia="宋体" w:cs="Times New Roman"/>
                      <w:b w:val="0"/>
                      <w:bCs/>
                      <w:snapToGrid w:val="0"/>
                      <w:color w:val="auto"/>
                      <w:kern w:val="2"/>
                      <w:sz w:val="21"/>
                      <w:szCs w:val="21"/>
                      <w:highlight w:val="none"/>
                      <w:lang w:val="en-US" w:eastAsia="zh-CN" w:bidi="ar-SA"/>
                    </w:rPr>
                  </w:pPr>
                  <w:r>
                    <w:rPr>
                      <w:rFonts w:hint="default" w:ascii="Times New Roman" w:hAnsi="Times New Roman" w:eastAsia="宋体" w:cs="Times New Roman"/>
                      <w:b w:val="0"/>
                      <w:bCs/>
                      <w:snapToGrid w:val="0"/>
                      <w:color w:val="auto"/>
                      <w:kern w:val="2"/>
                      <w:sz w:val="21"/>
                      <w:szCs w:val="21"/>
                      <w:highlight w:val="none"/>
                      <w:lang w:val="en-US" w:eastAsia="zh-CN" w:bidi="ar-SA"/>
                    </w:rPr>
                    <w:t>泄漏</w:t>
                  </w:r>
                </w:p>
              </w:tc>
            </w:tr>
            <w:tr w14:paraId="09478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5" w:type="pct"/>
                  <w:noWrap w:val="0"/>
                  <w:vAlign w:val="center"/>
                </w:tcPr>
                <w:p w14:paraId="6F1DD5F8">
                  <w:pPr>
                    <w:adjustRightInd w:val="0"/>
                    <w:snapToGrid w:val="0"/>
                    <w:spacing w:line="240" w:lineRule="auto"/>
                    <w:jc w:val="center"/>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3</w:t>
                  </w:r>
                </w:p>
              </w:tc>
              <w:tc>
                <w:tcPr>
                  <w:tcW w:w="2086" w:type="dxa"/>
                  <w:noWrap w:val="0"/>
                  <w:vAlign w:val="center"/>
                </w:tcPr>
                <w:p w14:paraId="583EA919">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b w:val="0"/>
                      <w:bCs/>
                      <w:snapToGrid w:val="0"/>
                      <w:color w:val="auto"/>
                      <w:kern w:val="2"/>
                      <w:sz w:val="21"/>
                      <w:szCs w:val="21"/>
                      <w:highlight w:val="none"/>
                      <w:lang w:val="en-US" w:eastAsia="zh-CN" w:bidi="ar-SA"/>
                    </w:rPr>
                  </w:pPr>
                  <w:r>
                    <w:rPr>
                      <w:rFonts w:hint="default" w:ascii="Times New Roman" w:hAnsi="Times New Roman" w:eastAsia="宋体" w:cs="Times New Roman"/>
                      <w:b w:val="0"/>
                      <w:bCs/>
                      <w:snapToGrid w:val="0"/>
                      <w:color w:val="auto"/>
                      <w:kern w:val="2"/>
                      <w:sz w:val="21"/>
                      <w:szCs w:val="21"/>
                      <w:highlight w:val="none"/>
                      <w:lang w:val="en-US" w:eastAsia="zh-CN" w:bidi="ar-SA"/>
                    </w:rPr>
                    <w:t>油洗槽</w:t>
                  </w:r>
                </w:p>
              </w:tc>
              <w:tc>
                <w:tcPr>
                  <w:tcW w:w="2979" w:type="dxa"/>
                  <w:noWrap w:val="0"/>
                  <w:vAlign w:val="center"/>
                </w:tcPr>
                <w:p w14:paraId="2905F29F">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b w:val="0"/>
                      <w:bCs/>
                      <w:snapToGrid w:val="0"/>
                      <w:color w:val="auto"/>
                      <w:kern w:val="2"/>
                      <w:sz w:val="21"/>
                      <w:szCs w:val="21"/>
                      <w:highlight w:val="none"/>
                      <w:lang w:val="en-US" w:eastAsia="zh-CN" w:bidi="ar-SA"/>
                    </w:rPr>
                  </w:pPr>
                  <w:r>
                    <w:rPr>
                      <w:rFonts w:hint="default" w:ascii="Times New Roman" w:hAnsi="Times New Roman" w:eastAsia="宋体" w:cs="Times New Roman"/>
                      <w:b w:val="0"/>
                      <w:bCs/>
                      <w:snapToGrid w:val="0"/>
                      <w:color w:val="auto"/>
                      <w:kern w:val="2"/>
                      <w:sz w:val="21"/>
                      <w:szCs w:val="21"/>
                      <w:highlight w:val="none"/>
                      <w:lang w:val="en-US" w:eastAsia="zh-CN" w:bidi="ar-SA"/>
                    </w:rPr>
                    <w:t>液压油</w:t>
                  </w:r>
                </w:p>
              </w:tc>
              <w:tc>
                <w:tcPr>
                  <w:tcW w:w="1232" w:type="pct"/>
                  <w:noWrap w:val="0"/>
                  <w:vAlign w:val="center"/>
                </w:tcPr>
                <w:p w14:paraId="069F8A1B">
                  <w:pPr>
                    <w:adjustRightInd w:val="0"/>
                    <w:snapToGrid w:val="0"/>
                    <w:spacing w:line="240" w:lineRule="auto"/>
                    <w:jc w:val="center"/>
                    <w:rPr>
                      <w:rFonts w:hint="default" w:ascii="Times New Roman" w:hAnsi="Times New Roman" w:eastAsia="宋体" w:cs="Times New Roman"/>
                      <w:b w:val="0"/>
                      <w:bCs/>
                      <w:snapToGrid w:val="0"/>
                      <w:color w:val="auto"/>
                      <w:kern w:val="2"/>
                      <w:sz w:val="21"/>
                      <w:szCs w:val="21"/>
                      <w:highlight w:val="none"/>
                      <w:lang w:val="en-US" w:eastAsia="zh-CN" w:bidi="ar-SA"/>
                    </w:rPr>
                  </w:pPr>
                  <w:r>
                    <w:rPr>
                      <w:rFonts w:hint="default" w:ascii="Times New Roman" w:hAnsi="Times New Roman" w:eastAsia="宋体" w:cs="Times New Roman"/>
                      <w:b w:val="0"/>
                      <w:bCs/>
                      <w:snapToGrid w:val="0"/>
                      <w:color w:val="auto"/>
                      <w:kern w:val="2"/>
                      <w:sz w:val="21"/>
                      <w:szCs w:val="21"/>
                      <w:highlight w:val="none"/>
                      <w:lang w:val="en-US" w:eastAsia="zh-CN" w:bidi="ar-SA"/>
                    </w:rPr>
                    <w:t>泄漏、火灾</w:t>
                  </w:r>
                </w:p>
              </w:tc>
            </w:tr>
            <w:tr w14:paraId="74621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5" w:type="pct"/>
                  <w:noWrap w:val="0"/>
                  <w:vAlign w:val="center"/>
                </w:tcPr>
                <w:p w14:paraId="43DA3F0A">
                  <w:pPr>
                    <w:adjustRightInd w:val="0"/>
                    <w:snapToGrid w:val="0"/>
                    <w:spacing w:line="240" w:lineRule="auto"/>
                    <w:jc w:val="center"/>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4</w:t>
                  </w:r>
                </w:p>
              </w:tc>
              <w:tc>
                <w:tcPr>
                  <w:tcW w:w="2086" w:type="dxa"/>
                  <w:noWrap w:val="0"/>
                  <w:vAlign w:val="center"/>
                </w:tcPr>
                <w:p w14:paraId="3FEBD340">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b w:val="0"/>
                      <w:bCs/>
                      <w:snapToGrid w:val="0"/>
                      <w:color w:val="auto"/>
                      <w:kern w:val="2"/>
                      <w:sz w:val="21"/>
                      <w:szCs w:val="21"/>
                      <w:highlight w:val="none"/>
                      <w:lang w:val="en-US" w:eastAsia="zh-CN" w:bidi="ar-SA"/>
                    </w:rPr>
                  </w:pPr>
                  <w:r>
                    <w:rPr>
                      <w:rFonts w:hint="default" w:ascii="Times New Roman" w:hAnsi="Times New Roman" w:eastAsia="宋体" w:cs="Times New Roman"/>
                      <w:b w:val="0"/>
                      <w:bCs/>
                      <w:snapToGrid w:val="0"/>
                      <w:color w:val="auto"/>
                      <w:kern w:val="2"/>
                      <w:sz w:val="21"/>
                      <w:szCs w:val="21"/>
                      <w:highlight w:val="none"/>
                      <w:lang w:val="en-US" w:eastAsia="zh-CN" w:bidi="ar-SA"/>
                    </w:rPr>
                    <w:t>生产车间</w:t>
                  </w:r>
                </w:p>
              </w:tc>
              <w:tc>
                <w:tcPr>
                  <w:tcW w:w="2979" w:type="dxa"/>
                  <w:noWrap w:val="0"/>
                  <w:vAlign w:val="center"/>
                </w:tcPr>
                <w:p w14:paraId="28C0F14D">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b w:val="0"/>
                      <w:bCs/>
                      <w:snapToGrid w:val="0"/>
                      <w:color w:val="auto"/>
                      <w:kern w:val="2"/>
                      <w:sz w:val="21"/>
                      <w:szCs w:val="21"/>
                      <w:highlight w:val="none"/>
                      <w:lang w:val="en-US" w:eastAsia="zh-CN" w:bidi="ar-SA"/>
                    </w:rPr>
                  </w:pPr>
                  <w:r>
                    <w:rPr>
                      <w:rFonts w:hint="default" w:ascii="Times New Roman" w:hAnsi="Times New Roman" w:eastAsia="宋体" w:cs="Times New Roman"/>
                      <w:b w:val="0"/>
                      <w:bCs/>
                      <w:snapToGrid w:val="0"/>
                      <w:color w:val="auto"/>
                      <w:kern w:val="2"/>
                      <w:sz w:val="21"/>
                      <w:szCs w:val="21"/>
                      <w:highlight w:val="none"/>
                      <w:lang w:val="en-US" w:eastAsia="zh-CN" w:bidi="ar-SA"/>
                    </w:rPr>
                    <w:t>切削液</w:t>
                  </w:r>
                </w:p>
              </w:tc>
              <w:tc>
                <w:tcPr>
                  <w:tcW w:w="1232" w:type="pct"/>
                  <w:noWrap w:val="0"/>
                  <w:vAlign w:val="center"/>
                </w:tcPr>
                <w:p w14:paraId="2A612E9E">
                  <w:pPr>
                    <w:adjustRightInd w:val="0"/>
                    <w:snapToGrid w:val="0"/>
                    <w:spacing w:line="240" w:lineRule="auto"/>
                    <w:jc w:val="center"/>
                    <w:rPr>
                      <w:rFonts w:hint="default" w:ascii="Times New Roman" w:hAnsi="Times New Roman" w:eastAsia="宋体" w:cs="Times New Roman"/>
                      <w:b w:val="0"/>
                      <w:bCs/>
                      <w:snapToGrid w:val="0"/>
                      <w:color w:val="auto"/>
                      <w:kern w:val="2"/>
                      <w:sz w:val="21"/>
                      <w:szCs w:val="21"/>
                      <w:highlight w:val="none"/>
                      <w:lang w:val="en-US" w:eastAsia="zh-CN" w:bidi="ar-SA"/>
                    </w:rPr>
                  </w:pPr>
                  <w:r>
                    <w:rPr>
                      <w:rFonts w:hint="default" w:ascii="Times New Roman" w:hAnsi="Times New Roman" w:eastAsia="宋体" w:cs="Times New Roman"/>
                      <w:b w:val="0"/>
                      <w:bCs/>
                      <w:snapToGrid w:val="0"/>
                      <w:color w:val="auto"/>
                      <w:kern w:val="2"/>
                      <w:sz w:val="21"/>
                      <w:szCs w:val="21"/>
                      <w:highlight w:val="none"/>
                      <w:lang w:val="en-US" w:eastAsia="zh-CN" w:bidi="ar-SA"/>
                    </w:rPr>
                    <w:t>泄漏、火灾</w:t>
                  </w:r>
                </w:p>
              </w:tc>
            </w:tr>
            <w:tr w14:paraId="57F77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5" w:type="pct"/>
                  <w:noWrap w:val="0"/>
                  <w:vAlign w:val="center"/>
                </w:tcPr>
                <w:p w14:paraId="1CECA95B">
                  <w:pPr>
                    <w:adjustRightInd w:val="0"/>
                    <w:snapToGrid w:val="0"/>
                    <w:spacing w:line="240" w:lineRule="auto"/>
                    <w:jc w:val="center"/>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5</w:t>
                  </w:r>
                </w:p>
              </w:tc>
              <w:tc>
                <w:tcPr>
                  <w:tcW w:w="2086" w:type="dxa"/>
                  <w:noWrap w:val="0"/>
                  <w:vAlign w:val="center"/>
                </w:tcPr>
                <w:p w14:paraId="5100EC8C">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b w:val="0"/>
                      <w:bCs/>
                      <w:snapToGrid w:val="0"/>
                      <w:color w:val="auto"/>
                      <w:kern w:val="2"/>
                      <w:sz w:val="21"/>
                      <w:szCs w:val="21"/>
                      <w:highlight w:val="none"/>
                      <w:lang w:val="en-US" w:eastAsia="zh-CN" w:bidi="ar-SA"/>
                    </w:rPr>
                  </w:pPr>
                  <w:r>
                    <w:rPr>
                      <w:rFonts w:hint="default" w:ascii="Times New Roman" w:hAnsi="Times New Roman" w:eastAsia="宋体" w:cs="Times New Roman"/>
                      <w:b w:val="0"/>
                      <w:bCs/>
                      <w:snapToGrid w:val="0"/>
                      <w:color w:val="auto"/>
                      <w:kern w:val="2"/>
                      <w:sz w:val="21"/>
                      <w:szCs w:val="21"/>
                      <w:highlight w:val="none"/>
                      <w:lang w:val="en-US" w:eastAsia="zh-CN" w:bidi="ar-SA"/>
                    </w:rPr>
                    <w:t>碱洗</w:t>
                  </w:r>
                </w:p>
              </w:tc>
              <w:tc>
                <w:tcPr>
                  <w:tcW w:w="2979" w:type="dxa"/>
                  <w:noWrap w:val="0"/>
                  <w:vAlign w:val="center"/>
                </w:tcPr>
                <w:p w14:paraId="155C337F">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b w:val="0"/>
                      <w:bCs/>
                      <w:snapToGrid w:val="0"/>
                      <w:color w:val="auto"/>
                      <w:kern w:val="2"/>
                      <w:sz w:val="21"/>
                      <w:szCs w:val="21"/>
                      <w:highlight w:val="none"/>
                      <w:lang w:val="en-US" w:eastAsia="zh-CN" w:bidi="ar-SA"/>
                    </w:rPr>
                  </w:pPr>
                  <w:r>
                    <w:rPr>
                      <w:rFonts w:hint="default" w:ascii="Times New Roman" w:hAnsi="Times New Roman" w:eastAsia="宋体" w:cs="Times New Roman"/>
                      <w:b w:val="0"/>
                      <w:bCs/>
                      <w:snapToGrid w:val="0"/>
                      <w:color w:val="auto"/>
                      <w:kern w:val="2"/>
                      <w:sz w:val="21"/>
                      <w:szCs w:val="21"/>
                      <w:highlight w:val="none"/>
                      <w:lang w:val="en-US" w:eastAsia="zh-CN" w:bidi="ar-SA"/>
                    </w:rPr>
                    <w:t>碱液</w:t>
                  </w:r>
                </w:p>
              </w:tc>
              <w:tc>
                <w:tcPr>
                  <w:tcW w:w="1232" w:type="pct"/>
                  <w:noWrap w:val="0"/>
                  <w:vAlign w:val="center"/>
                </w:tcPr>
                <w:p w14:paraId="5ED4989A">
                  <w:pPr>
                    <w:adjustRightInd w:val="0"/>
                    <w:snapToGrid w:val="0"/>
                    <w:spacing w:line="240" w:lineRule="auto"/>
                    <w:jc w:val="center"/>
                    <w:rPr>
                      <w:rFonts w:hint="default" w:ascii="Times New Roman" w:hAnsi="Times New Roman" w:eastAsia="宋体" w:cs="Times New Roman"/>
                      <w:b w:val="0"/>
                      <w:bCs/>
                      <w:snapToGrid w:val="0"/>
                      <w:color w:val="auto"/>
                      <w:kern w:val="2"/>
                      <w:sz w:val="21"/>
                      <w:szCs w:val="21"/>
                      <w:highlight w:val="none"/>
                      <w:lang w:val="en-US" w:eastAsia="zh-CN" w:bidi="ar-SA"/>
                    </w:rPr>
                  </w:pPr>
                  <w:r>
                    <w:rPr>
                      <w:rFonts w:hint="default" w:ascii="Times New Roman" w:hAnsi="Times New Roman" w:eastAsia="宋体" w:cs="Times New Roman"/>
                      <w:b w:val="0"/>
                      <w:bCs/>
                      <w:snapToGrid w:val="0"/>
                      <w:color w:val="auto"/>
                      <w:kern w:val="2"/>
                      <w:sz w:val="21"/>
                      <w:szCs w:val="21"/>
                      <w:highlight w:val="none"/>
                      <w:lang w:val="en-US" w:eastAsia="zh-CN" w:bidi="ar-SA"/>
                    </w:rPr>
                    <w:t>泄漏</w:t>
                  </w:r>
                </w:p>
              </w:tc>
            </w:tr>
          </w:tbl>
          <w:p w14:paraId="4D2F8036">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（5）环境风险分析</w:t>
            </w:r>
          </w:p>
          <w:p w14:paraId="564452D4">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lang w:val="en-US" w:eastAsia="zh-CN"/>
              </w:rPr>
              <w:t>危险废物、液压油等</w:t>
            </w:r>
            <w:r>
              <w:rPr>
                <w:rFonts w:hint="default" w:ascii="Times New Roman" w:hAnsi="Times New Roman" w:cs="Times New Roman"/>
                <w:snapToGrid w:val="0"/>
                <w:color w:val="auto"/>
                <w:sz w:val="24"/>
                <w:szCs w:val="24"/>
                <w:highlight w:val="none"/>
              </w:rPr>
              <w:t>具有可燃性，发生泄漏事故后遇到明火可能会发生火灾</w:t>
            </w:r>
            <w:r>
              <w:rPr>
                <w:rFonts w:hint="default" w:ascii="Times New Roman" w:hAnsi="Times New Roman" w:cs="Times New Roman"/>
                <w:snapToGrid w:val="0"/>
                <w:color w:val="auto"/>
                <w:sz w:val="24"/>
                <w:szCs w:val="24"/>
                <w:highlight w:val="none"/>
                <w:lang w:eastAsia="zh-CN"/>
              </w:rPr>
              <w:t>，</w:t>
            </w:r>
            <w:r>
              <w:rPr>
                <w:rFonts w:hint="default" w:ascii="Times New Roman" w:hAnsi="Times New Roman" w:cs="Times New Roman"/>
                <w:snapToGrid w:val="0"/>
                <w:color w:val="auto"/>
                <w:sz w:val="24"/>
                <w:szCs w:val="24"/>
                <w:highlight w:val="none"/>
                <w:lang w:val="en-US" w:eastAsia="zh-CN"/>
              </w:rPr>
              <w:t>此过程中产生的有害气体扩散及消防废水</w:t>
            </w:r>
            <w:r>
              <w:rPr>
                <w:rFonts w:hint="default" w:ascii="Times New Roman" w:hAnsi="Times New Roman" w:cs="Times New Roman"/>
                <w:snapToGrid w:val="0"/>
                <w:color w:val="auto"/>
                <w:sz w:val="24"/>
                <w:szCs w:val="24"/>
                <w:highlight w:val="none"/>
              </w:rPr>
              <w:t>泄漏物可能对土壤环境、水环境</w:t>
            </w:r>
            <w:r>
              <w:rPr>
                <w:rFonts w:hint="default" w:ascii="Times New Roman" w:hAnsi="Times New Roman" w:cs="Times New Roman"/>
                <w:snapToGrid w:val="0"/>
                <w:color w:val="auto"/>
                <w:sz w:val="24"/>
                <w:szCs w:val="24"/>
                <w:highlight w:val="none"/>
                <w:lang w:eastAsia="zh-CN"/>
              </w:rPr>
              <w:t>、</w:t>
            </w:r>
            <w:r>
              <w:rPr>
                <w:rFonts w:hint="default" w:ascii="Times New Roman" w:hAnsi="Times New Roman" w:cs="Times New Roman"/>
                <w:snapToGrid w:val="0"/>
                <w:color w:val="auto"/>
                <w:sz w:val="24"/>
                <w:szCs w:val="24"/>
                <w:highlight w:val="none"/>
                <w:lang w:val="en-US" w:eastAsia="zh-CN"/>
              </w:rPr>
              <w:t>大气环境</w:t>
            </w:r>
            <w:r>
              <w:rPr>
                <w:rFonts w:hint="default" w:ascii="Times New Roman" w:hAnsi="Times New Roman" w:cs="Times New Roman"/>
                <w:snapToGrid w:val="0"/>
                <w:color w:val="auto"/>
                <w:sz w:val="24"/>
                <w:szCs w:val="24"/>
                <w:highlight w:val="none"/>
              </w:rPr>
              <w:t>造成一定的影响，所以企业应采取一定的风险防范措施。</w:t>
            </w:r>
          </w:p>
          <w:p w14:paraId="33DB09C4">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（6）环境风险防范措施及应急要求</w:t>
            </w:r>
          </w:p>
          <w:p w14:paraId="676C272E">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1）环境风险防范措施</w:t>
            </w:r>
          </w:p>
          <w:p w14:paraId="3BBEB588">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本环评要求建设单位采取以下环境风险防范措施：</w:t>
            </w:r>
          </w:p>
          <w:p w14:paraId="4C50A7D3">
            <w:pPr>
              <w:adjustRightInd w:val="0"/>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snapToGrid w:val="0"/>
                <w:color w:val="auto"/>
                <w:sz w:val="24"/>
                <w:szCs w:val="24"/>
                <w:highlight w:val="none"/>
              </w:rPr>
              <w:t>①对职工要加强环保、安全生产教育，生产中积极采取</w:t>
            </w:r>
            <w:r>
              <w:rPr>
                <w:rFonts w:hint="default" w:ascii="Times New Roman" w:hAnsi="Times New Roman" w:cs="Times New Roman"/>
                <w:color w:val="auto"/>
                <w:sz w:val="24"/>
                <w:szCs w:val="24"/>
                <w:highlight w:val="none"/>
              </w:rPr>
              <w:t>防范措施，厂区内特别是易燃、可燃物品储存和使用场所严禁吸烟、禁火，在醒目处要设有禁烟、禁火的标志。</w:t>
            </w:r>
          </w:p>
          <w:p w14:paraId="11B65502">
            <w:pPr>
              <w:adjustRightInd w:val="0"/>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②加强设备维护，厂区应设置应急救援设施、应急疏散，道路布置满足消防、运输要求。</w:t>
            </w:r>
          </w:p>
          <w:p w14:paraId="0A042176">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③厂区内配备消防、灭火器材等。根据《建筑设计防火规范》(GBJ16-87)的有关规定，配套建设室外消火栓、室内消火栓。各建筑物的室内消防，除按有关规定设置消火栓给水系统外，按《建筑灭火器配置设计规范》（GB50140-2005）的要求设置灭火器</w:t>
            </w:r>
            <w:r>
              <w:rPr>
                <w:rFonts w:hint="default" w:ascii="Times New Roman" w:hAnsi="Times New Roman" w:cs="Times New Roman"/>
                <w:snapToGrid w:val="0"/>
                <w:color w:val="auto"/>
                <w:sz w:val="24"/>
                <w:szCs w:val="24"/>
                <w:highlight w:val="none"/>
                <w:lang w:eastAsia="zh-CN"/>
              </w:rPr>
              <w:t>，</w:t>
            </w:r>
            <w:r>
              <w:rPr>
                <w:rFonts w:hint="default" w:ascii="Times New Roman" w:hAnsi="Times New Roman" w:cs="Times New Roman"/>
                <w:snapToGrid w:val="0"/>
                <w:color w:val="auto"/>
                <w:sz w:val="24"/>
                <w:szCs w:val="24"/>
                <w:highlight w:val="none"/>
                <w:lang w:val="en-US" w:eastAsia="zh-CN"/>
              </w:rPr>
              <w:t>消防废水经收集后交由处理能力单位进行处置</w:t>
            </w:r>
            <w:r>
              <w:rPr>
                <w:rFonts w:hint="default" w:ascii="Times New Roman" w:hAnsi="Times New Roman" w:cs="Times New Roman"/>
                <w:snapToGrid w:val="0"/>
                <w:color w:val="auto"/>
                <w:sz w:val="24"/>
                <w:szCs w:val="24"/>
                <w:highlight w:val="none"/>
              </w:rPr>
              <w:t>。</w:t>
            </w:r>
          </w:p>
          <w:p w14:paraId="5CA7CE2A">
            <w:pPr>
              <w:adjustRightInd w:val="0"/>
              <w:snapToGrid w:val="0"/>
              <w:spacing w:line="360" w:lineRule="auto"/>
              <w:ind w:firstLine="480" w:firstLineChars="200"/>
              <w:rPr>
                <w:rFonts w:hint="default" w:ascii="Times New Roman" w:hAnsi="Times New Roman" w:eastAsia="宋体" w:cs="Times New Roman"/>
                <w:snapToGrid w:val="0"/>
                <w:color w:val="auto"/>
                <w:sz w:val="24"/>
                <w:szCs w:val="24"/>
                <w:highlight w:val="none"/>
                <w:lang w:val="en-US" w:eastAsia="zh-CN"/>
              </w:rPr>
            </w:pPr>
            <w:r>
              <w:rPr>
                <w:rFonts w:hint="default" w:ascii="Times New Roman" w:hAnsi="Times New Roman" w:eastAsia="宋体" w:cs="Times New Roman"/>
                <w:snapToGrid w:val="0"/>
                <w:color w:val="auto"/>
                <w:sz w:val="24"/>
                <w:szCs w:val="24"/>
                <w:highlight w:val="none"/>
              </w:rPr>
              <w:t>④</w:t>
            </w:r>
            <w:r>
              <w:rPr>
                <w:rFonts w:hint="default" w:ascii="Times New Roman" w:hAnsi="Times New Roman" w:eastAsia="宋体" w:cs="Times New Roman"/>
                <w:snapToGrid w:val="0"/>
                <w:color w:val="auto"/>
                <w:sz w:val="24"/>
                <w:szCs w:val="24"/>
                <w:highlight w:val="none"/>
                <w:lang w:val="en-US" w:eastAsia="zh-CN"/>
              </w:rPr>
              <w:t>厂区内配置沙袋、</w:t>
            </w:r>
            <w:r>
              <w:rPr>
                <w:rFonts w:hint="default" w:ascii="Times New Roman" w:hAnsi="Times New Roman" w:cs="Times New Roman"/>
                <w:snapToGrid w:val="0"/>
                <w:color w:val="auto"/>
                <w:sz w:val="24"/>
                <w:szCs w:val="24"/>
                <w:highlight w:val="none"/>
                <w:lang w:val="en-US" w:eastAsia="zh-CN"/>
              </w:rPr>
              <w:t>灭火器</w:t>
            </w:r>
            <w:r>
              <w:rPr>
                <w:rFonts w:hint="default" w:ascii="Times New Roman" w:hAnsi="Times New Roman" w:eastAsia="宋体" w:cs="Times New Roman"/>
                <w:snapToGrid w:val="0"/>
                <w:color w:val="auto"/>
                <w:sz w:val="24"/>
                <w:szCs w:val="24"/>
                <w:highlight w:val="none"/>
                <w:lang w:val="en-US" w:eastAsia="zh-CN"/>
              </w:rPr>
              <w:t>，如发生突发环境事件产生消防废水，应立即使用沙袋进行拦截，防止消防废水外泄污染水体及土壤。并使用水泵将消防废水收集至桶内，进行暂存。</w:t>
            </w:r>
          </w:p>
          <w:p w14:paraId="3F008198">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2）应急要求</w:t>
            </w:r>
          </w:p>
          <w:p w14:paraId="076CBAE1">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为了切实预防环境风险，建议建设单位制定环境风险应急预案，应急预案必须包括以下内容。</w:t>
            </w:r>
          </w:p>
          <w:p w14:paraId="4DC0B55A">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环境风险应急预案主要有预防、响应、应急、报告、处置等内容，重点加强对风险源各个环节的日常管理和安全防范工作，严防各种环境风险事故的发生，规范和强化应对环境风险事故的应急处置工作，以预防为重点，逐步完善预警、处置及善后工作机制，建立企业防范有力、指挥有序、快速高效和统一协调的环境风险事故应急处置体系。本项目实施后，建设单位应编制突发环境事件应急预案，并报当地环境保护管理部门备案。</w:t>
            </w:r>
          </w:p>
          <w:p w14:paraId="4315D9E2">
            <w:pPr>
              <w:adjustRightInd w:val="0"/>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snapToGrid w:val="0"/>
                <w:color w:val="auto"/>
                <w:sz w:val="24"/>
                <w:szCs w:val="24"/>
                <w:highlight w:val="none"/>
              </w:rPr>
              <w:t>（8）环境风险分析结论</w:t>
            </w:r>
          </w:p>
          <w:p w14:paraId="12756F46">
            <w:pPr>
              <w:adjustRightInd w:val="0"/>
              <w:snapToGrid w:val="0"/>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snapToGrid w:val="0"/>
                <w:color w:val="auto"/>
                <w:sz w:val="24"/>
                <w:szCs w:val="24"/>
                <w:highlight w:val="none"/>
              </w:rPr>
              <w:t>通过建立健全相应的防范应急措施，在管理及运行中认真落实工程安全措施及评价所提出的措施后，上述风险事故隐患可降至最低，环境风险影响范围和程度较小，环境风险可控。</w:t>
            </w:r>
          </w:p>
          <w:p w14:paraId="4CE2A21D">
            <w:pPr>
              <w:pStyle w:val="47"/>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表4-1</w:t>
            </w:r>
            <w:r>
              <w:rPr>
                <w:rFonts w:hint="eastAsia" w:cs="Times New Roman"/>
                <w:color w:val="auto"/>
                <w:sz w:val="24"/>
                <w:highlight w:val="none"/>
                <w:lang w:val="en-US" w:eastAsia="zh-CN"/>
              </w:rPr>
              <w:t>8</w:t>
            </w:r>
            <w:r>
              <w:rPr>
                <w:rFonts w:hint="default" w:ascii="Times New Roman" w:hAnsi="Times New Roman" w:cs="Times New Roman"/>
                <w:color w:val="auto"/>
                <w:sz w:val="24"/>
                <w:highlight w:val="none"/>
              </w:rPr>
              <w:t xml:space="preserve">  建设项目环境风险简单分析内容表</w:t>
            </w:r>
          </w:p>
          <w:tbl>
            <w:tblPr>
              <w:tblStyle w:val="3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13"/>
              <w:gridCol w:w="1319"/>
              <w:gridCol w:w="1707"/>
              <w:gridCol w:w="2338"/>
              <w:gridCol w:w="1487"/>
            </w:tblGrid>
            <w:tr w14:paraId="02542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3" w:type="dxa"/>
                  <w:noWrap w:val="0"/>
                  <w:vAlign w:val="center"/>
                </w:tcPr>
                <w:p w14:paraId="7768FD61">
                  <w:pPr>
                    <w:pStyle w:val="62"/>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建设项目名称</w:t>
                  </w:r>
                </w:p>
              </w:tc>
              <w:tc>
                <w:tcPr>
                  <w:tcW w:w="6851" w:type="dxa"/>
                  <w:gridSpan w:val="4"/>
                  <w:noWrap w:val="0"/>
                  <w:vAlign w:val="center"/>
                </w:tcPr>
                <w:p w14:paraId="4E77D512">
                  <w:pPr>
                    <w:pStyle w:val="62"/>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秦皇岛市日昌升农产品有限公司新建项目</w:t>
                  </w:r>
                </w:p>
              </w:tc>
            </w:tr>
            <w:tr w14:paraId="31062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jc w:val="center"/>
              </w:trPr>
              <w:tc>
                <w:tcPr>
                  <w:tcW w:w="1613" w:type="dxa"/>
                  <w:noWrap w:val="0"/>
                  <w:vAlign w:val="center"/>
                </w:tcPr>
                <w:p w14:paraId="431036F7">
                  <w:pPr>
                    <w:pStyle w:val="62"/>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建设地点</w:t>
                  </w:r>
                </w:p>
              </w:tc>
              <w:tc>
                <w:tcPr>
                  <w:tcW w:w="1319" w:type="dxa"/>
                  <w:noWrap w:val="0"/>
                  <w:vAlign w:val="center"/>
                </w:tcPr>
                <w:p w14:paraId="7369BB26">
                  <w:pPr>
                    <w:pStyle w:val="62"/>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河北省</w:t>
                  </w:r>
                </w:p>
              </w:tc>
              <w:tc>
                <w:tcPr>
                  <w:tcW w:w="1707" w:type="dxa"/>
                  <w:noWrap w:val="0"/>
                  <w:vAlign w:val="center"/>
                </w:tcPr>
                <w:p w14:paraId="3ED6E183">
                  <w:pPr>
                    <w:pStyle w:val="62"/>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秦皇岛市</w:t>
                  </w:r>
                </w:p>
              </w:tc>
              <w:tc>
                <w:tcPr>
                  <w:tcW w:w="2338" w:type="dxa"/>
                  <w:noWrap w:val="0"/>
                  <w:vAlign w:val="center"/>
                </w:tcPr>
                <w:p w14:paraId="66DCED1C">
                  <w:pPr>
                    <w:pStyle w:val="62"/>
                    <w:spacing w:line="240" w:lineRule="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皇岛市抚宁区日昌升农产品有限公司院内</w:t>
                  </w:r>
                </w:p>
              </w:tc>
              <w:tc>
                <w:tcPr>
                  <w:tcW w:w="1487" w:type="dxa"/>
                  <w:noWrap w:val="0"/>
                  <w:vAlign w:val="center"/>
                </w:tcPr>
                <w:p w14:paraId="2CFA7FF1">
                  <w:pPr>
                    <w:pStyle w:val="62"/>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w:t>
                  </w:r>
                </w:p>
              </w:tc>
            </w:tr>
            <w:tr w14:paraId="722C8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exact"/>
                <w:jc w:val="center"/>
              </w:trPr>
              <w:tc>
                <w:tcPr>
                  <w:tcW w:w="1613" w:type="dxa"/>
                  <w:noWrap w:val="0"/>
                  <w:vAlign w:val="center"/>
                </w:tcPr>
                <w:p w14:paraId="315F4095">
                  <w:pPr>
                    <w:pStyle w:val="62"/>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地理坐标</w:t>
                  </w:r>
                </w:p>
              </w:tc>
              <w:tc>
                <w:tcPr>
                  <w:tcW w:w="1319" w:type="dxa"/>
                  <w:noWrap w:val="0"/>
                  <w:vAlign w:val="center"/>
                </w:tcPr>
                <w:p w14:paraId="4B162959">
                  <w:pPr>
                    <w:pStyle w:val="62"/>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经度</w:t>
                  </w:r>
                </w:p>
              </w:tc>
              <w:tc>
                <w:tcPr>
                  <w:tcW w:w="1707" w:type="dxa"/>
                  <w:noWrap w:val="0"/>
                  <w:vAlign w:val="center"/>
                </w:tcPr>
                <w:p w14:paraId="2E4E9283">
                  <w:pPr>
                    <w:pStyle w:val="62"/>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119°18′6.405″</w:t>
                  </w:r>
                </w:p>
              </w:tc>
              <w:tc>
                <w:tcPr>
                  <w:tcW w:w="2338" w:type="dxa"/>
                  <w:noWrap w:val="0"/>
                  <w:vAlign w:val="center"/>
                </w:tcPr>
                <w:p w14:paraId="58E0AEB5">
                  <w:pPr>
                    <w:pStyle w:val="62"/>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纬度</w:t>
                  </w:r>
                </w:p>
              </w:tc>
              <w:tc>
                <w:tcPr>
                  <w:tcW w:w="1487" w:type="dxa"/>
                  <w:noWrap w:val="0"/>
                  <w:vAlign w:val="center"/>
                </w:tcPr>
                <w:p w14:paraId="14BA90C6">
                  <w:pPr>
                    <w:pStyle w:val="62"/>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39°52′42.753″</w:t>
                  </w:r>
                </w:p>
              </w:tc>
            </w:tr>
            <w:tr w14:paraId="47DA9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1613" w:type="dxa"/>
                  <w:noWrap w:val="0"/>
                  <w:vAlign w:val="center"/>
                </w:tcPr>
                <w:p w14:paraId="4C62E9FD">
                  <w:pPr>
                    <w:pStyle w:val="62"/>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主要危险物质及分布</w:t>
                  </w:r>
                </w:p>
              </w:tc>
              <w:tc>
                <w:tcPr>
                  <w:tcW w:w="6851" w:type="dxa"/>
                  <w:gridSpan w:val="4"/>
                  <w:noWrap w:val="0"/>
                  <w:vAlign w:val="center"/>
                </w:tcPr>
                <w:p w14:paraId="212ABC36">
                  <w:pPr>
                    <w:pStyle w:val="62"/>
                    <w:jc w:val="both"/>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危险废物暂存间：废导热油、废导热油桶、饲料油</w:t>
                  </w:r>
                </w:p>
              </w:tc>
            </w:tr>
            <w:tr w14:paraId="620DC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3" w:type="dxa"/>
                  <w:noWrap w:val="0"/>
                  <w:vAlign w:val="center"/>
                </w:tcPr>
                <w:p w14:paraId="173E0D79">
                  <w:pPr>
                    <w:pStyle w:val="62"/>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环境影响途径及危害后果</w:t>
                  </w:r>
                </w:p>
              </w:tc>
              <w:tc>
                <w:tcPr>
                  <w:tcW w:w="6851" w:type="dxa"/>
                  <w:gridSpan w:val="4"/>
                  <w:noWrap w:val="0"/>
                  <w:vAlign w:val="center"/>
                </w:tcPr>
                <w:p w14:paraId="4E9BBA90">
                  <w:pPr>
                    <w:pStyle w:val="62"/>
                    <w:spacing w:line="240" w:lineRule="auto"/>
                    <w:jc w:val="both"/>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影响途径：</w:t>
                  </w:r>
                  <w:r>
                    <w:rPr>
                      <w:rFonts w:hint="default" w:ascii="Times New Roman" w:hAnsi="Times New Roman" w:cs="Times New Roman"/>
                      <w:color w:val="auto"/>
                      <w:sz w:val="21"/>
                      <w:szCs w:val="21"/>
                      <w:highlight w:val="none"/>
                      <w:lang w:eastAsia="zh-CN"/>
                    </w:rPr>
                    <w:t>泄漏</w:t>
                  </w:r>
                  <w:r>
                    <w:rPr>
                      <w:rFonts w:hint="default" w:ascii="Times New Roman" w:hAnsi="Times New Roman" w:cs="Times New Roman"/>
                      <w:color w:val="auto"/>
                      <w:sz w:val="21"/>
                      <w:szCs w:val="21"/>
                      <w:highlight w:val="none"/>
                    </w:rPr>
                    <w:t>、火灾。危害后果：</w:t>
                  </w:r>
                  <w:r>
                    <w:rPr>
                      <w:rFonts w:hint="default" w:ascii="Times New Roman" w:hAnsi="Times New Roman" w:cs="Times New Roman"/>
                      <w:color w:val="auto"/>
                      <w:sz w:val="21"/>
                      <w:szCs w:val="21"/>
                      <w:highlight w:val="none"/>
                      <w:lang w:eastAsia="zh-CN"/>
                    </w:rPr>
                    <w:t>泄漏</w:t>
                  </w:r>
                  <w:r>
                    <w:rPr>
                      <w:rFonts w:hint="default" w:ascii="Times New Roman" w:hAnsi="Times New Roman" w:cs="Times New Roman"/>
                      <w:color w:val="auto"/>
                      <w:sz w:val="21"/>
                      <w:szCs w:val="21"/>
                      <w:highlight w:val="none"/>
                    </w:rPr>
                    <w:t>会对地下水、土壤环境造成污染、火灾会对人身安全及大气环境造成影响。</w:t>
                  </w:r>
                </w:p>
              </w:tc>
            </w:tr>
            <w:tr w14:paraId="76C89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3" w:type="dxa"/>
                  <w:noWrap w:val="0"/>
                  <w:vAlign w:val="center"/>
                </w:tcPr>
                <w:p w14:paraId="24A87F17">
                  <w:pPr>
                    <w:pStyle w:val="62"/>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风险防范措施要求</w:t>
                  </w:r>
                </w:p>
              </w:tc>
              <w:tc>
                <w:tcPr>
                  <w:tcW w:w="6851" w:type="dxa"/>
                  <w:gridSpan w:val="4"/>
                  <w:noWrap w:val="0"/>
                  <w:vAlign w:val="center"/>
                </w:tcPr>
                <w:p w14:paraId="05EB5664">
                  <w:pPr>
                    <w:pStyle w:val="13"/>
                    <w:adjustRightInd w:val="0"/>
                    <w:snapToGrid w:val="0"/>
                    <w:spacing w:after="0" w:line="240" w:lineRule="auto"/>
                    <w:ind w:left="0" w:leftChars="0" w:firstLine="412" w:firstLineChars="200"/>
                    <w:rPr>
                      <w:rFonts w:hint="default" w:ascii="Times New Roman" w:hAnsi="Times New Roman" w:cs="Times New Roman"/>
                      <w:color w:val="auto"/>
                      <w:spacing w:val="-2"/>
                      <w:sz w:val="21"/>
                      <w:szCs w:val="21"/>
                      <w:highlight w:val="none"/>
                    </w:rPr>
                  </w:pPr>
                  <w:r>
                    <w:rPr>
                      <w:rFonts w:hint="default" w:ascii="Times New Roman" w:hAnsi="Times New Roman" w:cs="Times New Roman"/>
                      <w:color w:val="auto"/>
                      <w:spacing w:val="-2"/>
                      <w:sz w:val="21"/>
                      <w:szCs w:val="21"/>
                      <w:highlight w:val="none"/>
                    </w:rPr>
                    <w:t>本项目针对环境风险事故拟采取多种防范措施，可将风险事故的概率降至较低的水平，但概率不会降为零，一旦发生事故仍需采取应急措施，控制和减少事故危害。因此应制度相关防范管理制度，</w:t>
                  </w:r>
                  <w:r>
                    <w:rPr>
                      <w:rFonts w:hint="default" w:ascii="Times New Roman" w:hAnsi="Times New Roman" w:cs="Times New Roman"/>
                      <w:color w:val="auto"/>
                      <w:spacing w:val="-2"/>
                      <w:sz w:val="21"/>
                      <w:szCs w:val="21"/>
                      <w:highlight w:val="none"/>
                      <w:lang w:val="en-US"/>
                    </w:rPr>
                    <w:t>制定各项环保制度；对从业人员进行岗位职工教 育与培训，使他们均具备危险意识及如何应对危险的知识，并进行相关</w:t>
                  </w:r>
                  <w:r>
                    <w:rPr>
                      <w:rFonts w:hint="default" w:ascii="Times New Roman" w:hAnsi="Times New Roman" w:cs="Times New Roman"/>
                      <w:color w:val="auto"/>
                      <w:spacing w:val="-2"/>
                      <w:sz w:val="21"/>
                      <w:szCs w:val="21"/>
                      <w:highlight w:val="none"/>
                      <w:lang w:val="en-US" w:eastAsia="zh-CN"/>
                    </w:rPr>
                    <w:t>泄漏事故</w:t>
                  </w:r>
                  <w:r>
                    <w:rPr>
                      <w:rFonts w:hint="default" w:ascii="Times New Roman" w:hAnsi="Times New Roman" w:cs="Times New Roman"/>
                      <w:color w:val="auto"/>
                      <w:spacing w:val="-2"/>
                      <w:sz w:val="21"/>
                      <w:szCs w:val="21"/>
                      <w:highlight w:val="none"/>
                      <w:lang w:val="en-US"/>
                    </w:rPr>
                    <w:t>的教育；设立应急事故专门记录，建立档案和报告制度，由专门部门或人员负责管理；执行环境风险事故报告制度，一经发现风险事故，立即向企业负责人报告，并由负责人按照事故程度，决定是否上报当地政府或上级有关部门报告，并且不瞒报、漏报，及时组织进行处置。具体负责人员或部门统一指挥对事故现场的应急救援，并立即查明原因，提出对策，及时组织各方面力量处理</w:t>
                  </w:r>
                  <w:r>
                    <w:rPr>
                      <w:rFonts w:hint="default" w:ascii="Times New Roman" w:hAnsi="Times New Roman" w:cs="Times New Roman"/>
                      <w:color w:val="auto"/>
                      <w:spacing w:val="-2"/>
                      <w:sz w:val="21"/>
                      <w:szCs w:val="21"/>
                      <w:highlight w:val="none"/>
                      <w:lang w:val="en-US" w:eastAsia="zh-CN"/>
                    </w:rPr>
                    <w:t>泄漏事故</w:t>
                  </w:r>
                  <w:r>
                    <w:rPr>
                      <w:rFonts w:hint="default" w:ascii="Times New Roman" w:hAnsi="Times New Roman" w:cs="Times New Roman"/>
                      <w:color w:val="auto"/>
                      <w:spacing w:val="-2"/>
                      <w:sz w:val="21"/>
                      <w:szCs w:val="21"/>
                      <w:highlight w:val="none"/>
                      <w:lang w:val="en-US"/>
                    </w:rPr>
                    <w:t>，控制事故的蔓延和扩大；项目建设单位应成立本厂的突发环境事件应急小组指挥部，责任到人，确保应急小组分工明确，以有效应对突发事件的发生。</w:t>
                  </w:r>
                </w:p>
                <w:p w14:paraId="3AAF5A5B">
                  <w:pPr>
                    <w:pStyle w:val="13"/>
                    <w:adjustRightInd w:val="0"/>
                    <w:snapToGrid w:val="0"/>
                    <w:spacing w:after="0" w:line="240" w:lineRule="auto"/>
                    <w:ind w:left="0" w:leftChars="0" w:firstLine="412" w:firstLineChars="200"/>
                    <w:rPr>
                      <w:rFonts w:hint="default" w:ascii="Times New Roman" w:hAnsi="Times New Roman" w:cs="Times New Roman"/>
                      <w:color w:val="auto"/>
                      <w:spacing w:val="-2"/>
                      <w:sz w:val="21"/>
                      <w:szCs w:val="21"/>
                      <w:highlight w:val="none"/>
                      <w:lang w:val="en-US"/>
                    </w:rPr>
                  </w:pPr>
                  <w:r>
                    <w:rPr>
                      <w:rFonts w:hint="default" w:ascii="Times New Roman" w:hAnsi="Times New Roman" w:cs="Times New Roman"/>
                      <w:color w:val="auto"/>
                      <w:spacing w:val="-2"/>
                      <w:sz w:val="21"/>
                      <w:szCs w:val="21"/>
                      <w:highlight w:val="none"/>
                    </w:rPr>
                    <w:t>根据</w:t>
                  </w:r>
                  <w:r>
                    <w:rPr>
                      <w:rFonts w:hint="default" w:ascii="Times New Roman" w:hAnsi="Times New Roman" w:cs="Times New Roman"/>
                      <w:color w:val="auto"/>
                      <w:spacing w:val="-2"/>
                      <w:sz w:val="21"/>
                      <w:szCs w:val="21"/>
                      <w:highlight w:val="none"/>
                      <w:lang w:val="en-US"/>
                    </w:rPr>
                    <w:t>《中华人民共和国突发事件应对法》、</w:t>
                  </w:r>
                  <w:r>
                    <w:rPr>
                      <w:rFonts w:hint="default" w:ascii="Times New Roman" w:hAnsi="Times New Roman" w:cs="Times New Roman"/>
                      <w:color w:val="auto"/>
                      <w:spacing w:val="-2"/>
                      <w:sz w:val="21"/>
                      <w:szCs w:val="21"/>
                      <w:highlight w:val="none"/>
                    </w:rPr>
                    <w:t>《企业事业单位突发环境事件应急预案备案管理办法 (试行) 》要求，企业应根据工程生产过程存在的风险事故类型，</w:t>
                  </w:r>
                  <w:r>
                    <w:rPr>
                      <w:rFonts w:hint="default" w:ascii="Times New Roman" w:hAnsi="Times New Roman" w:cs="Times New Roman"/>
                      <w:color w:val="auto"/>
                      <w:spacing w:val="-2"/>
                      <w:sz w:val="21"/>
                      <w:szCs w:val="21"/>
                      <w:highlight w:val="none"/>
                      <w:lang w:val="en-US" w:eastAsia="zh-CN"/>
                    </w:rPr>
                    <w:t>编制突发环境事件应急预案并在主管部门备案</w:t>
                  </w:r>
                  <w:r>
                    <w:rPr>
                      <w:rFonts w:hint="default" w:ascii="Times New Roman" w:hAnsi="Times New Roman" w:cs="Times New Roman"/>
                      <w:color w:val="auto"/>
                      <w:spacing w:val="-2"/>
                      <w:sz w:val="21"/>
                      <w:szCs w:val="21"/>
                      <w:highlight w:val="none"/>
                    </w:rPr>
                    <w:t>。</w:t>
                  </w:r>
                </w:p>
              </w:tc>
            </w:tr>
          </w:tbl>
          <w:p w14:paraId="2D7E6B26">
            <w:pPr>
              <w:pStyle w:val="8"/>
              <w:spacing w:line="240" w:lineRule="auto"/>
              <w:rPr>
                <w:rFonts w:hint="default" w:ascii="Times New Roman" w:hAnsi="Times New Roman" w:cs="Times New Roman"/>
                <w:b/>
                <w:bCs/>
                <w:color w:val="auto"/>
                <w:highlight w:val="none"/>
              </w:rPr>
            </w:pPr>
            <w:r>
              <w:rPr>
                <w:rFonts w:hint="default" w:ascii="Times New Roman" w:hAnsi="Times New Roman" w:cs="Times New Roman"/>
                <w:color w:val="auto"/>
                <w:highlight w:val="none"/>
                <w:lang w:val="en-US" w:eastAsia="zh-CN"/>
              </w:rPr>
              <w:t>7总量控制</w:t>
            </w:r>
          </w:p>
          <w:p w14:paraId="16EE95B7">
            <w:pPr>
              <w:spacing w:line="360" w:lineRule="auto"/>
              <w:ind w:firstLine="480" w:firstLineChars="200"/>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根据计算本项目总量控制指标为COD：0.006t/a、氨氮：</w:t>
            </w:r>
            <w:r>
              <w:rPr>
                <w:rFonts w:hint="eastAsia" w:cs="Times New Roman"/>
                <w:color w:val="auto"/>
                <w:highlight w:val="none"/>
                <w:lang w:val="en-US" w:eastAsia="zh-CN"/>
              </w:rPr>
              <w:t>0.001</w:t>
            </w:r>
            <w:r>
              <w:rPr>
                <w:rFonts w:hint="default" w:ascii="Times New Roman" w:hAnsi="Times New Roman" w:cs="Times New Roman"/>
                <w:color w:val="auto"/>
                <w:highlight w:val="none"/>
                <w:lang w:val="en-US" w:eastAsia="zh-CN"/>
              </w:rPr>
              <w:t>t/a</w:t>
            </w:r>
            <w:r>
              <w:rPr>
                <w:rFonts w:hint="default" w:ascii="Times New Roman" w:hAnsi="Times New Roman" w:cs="Times New Roman"/>
                <w:color w:val="auto"/>
                <w:highlight w:val="none"/>
              </w:rPr>
              <w:t>。</w:t>
            </w:r>
            <w:r>
              <w:rPr>
                <w:rFonts w:hint="eastAsia" w:cs="Times New Roman"/>
                <w:b w:val="0"/>
                <w:bCs/>
                <w:color w:val="auto"/>
                <w:sz w:val="24"/>
                <w:szCs w:val="22"/>
                <w:highlight w:val="none"/>
                <w:lang w:val="en-US" w:eastAsia="zh-CN"/>
              </w:rPr>
              <w:t>根据秦皇岛市生态环境局出具的总量确认书，本项目新增COD、氨氮总量指标从抚宁区中冶水务二期扩建项目减排工程中调剂。</w:t>
            </w:r>
          </w:p>
          <w:p w14:paraId="46DDC447">
            <w:pPr>
              <w:pStyle w:val="8"/>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8</w:t>
            </w:r>
            <w:r>
              <w:rPr>
                <w:rFonts w:hint="default" w:ascii="Times New Roman" w:hAnsi="Times New Roman" w:cs="Times New Roman"/>
                <w:color w:val="auto"/>
                <w:highlight w:val="none"/>
              </w:rPr>
              <w:t>排污</w:t>
            </w:r>
            <w:r>
              <w:rPr>
                <w:rFonts w:hint="default" w:ascii="Times New Roman" w:hAnsi="Times New Roman" w:cs="Times New Roman"/>
                <w:color w:val="auto"/>
                <w:highlight w:val="none"/>
                <w:lang w:val="en-US" w:eastAsia="zh-CN"/>
              </w:rPr>
              <w:t>许可证管理及排污</w:t>
            </w:r>
            <w:r>
              <w:rPr>
                <w:rFonts w:hint="default" w:ascii="Times New Roman" w:hAnsi="Times New Roman" w:cs="Times New Roman"/>
                <w:color w:val="auto"/>
                <w:highlight w:val="none"/>
              </w:rPr>
              <w:t>口规范化</w:t>
            </w:r>
          </w:p>
          <w:p w14:paraId="70D0332F">
            <w:pPr>
              <w:adjustRightInd w:val="0"/>
              <w:snapToGrid w:val="0"/>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 xml:space="preserve">（1）落实按证排污责任 </w:t>
            </w:r>
          </w:p>
          <w:p w14:paraId="2E111407">
            <w:pPr>
              <w:adjustRightInd w:val="0"/>
              <w:snapToGrid w:val="0"/>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建设单位必须按期持证排污、按证排污，不得无证排污，及时申领排污许可证，对申请材料的真实性、准确性和完整性承担法律责任，承诺按照排污许可证的规定排污并严格执行；落实污染物排放控制措施和其他各项环境管理要求，确保污染物排放种类、浓度和排放量等达到许可要求；明确单位负责人和相关人员环境保护责任，不断提高污染治理和环境管理水平，自觉接受监督检查。</w:t>
            </w:r>
          </w:p>
          <w:p w14:paraId="6605B7E8">
            <w:pPr>
              <w:adjustRightInd w:val="0"/>
              <w:snapToGrid w:val="0"/>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 xml:space="preserve"> （2）实行自行监测和定期报告制度 </w:t>
            </w:r>
          </w:p>
          <w:p w14:paraId="35CD7AEE">
            <w:pPr>
              <w:adjustRightInd w:val="0"/>
              <w:snapToGrid w:val="0"/>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依法开展自行监测，安装或使用监测设备应符合国家有关环境监测、计量认证规定和技术规范，保障数据合法有效，保证设备正常运行，妥善保存原始记录，建立准确完整的环境管理台账。如实向环境保护部门报告排污许可证执行情况，依法向社会公开污染物排放数据并对数据真实性负责。排放情况与排污许可证要求不符的，应及时向环境保护部门报告。</w:t>
            </w:r>
          </w:p>
          <w:p w14:paraId="5EB42B9C">
            <w:pPr>
              <w:adjustRightInd w:val="0"/>
              <w:snapToGrid w:val="0"/>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（3）排污许可证管理</w:t>
            </w:r>
          </w:p>
          <w:p w14:paraId="2718F092">
            <w:pPr>
              <w:adjustRightInd w:val="0"/>
              <w:snapToGrid w:val="0"/>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①排污口位置和数量、排放方式、排放去向、排放污染物种类、排放浓度和排放量、执行的排放标准等符合排污许可证的规定，不得私设暗管或以其他方式逃避监管。</w:t>
            </w:r>
          </w:p>
          <w:p w14:paraId="7467BEAD">
            <w:pPr>
              <w:adjustRightInd w:val="0"/>
              <w:snapToGrid w:val="0"/>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②落实重污染天气应急管控措施、遵守法律规定的最新环境保护要求等。</w:t>
            </w:r>
          </w:p>
          <w:p w14:paraId="7CF6F8AC">
            <w:pPr>
              <w:adjustRightInd w:val="0"/>
              <w:snapToGrid w:val="0"/>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③按排污许可证规定的监测点位、监测因子、监测频次和相关监测技术规范开展自行监测并公开。</w:t>
            </w:r>
          </w:p>
          <w:p w14:paraId="052D686A">
            <w:pPr>
              <w:adjustRightInd w:val="0"/>
              <w:snapToGrid w:val="0"/>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④按规范进行台账记录，主要内容包括生产信息、原辅材料使用情况、污染防治设施运行记录、监测数据等。</w:t>
            </w:r>
          </w:p>
          <w:p w14:paraId="7AD4F27D">
            <w:pPr>
              <w:adjustRightInd w:val="0"/>
              <w:snapToGrid w:val="0"/>
              <w:ind w:firstLine="480"/>
              <w:rPr>
                <w:rFonts w:hint="default" w:ascii="Times New Roman" w:hAnsi="Times New Roman" w:cs="Times New Roman"/>
                <w:color w:val="auto"/>
                <w:highlight w:val="none"/>
              </w:rPr>
            </w:pPr>
            <w:r>
              <w:rPr>
                <w:rFonts w:hint="default" w:ascii="Times New Roman" w:hAnsi="Times New Roman" w:cs="Times New Roman"/>
                <w:color w:val="auto"/>
                <w:highlight w:val="none"/>
              </w:rPr>
              <w:t>⑤按排污许可证规定，定期在国家排污许可证管理信息平台填报信息，编制排污许可证执行报告，及时报送有核发权的环境保护主管部门并公开，执行报告主要内容包括生产信息、污染防治设施运行情况、污染物按证排放情况等。</w:t>
            </w:r>
          </w:p>
          <w:p w14:paraId="26BDFA10">
            <w:pPr>
              <w:keepNext w:val="0"/>
              <w:keepLines w:val="0"/>
              <w:pageBreakBefore w:val="0"/>
              <w:widowControl w:val="0"/>
              <w:kinsoku/>
              <w:wordWrap/>
              <w:overflowPunct/>
              <w:topLinePunct w:val="0"/>
              <w:autoSpaceDE/>
              <w:autoSpaceDN/>
              <w:bidi w:val="0"/>
              <w:adjustRightInd/>
              <w:snapToGrid/>
              <w:ind w:firstLine="480" w:firstLineChars="200"/>
              <w:jc w:val="both"/>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⑥按照国家环境保护相关法律法规以及排污许可证申请与核发技术规范要求申请排污许可证，不得无证排污或不按证排污。申请排污许可证后，排污单位应按照自行监测方案开展自行监测；按照排污许可证中环境管理台账记录要求记录相关内容，记录频次形式等；按照排污许可证中执行报告要求定期上报等；按照排污许可证要求定期开展信息公开；排污单位应满足特殊时段污染防治要求。</w:t>
            </w:r>
          </w:p>
          <w:p w14:paraId="1CDDF16E">
            <w:pPr>
              <w:keepNext w:val="0"/>
              <w:keepLines w:val="0"/>
              <w:pageBreakBefore w:val="0"/>
              <w:widowControl w:val="0"/>
              <w:kinsoku/>
              <w:wordWrap/>
              <w:overflowPunct/>
              <w:topLinePunct w:val="0"/>
              <w:autoSpaceDE/>
              <w:autoSpaceDN/>
              <w:bidi w:val="0"/>
              <w:adjustRightInd/>
              <w:snapToGrid/>
              <w:ind w:firstLine="480" w:firstLineChars="200"/>
              <w:jc w:val="both"/>
              <w:textAlignment w:val="auto"/>
              <w:rPr>
                <w:rFonts w:hint="default" w:ascii="Times New Roman" w:hAnsi="Times New Roman" w:cs="Times New Roman"/>
                <w:bCs/>
                <w:color w:val="auto"/>
                <w:kern w:val="2"/>
                <w:szCs w:val="24"/>
                <w:highlight w:val="none"/>
              </w:rPr>
            </w:pPr>
            <w:r>
              <w:rPr>
                <w:rFonts w:hint="default" w:ascii="Times New Roman" w:hAnsi="Times New Roman" w:cs="Times New Roman"/>
                <w:color w:val="auto"/>
                <w:highlight w:val="none"/>
                <w:lang w:val="en-US" w:eastAsia="zh-CN"/>
              </w:rPr>
              <w:t>危险废物表示应按照《危险废物识别标志设置技术规范》（HJ1276-2022）文件相关要求进行设置。</w:t>
            </w:r>
          </w:p>
          <w:p w14:paraId="52834C08">
            <w:pPr>
              <w:pStyle w:val="47"/>
              <w:ind w:left="482" w:hanging="482"/>
              <w:rPr>
                <w:rFonts w:hint="default" w:ascii="Times New Roman" w:hAnsi="Times New Roman" w:cs="Times New Roman"/>
                <w:bCs/>
                <w:color w:val="auto"/>
                <w:kern w:val="2"/>
                <w:szCs w:val="24"/>
                <w:highlight w:val="none"/>
              </w:rPr>
            </w:pPr>
            <w:r>
              <w:rPr>
                <w:rFonts w:hint="default" w:ascii="Times New Roman" w:hAnsi="Times New Roman" w:cs="Times New Roman"/>
                <w:bCs/>
                <w:color w:val="auto"/>
                <w:kern w:val="2"/>
                <w:szCs w:val="24"/>
                <w:highlight w:val="none"/>
              </w:rPr>
              <w:t>表</w:t>
            </w:r>
            <w:r>
              <w:rPr>
                <w:rFonts w:hint="default" w:ascii="Times New Roman" w:hAnsi="Times New Roman" w:cs="Times New Roman"/>
                <w:bCs/>
                <w:color w:val="auto"/>
                <w:kern w:val="2"/>
                <w:szCs w:val="24"/>
                <w:highlight w:val="none"/>
                <w:lang w:val="en-US" w:eastAsia="zh-CN"/>
              </w:rPr>
              <w:t>4-1</w:t>
            </w:r>
            <w:r>
              <w:rPr>
                <w:rFonts w:hint="eastAsia" w:cs="Times New Roman"/>
                <w:bCs/>
                <w:color w:val="auto"/>
                <w:kern w:val="2"/>
                <w:szCs w:val="24"/>
                <w:highlight w:val="none"/>
                <w:lang w:val="en-US" w:eastAsia="zh-CN"/>
              </w:rPr>
              <w:t>9</w:t>
            </w:r>
            <w:r>
              <w:rPr>
                <w:rFonts w:hint="default" w:ascii="Times New Roman" w:hAnsi="Times New Roman" w:cs="Times New Roman"/>
                <w:bCs/>
                <w:color w:val="auto"/>
                <w:kern w:val="2"/>
                <w:szCs w:val="24"/>
                <w:highlight w:val="none"/>
                <w:lang w:val="en-US" w:eastAsia="zh-CN"/>
              </w:rPr>
              <w:t xml:space="preserve">  </w:t>
            </w:r>
            <w:r>
              <w:rPr>
                <w:rFonts w:hint="default" w:ascii="Times New Roman" w:hAnsi="Times New Roman" w:cs="Times New Roman"/>
                <w:bCs/>
                <w:color w:val="auto"/>
                <w:kern w:val="2"/>
                <w:szCs w:val="24"/>
                <w:highlight w:val="none"/>
              </w:rPr>
              <w:t>排污口图形标志</w:t>
            </w:r>
          </w:p>
          <w:tbl>
            <w:tblPr>
              <w:tblStyle w:val="3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503"/>
              <w:gridCol w:w="1825"/>
              <w:gridCol w:w="2126"/>
              <w:gridCol w:w="876"/>
              <w:gridCol w:w="1991"/>
              <w:gridCol w:w="1143"/>
            </w:tblGrid>
            <w:tr w14:paraId="20400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jc w:val="center"/>
              </w:trPr>
              <w:tc>
                <w:tcPr>
                  <w:tcW w:w="503" w:type="dxa"/>
                  <w:vAlign w:val="center"/>
                </w:tcPr>
                <w:p w14:paraId="516DCEBD">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序号</w:t>
                  </w:r>
                </w:p>
              </w:tc>
              <w:tc>
                <w:tcPr>
                  <w:tcW w:w="1825" w:type="dxa"/>
                  <w:vAlign w:val="center"/>
                </w:tcPr>
                <w:p w14:paraId="48C4BA95">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提示图像符号</w:t>
                  </w:r>
                </w:p>
              </w:tc>
              <w:tc>
                <w:tcPr>
                  <w:tcW w:w="2126" w:type="dxa"/>
                  <w:vAlign w:val="center"/>
                </w:tcPr>
                <w:p w14:paraId="4C210934">
                  <w:pPr>
                    <w:pStyle w:val="58"/>
                    <w:keepNext w:val="0"/>
                    <w:keepLines w:val="0"/>
                    <w:pageBreakBefore w:val="0"/>
                    <w:widowControl w:val="0"/>
                    <w:kinsoku/>
                    <w:wordWrap/>
                    <w:overflowPunct/>
                    <w:topLinePunct w:val="0"/>
                    <w:autoSpaceDE/>
                    <w:autoSpaceDN/>
                    <w:bidi w:val="0"/>
                    <w:adjustRightInd w:val="0"/>
                    <w:snapToGrid w:val="0"/>
                    <w:ind w:firstLine="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警告图像符号</w:t>
                  </w:r>
                </w:p>
              </w:tc>
              <w:tc>
                <w:tcPr>
                  <w:tcW w:w="876" w:type="dxa"/>
                  <w:vAlign w:val="center"/>
                </w:tcPr>
                <w:p w14:paraId="395B6E91">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名称</w:t>
                  </w:r>
                </w:p>
              </w:tc>
              <w:tc>
                <w:tcPr>
                  <w:tcW w:w="1991" w:type="dxa"/>
                  <w:vAlign w:val="center"/>
                </w:tcPr>
                <w:p w14:paraId="52F3BAD1">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功能</w:t>
                  </w:r>
                </w:p>
              </w:tc>
              <w:tc>
                <w:tcPr>
                  <w:tcW w:w="1143" w:type="dxa"/>
                  <w:vAlign w:val="center"/>
                </w:tcPr>
                <w:p w14:paraId="58A7AE4F">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备注</w:t>
                  </w:r>
                </w:p>
              </w:tc>
            </w:tr>
            <w:tr w14:paraId="48A4B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21" w:hRule="atLeast"/>
                <w:jc w:val="center"/>
              </w:trPr>
              <w:tc>
                <w:tcPr>
                  <w:tcW w:w="503" w:type="dxa"/>
                  <w:vAlign w:val="center"/>
                </w:tcPr>
                <w:p w14:paraId="7F0929DF">
                  <w:pPr>
                    <w:pStyle w:val="58"/>
                    <w:ind w:firstLine="0" w:firstLineChars="0"/>
                    <w:rPr>
                      <w:rFonts w:hint="default" w:ascii="Times New Roman" w:hAnsi="Times New Roman" w:eastAsia="宋体" w:cs="Times New Roman"/>
                      <w:color w:val="auto"/>
                      <w:kern w:val="0"/>
                      <w:sz w:val="21"/>
                      <w:szCs w:val="20"/>
                      <w:highlight w:val="none"/>
                      <w:lang w:val="en-US" w:eastAsia="zh-CN" w:bidi="ar-SA"/>
                    </w:rPr>
                  </w:pPr>
                  <w:r>
                    <w:rPr>
                      <w:rFonts w:hint="default" w:ascii="Times New Roman" w:hAnsi="Times New Roman" w:cs="Times New Roman"/>
                      <w:color w:val="auto"/>
                      <w:highlight w:val="none"/>
                      <w:lang w:val="en-US" w:eastAsia="zh-CN"/>
                    </w:rPr>
                    <w:t>1</w:t>
                  </w:r>
                </w:p>
              </w:tc>
              <w:tc>
                <w:tcPr>
                  <w:tcW w:w="1825" w:type="dxa"/>
                  <w:vAlign w:val="center"/>
                </w:tcPr>
                <w:p w14:paraId="6A09DFBC">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color w:val="auto"/>
                      <w:kern w:val="0"/>
                      <w:sz w:val="21"/>
                      <w:szCs w:val="20"/>
                      <w:highlight w:val="none"/>
                      <w:lang w:val="en-US" w:eastAsia="zh-CN" w:bidi="ar-SA"/>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INCLUDEPICTURE "http://www.biaozhi.net/enews/UploadFiles/smallImg/785.gif" \* MERGEFORMATINET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drawing>
                      <wp:inline distT="0" distB="0" distL="114300" distR="114300">
                        <wp:extent cx="474980" cy="474980"/>
                        <wp:effectExtent l="0" t="0" r="1270" b="1270"/>
                        <wp:docPr id="11" name="图片 7" descr="点击看大图及详细资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7" descr="点击看大图及详细资料"/>
                                <pic:cNvPicPr>
                                  <a:picLocks noChangeAspect="1"/>
                                </pic:cNvPicPr>
                              </pic:nvPicPr>
                              <pic:blipFill>
                                <a:blip r:embed="rId118"/>
                                <a:stretch>
                                  <a:fillRect/>
                                </a:stretch>
                              </pic:blipFill>
                              <pic:spPr>
                                <a:xfrm>
                                  <a:off x="0" y="0"/>
                                  <a:ext cx="474980" cy="474980"/>
                                </a:xfrm>
                                <a:prstGeom prst="rect">
                                  <a:avLst/>
                                </a:prstGeom>
                                <a:noFill/>
                                <a:ln>
                                  <a:noFill/>
                                </a:ln>
                              </pic:spPr>
                            </pic:pic>
                          </a:graphicData>
                        </a:graphic>
                      </wp:inline>
                    </w:drawing>
                  </w:r>
                  <w:r>
                    <w:rPr>
                      <w:rFonts w:hint="default" w:ascii="Times New Roman" w:hAnsi="Times New Roman" w:cs="Times New Roman"/>
                      <w:color w:val="auto"/>
                      <w:highlight w:val="none"/>
                    </w:rPr>
                    <w:fldChar w:fldCharType="end"/>
                  </w:r>
                </w:p>
              </w:tc>
              <w:tc>
                <w:tcPr>
                  <w:tcW w:w="2126" w:type="dxa"/>
                  <w:vAlign w:val="center"/>
                </w:tcPr>
                <w:p w14:paraId="54F468EF">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eastAsia="宋体" w:cs="Times New Roman"/>
                      <w:color w:val="auto"/>
                      <w:kern w:val="0"/>
                      <w:sz w:val="21"/>
                      <w:szCs w:val="20"/>
                      <w:highlight w:val="none"/>
                      <w:lang w:val="en-US" w:eastAsia="zh-CN" w:bidi="ar-SA"/>
                    </w:rPr>
                  </w:pPr>
                  <w:r>
                    <w:rPr>
                      <w:rFonts w:hint="default" w:ascii="Times New Roman" w:hAnsi="Times New Roman" w:cs="Times New Roman"/>
                      <w:color w:val="auto"/>
                      <w:highlight w:val="none"/>
                    </w:rPr>
                    <w:drawing>
                      <wp:inline distT="0" distB="0" distL="114300" distR="114300">
                        <wp:extent cx="940435" cy="937895"/>
                        <wp:effectExtent l="0" t="0" r="12065" b="14605"/>
                        <wp:docPr id="1"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8"/>
                                <pic:cNvPicPr>
                                  <a:picLocks noChangeAspect="1"/>
                                </pic:cNvPicPr>
                              </pic:nvPicPr>
                              <pic:blipFill>
                                <a:blip r:embed="rId119"/>
                                <a:stretch>
                                  <a:fillRect/>
                                </a:stretch>
                              </pic:blipFill>
                              <pic:spPr>
                                <a:xfrm>
                                  <a:off x="0" y="0"/>
                                  <a:ext cx="940435" cy="937895"/>
                                </a:xfrm>
                                <a:prstGeom prst="rect">
                                  <a:avLst/>
                                </a:prstGeom>
                                <a:noFill/>
                                <a:ln>
                                  <a:noFill/>
                                </a:ln>
                              </pic:spPr>
                            </pic:pic>
                          </a:graphicData>
                        </a:graphic>
                      </wp:inline>
                    </w:drawing>
                  </w:r>
                </w:p>
              </w:tc>
              <w:tc>
                <w:tcPr>
                  <w:tcW w:w="876" w:type="dxa"/>
                  <w:vAlign w:val="center"/>
                </w:tcPr>
                <w:p w14:paraId="26C91A8A">
                  <w:pPr>
                    <w:pStyle w:val="58"/>
                    <w:ind w:firstLine="0" w:firstLineChars="0"/>
                    <w:rPr>
                      <w:rFonts w:hint="default" w:ascii="Times New Roman" w:hAnsi="Times New Roman" w:eastAsia="宋体" w:cs="Times New Roman"/>
                      <w:color w:val="auto"/>
                      <w:kern w:val="0"/>
                      <w:sz w:val="21"/>
                      <w:szCs w:val="20"/>
                      <w:highlight w:val="none"/>
                      <w:lang w:val="en-US" w:eastAsia="zh-CN" w:bidi="ar-SA"/>
                    </w:rPr>
                  </w:pPr>
                  <w:r>
                    <w:rPr>
                      <w:rFonts w:hint="default" w:ascii="Times New Roman" w:hAnsi="Times New Roman" w:cs="Times New Roman"/>
                      <w:color w:val="auto"/>
                      <w:highlight w:val="none"/>
                    </w:rPr>
                    <w:t>噪声源</w:t>
                  </w:r>
                </w:p>
              </w:tc>
              <w:tc>
                <w:tcPr>
                  <w:tcW w:w="1991" w:type="dxa"/>
                  <w:vAlign w:val="center"/>
                </w:tcPr>
                <w:p w14:paraId="4BEC8AF2">
                  <w:pPr>
                    <w:pStyle w:val="58"/>
                    <w:ind w:firstLine="0" w:firstLineChars="0"/>
                    <w:rPr>
                      <w:rFonts w:hint="default" w:ascii="Times New Roman" w:hAnsi="Times New Roman" w:eastAsia="宋体" w:cs="Times New Roman"/>
                      <w:color w:val="auto"/>
                      <w:kern w:val="0"/>
                      <w:sz w:val="21"/>
                      <w:szCs w:val="20"/>
                      <w:highlight w:val="none"/>
                      <w:lang w:val="en-US" w:eastAsia="zh-CN" w:bidi="ar-SA"/>
                    </w:rPr>
                  </w:pPr>
                  <w:r>
                    <w:rPr>
                      <w:rFonts w:hint="default" w:ascii="Times New Roman" w:hAnsi="Times New Roman" w:cs="Times New Roman"/>
                      <w:color w:val="auto"/>
                      <w:highlight w:val="none"/>
                    </w:rPr>
                    <w:t>表示噪声向外环境排放</w:t>
                  </w:r>
                </w:p>
              </w:tc>
              <w:tc>
                <w:tcPr>
                  <w:tcW w:w="1143" w:type="dxa"/>
                  <w:vAlign w:val="center"/>
                </w:tcPr>
                <w:p w14:paraId="1F80C5D9">
                  <w:pPr>
                    <w:pStyle w:val="58"/>
                    <w:ind w:firstLine="0" w:firstLineChars="0"/>
                    <w:rPr>
                      <w:rFonts w:hint="default" w:ascii="Times New Roman" w:hAnsi="Times New Roman" w:eastAsia="宋体" w:cs="Times New Roman"/>
                      <w:color w:val="auto"/>
                      <w:kern w:val="0"/>
                      <w:sz w:val="21"/>
                      <w:szCs w:val="20"/>
                      <w:highlight w:val="none"/>
                      <w:lang w:val="en-US" w:eastAsia="zh-CN" w:bidi="ar-SA"/>
                    </w:rPr>
                  </w:pPr>
                  <w:r>
                    <w:rPr>
                      <w:rFonts w:hint="default" w:ascii="Times New Roman" w:hAnsi="Times New Roman" w:cs="Times New Roman"/>
                      <w:color w:val="auto"/>
                      <w:highlight w:val="none"/>
                      <w:lang w:val="en-US" w:eastAsia="zh-CN"/>
                    </w:rPr>
                    <w:t>噪声排放</w:t>
                  </w:r>
                </w:p>
              </w:tc>
            </w:tr>
            <w:tr w14:paraId="2C970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90" w:hRule="atLeast"/>
                <w:jc w:val="center"/>
              </w:trPr>
              <w:tc>
                <w:tcPr>
                  <w:tcW w:w="503" w:type="dxa"/>
                  <w:vAlign w:val="center"/>
                </w:tcPr>
                <w:p w14:paraId="0A475296">
                  <w:pPr>
                    <w:pStyle w:val="58"/>
                    <w:ind w:firstLine="0" w:firstLineChars="0"/>
                    <w:rPr>
                      <w:rFonts w:hint="default" w:ascii="Times New Roman" w:hAnsi="Times New Roman" w:eastAsia="宋体" w:cs="Times New Roman"/>
                      <w:color w:val="auto"/>
                      <w:kern w:val="0"/>
                      <w:sz w:val="21"/>
                      <w:szCs w:val="20"/>
                      <w:highlight w:val="none"/>
                      <w:lang w:val="en-US" w:eastAsia="zh-CN" w:bidi="ar-SA"/>
                    </w:rPr>
                  </w:pPr>
                  <w:r>
                    <w:rPr>
                      <w:rFonts w:hint="default" w:ascii="Times New Roman" w:hAnsi="Times New Roman" w:cs="Times New Roman"/>
                      <w:color w:val="auto"/>
                      <w:highlight w:val="none"/>
                      <w:lang w:val="en-US" w:eastAsia="zh-CN"/>
                    </w:rPr>
                    <w:t>2</w:t>
                  </w:r>
                </w:p>
              </w:tc>
              <w:tc>
                <w:tcPr>
                  <w:tcW w:w="1825" w:type="dxa"/>
                  <w:vAlign w:val="center"/>
                </w:tcPr>
                <w:p w14:paraId="4E48C1EE">
                  <w:pPr>
                    <w:pStyle w:val="58"/>
                    <w:keepNext w:val="0"/>
                    <w:keepLines w:val="0"/>
                    <w:pageBreakBefore w:val="0"/>
                    <w:widowControl w:val="0"/>
                    <w:kinsoku/>
                    <w:wordWrap/>
                    <w:overflowPunct/>
                    <w:topLinePunct w:val="0"/>
                    <w:autoSpaceDE/>
                    <w:autoSpaceDN/>
                    <w:bidi w:val="0"/>
                    <w:adjustRightInd w:val="0"/>
                    <w:snapToGrid w:val="0"/>
                    <w:ind w:firstLine="420" w:firstLineChars="0"/>
                    <w:textAlignment w:val="auto"/>
                    <w:rPr>
                      <w:rFonts w:hint="default" w:ascii="Times New Roman" w:hAnsi="Times New Roman" w:eastAsia="宋体" w:cs="Times New Roman"/>
                      <w:color w:val="auto"/>
                      <w:kern w:val="0"/>
                      <w:sz w:val="21"/>
                      <w:szCs w:val="20"/>
                      <w:highlight w:val="none"/>
                      <w:lang w:val="en-US" w:eastAsia="zh-CN" w:bidi="ar-SA"/>
                    </w:rPr>
                  </w:pPr>
                  <w:r>
                    <w:rPr>
                      <w:rFonts w:hint="default" w:ascii="Times New Roman" w:hAnsi="Times New Roman" w:cs="Times New Roman"/>
                      <w:color w:val="auto"/>
                      <w:highlight w:val="none"/>
                    </w:rPr>
                    <w:drawing>
                      <wp:inline distT="0" distB="0" distL="114300" distR="114300">
                        <wp:extent cx="806450" cy="833755"/>
                        <wp:effectExtent l="0" t="0" r="12700" b="4445"/>
                        <wp:docPr id="9"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64"/>
                                <pic:cNvPicPr>
                                  <a:picLocks noChangeAspect="1"/>
                                </pic:cNvPicPr>
                              </pic:nvPicPr>
                              <pic:blipFill>
                                <a:blip r:embed="rId120"/>
                                <a:srcRect l="41331" t="-1521"/>
                                <a:stretch>
                                  <a:fillRect/>
                                </a:stretch>
                              </pic:blipFill>
                              <pic:spPr>
                                <a:xfrm>
                                  <a:off x="0" y="0"/>
                                  <a:ext cx="806450" cy="833755"/>
                                </a:xfrm>
                                <a:prstGeom prst="rect">
                                  <a:avLst/>
                                </a:prstGeom>
                                <a:noFill/>
                                <a:ln>
                                  <a:noFill/>
                                </a:ln>
                              </pic:spPr>
                            </pic:pic>
                          </a:graphicData>
                        </a:graphic>
                      </wp:inline>
                    </w:drawing>
                  </w:r>
                </w:p>
              </w:tc>
              <w:tc>
                <w:tcPr>
                  <w:tcW w:w="2126" w:type="dxa"/>
                  <w:vAlign w:val="center"/>
                </w:tcPr>
                <w:p w14:paraId="18A50A8C">
                  <w:pPr>
                    <w:pStyle w:val="58"/>
                    <w:keepNext w:val="0"/>
                    <w:keepLines w:val="0"/>
                    <w:pageBreakBefore w:val="0"/>
                    <w:widowControl w:val="0"/>
                    <w:kinsoku/>
                    <w:wordWrap/>
                    <w:overflowPunct/>
                    <w:topLinePunct w:val="0"/>
                    <w:autoSpaceDE/>
                    <w:autoSpaceDN/>
                    <w:bidi w:val="0"/>
                    <w:adjustRightInd w:val="0"/>
                    <w:snapToGrid w:val="0"/>
                    <w:ind w:firstLine="420" w:firstLineChars="0"/>
                    <w:textAlignment w:val="auto"/>
                    <w:rPr>
                      <w:rFonts w:hint="default" w:ascii="Times New Roman" w:hAnsi="Times New Roman" w:eastAsia="宋体" w:cs="Times New Roman"/>
                      <w:color w:val="auto"/>
                      <w:kern w:val="0"/>
                      <w:sz w:val="21"/>
                      <w:szCs w:val="20"/>
                      <w:highlight w:val="none"/>
                      <w:lang w:val="en-US" w:eastAsia="zh-CN" w:bidi="ar-SA"/>
                    </w:rPr>
                  </w:pPr>
                  <w:r>
                    <w:rPr>
                      <w:rFonts w:hint="default" w:ascii="Times New Roman" w:hAnsi="Times New Roman" w:cs="Times New Roman"/>
                      <w:color w:val="auto"/>
                      <w:highlight w:val="none"/>
                    </w:rPr>
                    <w:drawing>
                      <wp:inline distT="0" distB="0" distL="114300" distR="114300">
                        <wp:extent cx="906145" cy="772160"/>
                        <wp:effectExtent l="0" t="0" r="8255" b="8890"/>
                        <wp:docPr id="10"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65"/>
                                <pic:cNvPicPr>
                                  <a:picLocks noChangeAspect="1"/>
                                </pic:cNvPicPr>
                              </pic:nvPicPr>
                              <pic:blipFill>
                                <a:blip r:embed="rId121"/>
                                <a:stretch>
                                  <a:fillRect/>
                                </a:stretch>
                              </pic:blipFill>
                              <pic:spPr>
                                <a:xfrm>
                                  <a:off x="0" y="0"/>
                                  <a:ext cx="906145" cy="772160"/>
                                </a:xfrm>
                                <a:prstGeom prst="rect">
                                  <a:avLst/>
                                </a:prstGeom>
                                <a:noFill/>
                                <a:ln>
                                  <a:noFill/>
                                </a:ln>
                              </pic:spPr>
                            </pic:pic>
                          </a:graphicData>
                        </a:graphic>
                      </wp:inline>
                    </w:drawing>
                  </w:r>
                </w:p>
              </w:tc>
              <w:tc>
                <w:tcPr>
                  <w:tcW w:w="876" w:type="dxa"/>
                  <w:vAlign w:val="center"/>
                </w:tcPr>
                <w:p w14:paraId="5EE1AF74">
                  <w:pPr>
                    <w:pStyle w:val="58"/>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一般工业固体废物</w:t>
                  </w:r>
                </w:p>
              </w:tc>
              <w:tc>
                <w:tcPr>
                  <w:tcW w:w="1991" w:type="dxa"/>
                  <w:vAlign w:val="center"/>
                </w:tcPr>
                <w:p w14:paraId="2C9950AD">
                  <w:pPr>
                    <w:pStyle w:val="58"/>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一般工业固体废物储存区</w:t>
                  </w:r>
                </w:p>
              </w:tc>
              <w:tc>
                <w:tcPr>
                  <w:tcW w:w="1143" w:type="dxa"/>
                  <w:vAlign w:val="center"/>
                </w:tcPr>
                <w:p w14:paraId="414F2296">
                  <w:pPr>
                    <w:pStyle w:val="58"/>
                    <w:ind w:firstLine="0" w:firstLineChars="0"/>
                    <w:rPr>
                      <w:rFonts w:hint="default" w:ascii="Times New Roman" w:hAnsi="Times New Roman" w:eastAsia="宋体" w:cs="Times New Roman"/>
                      <w:color w:val="auto"/>
                      <w:kern w:val="0"/>
                      <w:sz w:val="21"/>
                      <w:szCs w:val="20"/>
                      <w:highlight w:val="none"/>
                      <w:lang w:val="en-US" w:eastAsia="zh-CN" w:bidi="ar-SA"/>
                    </w:rPr>
                  </w:pPr>
                  <w:r>
                    <w:rPr>
                      <w:rFonts w:hint="default" w:ascii="Times New Roman" w:hAnsi="Times New Roman" w:cs="Times New Roman"/>
                      <w:color w:val="auto"/>
                      <w:highlight w:val="none"/>
                      <w:lang w:val="en-US" w:eastAsia="zh-CN"/>
                    </w:rPr>
                    <w:t>固体废物</w:t>
                  </w:r>
                </w:p>
              </w:tc>
            </w:tr>
            <w:tr w14:paraId="533F0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503" w:type="dxa"/>
                  <w:vAlign w:val="center"/>
                </w:tcPr>
                <w:p w14:paraId="6FFEBCBC">
                  <w:pPr>
                    <w:pStyle w:val="58"/>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rFonts w:hint="default" w:ascii="Times New Roman" w:hAnsi="Times New Roman" w:eastAsia="宋体" w:cs="Times New Roman"/>
                      <w:color w:val="auto"/>
                      <w:highlight w:val="none"/>
                      <w:lang w:eastAsia="zh-CN"/>
                    </w:rPr>
                  </w:pPr>
                  <w:r>
                    <w:rPr>
                      <w:rFonts w:hint="default" w:ascii="Times New Roman" w:hAnsi="Times New Roman" w:cs="Times New Roman"/>
                      <w:color w:val="auto"/>
                      <w:highlight w:val="none"/>
                      <w:lang w:val="en-US" w:eastAsia="zh-CN"/>
                    </w:rPr>
                    <w:t>3</w:t>
                  </w:r>
                </w:p>
              </w:tc>
              <w:tc>
                <w:tcPr>
                  <w:tcW w:w="1825" w:type="dxa"/>
                  <w:vAlign w:val="center"/>
                </w:tcPr>
                <w:p w14:paraId="459D665B">
                  <w:pPr>
                    <w:pStyle w:val="58"/>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rPr>
                    <w:t>--</w:t>
                  </w:r>
                </w:p>
              </w:tc>
              <w:tc>
                <w:tcPr>
                  <w:tcW w:w="2126" w:type="dxa"/>
                  <w:vAlign w:val="center"/>
                </w:tcPr>
                <w:p w14:paraId="10C1C42A">
                  <w:pPr>
                    <w:pStyle w:val="58"/>
                    <w:keepNext w:val="0"/>
                    <w:keepLines w:val="0"/>
                    <w:pageBreakBefore w:val="0"/>
                    <w:widowControl w:val="0"/>
                    <w:kinsoku/>
                    <w:wordWrap/>
                    <w:overflowPunct/>
                    <w:topLinePunct w:val="0"/>
                    <w:autoSpaceDE/>
                    <w:autoSpaceDN/>
                    <w:bidi w:val="0"/>
                    <w:adjustRightInd w:val="0"/>
                    <w:snapToGrid w:val="0"/>
                    <w:ind w:left="0" w:leftChars="0" w:firstLine="0" w:firstLineChars="0"/>
                    <w:jc w:val="center"/>
                    <w:textAlignment w:val="auto"/>
                    <w:rPr>
                      <w:rFonts w:hint="default" w:ascii="Times New Roman" w:hAnsi="Times New Roman" w:cs="Times New Roman"/>
                      <w:color w:val="auto"/>
                      <w:highlight w:val="none"/>
                    </w:rPr>
                  </w:pPr>
                  <w:r>
                    <w:rPr>
                      <w:rFonts w:hint="default" w:ascii="Times New Roman" w:hAnsi="Times New Roman" w:eastAsia="宋体" w:cs="Times New Roman"/>
                      <w:color w:val="auto"/>
                      <w:highlight w:val="none"/>
                      <w:lang w:eastAsia="zh-CN"/>
                    </w:rPr>
                    <w:drawing>
                      <wp:inline distT="0" distB="0" distL="114300" distR="114300">
                        <wp:extent cx="1263015" cy="801370"/>
                        <wp:effectExtent l="0" t="0" r="13335" b="17780"/>
                        <wp:docPr id="36" name="图片 36" descr="1693796159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descr="1693796159637"/>
                                <pic:cNvPicPr>
                                  <a:picLocks noChangeAspect="1"/>
                                </pic:cNvPicPr>
                              </pic:nvPicPr>
                              <pic:blipFill>
                                <a:blip r:embed="rId122"/>
                                <a:stretch>
                                  <a:fillRect/>
                                </a:stretch>
                              </pic:blipFill>
                              <pic:spPr>
                                <a:xfrm>
                                  <a:off x="0" y="0"/>
                                  <a:ext cx="1263015" cy="801370"/>
                                </a:xfrm>
                                <a:prstGeom prst="rect">
                                  <a:avLst/>
                                </a:prstGeom>
                              </pic:spPr>
                            </pic:pic>
                          </a:graphicData>
                        </a:graphic>
                      </wp:inline>
                    </w:drawing>
                  </w:r>
                </w:p>
              </w:tc>
              <w:tc>
                <w:tcPr>
                  <w:tcW w:w="876" w:type="dxa"/>
                  <w:vAlign w:val="center"/>
                </w:tcPr>
                <w:p w14:paraId="61ED7427">
                  <w:pPr>
                    <w:pStyle w:val="58"/>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危险废物</w:t>
                  </w:r>
                </w:p>
              </w:tc>
              <w:tc>
                <w:tcPr>
                  <w:tcW w:w="1991" w:type="dxa"/>
                  <w:vAlign w:val="center"/>
                </w:tcPr>
                <w:p w14:paraId="7DF41286">
                  <w:pPr>
                    <w:pStyle w:val="58"/>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危废暂存间</w:t>
                  </w:r>
                </w:p>
              </w:tc>
              <w:tc>
                <w:tcPr>
                  <w:tcW w:w="1143" w:type="dxa"/>
                  <w:vAlign w:val="center"/>
                </w:tcPr>
                <w:p w14:paraId="4412C62F">
                  <w:pPr>
                    <w:pStyle w:val="58"/>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rPr>
                    <w:t>--</w:t>
                  </w:r>
                </w:p>
              </w:tc>
            </w:tr>
          </w:tbl>
          <w:p w14:paraId="11346999">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w:t>
            </w:r>
            <w:r>
              <w:rPr>
                <w:rFonts w:hint="default" w:ascii="Times New Roman" w:hAnsi="Times New Roman" w:cs="Times New Roman"/>
                <w:color w:val="auto"/>
                <w:highlight w:val="none"/>
                <w:lang w:val="en-US" w:eastAsia="zh-CN"/>
              </w:rPr>
              <w:t>6</w:t>
            </w:r>
            <w:r>
              <w:rPr>
                <w:rFonts w:hint="default" w:ascii="Times New Roman" w:hAnsi="Times New Roman" w:cs="Times New Roman"/>
                <w:color w:val="auto"/>
                <w:highlight w:val="none"/>
              </w:rPr>
              <w:t>）排污口立标</w:t>
            </w:r>
          </w:p>
          <w:p w14:paraId="4227E7BD">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A、污染物排放口的环保图形标志牌应设置在靠近采样点，并设在醒目处。</w:t>
            </w:r>
          </w:p>
          <w:p w14:paraId="7C77F3D8">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B、重点排污单位的污染物排放口以设置立式标志牌为主，一般排污单位的污染物排放口，可根据情况设置立式或平面固定式标志牌。</w:t>
            </w:r>
          </w:p>
          <w:p w14:paraId="28A95B29">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w:t>
            </w:r>
            <w:r>
              <w:rPr>
                <w:rFonts w:hint="default" w:ascii="Times New Roman" w:hAnsi="Times New Roman" w:cs="Times New Roman"/>
                <w:color w:val="auto"/>
                <w:highlight w:val="none"/>
                <w:lang w:val="en-US" w:eastAsia="zh-CN"/>
              </w:rPr>
              <w:t>7</w:t>
            </w:r>
            <w:r>
              <w:rPr>
                <w:rFonts w:hint="default" w:ascii="Times New Roman" w:hAnsi="Times New Roman" w:cs="Times New Roman"/>
                <w:color w:val="auto"/>
                <w:highlight w:val="none"/>
              </w:rPr>
              <w:t>）排污口管理</w:t>
            </w:r>
          </w:p>
          <w:p w14:paraId="11B6453A">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1 \* GB3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①</w:t>
            </w:r>
            <w:r>
              <w:rPr>
                <w:rFonts w:hint="default" w:ascii="Times New Roman" w:hAnsi="Times New Roman" w:cs="Times New Roman"/>
                <w:color w:val="auto"/>
                <w:highlight w:val="none"/>
              </w:rPr>
              <w:fldChar w:fldCharType="end"/>
            </w:r>
            <w:r>
              <w:rPr>
                <w:rFonts w:hint="default" w:ascii="Times New Roman" w:hAnsi="Times New Roman" w:cs="Times New Roman"/>
                <w:color w:val="auto"/>
                <w:highlight w:val="none"/>
              </w:rPr>
              <w:t>管理原则</w:t>
            </w:r>
          </w:p>
          <w:p w14:paraId="56D43AA0">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排污口是企业污染物进入环境、污染环境的通道，强化排污口的管理是实施污染物总量控制的基础工作之一，也是区域环境管理逐步实现污染物排放科学化、定量化的重要手段。具体管理原则如下：</w:t>
            </w:r>
          </w:p>
          <w:p w14:paraId="4267B670">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A、 项目污染物的排放口必须规范化。</w:t>
            </w:r>
          </w:p>
          <w:p w14:paraId="317C7BFD">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B、 列入总量控制的污染物污染源列为管理的重点。</w:t>
            </w:r>
          </w:p>
          <w:p w14:paraId="7F5C7BD4">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C、 如实向环保管理部门申报排污口数量、位置及所排放的主要污染物种类、数量、浓度、排放去向等情况。</w:t>
            </w:r>
          </w:p>
          <w:p w14:paraId="1C17BFD4">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D、 废气排气装置应设置便于采样、监测的采样孔，设置应符合《污染源监测技术规范》。</w:t>
            </w:r>
          </w:p>
          <w:p w14:paraId="76D6FD2F">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E、固废堆存时，应设置专用堆放场地，并有防扬散、防流失、对有毒有害固废堆放场地采取防渗漏措施。</w:t>
            </w:r>
          </w:p>
          <w:p w14:paraId="3EB519E6">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2 \* GB3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②</w:t>
            </w:r>
            <w:r>
              <w:rPr>
                <w:rFonts w:hint="default" w:ascii="Times New Roman" w:hAnsi="Times New Roman" w:cs="Times New Roman"/>
                <w:color w:val="auto"/>
                <w:highlight w:val="none"/>
              </w:rPr>
              <w:fldChar w:fldCharType="end"/>
            </w:r>
            <w:r>
              <w:rPr>
                <w:rFonts w:hint="default" w:ascii="Times New Roman" w:hAnsi="Times New Roman" w:cs="Times New Roman"/>
                <w:color w:val="auto"/>
                <w:highlight w:val="none"/>
              </w:rPr>
              <w:t>排放源建档</w:t>
            </w:r>
          </w:p>
          <w:p w14:paraId="54332052">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A、应使用国家统一印刷的《中华人民共和国规范化排污口标志登记证》，并按要求填写有关内容。</w:t>
            </w:r>
          </w:p>
          <w:p w14:paraId="5151254B">
            <w:pPr>
              <w:ind w:firstLine="48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B、根据排污口管理内容要求，项目建成投产后，应将主要污染物种类、数量、浓度、排放去向、立标情况及设施运行情况记录于档案。</w:t>
            </w:r>
          </w:p>
          <w:p w14:paraId="58CAE079">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default" w:ascii="Times New Roman" w:hAnsi="Times New Roman" w:cs="Times New Roman"/>
                <w:b/>
                <w:bCs/>
                <w:color w:val="auto"/>
                <w:sz w:val="28"/>
                <w:szCs w:val="28"/>
                <w:highlight w:val="none"/>
              </w:rPr>
            </w:pPr>
            <w:r>
              <w:rPr>
                <w:rFonts w:hint="default" w:ascii="Times New Roman" w:hAnsi="Times New Roman" w:cs="Times New Roman"/>
                <w:b/>
                <w:bCs/>
                <w:color w:val="auto"/>
                <w:sz w:val="28"/>
                <w:szCs w:val="28"/>
                <w:highlight w:val="none"/>
                <w:lang w:val="en-US" w:eastAsia="zh-CN"/>
              </w:rPr>
              <w:t>9</w:t>
            </w:r>
            <w:r>
              <w:rPr>
                <w:rFonts w:hint="default" w:ascii="Times New Roman" w:hAnsi="Times New Roman" w:cs="Times New Roman"/>
                <w:b/>
                <w:bCs/>
                <w:color w:val="auto"/>
                <w:sz w:val="28"/>
                <w:szCs w:val="28"/>
                <w:highlight w:val="none"/>
              </w:rPr>
              <w:t>清洁生产</w:t>
            </w:r>
          </w:p>
          <w:p w14:paraId="0AC921AA">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（1）本项目生产加工工艺为同类项目生产厂家普遍采用，技术成熟、可靠；设备均选用国内先进水平装备。</w:t>
            </w:r>
          </w:p>
          <w:p w14:paraId="010B1548">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（2）原材料的选取及产品在使用过程符合清洁生产对原材料和产品指标的要求，能源使用电能</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生物质燃料</w:t>
            </w:r>
            <w:r>
              <w:rPr>
                <w:rFonts w:hint="default" w:ascii="Times New Roman" w:hAnsi="Times New Roman" w:cs="Times New Roman"/>
                <w:color w:val="auto"/>
                <w:sz w:val="24"/>
                <w:highlight w:val="none"/>
              </w:rPr>
              <w:t>，为清洁能源。</w:t>
            </w:r>
          </w:p>
          <w:p w14:paraId="270E42D3">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（3）本项目选用噪音低、振动小的设备。</w:t>
            </w:r>
          </w:p>
          <w:p w14:paraId="5CDBD0B5">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（4）</w:t>
            </w:r>
            <w:r>
              <w:rPr>
                <w:rFonts w:hint="default" w:ascii="Times New Roman" w:hAnsi="Times New Roman" w:cs="Times New Roman"/>
                <w:color w:val="auto"/>
                <w:sz w:val="24"/>
                <w:highlight w:val="none"/>
                <w:lang w:val="en-US" w:eastAsia="zh-CN"/>
              </w:rPr>
              <w:t>本项目不含切削液金属屑、不合格品、边角料收集后外售综合利用</w:t>
            </w:r>
            <w:r>
              <w:rPr>
                <w:rFonts w:hint="default" w:ascii="Times New Roman" w:hAnsi="Times New Roman" w:cs="Times New Roman"/>
                <w:color w:val="auto"/>
                <w:sz w:val="24"/>
                <w:highlight w:val="none"/>
              </w:rPr>
              <w:t>、生活垃圾交由环卫部门处置，危险废物交由有资质单位处置。均得到有效处置，实现了物料的资源化、无害化。</w:t>
            </w:r>
          </w:p>
          <w:p w14:paraId="6DCD88B5">
            <w:pPr>
              <w:spacing w:line="360" w:lineRule="auto"/>
              <w:ind w:firstLine="480" w:firstLineChars="200"/>
              <w:rPr>
                <w:rFonts w:hint="default" w:ascii="Times New Roman" w:hAnsi="Times New Roman" w:cs="Times New Roman"/>
                <w:b/>
                <w:bCs/>
                <w:snapToGrid w:val="0"/>
                <w:color w:val="auto"/>
                <w:sz w:val="28"/>
                <w:szCs w:val="28"/>
                <w:highlight w:val="none"/>
              </w:rPr>
            </w:pPr>
            <w:r>
              <w:rPr>
                <w:rFonts w:hint="default" w:ascii="Times New Roman" w:hAnsi="Times New Roman" w:cs="Times New Roman"/>
                <w:color w:val="auto"/>
                <w:sz w:val="24"/>
                <w:highlight w:val="none"/>
              </w:rPr>
              <w:t>综上，本项目清洁生产水平处于国内先进水平。</w:t>
            </w:r>
          </w:p>
          <w:p w14:paraId="49C59B5D">
            <w:pPr>
              <w:adjustRightInd w:val="0"/>
              <w:snapToGrid w:val="0"/>
              <w:spacing w:line="360" w:lineRule="auto"/>
              <w:rPr>
                <w:rFonts w:hint="default" w:ascii="Times New Roman" w:hAnsi="Times New Roman" w:cs="Times New Roman"/>
                <w:b/>
                <w:bCs/>
                <w:snapToGrid w:val="0"/>
                <w:color w:val="auto"/>
                <w:sz w:val="28"/>
                <w:szCs w:val="28"/>
                <w:highlight w:val="none"/>
              </w:rPr>
            </w:pPr>
            <w:r>
              <w:rPr>
                <w:rFonts w:hint="default" w:ascii="Times New Roman" w:hAnsi="Times New Roman" w:cs="Times New Roman"/>
                <w:b/>
                <w:bCs/>
                <w:snapToGrid w:val="0"/>
                <w:color w:val="auto"/>
                <w:sz w:val="28"/>
                <w:szCs w:val="28"/>
                <w:highlight w:val="none"/>
              </w:rPr>
              <w:t>1</w:t>
            </w:r>
            <w:r>
              <w:rPr>
                <w:rFonts w:hint="default" w:ascii="Times New Roman" w:hAnsi="Times New Roman" w:cs="Times New Roman"/>
                <w:b/>
                <w:bCs/>
                <w:snapToGrid w:val="0"/>
                <w:color w:val="auto"/>
                <w:sz w:val="28"/>
                <w:szCs w:val="28"/>
                <w:highlight w:val="none"/>
                <w:lang w:val="en-US" w:eastAsia="zh-CN"/>
              </w:rPr>
              <w:t>0</w:t>
            </w:r>
            <w:r>
              <w:rPr>
                <w:rFonts w:hint="default" w:ascii="Times New Roman" w:hAnsi="Times New Roman" w:cs="Times New Roman"/>
                <w:b/>
                <w:bCs/>
                <w:snapToGrid w:val="0"/>
                <w:color w:val="auto"/>
                <w:sz w:val="28"/>
                <w:szCs w:val="28"/>
                <w:highlight w:val="none"/>
              </w:rPr>
              <w:t>碳排放影响分析</w:t>
            </w:r>
          </w:p>
          <w:p w14:paraId="77DB6DE9">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bookmarkStart w:id="2" w:name="_Toc465954898"/>
            <w:r>
              <w:rPr>
                <w:rFonts w:hint="default" w:ascii="Times New Roman" w:hAnsi="Times New Roman" w:cs="Times New Roman"/>
                <w:snapToGrid w:val="0"/>
                <w:color w:val="auto"/>
                <w:sz w:val="24"/>
                <w:szCs w:val="24"/>
                <w:highlight w:val="none"/>
              </w:rPr>
              <w:t>根据《秦皇岛市深入打好污染防治攻坚战实施方案》（秦皇岛市委、市政府2022年7月9日发布）</w:t>
            </w:r>
            <w:bookmarkEnd w:id="2"/>
            <w:r>
              <w:rPr>
                <w:rFonts w:hint="default" w:ascii="Times New Roman" w:hAnsi="Times New Roman" w:cs="Times New Roman"/>
                <w:snapToGrid w:val="0"/>
                <w:color w:val="auto"/>
                <w:sz w:val="24"/>
                <w:szCs w:val="24"/>
                <w:highlight w:val="none"/>
              </w:rPr>
              <w:t>相关要求，开展碳排放影响评价。</w:t>
            </w:r>
          </w:p>
          <w:p w14:paraId="72E7F0F8">
            <w:pPr>
              <w:adjustRightInd w:val="0"/>
              <w:snapToGrid w:val="0"/>
              <w:spacing w:line="360" w:lineRule="auto"/>
              <w:ind w:firstLine="480" w:firstLineChars="200"/>
              <w:rPr>
                <w:rFonts w:hint="default" w:ascii="Times New Roman" w:hAnsi="Times New Roman" w:cs="Times New Roman"/>
                <w:snapToGrid w:val="0"/>
                <w:color w:val="auto"/>
                <w:sz w:val="24"/>
                <w:szCs w:val="24"/>
                <w:highlight w:val="none"/>
              </w:rPr>
            </w:pPr>
            <w:r>
              <w:rPr>
                <w:rFonts w:hint="default" w:ascii="Times New Roman" w:hAnsi="Times New Roman" w:cs="Times New Roman"/>
                <w:snapToGrid w:val="0"/>
                <w:color w:val="auto"/>
                <w:sz w:val="24"/>
                <w:szCs w:val="24"/>
                <w:highlight w:val="none"/>
              </w:rPr>
              <w:t>根据项目特点，碳排放核算范围包括购入电力产生的二氧化碳排放。</w:t>
            </w:r>
          </w:p>
          <w:p w14:paraId="3373D6A3">
            <w:pPr>
              <w:adjustRightInd w:val="0"/>
              <w:snapToGrid w:val="0"/>
              <w:spacing w:line="360" w:lineRule="auto"/>
              <w:ind w:firstLine="480"/>
              <w:rPr>
                <w:rFonts w:hint="default" w:ascii="Times New Roman" w:hAnsi="Times New Roman" w:cs="Times New Roman"/>
                <w:color w:val="auto"/>
                <w:sz w:val="24"/>
                <w:szCs w:val="24"/>
                <w:highlight w:val="none"/>
              </w:rPr>
            </w:pPr>
            <w:r>
              <w:rPr>
                <w:rFonts w:hint="default" w:ascii="Times New Roman" w:hAnsi="Times New Roman" w:cs="Times New Roman"/>
                <w:bCs/>
                <w:color w:val="auto"/>
                <w:kern w:val="0"/>
                <w:sz w:val="24"/>
                <w:szCs w:val="24"/>
                <w:highlight w:val="none"/>
              </w:rPr>
              <w:t>（1）</w:t>
            </w:r>
            <w:r>
              <w:rPr>
                <w:rFonts w:hint="default" w:ascii="Times New Roman" w:hAnsi="Times New Roman" w:cs="Times New Roman"/>
                <w:bCs/>
                <w:color w:val="auto"/>
                <w:kern w:val="0"/>
                <w:sz w:val="24"/>
                <w:szCs w:val="24"/>
                <w:highlight w:val="none"/>
                <w:lang w:val="en-US" w:eastAsia="zh-CN"/>
              </w:rPr>
              <w:t>工程</w:t>
            </w:r>
            <w:r>
              <w:rPr>
                <w:rFonts w:hint="default" w:ascii="Times New Roman" w:hAnsi="Times New Roman" w:cs="Times New Roman"/>
                <w:color w:val="auto"/>
                <w:sz w:val="24"/>
                <w:szCs w:val="24"/>
                <w:highlight w:val="none"/>
              </w:rPr>
              <w:t>购入电力</w:t>
            </w:r>
          </w:p>
          <w:p w14:paraId="1E570A48">
            <w:pPr>
              <w:adjustRightInd w:val="0"/>
              <w:snapToGrid w:val="0"/>
              <w:spacing w:line="360" w:lineRule="auto"/>
              <w:ind w:firstLine="480"/>
              <w:rPr>
                <w:rFonts w:hint="default" w:ascii="Times New Roman" w:hAnsi="Times New Roman" w:cs="Times New Roman"/>
                <w:bCs/>
                <w:color w:val="auto"/>
                <w:kern w:val="0"/>
                <w:sz w:val="24"/>
                <w:szCs w:val="24"/>
                <w:highlight w:val="none"/>
              </w:rPr>
            </w:pPr>
            <w:r>
              <w:rPr>
                <w:rFonts w:hint="default" w:ascii="Times New Roman" w:hAnsi="Times New Roman" w:cs="Times New Roman"/>
                <w:bCs/>
                <w:color w:val="auto"/>
                <w:kern w:val="0"/>
                <w:sz w:val="24"/>
                <w:szCs w:val="24"/>
                <w:highlight w:val="none"/>
              </w:rPr>
              <w:t>对于购入电力产生的二氧化碳排放，采用下式计算。</w:t>
            </w:r>
          </w:p>
          <w:p w14:paraId="5ED99F6B">
            <w:pPr>
              <w:adjustRightInd w:val="0"/>
              <w:snapToGrid w:val="0"/>
              <w:spacing w:line="360" w:lineRule="auto"/>
              <w:jc w:val="center"/>
              <w:rPr>
                <w:rFonts w:hint="default" w:ascii="Times New Roman" w:hAnsi="Times New Roman" w:cs="Times New Roman"/>
                <w:bCs/>
                <w:color w:val="auto"/>
                <w:kern w:val="0"/>
                <w:sz w:val="24"/>
                <w:szCs w:val="24"/>
                <w:highlight w:val="none"/>
              </w:rPr>
            </w:pPr>
            <w:r>
              <w:rPr>
                <w:rFonts w:hint="default" w:ascii="Times New Roman" w:hAnsi="Times New Roman" w:cs="Times New Roman"/>
                <w:bCs/>
                <w:color w:val="auto"/>
                <w:kern w:val="0"/>
                <w:sz w:val="24"/>
                <w:szCs w:val="24"/>
                <w:highlight w:val="none"/>
              </w:rPr>
              <w:t>E</w:t>
            </w:r>
            <w:r>
              <w:rPr>
                <w:rFonts w:hint="default" w:ascii="Times New Roman" w:hAnsi="Times New Roman" w:cs="Times New Roman"/>
                <w:bCs/>
                <w:color w:val="auto"/>
                <w:kern w:val="0"/>
                <w:sz w:val="24"/>
                <w:szCs w:val="24"/>
                <w:highlight w:val="none"/>
                <w:vertAlign w:val="subscript"/>
              </w:rPr>
              <w:t>电和热</w:t>
            </w:r>
            <w:r>
              <w:rPr>
                <w:rFonts w:hint="default" w:ascii="Times New Roman" w:hAnsi="Times New Roman" w:cs="Times New Roman"/>
                <w:bCs/>
                <w:color w:val="auto"/>
                <w:kern w:val="0"/>
                <w:sz w:val="24"/>
                <w:szCs w:val="24"/>
                <w:highlight w:val="none"/>
              </w:rPr>
              <w:t>=AD</w:t>
            </w:r>
            <w:r>
              <w:rPr>
                <w:rFonts w:hint="default" w:ascii="Times New Roman" w:hAnsi="Times New Roman" w:cs="Times New Roman"/>
                <w:bCs/>
                <w:color w:val="auto"/>
                <w:kern w:val="0"/>
                <w:sz w:val="24"/>
                <w:szCs w:val="24"/>
                <w:highlight w:val="none"/>
                <w:vertAlign w:val="subscript"/>
              </w:rPr>
              <w:t>电</w:t>
            </w:r>
            <w:r>
              <w:rPr>
                <w:rFonts w:hint="default" w:ascii="Times New Roman" w:hAnsi="Times New Roman" w:cs="Times New Roman"/>
                <w:bCs/>
                <w:color w:val="auto"/>
                <w:kern w:val="0"/>
                <w:sz w:val="24"/>
                <w:szCs w:val="24"/>
                <w:highlight w:val="none"/>
              </w:rPr>
              <w:t>×EF</w:t>
            </w:r>
            <w:r>
              <w:rPr>
                <w:rFonts w:hint="default" w:ascii="Times New Roman" w:hAnsi="Times New Roman" w:cs="Times New Roman"/>
                <w:bCs/>
                <w:color w:val="auto"/>
                <w:kern w:val="0"/>
                <w:sz w:val="24"/>
                <w:szCs w:val="24"/>
                <w:highlight w:val="none"/>
                <w:vertAlign w:val="subscript"/>
              </w:rPr>
              <w:t>电</w:t>
            </w:r>
          </w:p>
          <w:p w14:paraId="42FC4F52">
            <w:pPr>
              <w:adjustRightInd w:val="0"/>
              <w:snapToGrid w:val="0"/>
              <w:spacing w:line="360" w:lineRule="auto"/>
              <w:ind w:firstLine="480"/>
              <w:rPr>
                <w:rFonts w:hint="default" w:ascii="Times New Roman" w:hAnsi="Times New Roman" w:cs="Times New Roman"/>
                <w:bCs/>
                <w:color w:val="auto"/>
                <w:kern w:val="0"/>
                <w:sz w:val="24"/>
                <w:szCs w:val="24"/>
                <w:highlight w:val="none"/>
              </w:rPr>
            </w:pPr>
            <w:r>
              <w:rPr>
                <w:rFonts w:hint="default" w:ascii="Times New Roman" w:hAnsi="Times New Roman" w:cs="Times New Roman"/>
                <w:bCs/>
                <w:color w:val="auto"/>
                <w:kern w:val="0"/>
                <w:sz w:val="24"/>
                <w:szCs w:val="24"/>
                <w:highlight w:val="none"/>
              </w:rPr>
              <w:t>式中：E</w:t>
            </w:r>
            <w:r>
              <w:rPr>
                <w:rFonts w:hint="default" w:ascii="Times New Roman" w:hAnsi="Times New Roman" w:cs="Times New Roman"/>
                <w:bCs/>
                <w:color w:val="auto"/>
                <w:kern w:val="0"/>
                <w:sz w:val="24"/>
                <w:szCs w:val="24"/>
                <w:highlight w:val="none"/>
                <w:vertAlign w:val="subscript"/>
              </w:rPr>
              <w:t>电</w:t>
            </w:r>
            <w:r>
              <w:rPr>
                <w:rFonts w:hint="default" w:ascii="Times New Roman" w:hAnsi="Times New Roman" w:cs="Times New Roman"/>
                <w:bCs/>
                <w:color w:val="auto"/>
                <w:kern w:val="0"/>
                <w:sz w:val="24"/>
                <w:szCs w:val="24"/>
                <w:highlight w:val="none"/>
              </w:rPr>
              <w:t>—购入使用电力产生的排放量，单位为吨二氧化碳（tCO</w:t>
            </w:r>
            <w:r>
              <w:rPr>
                <w:rFonts w:hint="default" w:ascii="Times New Roman" w:hAnsi="Times New Roman" w:cs="Times New Roman"/>
                <w:bCs/>
                <w:color w:val="auto"/>
                <w:kern w:val="0"/>
                <w:sz w:val="24"/>
                <w:szCs w:val="24"/>
                <w:highlight w:val="none"/>
                <w:vertAlign w:val="subscript"/>
              </w:rPr>
              <w:t>2</w:t>
            </w:r>
            <w:r>
              <w:rPr>
                <w:rFonts w:hint="default" w:ascii="Times New Roman" w:hAnsi="Times New Roman" w:cs="Times New Roman"/>
                <w:bCs/>
                <w:color w:val="auto"/>
                <w:kern w:val="0"/>
                <w:sz w:val="24"/>
                <w:szCs w:val="24"/>
                <w:highlight w:val="none"/>
              </w:rPr>
              <w:t>）；</w:t>
            </w:r>
          </w:p>
          <w:p w14:paraId="3852E467">
            <w:pPr>
              <w:adjustRightInd w:val="0"/>
              <w:snapToGrid w:val="0"/>
              <w:spacing w:line="360" w:lineRule="auto"/>
              <w:ind w:firstLine="1200" w:firstLineChars="500"/>
              <w:rPr>
                <w:rFonts w:hint="default" w:ascii="Times New Roman" w:hAnsi="Times New Roman" w:cs="Times New Roman"/>
                <w:bCs/>
                <w:color w:val="auto"/>
                <w:kern w:val="0"/>
                <w:sz w:val="24"/>
                <w:szCs w:val="24"/>
                <w:highlight w:val="none"/>
              </w:rPr>
            </w:pPr>
            <w:r>
              <w:rPr>
                <w:rFonts w:hint="default" w:ascii="Times New Roman" w:hAnsi="Times New Roman" w:cs="Times New Roman"/>
                <w:bCs/>
                <w:color w:val="auto"/>
                <w:kern w:val="0"/>
                <w:sz w:val="24"/>
                <w:szCs w:val="24"/>
                <w:highlight w:val="none"/>
              </w:rPr>
              <w:t>AD</w:t>
            </w:r>
            <w:r>
              <w:rPr>
                <w:rFonts w:hint="default" w:ascii="Times New Roman" w:hAnsi="Times New Roman" w:cs="Times New Roman"/>
                <w:bCs/>
                <w:color w:val="auto"/>
                <w:kern w:val="0"/>
                <w:sz w:val="24"/>
                <w:szCs w:val="24"/>
                <w:highlight w:val="none"/>
                <w:vertAlign w:val="subscript"/>
              </w:rPr>
              <w:t>电</w:t>
            </w:r>
            <w:r>
              <w:rPr>
                <w:rFonts w:hint="default" w:ascii="Times New Roman" w:hAnsi="Times New Roman" w:cs="Times New Roman"/>
                <w:bCs/>
                <w:color w:val="auto"/>
                <w:kern w:val="0"/>
                <w:sz w:val="24"/>
                <w:szCs w:val="24"/>
                <w:highlight w:val="none"/>
              </w:rPr>
              <w:t>—购入使用电量，单位为兆瓦时（MWh）；</w:t>
            </w:r>
          </w:p>
          <w:p w14:paraId="0453CEDC">
            <w:pPr>
              <w:adjustRightInd w:val="0"/>
              <w:snapToGrid w:val="0"/>
              <w:spacing w:line="360" w:lineRule="auto"/>
              <w:ind w:firstLine="1200" w:firstLineChars="500"/>
              <w:rPr>
                <w:rFonts w:hint="default" w:ascii="Times New Roman" w:hAnsi="Times New Roman" w:cs="Times New Roman"/>
                <w:bCs/>
                <w:color w:val="auto"/>
                <w:kern w:val="0"/>
                <w:sz w:val="24"/>
                <w:szCs w:val="24"/>
                <w:highlight w:val="none"/>
              </w:rPr>
            </w:pPr>
            <w:r>
              <w:rPr>
                <w:rFonts w:hint="default" w:ascii="Times New Roman" w:hAnsi="Times New Roman" w:cs="Times New Roman"/>
                <w:bCs/>
                <w:color w:val="auto"/>
                <w:kern w:val="0"/>
                <w:sz w:val="24"/>
                <w:szCs w:val="24"/>
                <w:highlight w:val="none"/>
              </w:rPr>
              <w:t>EF</w:t>
            </w:r>
            <w:r>
              <w:rPr>
                <w:rFonts w:hint="default" w:ascii="Times New Roman" w:hAnsi="Times New Roman" w:cs="Times New Roman"/>
                <w:bCs/>
                <w:color w:val="auto"/>
                <w:kern w:val="0"/>
                <w:sz w:val="24"/>
                <w:szCs w:val="24"/>
                <w:highlight w:val="none"/>
                <w:vertAlign w:val="subscript"/>
              </w:rPr>
              <w:t>电</w:t>
            </w:r>
            <w:r>
              <w:rPr>
                <w:rFonts w:hint="default" w:ascii="Times New Roman" w:hAnsi="Times New Roman" w:cs="Times New Roman"/>
                <w:bCs/>
                <w:color w:val="auto"/>
                <w:kern w:val="0"/>
                <w:sz w:val="24"/>
                <w:szCs w:val="24"/>
                <w:highlight w:val="none"/>
              </w:rPr>
              <w:t>—电网排放因子，单位为吨二氧化碳/兆瓦时（tCO</w:t>
            </w:r>
            <w:r>
              <w:rPr>
                <w:rFonts w:hint="default" w:ascii="Times New Roman" w:hAnsi="Times New Roman" w:cs="Times New Roman"/>
                <w:bCs/>
                <w:color w:val="auto"/>
                <w:kern w:val="0"/>
                <w:sz w:val="24"/>
                <w:szCs w:val="24"/>
                <w:highlight w:val="none"/>
                <w:vertAlign w:val="subscript"/>
              </w:rPr>
              <w:t>2</w:t>
            </w:r>
            <w:r>
              <w:rPr>
                <w:rFonts w:hint="default" w:ascii="Times New Roman" w:hAnsi="Times New Roman" w:cs="Times New Roman"/>
                <w:bCs/>
                <w:color w:val="auto"/>
                <w:kern w:val="0"/>
                <w:sz w:val="24"/>
                <w:szCs w:val="24"/>
                <w:highlight w:val="none"/>
              </w:rPr>
              <w:t>/MWh）；</w:t>
            </w:r>
          </w:p>
          <w:p w14:paraId="59C18796">
            <w:pPr>
              <w:adjustRightInd w:val="0"/>
              <w:snapToGrid w:val="0"/>
              <w:spacing w:line="360" w:lineRule="auto"/>
              <w:ind w:firstLine="480"/>
              <w:rPr>
                <w:rFonts w:hint="default" w:ascii="Times New Roman" w:hAnsi="Times New Roman" w:cs="Times New Roman"/>
                <w:b/>
                <w:color w:val="auto"/>
                <w:kern w:val="0"/>
                <w:sz w:val="24"/>
                <w:szCs w:val="24"/>
                <w:highlight w:val="none"/>
              </w:rPr>
            </w:pPr>
            <w:r>
              <w:rPr>
                <w:rFonts w:hint="default" w:ascii="Times New Roman" w:hAnsi="Times New Roman" w:cs="Times New Roman"/>
                <w:color w:val="auto"/>
                <w:sz w:val="24"/>
                <w:szCs w:val="24"/>
                <w:highlight w:val="none"/>
                <w:lang w:val="en-US" w:eastAsia="zh-CN"/>
              </w:rPr>
              <w:t>现有</w:t>
            </w:r>
            <w:r>
              <w:rPr>
                <w:rFonts w:hint="default" w:ascii="Times New Roman" w:hAnsi="Times New Roman" w:cs="Times New Roman"/>
                <w:color w:val="auto"/>
                <w:sz w:val="24"/>
                <w:szCs w:val="24"/>
                <w:highlight w:val="none"/>
              </w:rPr>
              <w:t>项目购入电力</w:t>
            </w:r>
            <w:r>
              <w:rPr>
                <w:rFonts w:hint="default" w:ascii="Times New Roman" w:hAnsi="Times New Roman" w:cs="Times New Roman"/>
                <w:color w:val="auto"/>
                <w:sz w:val="24"/>
                <w:szCs w:val="24"/>
                <w:highlight w:val="none"/>
                <w:lang w:val="en-US" w:eastAsia="zh-CN"/>
              </w:rPr>
              <w:t>3万</w:t>
            </w:r>
            <w:r>
              <w:rPr>
                <w:rFonts w:hint="default" w:ascii="Times New Roman" w:hAnsi="Times New Roman" w:cs="Times New Roman"/>
                <w:bCs/>
                <w:color w:val="auto"/>
                <w:kern w:val="0"/>
                <w:sz w:val="24"/>
                <w:szCs w:val="24"/>
                <w:highlight w:val="none"/>
                <w:lang w:val="en-US" w:eastAsia="zh-CN"/>
              </w:rPr>
              <w:t>K</w:t>
            </w:r>
            <w:r>
              <w:rPr>
                <w:rFonts w:hint="default" w:ascii="Times New Roman" w:hAnsi="Times New Roman" w:cs="Times New Roman"/>
                <w:bCs/>
                <w:color w:val="auto"/>
                <w:kern w:val="0"/>
                <w:sz w:val="24"/>
                <w:szCs w:val="24"/>
                <w:highlight w:val="none"/>
              </w:rPr>
              <w:t>Wh，</w:t>
            </w:r>
            <w:r>
              <w:rPr>
                <w:rFonts w:hint="default" w:ascii="Times New Roman" w:hAnsi="Times New Roman" w:cs="Times New Roman"/>
                <w:bCs/>
                <w:color w:val="auto"/>
                <w:kern w:val="0"/>
                <w:sz w:val="24"/>
                <w:szCs w:val="24"/>
                <w:highlight w:val="none"/>
                <w:lang w:val="en-US" w:eastAsia="zh-CN"/>
              </w:rPr>
              <w:t>本次扩建项目购入电力</w:t>
            </w:r>
            <w:r>
              <w:rPr>
                <w:rFonts w:hint="default" w:ascii="Times New Roman" w:hAnsi="Times New Roman" w:cs="Times New Roman"/>
                <w:color w:val="auto"/>
                <w:sz w:val="24"/>
                <w:szCs w:val="24"/>
                <w:highlight w:val="none"/>
                <w:lang w:val="en-US" w:eastAsia="zh-CN"/>
              </w:rPr>
              <w:t>3万</w:t>
            </w:r>
            <w:r>
              <w:rPr>
                <w:rFonts w:hint="default" w:ascii="Times New Roman" w:hAnsi="Times New Roman" w:cs="Times New Roman"/>
                <w:bCs/>
                <w:color w:val="auto"/>
                <w:kern w:val="0"/>
                <w:sz w:val="24"/>
                <w:szCs w:val="24"/>
                <w:highlight w:val="none"/>
                <w:lang w:val="en-US" w:eastAsia="zh-CN"/>
              </w:rPr>
              <w:t>K</w:t>
            </w:r>
            <w:r>
              <w:rPr>
                <w:rFonts w:hint="default" w:ascii="Times New Roman" w:hAnsi="Times New Roman" w:cs="Times New Roman"/>
                <w:bCs/>
                <w:color w:val="auto"/>
                <w:kern w:val="0"/>
                <w:sz w:val="24"/>
                <w:szCs w:val="24"/>
                <w:highlight w:val="none"/>
              </w:rPr>
              <w:t>Wh，二氧化碳排放量计算见下表。</w:t>
            </w:r>
          </w:p>
          <w:p w14:paraId="16D3AD2F">
            <w:pPr>
              <w:adjustRightInd w:val="0"/>
              <w:snapToGrid w:val="0"/>
              <w:spacing w:line="240" w:lineRule="auto"/>
              <w:jc w:val="center"/>
              <w:rPr>
                <w:rFonts w:hint="default" w:ascii="Times New Roman" w:hAnsi="Times New Roman" w:cs="Times New Roman"/>
                <w:b/>
                <w:color w:val="auto"/>
                <w:kern w:val="0"/>
                <w:sz w:val="24"/>
                <w:szCs w:val="24"/>
                <w:highlight w:val="none"/>
              </w:rPr>
            </w:pPr>
            <w:r>
              <w:rPr>
                <w:rFonts w:hint="default" w:ascii="Times New Roman" w:hAnsi="Times New Roman" w:cs="Times New Roman"/>
                <w:b/>
                <w:color w:val="auto"/>
                <w:kern w:val="0"/>
                <w:sz w:val="24"/>
                <w:szCs w:val="24"/>
                <w:highlight w:val="none"/>
              </w:rPr>
              <w:t>表4-</w:t>
            </w:r>
            <w:r>
              <w:rPr>
                <w:rFonts w:hint="eastAsia" w:cs="Times New Roman"/>
                <w:b/>
                <w:color w:val="auto"/>
                <w:kern w:val="0"/>
                <w:sz w:val="24"/>
                <w:szCs w:val="24"/>
                <w:highlight w:val="none"/>
                <w:lang w:val="en-US" w:eastAsia="zh-CN"/>
              </w:rPr>
              <w:t>20</w:t>
            </w:r>
            <w:r>
              <w:rPr>
                <w:rFonts w:hint="default" w:ascii="Times New Roman" w:hAnsi="Times New Roman" w:cs="Times New Roman"/>
                <w:b/>
                <w:color w:val="auto"/>
                <w:kern w:val="0"/>
                <w:sz w:val="24"/>
                <w:szCs w:val="24"/>
                <w:highlight w:val="none"/>
              </w:rPr>
              <w:t xml:space="preserve">  项目购入电力二氧化碳排放量计算表</w:t>
            </w:r>
          </w:p>
          <w:tbl>
            <w:tblPr>
              <w:tblStyle w:val="3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2115"/>
              <w:gridCol w:w="2116"/>
              <w:gridCol w:w="2116"/>
              <w:gridCol w:w="2114"/>
            </w:tblGrid>
            <w:tr w14:paraId="6EAEE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78" w:hRule="atLeast"/>
              </w:trPr>
              <w:tc>
                <w:tcPr>
                  <w:tcW w:w="1250" w:type="pct"/>
                  <w:noWrap w:val="0"/>
                  <w:vAlign w:val="center"/>
                </w:tcPr>
                <w:p w14:paraId="1096D79E">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项目</w:t>
                  </w:r>
                </w:p>
              </w:tc>
              <w:tc>
                <w:tcPr>
                  <w:tcW w:w="1250" w:type="pct"/>
                  <w:noWrap w:val="0"/>
                  <w:vAlign w:val="center"/>
                </w:tcPr>
                <w:p w14:paraId="1F87182C">
                  <w:pPr>
                    <w:adjustRightInd w:val="0"/>
                    <w:snapToGrid w:val="0"/>
                    <w:spacing w:line="240" w:lineRule="auto"/>
                    <w:jc w:val="center"/>
                    <w:rPr>
                      <w:rFonts w:hint="default" w:ascii="Times New Roman" w:hAnsi="Times New Roman" w:cs="Times New Roman"/>
                      <w:bCs/>
                      <w:color w:val="auto"/>
                      <w:kern w:val="0"/>
                      <w:sz w:val="21"/>
                      <w:szCs w:val="21"/>
                      <w:highlight w:val="none"/>
                    </w:rPr>
                  </w:pPr>
                  <w:r>
                    <w:rPr>
                      <w:rFonts w:hint="default" w:ascii="Times New Roman" w:hAnsi="Times New Roman" w:cs="Times New Roman"/>
                      <w:bCs/>
                      <w:color w:val="auto"/>
                      <w:kern w:val="0"/>
                      <w:sz w:val="21"/>
                      <w:szCs w:val="21"/>
                      <w:highlight w:val="none"/>
                    </w:rPr>
                    <w:t>AD</w:t>
                  </w:r>
                  <w:r>
                    <w:rPr>
                      <w:rFonts w:hint="default" w:ascii="Times New Roman" w:hAnsi="Times New Roman" w:cs="Times New Roman"/>
                      <w:bCs/>
                      <w:color w:val="auto"/>
                      <w:kern w:val="0"/>
                      <w:sz w:val="21"/>
                      <w:szCs w:val="21"/>
                      <w:highlight w:val="none"/>
                      <w:vertAlign w:val="subscript"/>
                    </w:rPr>
                    <w:t>电</w:t>
                  </w:r>
                  <w:r>
                    <w:rPr>
                      <w:rFonts w:hint="default" w:ascii="Times New Roman" w:hAnsi="Times New Roman" w:cs="Times New Roman"/>
                      <w:bCs/>
                      <w:color w:val="auto"/>
                      <w:kern w:val="0"/>
                      <w:sz w:val="21"/>
                      <w:szCs w:val="21"/>
                      <w:highlight w:val="none"/>
                    </w:rPr>
                    <w:t>（MWh）</w:t>
                  </w:r>
                </w:p>
              </w:tc>
              <w:tc>
                <w:tcPr>
                  <w:tcW w:w="1250" w:type="pct"/>
                  <w:noWrap w:val="0"/>
                  <w:vAlign w:val="center"/>
                </w:tcPr>
                <w:p w14:paraId="1D252DBB">
                  <w:pPr>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bCs/>
                      <w:color w:val="auto"/>
                      <w:kern w:val="0"/>
                      <w:sz w:val="21"/>
                      <w:szCs w:val="21"/>
                      <w:highlight w:val="none"/>
                    </w:rPr>
                    <w:t>EF</w:t>
                  </w:r>
                  <w:r>
                    <w:rPr>
                      <w:rFonts w:hint="default" w:ascii="Times New Roman" w:hAnsi="Times New Roman" w:cs="Times New Roman"/>
                      <w:bCs/>
                      <w:color w:val="auto"/>
                      <w:kern w:val="0"/>
                      <w:sz w:val="21"/>
                      <w:szCs w:val="21"/>
                      <w:highlight w:val="none"/>
                      <w:vertAlign w:val="subscript"/>
                    </w:rPr>
                    <w:t>电</w:t>
                  </w:r>
                  <w:r>
                    <w:rPr>
                      <w:rFonts w:hint="default" w:ascii="Times New Roman" w:hAnsi="Times New Roman" w:cs="Times New Roman"/>
                      <w:bCs/>
                      <w:color w:val="auto"/>
                      <w:kern w:val="0"/>
                      <w:sz w:val="21"/>
                      <w:szCs w:val="21"/>
                      <w:highlight w:val="none"/>
                    </w:rPr>
                    <w:t>（tCO</w:t>
                  </w:r>
                  <w:r>
                    <w:rPr>
                      <w:rFonts w:hint="default" w:ascii="Times New Roman" w:hAnsi="Times New Roman" w:cs="Times New Roman"/>
                      <w:bCs/>
                      <w:color w:val="auto"/>
                      <w:kern w:val="0"/>
                      <w:sz w:val="21"/>
                      <w:szCs w:val="21"/>
                      <w:highlight w:val="none"/>
                      <w:vertAlign w:val="subscript"/>
                    </w:rPr>
                    <w:t>2/</w:t>
                  </w:r>
                  <w:r>
                    <w:rPr>
                      <w:rFonts w:hint="default" w:ascii="Times New Roman" w:hAnsi="Times New Roman" w:cs="Times New Roman"/>
                      <w:bCs/>
                      <w:color w:val="auto"/>
                      <w:kern w:val="0"/>
                      <w:sz w:val="21"/>
                      <w:szCs w:val="21"/>
                      <w:highlight w:val="none"/>
                    </w:rPr>
                    <w:t>MWh）</w:t>
                  </w:r>
                </w:p>
              </w:tc>
              <w:tc>
                <w:tcPr>
                  <w:tcW w:w="1249" w:type="pct"/>
                  <w:noWrap w:val="0"/>
                  <w:vAlign w:val="center"/>
                </w:tcPr>
                <w:p w14:paraId="15FBF7E4">
                  <w:pPr>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bCs/>
                      <w:color w:val="auto"/>
                      <w:kern w:val="0"/>
                      <w:sz w:val="21"/>
                      <w:szCs w:val="21"/>
                      <w:highlight w:val="none"/>
                    </w:rPr>
                    <w:t>E</w:t>
                  </w:r>
                  <w:r>
                    <w:rPr>
                      <w:rFonts w:hint="default" w:ascii="Times New Roman" w:hAnsi="Times New Roman" w:cs="Times New Roman"/>
                      <w:bCs/>
                      <w:color w:val="auto"/>
                      <w:kern w:val="0"/>
                      <w:sz w:val="21"/>
                      <w:szCs w:val="21"/>
                      <w:highlight w:val="none"/>
                      <w:vertAlign w:val="subscript"/>
                    </w:rPr>
                    <w:t>电</w:t>
                  </w:r>
                  <w:r>
                    <w:rPr>
                      <w:rFonts w:hint="default" w:ascii="Times New Roman" w:hAnsi="Times New Roman" w:cs="Times New Roman"/>
                      <w:bCs/>
                      <w:color w:val="auto"/>
                      <w:kern w:val="0"/>
                      <w:sz w:val="21"/>
                      <w:szCs w:val="21"/>
                      <w:highlight w:val="none"/>
                    </w:rPr>
                    <w:t>（t）</w:t>
                  </w:r>
                </w:p>
              </w:tc>
            </w:tr>
            <w:tr w14:paraId="370C0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40" w:hRule="atLeast"/>
              </w:trPr>
              <w:tc>
                <w:tcPr>
                  <w:tcW w:w="1250" w:type="pct"/>
                  <w:noWrap w:val="0"/>
                  <w:vAlign w:val="center"/>
                </w:tcPr>
                <w:p w14:paraId="2D1D6E87">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现有项目</w:t>
                  </w:r>
                </w:p>
              </w:tc>
              <w:tc>
                <w:tcPr>
                  <w:tcW w:w="1250" w:type="pct"/>
                  <w:noWrap w:val="0"/>
                  <w:vAlign w:val="center"/>
                </w:tcPr>
                <w:p w14:paraId="02E07B0F">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30</w:t>
                  </w:r>
                </w:p>
              </w:tc>
              <w:tc>
                <w:tcPr>
                  <w:tcW w:w="1250" w:type="pct"/>
                  <w:noWrap w:val="0"/>
                  <w:vAlign w:val="center"/>
                </w:tcPr>
                <w:p w14:paraId="4E3FBC52">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0.7901</w:t>
                  </w:r>
                </w:p>
              </w:tc>
              <w:tc>
                <w:tcPr>
                  <w:tcW w:w="1249" w:type="pct"/>
                  <w:noWrap w:val="0"/>
                  <w:vAlign w:val="center"/>
                </w:tcPr>
                <w:p w14:paraId="6E7ADCD2">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23.703</w:t>
                  </w:r>
                </w:p>
              </w:tc>
            </w:tr>
            <w:tr w14:paraId="67005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40" w:hRule="atLeast"/>
              </w:trPr>
              <w:tc>
                <w:tcPr>
                  <w:tcW w:w="1250" w:type="pct"/>
                  <w:noWrap w:val="0"/>
                  <w:vAlign w:val="center"/>
                </w:tcPr>
                <w:p w14:paraId="7740C204">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扩建项目</w:t>
                  </w:r>
                </w:p>
              </w:tc>
              <w:tc>
                <w:tcPr>
                  <w:tcW w:w="1250" w:type="pct"/>
                  <w:noWrap w:val="0"/>
                  <w:vAlign w:val="center"/>
                </w:tcPr>
                <w:p w14:paraId="71C5A01D">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30</w:t>
                  </w:r>
                </w:p>
              </w:tc>
              <w:tc>
                <w:tcPr>
                  <w:tcW w:w="2116" w:type="dxa"/>
                  <w:noWrap w:val="0"/>
                  <w:vAlign w:val="center"/>
                </w:tcPr>
                <w:p w14:paraId="4EDC2B63">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0.7901</w:t>
                  </w:r>
                </w:p>
              </w:tc>
              <w:tc>
                <w:tcPr>
                  <w:tcW w:w="2114" w:type="dxa"/>
                  <w:noWrap w:val="0"/>
                  <w:vAlign w:val="center"/>
                </w:tcPr>
                <w:p w14:paraId="0090809B">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23.703</w:t>
                  </w:r>
                </w:p>
              </w:tc>
            </w:tr>
            <w:tr w14:paraId="0BEF8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40" w:hRule="atLeast"/>
              </w:trPr>
              <w:tc>
                <w:tcPr>
                  <w:tcW w:w="1250" w:type="pct"/>
                  <w:noWrap w:val="0"/>
                  <w:vAlign w:val="center"/>
                </w:tcPr>
                <w:p w14:paraId="461B76F8">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合计</w:t>
                  </w:r>
                </w:p>
              </w:tc>
              <w:tc>
                <w:tcPr>
                  <w:tcW w:w="3749" w:type="pct"/>
                  <w:gridSpan w:val="3"/>
                  <w:noWrap w:val="0"/>
                  <w:vAlign w:val="center"/>
                </w:tcPr>
                <w:p w14:paraId="0780818A">
                  <w:pPr>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47.406</w:t>
                  </w:r>
                </w:p>
              </w:tc>
            </w:tr>
          </w:tbl>
          <w:p w14:paraId="7947EA23">
            <w:pPr>
              <w:widowControl/>
              <w:spacing w:line="240" w:lineRule="auto"/>
              <w:ind w:firstLine="432" w:firstLineChars="200"/>
              <w:jc w:val="left"/>
              <w:rPr>
                <w:rFonts w:hint="default" w:ascii="Times New Roman" w:hAnsi="Times New Roman" w:cs="Times New Roman"/>
                <w:color w:val="auto"/>
                <w:spacing w:val="-2"/>
                <w:kern w:val="0"/>
                <w:sz w:val="21"/>
                <w:szCs w:val="21"/>
                <w:highlight w:val="none"/>
                <w:lang w:bidi="ar"/>
              </w:rPr>
            </w:pPr>
            <w:r>
              <w:rPr>
                <w:rFonts w:hint="default" w:ascii="Times New Roman" w:hAnsi="Times New Roman" w:cs="Times New Roman"/>
                <w:color w:val="auto"/>
                <w:spacing w:val="-2"/>
                <w:kern w:val="0"/>
                <w:sz w:val="22"/>
                <w:szCs w:val="22"/>
                <w:highlight w:val="none"/>
                <w:lang w:bidi="ar"/>
              </w:rPr>
              <w:t>注：电力排放因子实行每年更新，数据来源于</w:t>
            </w:r>
            <w:r>
              <w:rPr>
                <w:rFonts w:hint="default" w:ascii="Times New Roman" w:hAnsi="Times New Roman" w:cs="Times New Roman"/>
                <w:color w:val="auto"/>
                <w:spacing w:val="-2"/>
                <w:kern w:val="0"/>
                <w:sz w:val="22"/>
                <w:szCs w:val="22"/>
                <w:highlight w:val="none"/>
                <w:lang w:val="en-US" w:eastAsia="zh-CN" w:bidi="ar"/>
              </w:rPr>
              <w:t>本次碳排放系数取自《关于发布2021年电力二氧化碳排放因子的公告》（公告2024年第12号）</w:t>
            </w:r>
            <w:r>
              <w:rPr>
                <w:rFonts w:hint="default" w:ascii="Times New Roman" w:hAnsi="Times New Roman" w:cs="Times New Roman"/>
                <w:color w:val="auto"/>
                <w:spacing w:val="-2"/>
                <w:kern w:val="0"/>
                <w:sz w:val="22"/>
                <w:szCs w:val="22"/>
                <w:highlight w:val="none"/>
                <w:lang w:bidi="ar"/>
              </w:rPr>
              <w:t>。</w:t>
            </w:r>
          </w:p>
          <w:p w14:paraId="4993EA39">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pacing w:val="-2"/>
                <w:kern w:val="0"/>
                <w:sz w:val="24"/>
                <w:szCs w:val="24"/>
                <w:highlight w:val="none"/>
                <w:lang w:val="en-US" w:eastAsia="zh-CN" w:bidi="ar"/>
              </w:rPr>
            </w:pPr>
            <w:r>
              <w:rPr>
                <w:rFonts w:hint="default" w:ascii="Times New Roman" w:hAnsi="Times New Roman" w:eastAsia="宋体" w:cs="Times New Roman"/>
                <w:color w:val="auto"/>
                <w:highlight w:val="none"/>
              </w:rPr>
              <w:drawing>
                <wp:inline distT="0" distB="0" distL="114300" distR="114300">
                  <wp:extent cx="2027555" cy="370205"/>
                  <wp:effectExtent l="0" t="0" r="10795" b="10795"/>
                  <wp:docPr id="4"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52"/>
                          <pic:cNvPicPr>
                            <a:picLocks noChangeAspect="1"/>
                          </pic:cNvPicPr>
                        </pic:nvPicPr>
                        <pic:blipFill>
                          <a:blip r:embed="rId123"/>
                          <a:srcRect l="24672" r="24659" b="18870"/>
                          <a:stretch>
                            <a:fillRect/>
                          </a:stretch>
                        </pic:blipFill>
                        <pic:spPr>
                          <a:xfrm>
                            <a:off x="0" y="0"/>
                            <a:ext cx="2027555" cy="370205"/>
                          </a:xfrm>
                          <a:prstGeom prst="rect">
                            <a:avLst/>
                          </a:prstGeom>
                          <a:noFill/>
                          <a:ln>
                            <a:noFill/>
                          </a:ln>
                        </pic:spPr>
                      </pic:pic>
                    </a:graphicData>
                  </a:graphic>
                </wp:inline>
              </w:drawing>
            </w:r>
          </w:p>
          <w:p w14:paraId="16033353">
            <w:pPr>
              <w:keepNext w:val="0"/>
              <w:keepLines w:val="0"/>
              <w:pageBreakBefore w:val="0"/>
              <w:widowControl/>
              <w:suppressLineNumbers w:val="0"/>
              <w:kinsoku/>
              <w:wordWrap/>
              <w:overflowPunct/>
              <w:topLinePunct w:val="0"/>
              <w:autoSpaceDE/>
              <w:autoSpaceDN/>
              <w:bidi w:val="0"/>
              <w:adjustRightInd/>
              <w:snapToGrid/>
              <w:spacing w:line="360" w:lineRule="auto"/>
              <w:ind w:firstLine="472" w:firstLineChars="200"/>
              <w:jc w:val="left"/>
              <w:textAlignment w:val="auto"/>
              <w:rPr>
                <w:rFonts w:hint="default" w:ascii="Times New Roman" w:hAnsi="Times New Roman" w:eastAsia="宋体" w:cs="Times New Roman"/>
                <w:color w:val="auto"/>
                <w:spacing w:val="-2"/>
                <w:kern w:val="0"/>
                <w:sz w:val="24"/>
                <w:szCs w:val="24"/>
                <w:highlight w:val="none"/>
                <w:lang w:val="en-US" w:eastAsia="zh-CN" w:bidi="ar"/>
              </w:rPr>
            </w:pPr>
            <w:r>
              <w:rPr>
                <w:rFonts w:hint="default" w:ascii="Times New Roman" w:hAnsi="Times New Roman" w:eastAsia="宋体" w:cs="Times New Roman"/>
                <w:color w:val="auto"/>
                <w:spacing w:val="-2"/>
                <w:kern w:val="0"/>
                <w:sz w:val="24"/>
                <w:szCs w:val="24"/>
                <w:highlight w:val="none"/>
                <w:lang w:val="en-US" w:eastAsia="zh-CN" w:bidi="ar"/>
              </w:rPr>
              <w:t xml:space="preserve"> 式中：</w:t>
            </w:r>
          </w:p>
          <w:p w14:paraId="76CDBB0D">
            <w:pPr>
              <w:keepNext w:val="0"/>
              <w:keepLines w:val="0"/>
              <w:pageBreakBefore w:val="0"/>
              <w:widowControl/>
              <w:suppressLineNumbers w:val="0"/>
              <w:kinsoku/>
              <w:wordWrap/>
              <w:overflowPunct/>
              <w:topLinePunct w:val="0"/>
              <w:autoSpaceDE/>
              <w:autoSpaceDN/>
              <w:bidi w:val="0"/>
              <w:adjustRightInd/>
              <w:snapToGrid/>
              <w:spacing w:line="360" w:lineRule="auto"/>
              <w:ind w:firstLine="472" w:firstLineChars="200"/>
              <w:jc w:val="left"/>
              <w:textAlignment w:val="auto"/>
              <w:rPr>
                <w:rFonts w:hint="default" w:ascii="Times New Roman" w:hAnsi="Times New Roman" w:eastAsia="宋体" w:cs="Times New Roman"/>
                <w:color w:val="auto"/>
                <w:spacing w:val="-2"/>
                <w:kern w:val="0"/>
                <w:sz w:val="24"/>
                <w:szCs w:val="24"/>
                <w:highlight w:val="none"/>
                <w:lang w:val="en-US" w:eastAsia="zh-CN" w:bidi="ar"/>
              </w:rPr>
            </w:pPr>
            <w:r>
              <w:rPr>
                <w:rFonts w:hint="default" w:ascii="Times New Roman" w:hAnsi="Times New Roman" w:eastAsia="宋体" w:cs="Times New Roman"/>
                <w:color w:val="auto"/>
                <w:spacing w:val="-2"/>
                <w:kern w:val="0"/>
                <w:sz w:val="24"/>
                <w:szCs w:val="24"/>
                <w:highlight w:val="none"/>
                <w:lang w:val="en-US" w:eastAsia="zh-CN" w:bidi="ar"/>
              </w:rPr>
              <w:t>i———燃料种类；ADi 燃料—i 燃料燃烧消耗量（t或 kNm</w:t>
            </w:r>
            <w:r>
              <w:rPr>
                <w:rFonts w:hint="default" w:ascii="Times New Roman" w:hAnsi="Times New Roman" w:eastAsia="宋体" w:cs="Times New Roman"/>
                <w:color w:val="auto"/>
                <w:spacing w:val="-2"/>
                <w:kern w:val="0"/>
                <w:sz w:val="24"/>
                <w:szCs w:val="24"/>
                <w:highlight w:val="none"/>
                <w:vertAlign w:val="superscript"/>
                <w:lang w:val="en-US" w:eastAsia="zh-CN" w:bidi="ar"/>
              </w:rPr>
              <w:t>3</w:t>
            </w:r>
            <w:r>
              <w:rPr>
                <w:rFonts w:hint="default" w:ascii="Times New Roman" w:hAnsi="Times New Roman" w:eastAsia="宋体" w:cs="Times New Roman"/>
                <w:color w:val="auto"/>
                <w:spacing w:val="-2"/>
                <w:kern w:val="0"/>
                <w:sz w:val="24"/>
                <w:szCs w:val="24"/>
                <w:highlight w:val="none"/>
                <w:lang w:val="en-US" w:eastAsia="zh-CN" w:bidi="ar"/>
              </w:rPr>
              <w:t>）；</w:t>
            </w:r>
          </w:p>
          <w:p w14:paraId="7B25ABA8">
            <w:pPr>
              <w:keepNext w:val="0"/>
              <w:keepLines w:val="0"/>
              <w:pageBreakBefore w:val="0"/>
              <w:widowControl/>
              <w:suppressLineNumbers w:val="0"/>
              <w:kinsoku/>
              <w:wordWrap/>
              <w:overflowPunct/>
              <w:topLinePunct w:val="0"/>
              <w:autoSpaceDE/>
              <w:autoSpaceDN/>
              <w:bidi w:val="0"/>
              <w:adjustRightInd/>
              <w:snapToGrid/>
              <w:spacing w:line="360" w:lineRule="auto"/>
              <w:ind w:firstLine="472" w:firstLineChars="200"/>
              <w:jc w:val="left"/>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spacing w:val="-2"/>
                <w:kern w:val="0"/>
                <w:sz w:val="24"/>
                <w:szCs w:val="24"/>
                <w:highlight w:val="none"/>
                <w:lang w:val="en-US" w:eastAsia="zh-CN" w:bidi="ar"/>
              </w:rPr>
              <w:t>EFi 燃料—i 燃料燃烧二氧化碳排放因子（tCO</w:t>
            </w:r>
            <w:r>
              <w:rPr>
                <w:rFonts w:hint="default" w:ascii="Times New Roman" w:hAnsi="Times New Roman" w:eastAsia="宋体" w:cs="Times New Roman"/>
                <w:color w:val="auto"/>
                <w:spacing w:val="-2"/>
                <w:kern w:val="0"/>
                <w:sz w:val="24"/>
                <w:szCs w:val="24"/>
                <w:highlight w:val="none"/>
                <w:vertAlign w:val="subscript"/>
                <w:lang w:val="en-US" w:eastAsia="zh-CN" w:bidi="ar"/>
              </w:rPr>
              <w:t>2</w:t>
            </w:r>
            <w:r>
              <w:rPr>
                <w:rFonts w:hint="default" w:ascii="Times New Roman" w:hAnsi="Times New Roman" w:eastAsia="宋体" w:cs="Times New Roman"/>
                <w:color w:val="auto"/>
                <w:spacing w:val="-2"/>
                <w:kern w:val="0"/>
                <w:sz w:val="24"/>
                <w:szCs w:val="24"/>
                <w:highlight w:val="none"/>
                <w:lang w:val="en-US" w:eastAsia="zh-CN" w:bidi="ar"/>
              </w:rPr>
              <w:t>e/kg 或tCO</w:t>
            </w:r>
            <w:r>
              <w:rPr>
                <w:rFonts w:hint="default" w:ascii="Times New Roman" w:hAnsi="Times New Roman" w:eastAsia="宋体" w:cs="Times New Roman"/>
                <w:color w:val="auto"/>
                <w:spacing w:val="-2"/>
                <w:kern w:val="0"/>
                <w:sz w:val="24"/>
                <w:szCs w:val="24"/>
                <w:highlight w:val="none"/>
                <w:vertAlign w:val="subscript"/>
                <w:lang w:val="en-US" w:eastAsia="zh-CN" w:bidi="ar"/>
              </w:rPr>
              <w:t>2</w:t>
            </w:r>
            <w:r>
              <w:rPr>
                <w:rFonts w:hint="default" w:ascii="Times New Roman" w:hAnsi="Times New Roman" w:eastAsia="宋体" w:cs="Times New Roman"/>
                <w:color w:val="auto"/>
                <w:spacing w:val="-2"/>
                <w:kern w:val="0"/>
                <w:sz w:val="24"/>
                <w:szCs w:val="24"/>
                <w:highlight w:val="none"/>
                <w:lang w:val="en-US" w:eastAsia="zh-CN" w:bidi="ar"/>
              </w:rPr>
              <w:t>e/kNm</w:t>
            </w:r>
            <w:r>
              <w:rPr>
                <w:rFonts w:hint="default" w:ascii="Times New Roman" w:hAnsi="Times New Roman" w:eastAsia="宋体" w:cs="Times New Roman"/>
                <w:color w:val="auto"/>
                <w:spacing w:val="-2"/>
                <w:kern w:val="0"/>
                <w:sz w:val="24"/>
                <w:szCs w:val="24"/>
                <w:highlight w:val="none"/>
                <w:vertAlign w:val="superscript"/>
                <w:lang w:val="en-US" w:eastAsia="zh-CN" w:bidi="ar"/>
              </w:rPr>
              <w:t>3</w:t>
            </w:r>
            <w:r>
              <w:rPr>
                <w:rFonts w:hint="default" w:ascii="Times New Roman" w:hAnsi="Times New Roman" w:eastAsia="宋体" w:cs="Times New Roman"/>
                <w:color w:val="auto"/>
                <w:spacing w:val="-2"/>
                <w:kern w:val="0"/>
                <w:sz w:val="24"/>
                <w:szCs w:val="24"/>
                <w:highlight w:val="none"/>
                <w:lang w:val="en-US" w:eastAsia="zh-CN" w:bidi="ar"/>
              </w:rPr>
              <w:t>），为3.096tCO</w:t>
            </w:r>
            <w:r>
              <w:rPr>
                <w:rFonts w:hint="default" w:ascii="Times New Roman" w:hAnsi="Times New Roman" w:eastAsia="宋体" w:cs="Times New Roman"/>
                <w:color w:val="auto"/>
                <w:spacing w:val="-2"/>
                <w:kern w:val="0"/>
                <w:sz w:val="24"/>
                <w:szCs w:val="24"/>
                <w:highlight w:val="none"/>
                <w:vertAlign w:val="subscript"/>
                <w:lang w:val="en-US" w:eastAsia="zh-CN" w:bidi="ar"/>
              </w:rPr>
              <w:t>2</w:t>
            </w:r>
            <w:r>
              <w:rPr>
                <w:rFonts w:hint="default" w:ascii="Times New Roman" w:hAnsi="Times New Roman" w:eastAsia="宋体" w:cs="Times New Roman"/>
                <w:color w:val="auto"/>
                <w:spacing w:val="-2"/>
                <w:kern w:val="0"/>
                <w:sz w:val="24"/>
                <w:szCs w:val="24"/>
                <w:highlight w:val="none"/>
                <w:lang w:val="en-US" w:eastAsia="zh-CN" w:bidi="ar"/>
              </w:rPr>
              <w:t>/t；</w:t>
            </w:r>
          </w:p>
          <w:p w14:paraId="2B49D08A">
            <w:pPr>
              <w:adjustRightInd w:val="0"/>
              <w:snapToGrid w:val="0"/>
              <w:spacing w:line="360" w:lineRule="auto"/>
              <w:ind w:firstLine="480" w:firstLineChars="200"/>
              <w:jc w:val="left"/>
              <w:rPr>
                <w:rFonts w:hint="default" w:ascii="Times New Roman" w:hAnsi="Times New Roman" w:eastAsia="宋体" w:cs="Times New Roman"/>
                <w:bCs/>
                <w:color w:val="auto"/>
                <w:sz w:val="24"/>
                <w:highlight w:val="none"/>
              </w:rPr>
            </w:pPr>
            <w:r>
              <w:rPr>
                <w:rFonts w:hint="default" w:ascii="Times New Roman" w:hAnsi="Times New Roman" w:cs="Times New Roman"/>
                <w:color w:val="auto"/>
                <w:sz w:val="24"/>
                <w:highlight w:val="none"/>
                <w:vertAlign w:val="baseline"/>
                <w:lang w:val="en-US" w:eastAsia="zh-CN"/>
              </w:rPr>
              <w:t>本项目柴油叉车1台，年消耗柴油2吨</w:t>
            </w:r>
            <w:r>
              <w:rPr>
                <w:rFonts w:hint="default" w:ascii="Times New Roman" w:hAnsi="Times New Roman" w:eastAsia="宋体" w:cs="Times New Roman"/>
                <w:color w:val="auto"/>
                <w:sz w:val="24"/>
                <w:szCs w:val="24"/>
                <w:highlight w:val="none"/>
                <w:vertAlign w:val="baseline"/>
                <w:lang w:val="en-US" w:eastAsia="zh-CN"/>
              </w:rPr>
              <w:t>，柴油消耗碳排放量9.288</w:t>
            </w:r>
            <w:r>
              <w:rPr>
                <w:rFonts w:hint="default" w:ascii="Times New Roman" w:hAnsi="Times New Roman" w:eastAsia="宋体" w:cs="Times New Roman"/>
                <w:color w:val="auto"/>
                <w:sz w:val="24"/>
                <w:szCs w:val="24"/>
                <w:highlight w:val="none"/>
              </w:rPr>
              <w:t>tCO</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bCs/>
                <w:color w:val="auto"/>
                <w:sz w:val="24"/>
                <w:highlight w:val="none"/>
              </w:rPr>
              <w:t>。</w:t>
            </w:r>
          </w:p>
          <w:p w14:paraId="77D33C5F">
            <w:pPr>
              <w:spacing w:line="360" w:lineRule="auto"/>
              <w:ind w:firstLine="480"/>
              <w:rPr>
                <w:rFonts w:hint="default" w:ascii="Times New Roman" w:hAnsi="Times New Roman" w:cs="Times New Roman"/>
                <w:bCs/>
                <w:color w:val="auto"/>
                <w:kern w:val="0"/>
                <w:sz w:val="24"/>
                <w:szCs w:val="24"/>
                <w:highlight w:val="none"/>
              </w:rPr>
            </w:pPr>
            <w:r>
              <w:rPr>
                <w:rFonts w:hint="default" w:ascii="Times New Roman" w:hAnsi="Times New Roman" w:cs="Times New Roman"/>
                <w:bCs/>
                <w:color w:val="auto"/>
                <w:kern w:val="0"/>
                <w:sz w:val="24"/>
                <w:szCs w:val="24"/>
                <w:highlight w:val="none"/>
              </w:rPr>
              <w:t>综合上述计算，项目二氧化碳总排放量为</w:t>
            </w:r>
            <w:r>
              <w:rPr>
                <w:rFonts w:hint="default" w:ascii="Times New Roman" w:hAnsi="Times New Roman" w:cs="Times New Roman"/>
                <w:bCs/>
                <w:color w:val="auto"/>
                <w:kern w:val="0"/>
                <w:sz w:val="24"/>
                <w:szCs w:val="24"/>
                <w:highlight w:val="none"/>
                <w:lang w:val="en-US" w:eastAsia="zh-CN"/>
              </w:rPr>
              <w:t>56.694</w:t>
            </w:r>
            <w:r>
              <w:rPr>
                <w:rFonts w:hint="default" w:ascii="Times New Roman" w:hAnsi="Times New Roman" w:cs="Times New Roman"/>
                <w:bCs/>
                <w:color w:val="auto"/>
                <w:kern w:val="0"/>
                <w:sz w:val="24"/>
                <w:szCs w:val="24"/>
                <w:highlight w:val="none"/>
              </w:rPr>
              <w:t>t/a。</w:t>
            </w:r>
          </w:p>
          <w:p w14:paraId="6D0979E5">
            <w:pPr>
              <w:spacing w:line="360" w:lineRule="auto"/>
              <w:ind w:firstLine="480"/>
              <w:rPr>
                <w:rFonts w:hint="default" w:ascii="Times New Roman" w:hAnsi="Times New Roman" w:cs="Times New Roman"/>
                <w:b/>
                <w:bCs/>
                <w:color w:val="auto"/>
                <w:kern w:val="0"/>
                <w:sz w:val="24"/>
                <w:szCs w:val="24"/>
                <w:highlight w:val="none"/>
              </w:rPr>
            </w:pPr>
            <w:r>
              <w:rPr>
                <w:rFonts w:hint="default" w:ascii="Times New Roman" w:hAnsi="Times New Roman" w:cs="Times New Roman"/>
                <w:b/>
                <w:bCs/>
                <w:color w:val="auto"/>
                <w:kern w:val="0"/>
                <w:sz w:val="24"/>
                <w:szCs w:val="24"/>
                <w:highlight w:val="none"/>
              </w:rPr>
              <w:t>减污降碳措施如下：</w:t>
            </w:r>
          </w:p>
          <w:p w14:paraId="08289FEB">
            <w:pPr>
              <w:adjustRightInd w:val="0"/>
              <w:snapToGrid w:val="0"/>
              <w:spacing w:line="360" w:lineRule="auto"/>
              <w:ind w:firstLine="482"/>
              <w:rPr>
                <w:rFonts w:hint="default" w:ascii="Times New Roman" w:hAnsi="Times New Roman" w:cs="Times New Roman"/>
                <w:bCs/>
                <w:color w:val="auto"/>
                <w:kern w:val="0"/>
                <w:sz w:val="24"/>
                <w:szCs w:val="24"/>
                <w:highlight w:val="none"/>
              </w:rPr>
            </w:pPr>
            <w:r>
              <w:rPr>
                <w:rFonts w:hint="default" w:ascii="Times New Roman" w:hAnsi="Times New Roman" w:cs="Times New Roman"/>
                <w:bCs/>
                <w:color w:val="auto"/>
                <w:kern w:val="0"/>
                <w:sz w:val="24"/>
                <w:szCs w:val="24"/>
                <w:highlight w:val="none"/>
              </w:rPr>
              <w:t>通过采用先进技术降低物料消耗、减少生产中各种污染物的产生和排放。工艺流程紧凑、合理、顺畅，最大限度</w:t>
            </w:r>
            <w:r>
              <w:rPr>
                <w:rFonts w:hint="default" w:ascii="Times New Roman" w:hAnsi="Times New Roman" w:cs="Times New Roman"/>
                <w:bCs/>
                <w:color w:val="auto"/>
                <w:kern w:val="0"/>
                <w:sz w:val="24"/>
                <w:szCs w:val="24"/>
                <w:highlight w:val="none"/>
                <w:lang w:eastAsia="zh-CN"/>
              </w:rPr>
              <w:t>地</w:t>
            </w:r>
            <w:r>
              <w:rPr>
                <w:rFonts w:hint="default" w:ascii="Times New Roman" w:hAnsi="Times New Roman" w:cs="Times New Roman"/>
                <w:bCs/>
                <w:color w:val="auto"/>
                <w:kern w:val="0"/>
                <w:sz w:val="24"/>
                <w:szCs w:val="24"/>
                <w:highlight w:val="none"/>
              </w:rPr>
              <w:t>缩短中间环节物流运距，节约投资和运行成本。优化设备布置，缩短物料输送距离，使物料流向符合流程，尽量借用位差，减少重力提升。系统正常运转时，最大限度地提高开机利用率，减少设备空转时间，提高生产效率。投入设备自动化保护装置，减少人工成本，同时保证设备的正常运行、减少事故率。</w:t>
            </w:r>
          </w:p>
          <w:p w14:paraId="0765E4C1">
            <w:pPr>
              <w:spacing w:line="360" w:lineRule="auto"/>
              <w:ind w:firstLine="480" w:firstLineChars="200"/>
              <w:rPr>
                <w:rFonts w:hint="default" w:ascii="Times New Roman" w:hAnsi="Times New Roman" w:cs="Times New Roman"/>
                <w:bCs/>
                <w:color w:val="auto"/>
                <w:kern w:val="0"/>
                <w:sz w:val="24"/>
                <w:szCs w:val="24"/>
                <w:highlight w:val="none"/>
                <w:lang w:eastAsia="zh-CN"/>
              </w:rPr>
            </w:pPr>
            <w:r>
              <w:rPr>
                <w:rFonts w:hint="default" w:ascii="Times New Roman" w:hAnsi="Times New Roman" w:cs="Times New Roman"/>
                <w:bCs/>
                <w:color w:val="auto"/>
                <w:kern w:val="0"/>
                <w:sz w:val="24"/>
                <w:szCs w:val="24"/>
                <w:highlight w:val="none"/>
              </w:rPr>
              <w:t>项目主要工艺生产设备选型在保证技术先进、性能可靠的前提下，大多数采用节能型设备。主要用能设备选择具备技术先进性、高效性和可靠性、在国内外广泛使用的产品，使各生产系统在优化条件下操作，提高用能水平。从节能、环保角度出发，设计优先选用效率高、能耗低、噪声低的设备</w:t>
            </w:r>
            <w:r>
              <w:rPr>
                <w:rFonts w:hint="default" w:ascii="Times New Roman" w:hAnsi="Times New Roman" w:cs="Times New Roman"/>
                <w:bCs/>
                <w:color w:val="auto"/>
                <w:kern w:val="0"/>
                <w:sz w:val="24"/>
                <w:szCs w:val="24"/>
                <w:highlight w:val="none"/>
                <w:lang w:eastAsia="zh-CN"/>
              </w:rPr>
              <w:t>。</w:t>
            </w:r>
          </w:p>
          <w:p w14:paraId="27844031">
            <w:pPr>
              <w:spacing w:line="360" w:lineRule="auto"/>
              <w:rPr>
                <w:rFonts w:hint="default" w:ascii="Times New Roman" w:hAnsi="Times New Roman" w:cs="Times New Roman"/>
                <w:b/>
                <w:bCs/>
                <w:color w:val="auto"/>
                <w:sz w:val="28"/>
                <w:szCs w:val="28"/>
                <w:highlight w:val="none"/>
              </w:rPr>
            </w:pPr>
            <w:r>
              <w:rPr>
                <w:rFonts w:hint="default" w:ascii="Times New Roman" w:hAnsi="Times New Roman" w:cs="Times New Roman"/>
                <w:b/>
                <w:bCs/>
                <w:color w:val="auto"/>
                <w:sz w:val="28"/>
                <w:szCs w:val="28"/>
                <w:highlight w:val="none"/>
              </w:rPr>
              <w:t>1</w:t>
            </w:r>
            <w:r>
              <w:rPr>
                <w:rFonts w:hint="default" w:ascii="Times New Roman" w:hAnsi="Times New Roman" w:cs="Times New Roman"/>
                <w:b/>
                <w:bCs/>
                <w:color w:val="auto"/>
                <w:sz w:val="28"/>
                <w:szCs w:val="28"/>
                <w:highlight w:val="none"/>
                <w:lang w:val="en-US" w:eastAsia="zh-CN"/>
              </w:rPr>
              <w:t>1</w:t>
            </w:r>
            <w:r>
              <w:rPr>
                <w:rFonts w:hint="default" w:ascii="Times New Roman" w:hAnsi="Times New Roman" w:cs="Times New Roman"/>
                <w:b/>
                <w:bCs/>
                <w:color w:val="auto"/>
                <w:sz w:val="28"/>
                <w:szCs w:val="28"/>
                <w:highlight w:val="none"/>
              </w:rPr>
              <w:t>、环境管理</w:t>
            </w:r>
          </w:p>
          <w:p w14:paraId="5600CBC7">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为了贯彻执行有关环境保护法规，及时了解项目及其周围环境质量变化情 况，掌握环境保护措施实施的效果，保证该区域良好的环境质量，建设单位进行相应的环境管理。 </w:t>
            </w:r>
          </w:p>
          <w:p w14:paraId="1E9F169D">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落实国家和地方相关管理制度贯彻落实国家相关法律法规及政策，以国家相关法律法规为依据，建设项目的改造工程设计，应按照环境保护设计规范的要求，并依据经批准的建设项目环境影响报告表，在项目建设阶段、生产运行阶段及服务期满后向当地环境保护部门汇报各阶段的情况。</w:t>
            </w:r>
          </w:p>
          <w:p w14:paraId="3CDB4CC3">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1）建设项目发生实际排污行为之前，排污单位应当按照国家环境保护相关法律法规以及排污许可证申请与核发技术规范要求申请排污许可证，不得无证排污或不按证排污。</w:t>
            </w:r>
          </w:p>
          <w:p w14:paraId="2C32FC62">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2）排污单位应当严格执行排污许可证的规定，遵守下列要求：排污口位置和数量、排放方式、排放去向、排放污染物种类、排放浓度和排放量、执行的排放标准等符合排污许可证的规定，不得私设暗管或以其他方式逃避监管；落实重污染天气应急管控措施、遵守法律规定的最新环境保护要求等。</w:t>
            </w:r>
          </w:p>
          <w:p w14:paraId="72CEB9B1">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排污口规范化基本原则：向环境排放污染物的排污口必须规范化；排污口应便于采样与计量监测，便于日常现场监督检查。</w:t>
            </w:r>
          </w:p>
          <w:p w14:paraId="2E733AE2">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排污口的技术要求：排污口的位置须合理确定，按环监【1996】470 号文件要求规范化管理；排放污染物的采样点设置应按《污染源监测技术规范》要求布设。</w:t>
            </w:r>
          </w:p>
          <w:p w14:paraId="2BE4F13C">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3）根据国家主要污染物总量控制指标要求，结合项目整改前后的排污状况， 给出本项目污染物总量控制指标。 </w:t>
            </w:r>
          </w:p>
          <w:p w14:paraId="5E7463A0">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4）建设项目中防治污染的设施，应当与主体工程同时设计、同时施工、同时投产使用，防治污染的设施应当符合经批准的环境影响评价文件的要求，不得擅自拆除或者闲置。 </w:t>
            </w:r>
          </w:p>
          <w:p w14:paraId="102C2411">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5）建设项目竣工后，建设单位需组织查验、监测、记载建设项目环境保护 </w:t>
            </w:r>
          </w:p>
          <w:p w14:paraId="7A68463F">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设施的建设和调试情况，建设单位或者委托其他技术机构按照国家有关法律法规、建设项目竣工环境保护验收规范等要求，编制竣工环境保护验收报告。验收报告编制完成后，建设单位应组织成立验收工作组，建设项目配套的环境保护设施进行验收。 </w:t>
            </w:r>
          </w:p>
          <w:p w14:paraId="20A7B885">
            <w:pPr>
              <w:spacing w:line="360" w:lineRule="auto"/>
              <w:ind w:firstLine="480" w:firstLineChars="200"/>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6）运营期需设纸质台账，</w:t>
            </w:r>
            <w:r>
              <w:rPr>
                <w:rFonts w:hint="default" w:ascii="Times New Roman" w:hAnsi="Times New Roman" w:cs="Times New Roman"/>
                <w:color w:val="auto"/>
                <w:sz w:val="24"/>
                <w:szCs w:val="24"/>
                <w:highlight w:val="none"/>
              </w:rPr>
              <w:t>管理台账保存期限不少于</w:t>
            </w:r>
            <w:r>
              <w:rPr>
                <w:rFonts w:hint="default" w:ascii="Times New Roman" w:hAnsi="Times New Roman" w:cs="Times New Roman"/>
                <w:color w:val="auto"/>
                <w:sz w:val="24"/>
                <w:szCs w:val="24"/>
                <w:highlight w:val="none"/>
                <w:lang w:val="en-US" w:eastAsia="zh-CN"/>
              </w:rPr>
              <w:t>5</w:t>
            </w:r>
            <w:r>
              <w:rPr>
                <w:rFonts w:hint="default" w:ascii="Times New Roman" w:hAnsi="Times New Roman" w:cs="Times New Roman"/>
                <w:color w:val="auto"/>
                <w:sz w:val="24"/>
                <w:szCs w:val="24"/>
                <w:highlight w:val="none"/>
              </w:rPr>
              <w:t>年</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台账记录表各表单的负责人对记录信息的真实性、完整性和规范性负责</w:t>
            </w:r>
            <w:r>
              <w:rPr>
                <w:rFonts w:hint="default" w:ascii="Times New Roman" w:hAnsi="Times New Roman" w:cs="Times New Roman"/>
                <w:color w:val="auto"/>
                <w:sz w:val="24"/>
                <w:highlight w:val="none"/>
                <w:lang w:val="en-US" w:eastAsia="zh-CN"/>
              </w:rPr>
              <w:t>。</w:t>
            </w:r>
          </w:p>
          <w:p w14:paraId="25328633">
            <w:pPr>
              <w:spacing w:line="360" w:lineRule="auto"/>
              <w:ind w:firstLine="480" w:firstLineChars="200"/>
              <w:rPr>
                <w:rFonts w:hint="default" w:ascii="Times New Roman" w:hAnsi="Times New Roman" w:cs="Times New Roman"/>
                <w:b/>
                <w:bCs/>
                <w:color w:val="auto"/>
                <w:sz w:val="24"/>
                <w:highlight w:val="none"/>
              </w:rPr>
            </w:pPr>
            <w:r>
              <w:rPr>
                <w:rFonts w:hint="default" w:ascii="Times New Roman" w:hAnsi="Times New Roman" w:cs="Times New Roman"/>
                <w:color w:val="auto"/>
                <w:sz w:val="24"/>
                <w:highlight w:val="none"/>
                <w:lang w:val="en-US" w:eastAsia="zh-CN"/>
              </w:rPr>
              <w:t>7</w:t>
            </w:r>
            <w:r>
              <w:rPr>
                <w:rFonts w:hint="default" w:ascii="Times New Roman" w:hAnsi="Times New Roman" w:cs="Times New Roman"/>
                <w:color w:val="auto"/>
                <w:sz w:val="24"/>
                <w:highlight w:val="none"/>
              </w:rPr>
              <w:t>）环保信息公开内容 依据《中华人民共和国政府信息公开条例》、《企业事业单位环境信息公开办法》、《环境信息公开办法(试行）》的相关要求，企业应当及时、准确地公开企业环境信息，本项目环境信息公开的内容如下：</w:t>
            </w:r>
          </w:p>
          <w:p w14:paraId="2B4362CB">
            <w:pPr>
              <w:adjustRightInd w:val="0"/>
              <w:snapToGrid w:val="0"/>
              <w:spacing w:line="240" w:lineRule="auto"/>
              <w:ind w:firstLine="480"/>
              <w:jc w:val="center"/>
              <w:rPr>
                <w:rFonts w:hint="default" w:ascii="Times New Roman" w:hAnsi="Times New Roman" w:cs="Times New Roman"/>
                <w:b/>
                <w:bCs/>
                <w:color w:val="auto"/>
                <w:sz w:val="24"/>
                <w:highlight w:val="none"/>
              </w:rPr>
            </w:pPr>
          </w:p>
          <w:p w14:paraId="671F332B">
            <w:pPr>
              <w:adjustRightInd w:val="0"/>
              <w:snapToGrid w:val="0"/>
              <w:spacing w:line="240" w:lineRule="auto"/>
              <w:ind w:firstLine="480"/>
              <w:jc w:val="center"/>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表4-</w:t>
            </w:r>
            <w:r>
              <w:rPr>
                <w:rFonts w:hint="eastAsia" w:cs="Times New Roman"/>
                <w:b/>
                <w:bCs/>
                <w:color w:val="auto"/>
                <w:sz w:val="24"/>
                <w:highlight w:val="none"/>
                <w:lang w:val="en-US" w:eastAsia="zh-CN"/>
              </w:rPr>
              <w:t xml:space="preserve">21 </w:t>
            </w:r>
            <w:r>
              <w:rPr>
                <w:rFonts w:hint="default" w:ascii="Times New Roman" w:hAnsi="Times New Roman" w:cs="Times New Roman"/>
                <w:b/>
                <w:bCs/>
                <w:color w:val="auto"/>
                <w:sz w:val="24"/>
                <w:highlight w:val="none"/>
              </w:rPr>
              <w:t xml:space="preserve"> 环境信息公开一览表</w:t>
            </w:r>
          </w:p>
          <w:tbl>
            <w:tblPr>
              <w:tblStyle w:val="34"/>
              <w:tblW w:w="84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4"/>
              <w:gridCol w:w="7202"/>
            </w:tblGrid>
            <w:tr w14:paraId="19E82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44" w:type="dxa"/>
                  <w:vAlign w:val="center"/>
                </w:tcPr>
                <w:p w14:paraId="6246188E">
                  <w:pPr>
                    <w:pStyle w:val="32"/>
                    <w:keepNext w:val="0"/>
                    <w:keepLines w:val="0"/>
                    <w:pageBreakBefore w:val="0"/>
                    <w:widowControl/>
                    <w:kinsoku/>
                    <w:wordWrap/>
                    <w:overflowPunct/>
                    <w:topLinePunct w:val="0"/>
                    <w:autoSpaceDE/>
                    <w:autoSpaceDN/>
                    <w:bidi w:val="0"/>
                    <w:adjustRightInd w:val="0"/>
                    <w:snapToGrid w:val="0"/>
                    <w:spacing w:before="0" w:after="0" w:line="240" w:lineRule="auto"/>
                    <w:ind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序号</w:t>
                  </w:r>
                </w:p>
              </w:tc>
              <w:tc>
                <w:tcPr>
                  <w:tcW w:w="7202" w:type="dxa"/>
                  <w:vAlign w:val="center"/>
                </w:tcPr>
                <w:p w14:paraId="337DC4CD">
                  <w:pPr>
                    <w:pStyle w:val="32"/>
                    <w:keepNext w:val="0"/>
                    <w:keepLines w:val="0"/>
                    <w:pageBreakBefore w:val="0"/>
                    <w:widowControl/>
                    <w:kinsoku/>
                    <w:wordWrap/>
                    <w:overflowPunct/>
                    <w:topLinePunct w:val="0"/>
                    <w:autoSpaceDE/>
                    <w:autoSpaceDN/>
                    <w:bidi w:val="0"/>
                    <w:adjustRightInd w:val="0"/>
                    <w:snapToGrid w:val="0"/>
                    <w:spacing w:before="0" w:after="0" w:line="240" w:lineRule="auto"/>
                    <w:ind w:right="0" w:firstLine="0" w:firstLineChars="0"/>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color w:val="auto"/>
                      <w:sz w:val="21"/>
                      <w:szCs w:val="21"/>
                      <w:highlight w:val="none"/>
                    </w:rPr>
                    <w:t>信息公开内容</w:t>
                  </w:r>
                </w:p>
              </w:tc>
            </w:tr>
            <w:tr w14:paraId="1F4A8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44" w:type="dxa"/>
                  <w:vAlign w:val="center"/>
                </w:tcPr>
                <w:p w14:paraId="1127DC07">
                  <w:pPr>
                    <w:pStyle w:val="32"/>
                    <w:keepNext w:val="0"/>
                    <w:keepLines w:val="0"/>
                    <w:pageBreakBefore w:val="0"/>
                    <w:widowControl/>
                    <w:kinsoku/>
                    <w:wordWrap/>
                    <w:overflowPunct/>
                    <w:topLinePunct w:val="0"/>
                    <w:autoSpaceDE/>
                    <w:autoSpaceDN/>
                    <w:bidi w:val="0"/>
                    <w:adjustRightInd w:val="0"/>
                    <w:snapToGrid w:val="0"/>
                    <w:spacing w:before="0" w:after="0" w:line="240" w:lineRule="auto"/>
                    <w:ind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p>
              </w:tc>
              <w:tc>
                <w:tcPr>
                  <w:tcW w:w="7202" w:type="dxa"/>
                  <w:vAlign w:val="center"/>
                </w:tcPr>
                <w:p w14:paraId="438B0AB4">
                  <w:pPr>
                    <w:keepNext w:val="0"/>
                    <w:keepLines w:val="0"/>
                    <w:pageBreakBefore w:val="0"/>
                    <w:widowControl/>
                    <w:kinsoku/>
                    <w:wordWrap/>
                    <w:overflowPunct/>
                    <w:topLinePunct w:val="0"/>
                    <w:autoSpaceDE/>
                    <w:autoSpaceDN/>
                    <w:bidi w:val="0"/>
                    <w:adjustRightInd w:val="0"/>
                    <w:snapToGrid w:val="0"/>
                    <w:spacing w:line="240" w:lineRule="auto"/>
                    <w:ind w:right="0"/>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color w:val="auto"/>
                      <w:kern w:val="0"/>
                      <w:sz w:val="21"/>
                      <w:szCs w:val="21"/>
                      <w:highlight w:val="none"/>
                      <w:lang w:bidi="ar"/>
                    </w:rPr>
                    <w:t>企业环境保护方针、年度环境保护目标及成效。</w:t>
                  </w:r>
                </w:p>
              </w:tc>
            </w:tr>
            <w:tr w14:paraId="11A68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44" w:type="dxa"/>
                  <w:vAlign w:val="center"/>
                </w:tcPr>
                <w:p w14:paraId="1AC4E923">
                  <w:pPr>
                    <w:pStyle w:val="32"/>
                    <w:keepNext w:val="0"/>
                    <w:keepLines w:val="0"/>
                    <w:pageBreakBefore w:val="0"/>
                    <w:widowControl/>
                    <w:kinsoku/>
                    <w:wordWrap/>
                    <w:overflowPunct/>
                    <w:topLinePunct w:val="0"/>
                    <w:autoSpaceDE/>
                    <w:autoSpaceDN/>
                    <w:bidi w:val="0"/>
                    <w:adjustRightInd w:val="0"/>
                    <w:snapToGrid w:val="0"/>
                    <w:spacing w:before="0" w:after="0" w:line="240" w:lineRule="auto"/>
                    <w:ind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w:t>
                  </w:r>
                </w:p>
              </w:tc>
              <w:tc>
                <w:tcPr>
                  <w:tcW w:w="7202" w:type="dxa"/>
                  <w:vAlign w:val="center"/>
                </w:tcPr>
                <w:p w14:paraId="50AE70E7">
                  <w:pPr>
                    <w:keepNext w:val="0"/>
                    <w:keepLines w:val="0"/>
                    <w:pageBreakBefore w:val="0"/>
                    <w:widowControl/>
                    <w:kinsoku/>
                    <w:wordWrap/>
                    <w:overflowPunct/>
                    <w:topLinePunct w:val="0"/>
                    <w:autoSpaceDE/>
                    <w:autoSpaceDN/>
                    <w:bidi w:val="0"/>
                    <w:adjustRightInd w:val="0"/>
                    <w:snapToGrid w:val="0"/>
                    <w:spacing w:line="240" w:lineRule="auto"/>
                    <w:ind w:right="0"/>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color w:val="auto"/>
                      <w:kern w:val="0"/>
                      <w:sz w:val="21"/>
                      <w:szCs w:val="21"/>
                      <w:highlight w:val="none"/>
                      <w:lang w:bidi="ar"/>
                    </w:rPr>
                    <w:t>企业年度资源消耗总量。</w:t>
                  </w:r>
                </w:p>
              </w:tc>
            </w:tr>
            <w:tr w14:paraId="747B4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44" w:type="dxa"/>
                  <w:vAlign w:val="center"/>
                </w:tcPr>
                <w:p w14:paraId="423E7CEE">
                  <w:pPr>
                    <w:pStyle w:val="32"/>
                    <w:keepNext w:val="0"/>
                    <w:keepLines w:val="0"/>
                    <w:pageBreakBefore w:val="0"/>
                    <w:widowControl/>
                    <w:kinsoku/>
                    <w:wordWrap/>
                    <w:overflowPunct/>
                    <w:topLinePunct w:val="0"/>
                    <w:autoSpaceDE/>
                    <w:autoSpaceDN/>
                    <w:bidi w:val="0"/>
                    <w:adjustRightInd w:val="0"/>
                    <w:snapToGrid w:val="0"/>
                    <w:spacing w:before="0" w:after="0" w:line="240" w:lineRule="auto"/>
                    <w:ind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w:t>
                  </w:r>
                </w:p>
              </w:tc>
              <w:tc>
                <w:tcPr>
                  <w:tcW w:w="7202" w:type="dxa"/>
                  <w:vAlign w:val="center"/>
                </w:tcPr>
                <w:p w14:paraId="25906E34">
                  <w:pPr>
                    <w:keepNext w:val="0"/>
                    <w:keepLines w:val="0"/>
                    <w:pageBreakBefore w:val="0"/>
                    <w:widowControl/>
                    <w:kinsoku/>
                    <w:wordWrap/>
                    <w:overflowPunct/>
                    <w:topLinePunct w:val="0"/>
                    <w:autoSpaceDE/>
                    <w:autoSpaceDN/>
                    <w:bidi w:val="0"/>
                    <w:adjustRightInd w:val="0"/>
                    <w:snapToGrid w:val="0"/>
                    <w:spacing w:line="240" w:lineRule="auto"/>
                    <w:ind w:right="0"/>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color w:val="auto"/>
                      <w:kern w:val="0"/>
                      <w:sz w:val="21"/>
                      <w:szCs w:val="21"/>
                      <w:highlight w:val="none"/>
                      <w:lang w:bidi="ar"/>
                    </w:rPr>
                    <w:t>企业排放污染物种类、数量、浓度和去向。</w:t>
                  </w:r>
                </w:p>
              </w:tc>
            </w:tr>
            <w:tr w14:paraId="00FB6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44" w:type="dxa"/>
                  <w:vAlign w:val="center"/>
                </w:tcPr>
                <w:p w14:paraId="113BC51B">
                  <w:pPr>
                    <w:pStyle w:val="32"/>
                    <w:keepNext w:val="0"/>
                    <w:keepLines w:val="0"/>
                    <w:pageBreakBefore w:val="0"/>
                    <w:widowControl/>
                    <w:kinsoku/>
                    <w:wordWrap/>
                    <w:overflowPunct/>
                    <w:topLinePunct w:val="0"/>
                    <w:autoSpaceDE/>
                    <w:autoSpaceDN/>
                    <w:bidi w:val="0"/>
                    <w:adjustRightInd w:val="0"/>
                    <w:snapToGrid w:val="0"/>
                    <w:spacing w:before="0" w:after="0" w:line="240" w:lineRule="auto"/>
                    <w:ind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w:t>
                  </w:r>
                </w:p>
              </w:tc>
              <w:tc>
                <w:tcPr>
                  <w:tcW w:w="7202" w:type="dxa"/>
                  <w:vAlign w:val="center"/>
                </w:tcPr>
                <w:p w14:paraId="0C4A5EA5">
                  <w:pPr>
                    <w:keepNext w:val="0"/>
                    <w:keepLines w:val="0"/>
                    <w:pageBreakBefore w:val="0"/>
                    <w:widowControl/>
                    <w:kinsoku/>
                    <w:wordWrap/>
                    <w:overflowPunct/>
                    <w:topLinePunct w:val="0"/>
                    <w:autoSpaceDE/>
                    <w:autoSpaceDN/>
                    <w:bidi w:val="0"/>
                    <w:adjustRightInd w:val="0"/>
                    <w:snapToGrid w:val="0"/>
                    <w:spacing w:line="240" w:lineRule="auto"/>
                    <w:ind w:right="0"/>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color w:val="auto"/>
                      <w:kern w:val="0"/>
                      <w:sz w:val="21"/>
                      <w:szCs w:val="21"/>
                      <w:highlight w:val="none"/>
                      <w:lang w:bidi="ar"/>
                    </w:rPr>
                    <w:t xml:space="preserve">企业环保投资和环境技术开发情况 </w:t>
                  </w:r>
                </w:p>
              </w:tc>
            </w:tr>
            <w:tr w14:paraId="23426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44" w:type="dxa"/>
                  <w:vAlign w:val="center"/>
                </w:tcPr>
                <w:p w14:paraId="63D1A8F4">
                  <w:pPr>
                    <w:pStyle w:val="32"/>
                    <w:keepNext w:val="0"/>
                    <w:keepLines w:val="0"/>
                    <w:pageBreakBefore w:val="0"/>
                    <w:widowControl/>
                    <w:kinsoku/>
                    <w:wordWrap/>
                    <w:overflowPunct/>
                    <w:topLinePunct w:val="0"/>
                    <w:autoSpaceDE/>
                    <w:autoSpaceDN/>
                    <w:bidi w:val="0"/>
                    <w:adjustRightInd w:val="0"/>
                    <w:snapToGrid w:val="0"/>
                    <w:spacing w:before="0" w:after="0" w:line="240" w:lineRule="auto"/>
                    <w:ind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w:t>
                  </w:r>
                </w:p>
              </w:tc>
              <w:tc>
                <w:tcPr>
                  <w:tcW w:w="7202" w:type="dxa"/>
                  <w:vAlign w:val="center"/>
                </w:tcPr>
                <w:p w14:paraId="38817161">
                  <w:pPr>
                    <w:keepNext w:val="0"/>
                    <w:keepLines w:val="0"/>
                    <w:pageBreakBefore w:val="0"/>
                    <w:widowControl/>
                    <w:kinsoku/>
                    <w:wordWrap/>
                    <w:overflowPunct/>
                    <w:topLinePunct w:val="0"/>
                    <w:autoSpaceDE/>
                    <w:autoSpaceDN/>
                    <w:bidi w:val="0"/>
                    <w:adjustRightInd w:val="0"/>
                    <w:snapToGrid w:val="0"/>
                    <w:spacing w:line="240" w:lineRule="auto"/>
                    <w:ind w:right="0"/>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color w:val="auto"/>
                      <w:kern w:val="0"/>
                      <w:sz w:val="21"/>
                      <w:szCs w:val="21"/>
                      <w:highlight w:val="none"/>
                      <w:lang w:bidi="ar"/>
                    </w:rPr>
                    <w:t xml:space="preserve">企业环保设施的建设和运行情况。 </w:t>
                  </w:r>
                </w:p>
              </w:tc>
            </w:tr>
            <w:tr w14:paraId="0ABDE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44" w:type="dxa"/>
                  <w:vAlign w:val="center"/>
                </w:tcPr>
                <w:p w14:paraId="0557DFD6">
                  <w:pPr>
                    <w:pStyle w:val="32"/>
                    <w:keepNext w:val="0"/>
                    <w:keepLines w:val="0"/>
                    <w:pageBreakBefore w:val="0"/>
                    <w:widowControl/>
                    <w:kinsoku/>
                    <w:wordWrap/>
                    <w:overflowPunct/>
                    <w:topLinePunct w:val="0"/>
                    <w:autoSpaceDE/>
                    <w:autoSpaceDN/>
                    <w:bidi w:val="0"/>
                    <w:adjustRightInd w:val="0"/>
                    <w:snapToGrid w:val="0"/>
                    <w:spacing w:before="0" w:after="0" w:line="240" w:lineRule="auto"/>
                    <w:ind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6</w:t>
                  </w:r>
                </w:p>
              </w:tc>
              <w:tc>
                <w:tcPr>
                  <w:tcW w:w="7202" w:type="dxa"/>
                  <w:vAlign w:val="center"/>
                </w:tcPr>
                <w:p w14:paraId="3A2B1329">
                  <w:pPr>
                    <w:keepNext w:val="0"/>
                    <w:keepLines w:val="0"/>
                    <w:pageBreakBefore w:val="0"/>
                    <w:widowControl/>
                    <w:kinsoku/>
                    <w:wordWrap/>
                    <w:overflowPunct/>
                    <w:topLinePunct w:val="0"/>
                    <w:autoSpaceDE/>
                    <w:autoSpaceDN/>
                    <w:bidi w:val="0"/>
                    <w:adjustRightInd w:val="0"/>
                    <w:snapToGrid w:val="0"/>
                    <w:spacing w:line="240" w:lineRule="auto"/>
                    <w:ind w:right="0"/>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color w:val="auto"/>
                      <w:kern w:val="0"/>
                      <w:sz w:val="21"/>
                      <w:szCs w:val="21"/>
                      <w:highlight w:val="none"/>
                      <w:lang w:bidi="ar"/>
                    </w:rPr>
                    <w:t>企业在生产过程中产生的废物的处理、处置情况</w:t>
                  </w:r>
                </w:p>
              </w:tc>
            </w:tr>
            <w:tr w14:paraId="479B9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44" w:type="dxa"/>
                  <w:vAlign w:val="center"/>
                </w:tcPr>
                <w:p w14:paraId="1557A3FC">
                  <w:pPr>
                    <w:pStyle w:val="32"/>
                    <w:keepNext w:val="0"/>
                    <w:keepLines w:val="0"/>
                    <w:pageBreakBefore w:val="0"/>
                    <w:widowControl/>
                    <w:kinsoku/>
                    <w:wordWrap/>
                    <w:overflowPunct/>
                    <w:topLinePunct w:val="0"/>
                    <w:autoSpaceDE/>
                    <w:autoSpaceDN/>
                    <w:bidi w:val="0"/>
                    <w:adjustRightInd w:val="0"/>
                    <w:snapToGrid w:val="0"/>
                    <w:spacing w:before="0" w:after="0" w:line="240" w:lineRule="auto"/>
                    <w:ind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7</w:t>
                  </w:r>
                </w:p>
              </w:tc>
              <w:tc>
                <w:tcPr>
                  <w:tcW w:w="7202" w:type="dxa"/>
                  <w:vAlign w:val="center"/>
                </w:tcPr>
                <w:p w14:paraId="174AE4F9">
                  <w:pPr>
                    <w:keepNext w:val="0"/>
                    <w:keepLines w:val="0"/>
                    <w:pageBreakBefore w:val="0"/>
                    <w:widowControl/>
                    <w:kinsoku/>
                    <w:wordWrap/>
                    <w:overflowPunct/>
                    <w:topLinePunct w:val="0"/>
                    <w:autoSpaceDE/>
                    <w:autoSpaceDN/>
                    <w:bidi w:val="0"/>
                    <w:adjustRightInd w:val="0"/>
                    <w:snapToGrid w:val="0"/>
                    <w:spacing w:line="240" w:lineRule="auto"/>
                    <w:ind w:right="0"/>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color w:val="auto"/>
                      <w:kern w:val="0"/>
                      <w:sz w:val="21"/>
                      <w:szCs w:val="21"/>
                      <w:highlight w:val="none"/>
                      <w:lang w:bidi="ar"/>
                    </w:rPr>
                    <w:t>与环保部门签订的改善环境行为的</w:t>
                  </w:r>
                  <w:r>
                    <w:rPr>
                      <w:rFonts w:hint="default" w:ascii="Times New Roman" w:hAnsi="Times New Roman" w:cs="Times New Roman"/>
                      <w:color w:val="auto"/>
                      <w:kern w:val="0"/>
                      <w:sz w:val="21"/>
                      <w:szCs w:val="21"/>
                      <w:highlight w:val="none"/>
                      <w:lang w:eastAsia="zh-CN" w:bidi="ar"/>
                    </w:rPr>
                    <w:t>志愿</w:t>
                  </w:r>
                  <w:r>
                    <w:rPr>
                      <w:rFonts w:hint="default" w:ascii="Times New Roman" w:hAnsi="Times New Roman" w:cs="Times New Roman"/>
                      <w:color w:val="auto"/>
                      <w:kern w:val="0"/>
                      <w:sz w:val="21"/>
                      <w:szCs w:val="21"/>
                      <w:highlight w:val="none"/>
                      <w:lang w:bidi="ar"/>
                    </w:rPr>
                    <w:t>协议；企业履行社会责任的情况</w:t>
                  </w:r>
                </w:p>
              </w:tc>
            </w:tr>
            <w:tr w14:paraId="26062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44" w:type="dxa"/>
                  <w:vAlign w:val="center"/>
                </w:tcPr>
                <w:p w14:paraId="2451D6BD">
                  <w:pPr>
                    <w:pStyle w:val="32"/>
                    <w:keepNext w:val="0"/>
                    <w:keepLines w:val="0"/>
                    <w:pageBreakBefore w:val="0"/>
                    <w:widowControl/>
                    <w:kinsoku/>
                    <w:wordWrap/>
                    <w:overflowPunct/>
                    <w:topLinePunct w:val="0"/>
                    <w:autoSpaceDE/>
                    <w:autoSpaceDN/>
                    <w:bidi w:val="0"/>
                    <w:adjustRightInd w:val="0"/>
                    <w:snapToGrid w:val="0"/>
                    <w:spacing w:before="0" w:after="0" w:line="240" w:lineRule="auto"/>
                    <w:ind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8</w:t>
                  </w:r>
                </w:p>
              </w:tc>
              <w:tc>
                <w:tcPr>
                  <w:tcW w:w="7202" w:type="dxa"/>
                  <w:vAlign w:val="center"/>
                </w:tcPr>
                <w:p w14:paraId="66AF817D">
                  <w:pPr>
                    <w:keepNext w:val="0"/>
                    <w:keepLines w:val="0"/>
                    <w:pageBreakBefore w:val="0"/>
                    <w:widowControl/>
                    <w:kinsoku/>
                    <w:wordWrap/>
                    <w:overflowPunct/>
                    <w:topLinePunct w:val="0"/>
                    <w:autoSpaceDE/>
                    <w:autoSpaceDN/>
                    <w:bidi w:val="0"/>
                    <w:adjustRightInd w:val="0"/>
                    <w:snapToGrid w:val="0"/>
                    <w:spacing w:line="240" w:lineRule="auto"/>
                    <w:ind w:right="0"/>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color w:val="auto"/>
                      <w:kern w:val="0"/>
                      <w:sz w:val="21"/>
                      <w:szCs w:val="21"/>
                      <w:highlight w:val="none"/>
                      <w:lang w:bidi="ar"/>
                    </w:rPr>
                    <w:t>企业自愿公开的其他环境信息。</w:t>
                  </w:r>
                </w:p>
              </w:tc>
            </w:tr>
          </w:tbl>
          <w:p w14:paraId="447393B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（2）环境管理</w:t>
            </w:r>
          </w:p>
          <w:p w14:paraId="4958998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1）环境管理组织机构 </w:t>
            </w:r>
          </w:p>
          <w:p w14:paraId="3F78537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设立控制污染、环境的法律负责者和相关的责任人，负责项目整个过程（包括施工期和运行期）的环境保护工作。 </w:t>
            </w:r>
          </w:p>
          <w:p w14:paraId="13B1DD64">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2）环境管理台账要求 </w:t>
            </w:r>
          </w:p>
          <w:p w14:paraId="38D4CE84">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将环保设备的运行情况、环保设备日常检查、环境事件等建立环境管理台账。 </w:t>
            </w:r>
          </w:p>
          <w:p w14:paraId="21C9E71F">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3）环保设备及措施运行及维护费用保障计划 </w:t>
            </w:r>
          </w:p>
          <w:p w14:paraId="2F825C43">
            <w:pPr>
              <w:spacing w:line="360" w:lineRule="auto"/>
              <w:ind w:firstLine="480" w:firstLineChars="200"/>
              <w:rPr>
                <w:rFonts w:hint="default" w:ascii="Times New Roman" w:hAnsi="Times New Roman" w:cs="Times New Roman"/>
                <w:color w:val="auto"/>
                <w:sz w:val="24"/>
                <w:highlight w:val="none"/>
                <w:lang w:eastAsia="zh-CN"/>
              </w:rPr>
            </w:pPr>
            <w:r>
              <w:rPr>
                <w:rFonts w:hint="default" w:ascii="Times New Roman" w:hAnsi="Times New Roman" w:cs="Times New Roman"/>
                <w:color w:val="auto"/>
                <w:sz w:val="24"/>
                <w:highlight w:val="none"/>
              </w:rPr>
              <w:t>项目营运期主要运行费用为人工定期检修维护费等，运行费用较小，处于企 业可接受范围内</w:t>
            </w:r>
            <w:r>
              <w:rPr>
                <w:rFonts w:hint="default" w:ascii="Times New Roman" w:hAnsi="Times New Roman" w:cs="Times New Roman"/>
                <w:color w:val="auto"/>
                <w:sz w:val="24"/>
                <w:highlight w:val="none"/>
                <w:lang w:eastAsia="zh-CN"/>
              </w:rPr>
              <w:t>。</w:t>
            </w:r>
          </w:p>
          <w:p w14:paraId="1FDBF293">
            <w:pPr>
              <w:spacing w:line="360" w:lineRule="auto"/>
              <w:rPr>
                <w:rFonts w:hint="default" w:ascii="Times New Roman" w:hAnsi="Times New Roman" w:cs="Times New Roman"/>
                <w:color w:val="auto"/>
                <w:sz w:val="24"/>
                <w:highlight w:val="none"/>
                <w:lang w:eastAsia="zh-CN"/>
              </w:rPr>
            </w:pPr>
          </w:p>
        </w:tc>
      </w:tr>
    </w:tbl>
    <w:p w14:paraId="1F65A12F">
      <w:pPr>
        <w:rPr>
          <w:color w:val="auto"/>
          <w:highlight w:val="none"/>
        </w:rPr>
        <w:sectPr>
          <w:pgSz w:w="11907" w:h="16840"/>
          <w:pgMar w:top="1701" w:right="1531" w:bottom="2127" w:left="1531" w:header="851" w:footer="851" w:gutter="0"/>
          <w:pgNumType w:fmt="decimal"/>
          <w:cols w:space="720" w:num="1"/>
          <w:docGrid w:linePitch="312" w:charSpace="0"/>
        </w:sectPr>
      </w:pPr>
    </w:p>
    <w:p w14:paraId="1B8122BF">
      <w:pPr>
        <w:pStyle w:val="6"/>
        <w:rPr>
          <w:color w:val="auto"/>
          <w:highlight w:val="none"/>
        </w:rPr>
      </w:pPr>
      <w:r>
        <w:rPr>
          <w:color w:val="auto"/>
          <w:highlight w:val="none"/>
        </w:rPr>
        <w:t>五、</w:t>
      </w:r>
      <w:bookmarkStart w:id="3" w:name="_Hlk54167917"/>
      <w:r>
        <w:rPr>
          <w:color w:val="auto"/>
          <w:highlight w:val="none"/>
        </w:rPr>
        <w:t>环境保护措施监督检查清单</w:t>
      </w:r>
      <w:bookmarkEnd w:id="3"/>
    </w:p>
    <w:tbl>
      <w:tblPr>
        <w:tblStyle w:val="34"/>
        <w:tblW w:w="907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69"/>
        <w:gridCol w:w="826"/>
        <w:gridCol w:w="890"/>
        <w:gridCol w:w="1170"/>
        <w:gridCol w:w="1909"/>
        <w:gridCol w:w="2907"/>
      </w:tblGrid>
      <w:tr w14:paraId="40CD22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80" w:hRule="atLeast"/>
          <w:jc w:val="center"/>
        </w:trPr>
        <w:tc>
          <w:tcPr>
            <w:tcW w:w="1369" w:type="dxa"/>
            <w:tcBorders>
              <w:tl2br w:val="single" w:color="auto" w:sz="4" w:space="0"/>
            </w:tcBorders>
          </w:tcPr>
          <w:p w14:paraId="0748CF2D">
            <w:pPr>
              <w:adjustRightInd w:val="0"/>
              <w:snapToGrid w:val="0"/>
              <w:spacing w:line="240" w:lineRule="auto"/>
              <w:ind w:firstLine="482" w:firstLineChars="200"/>
              <w:rPr>
                <w:b/>
                <w:bCs/>
                <w:color w:val="auto"/>
                <w:szCs w:val="21"/>
                <w:highlight w:val="none"/>
              </w:rPr>
            </w:pPr>
            <w:r>
              <w:rPr>
                <w:b/>
                <w:bCs/>
                <w:color w:val="auto"/>
                <w:szCs w:val="21"/>
                <w:highlight w:val="none"/>
              </w:rPr>
              <w:t>内容</w:t>
            </w:r>
          </w:p>
          <w:p w14:paraId="2FD97D48">
            <w:pPr>
              <w:adjustRightInd w:val="0"/>
              <w:snapToGrid w:val="0"/>
              <w:spacing w:line="240" w:lineRule="auto"/>
              <w:rPr>
                <w:b/>
                <w:bCs/>
                <w:color w:val="auto"/>
                <w:szCs w:val="21"/>
                <w:highlight w:val="none"/>
              </w:rPr>
            </w:pPr>
            <w:r>
              <w:rPr>
                <w:b/>
                <w:bCs/>
                <w:color w:val="auto"/>
                <w:szCs w:val="21"/>
                <w:highlight w:val="none"/>
              </w:rPr>
              <w:t>要素</w:t>
            </w:r>
          </w:p>
        </w:tc>
        <w:tc>
          <w:tcPr>
            <w:tcW w:w="1716" w:type="dxa"/>
            <w:gridSpan w:val="2"/>
            <w:vAlign w:val="center"/>
          </w:tcPr>
          <w:p w14:paraId="0A3B032C">
            <w:pPr>
              <w:adjustRightInd w:val="0"/>
              <w:snapToGrid w:val="0"/>
              <w:spacing w:line="240" w:lineRule="auto"/>
              <w:jc w:val="center"/>
              <w:rPr>
                <w:b/>
                <w:bCs/>
                <w:color w:val="auto"/>
                <w:szCs w:val="21"/>
                <w:highlight w:val="none"/>
              </w:rPr>
            </w:pPr>
            <w:r>
              <w:rPr>
                <w:b/>
                <w:bCs/>
                <w:color w:val="auto"/>
                <w:szCs w:val="21"/>
                <w:highlight w:val="none"/>
              </w:rPr>
              <w:t>排放口(编号、</w:t>
            </w:r>
          </w:p>
          <w:p w14:paraId="71709C93">
            <w:pPr>
              <w:adjustRightInd w:val="0"/>
              <w:snapToGrid w:val="0"/>
              <w:spacing w:line="240" w:lineRule="auto"/>
              <w:jc w:val="center"/>
              <w:rPr>
                <w:b/>
                <w:bCs/>
                <w:color w:val="auto"/>
                <w:szCs w:val="21"/>
                <w:highlight w:val="none"/>
              </w:rPr>
            </w:pPr>
            <w:r>
              <w:rPr>
                <w:b/>
                <w:bCs/>
                <w:color w:val="auto"/>
                <w:szCs w:val="21"/>
                <w:highlight w:val="none"/>
              </w:rPr>
              <w:t>名称)/污染源</w:t>
            </w:r>
          </w:p>
        </w:tc>
        <w:tc>
          <w:tcPr>
            <w:tcW w:w="1170" w:type="dxa"/>
            <w:vAlign w:val="center"/>
          </w:tcPr>
          <w:p w14:paraId="3DFDFC4A">
            <w:pPr>
              <w:adjustRightInd w:val="0"/>
              <w:snapToGrid w:val="0"/>
              <w:spacing w:line="240" w:lineRule="auto"/>
              <w:jc w:val="center"/>
              <w:rPr>
                <w:b/>
                <w:bCs/>
                <w:color w:val="auto"/>
                <w:szCs w:val="21"/>
                <w:highlight w:val="none"/>
              </w:rPr>
            </w:pPr>
            <w:r>
              <w:rPr>
                <w:b/>
                <w:bCs/>
                <w:color w:val="auto"/>
                <w:szCs w:val="21"/>
                <w:highlight w:val="none"/>
              </w:rPr>
              <w:t>污染物项目</w:t>
            </w:r>
          </w:p>
        </w:tc>
        <w:tc>
          <w:tcPr>
            <w:tcW w:w="1909" w:type="dxa"/>
            <w:vAlign w:val="center"/>
          </w:tcPr>
          <w:p w14:paraId="50D0EA5C">
            <w:pPr>
              <w:adjustRightInd w:val="0"/>
              <w:snapToGrid w:val="0"/>
              <w:spacing w:line="240" w:lineRule="auto"/>
              <w:jc w:val="center"/>
              <w:rPr>
                <w:b/>
                <w:bCs/>
                <w:color w:val="auto"/>
                <w:szCs w:val="21"/>
                <w:highlight w:val="none"/>
              </w:rPr>
            </w:pPr>
            <w:r>
              <w:rPr>
                <w:b/>
                <w:bCs/>
                <w:color w:val="auto"/>
                <w:szCs w:val="21"/>
                <w:highlight w:val="none"/>
              </w:rPr>
              <w:t>环境保护措施</w:t>
            </w:r>
          </w:p>
        </w:tc>
        <w:tc>
          <w:tcPr>
            <w:tcW w:w="2907" w:type="dxa"/>
            <w:vAlign w:val="center"/>
          </w:tcPr>
          <w:p w14:paraId="7921EC86">
            <w:pPr>
              <w:adjustRightInd w:val="0"/>
              <w:snapToGrid w:val="0"/>
              <w:spacing w:line="240" w:lineRule="auto"/>
              <w:jc w:val="center"/>
              <w:rPr>
                <w:b/>
                <w:bCs/>
                <w:color w:val="auto"/>
                <w:szCs w:val="21"/>
                <w:highlight w:val="none"/>
              </w:rPr>
            </w:pPr>
            <w:r>
              <w:rPr>
                <w:b/>
                <w:bCs/>
                <w:color w:val="auto"/>
                <w:szCs w:val="21"/>
                <w:highlight w:val="none"/>
              </w:rPr>
              <w:t>执行标准</w:t>
            </w:r>
          </w:p>
        </w:tc>
      </w:tr>
      <w:tr w14:paraId="5FE874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7" w:hRule="atLeast"/>
          <w:jc w:val="center"/>
        </w:trPr>
        <w:tc>
          <w:tcPr>
            <w:tcW w:w="1369" w:type="dxa"/>
            <w:vMerge w:val="restart"/>
            <w:vAlign w:val="center"/>
          </w:tcPr>
          <w:p w14:paraId="05D25F80">
            <w:pPr>
              <w:adjustRightInd w:val="0"/>
              <w:snapToGrid w:val="0"/>
              <w:spacing w:line="240" w:lineRule="auto"/>
              <w:jc w:val="center"/>
              <w:rPr>
                <w:rFonts w:hint="eastAsia" w:ascii="Times New Roman" w:hAnsi="Times New Roman" w:eastAsia="宋体" w:cs="Times New Roman"/>
                <w:b/>
                <w:bCs/>
                <w:color w:val="auto"/>
                <w:highlight w:val="none"/>
                <w:lang w:val="en-US" w:eastAsia="zh-CN"/>
              </w:rPr>
            </w:pPr>
            <w:r>
              <w:rPr>
                <w:rFonts w:hint="eastAsia" w:cs="Times New Roman"/>
                <w:b/>
                <w:bCs/>
                <w:color w:val="auto"/>
                <w:highlight w:val="none"/>
                <w:lang w:val="en-US" w:eastAsia="zh-CN"/>
              </w:rPr>
              <w:t>大气环境</w:t>
            </w:r>
          </w:p>
        </w:tc>
        <w:tc>
          <w:tcPr>
            <w:tcW w:w="1716" w:type="dxa"/>
            <w:gridSpan w:val="2"/>
            <w:vMerge w:val="restart"/>
            <w:vAlign w:val="center"/>
          </w:tcPr>
          <w:p w14:paraId="4452928A">
            <w:pPr>
              <w:spacing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酸洗池</w:t>
            </w:r>
          </w:p>
        </w:tc>
        <w:tc>
          <w:tcPr>
            <w:tcW w:w="1170" w:type="dxa"/>
            <w:vAlign w:val="center"/>
          </w:tcPr>
          <w:p w14:paraId="7465A6E6">
            <w:pPr>
              <w:spacing w:line="240" w:lineRule="auto"/>
              <w:jc w:val="center"/>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有组织</w:t>
            </w:r>
          </w:p>
          <w:p w14:paraId="590BC302">
            <w:pPr>
              <w:spacing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氯化氢</w:t>
            </w:r>
          </w:p>
        </w:tc>
        <w:tc>
          <w:tcPr>
            <w:tcW w:w="1909" w:type="dxa"/>
            <w:vAlign w:val="center"/>
          </w:tcPr>
          <w:p w14:paraId="4776DFE5">
            <w:pPr>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酸洗过程中产生的氯化氢经集气罩收集后进入碱喷淋塔进行治理，治理后的废气通过1根15m高排气筒排放</w:t>
            </w:r>
          </w:p>
        </w:tc>
        <w:tc>
          <w:tcPr>
            <w:tcW w:w="2907" w:type="dxa"/>
            <w:vAlign w:val="center"/>
          </w:tcPr>
          <w:p w14:paraId="05E142EC">
            <w:pPr>
              <w:spacing w:line="240" w:lineRule="auto"/>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lang w:val="en-US"/>
              </w:rPr>
              <w:t>《大气污染物综合排放标准》（GB16297-1996） 表2二级排放限值要求</w:t>
            </w:r>
            <w:r>
              <w:rPr>
                <w:rFonts w:hint="eastAsia" w:cs="Times New Roman"/>
                <w:color w:val="auto"/>
                <w:sz w:val="21"/>
                <w:szCs w:val="21"/>
                <w:highlight w:val="none"/>
                <w:lang w:val="en-US" w:eastAsia="zh-CN"/>
              </w:rPr>
              <w:t>：150mg/m</w:t>
            </w:r>
            <w:r>
              <w:rPr>
                <w:rFonts w:hint="eastAsia" w:cs="Times New Roman"/>
                <w:color w:val="auto"/>
                <w:sz w:val="21"/>
                <w:szCs w:val="21"/>
                <w:highlight w:val="none"/>
                <w:vertAlign w:val="superscript"/>
                <w:lang w:val="en-US" w:eastAsia="zh-CN"/>
              </w:rPr>
              <w:t>3</w:t>
            </w:r>
            <w:r>
              <w:rPr>
                <w:rFonts w:hint="eastAsia" w:cs="Times New Roman"/>
                <w:color w:val="auto"/>
                <w:sz w:val="21"/>
                <w:szCs w:val="21"/>
                <w:highlight w:val="none"/>
                <w:vertAlign w:val="baseline"/>
                <w:lang w:val="en-US" w:eastAsia="zh-CN"/>
              </w:rPr>
              <w:t>、0.3kg/h</w:t>
            </w:r>
          </w:p>
        </w:tc>
      </w:tr>
      <w:tr w14:paraId="066A02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1" w:hRule="atLeast"/>
          <w:jc w:val="center"/>
        </w:trPr>
        <w:tc>
          <w:tcPr>
            <w:tcW w:w="1369" w:type="dxa"/>
            <w:vMerge w:val="continue"/>
            <w:vAlign w:val="center"/>
          </w:tcPr>
          <w:p w14:paraId="641CC989">
            <w:pPr>
              <w:adjustRightInd w:val="0"/>
              <w:snapToGrid w:val="0"/>
              <w:spacing w:line="240" w:lineRule="auto"/>
              <w:jc w:val="center"/>
              <w:rPr>
                <w:rFonts w:hint="eastAsia" w:cs="Times New Roman"/>
                <w:b/>
                <w:bCs/>
                <w:color w:val="auto"/>
                <w:highlight w:val="none"/>
                <w:lang w:val="en-US" w:eastAsia="zh-CN"/>
              </w:rPr>
            </w:pPr>
          </w:p>
        </w:tc>
        <w:tc>
          <w:tcPr>
            <w:tcW w:w="1716" w:type="dxa"/>
            <w:gridSpan w:val="2"/>
            <w:vMerge w:val="continue"/>
            <w:vAlign w:val="center"/>
          </w:tcPr>
          <w:p w14:paraId="23F2046D">
            <w:pPr>
              <w:spacing w:line="240" w:lineRule="auto"/>
              <w:jc w:val="center"/>
              <w:rPr>
                <w:rFonts w:hint="eastAsia" w:cs="Times New Roman"/>
                <w:color w:val="auto"/>
                <w:sz w:val="21"/>
                <w:szCs w:val="21"/>
                <w:highlight w:val="none"/>
                <w:lang w:val="en-US" w:eastAsia="zh-CN"/>
              </w:rPr>
            </w:pPr>
          </w:p>
        </w:tc>
        <w:tc>
          <w:tcPr>
            <w:tcW w:w="1170" w:type="dxa"/>
            <w:vAlign w:val="center"/>
          </w:tcPr>
          <w:p w14:paraId="5340B343">
            <w:pPr>
              <w:spacing w:line="240" w:lineRule="auto"/>
              <w:jc w:val="center"/>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无组织</w:t>
            </w:r>
          </w:p>
          <w:p w14:paraId="41EF6980">
            <w:pPr>
              <w:spacing w:line="240" w:lineRule="auto"/>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氯化氢</w:t>
            </w:r>
          </w:p>
        </w:tc>
        <w:tc>
          <w:tcPr>
            <w:tcW w:w="1909" w:type="dxa"/>
            <w:vAlign w:val="center"/>
          </w:tcPr>
          <w:p w14:paraId="660FE205">
            <w:pPr>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未被收集的废气在封闭车间内无组织排放</w:t>
            </w:r>
          </w:p>
        </w:tc>
        <w:tc>
          <w:tcPr>
            <w:tcW w:w="2907" w:type="dxa"/>
            <w:vAlign w:val="center"/>
          </w:tcPr>
          <w:p w14:paraId="3E76EAC4">
            <w:pPr>
              <w:spacing w:line="240" w:lineRule="auto"/>
              <w:jc w:val="center"/>
              <w:rPr>
                <w:rFonts w:hint="default" w:ascii="Times New Roman" w:hAnsi="Times New Roman" w:cs="Times New Roman"/>
                <w:color w:val="auto"/>
                <w:sz w:val="21"/>
                <w:szCs w:val="21"/>
                <w:highlight w:val="none"/>
                <w:lang w:val="en-US"/>
              </w:rPr>
            </w:pPr>
            <w:r>
              <w:rPr>
                <w:rFonts w:hint="default" w:ascii="Times New Roman" w:hAnsi="Times New Roman" w:cs="Times New Roman"/>
                <w:color w:val="auto"/>
                <w:sz w:val="21"/>
                <w:szCs w:val="21"/>
                <w:highlight w:val="none"/>
                <w:lang w:val="en-US"/>
              </w:rPr>
              <w:t>《大气污染物综合排放标准》（GB16297-1996） 表2二级排放限值要求</w:t>
            </w:r>
            <w:r>
              <w:rPr>
                <w:rFonts w:hint="eastAsia" w:cs="Times New Roman"/>
                <w:color w:val="auto"/>
                <w:sz w:val="21"/>
                <w:szCs w:val="21"/>
                <w:highlight w:val="none"/>
                <w:lang w:val="en-US" w:eastAsia="zh-CN"/>
              </w:rPr>
              <w:t>：</w:t>
            </w:r>
            <w:r>
              <w:rPr>
                <w:rFonts w:hint="eastAsia"/>
                <w:bCs/>
                <w:color w:val="auto"/>
                <w:sz w:val="21"/>
                <w:szCs w:val="21"/>
                <w:highlight w:val="none"/>
                <w:lang w:val="en-US" w:eastAsia="zh-CN"/>
              </w:rPr>
              <w:t>0.25</w:t>
            </w:r>
            <w:r>
              <w:rPr>
                <w:color w:val="auto"/>
                <w:sz w:val="21"/>
                <w:szCs w:val="21"/>
                <w:highlight w:val="none"/>
              </w:rPr>
              <w:t>mg/m³</w:t>
            </w:r>
          </w:p>
        </w:tc>
      </w:tr>
      <w:tr w14:paraId="6EA2D9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369" w:type="dxa"/>
            <w:vMerge w:val="restart"/>
            <w:vAlign w:val="center"/>
          </w:tcPr>
          <w:p w14:paraId="6CD317EB">
            <w:pPr>
              <w:adjustRightInd w:val="0"/>
              <w:snapToGrid w:val="0"/>
              <w:spacing w:line="240" w:lineRule="auto"/>
              <w:jc w:val="center"/>
              <w:rPr>
                <w:rFonts w:hint="default" w:ascii="Times New Roman" w:hAnsi="Times New Roman" w:cs="Times New Roman"/>
                <w:b/>
                <w:bCs/>
                <w:color w:val="auto"/>
                <w:szCs w:val="21"/>
                <w:highlight w:val="none"/>
              </w:rPr>
            </w:pPr>
            <w:r>
              <w:rPr>
                <w:rFonts w:hint="default" w:ascii="Times New Roman" w:hAnsi="Times New Roman" w:cs="Times New Roman"/>
                <w:b/>
                <w:bCs/>
                <w:color w:val="auto"/>
                <w:szCs w:val="21"/>
                <w:highlight w:val="none"/>
              </w:rPr>
              <w:t>地表水环境</w:t>
            </w:r>
          </w:p>
        </w:tc>
        <w:tc>
          <w:tcPr>
            <w:tcW w:w="1716" w:type="dxa"/>
            <w:gridSpan w:val="2"/>
            <w:vAlign w:val="center"/>
          </w:tcPr>
          <w:p w14:paraId="06DB09DF">
            <w:p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 xml:space="preserve"> 生活污水</w:t>
            </w:r>
          </w:p>
        </w:tc>
        <w:tc>
          <w:tcPr>
            <w:tcW w:w="1170" w:type="dxa"/>
            <w:vAlign w:val="center"/>
          </w:tcPr>
          <w:p w14:paraId="36ED38AA">
            <w:p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PH、COD、SS、氨氮</w:t>
            </w:r>
          </w:p>
        </w:tc>
        <w:tc>
          <w:tcPr>
            <w:tcW w:w="1909" w:type="dxa"/>
            <w:vAlign w:val="center"/>
          </w:tcPr>
          <w:p w14:paraId="4BFCE7DE">
            <w:p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生活污水进入厂区化粪池后定期</w:t>
            </w:r>
            <w:r>
              <w:rPr>
                <w:rFonts w:hint="eastAsia" w:cs="Times New Roman"/>
                <w:color w:val="auto"/>
                <w:sz w:val="21"/>
                <w:szCs w:val="21"/>
                <w:highlight w:val="none"/>
                <w:lang w:val="en-US" w:eastAsia="zh-CN"/>
              </w:rPr>
              <w:t>清掏</w:t>
            </w:r>
          </w:p>
        </w:tc>
        <w:tc>
          <w:tcPr>
            <w:tcW w:w="2907" w:type="dxa"/>
            <w:vAlign w:val="center"/>
          </w:tcPr>
          <w:p w14:paraId="3696A8E9">
            <w:pPr>
              <w:pStyle w:val="2"/>
              <w:spacing w:line="240" w:lineRule="auto"/>
              <w:jc w:val="center"/>
              <w:rPr>
                <w:rFonts w:hint="default" w:ascii="Times New Roman" w:hAnsi="Times New Roman" w:cs="Times New Roman"/>
                <w:color w:val="auto"/>
                <w:highlight w:val="none"/>
                <w:lang w:val="en-US" w:eastAsia="zh-CN"/>
              </w:rPr>
            </w:pPr>
            <w:r>
              <w:rPr>
                <w:rFonts w:hint="eastAsia" w:cs="Times New Roman"/>
                <w:color w:val="auto"/>
                <w:highlight w:val="none"/>
                <w:lang w:val="en-US" w:eastAsia="zh-CN"/>
              </w:rPr>
              <w:t>/</w:t>
            </w:r>
          </w:p>
        </w:tc>
      </w:tr>
      <w:tr w14:paraId="2B759F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1369" w:type="dxa"/>
            <w:vMerge w:val="continue"/>
            <w:vAlign w:val="center"/>
          </w:tcPr>
          <w:p w14:paraId="7349B9D8">
            <w:pPr>
              <w:adjustRightInd w:val="0"/>
              <w:snapToGrid w:val="0"/>
              <w:spacing w:line="240" w:lineRule="auto"/>
              <w:jc w:val="center"/>
              <w:rPr>
                <w:rFonts w:hint="default" w:ascii="Times New Roman" w:hAnsi="Times New Roman" w:cs="Times New Roman"/>
                <w:b/>
                <w:bCs/>
                <w:color w:val="auto"/>
                <w:szCs w:val="21"/>
                <w:highlight w:val="none"/>
              </w:rPr>
            </w:pPr>
          </w:p>
        </w:tc>
        <w:tc>
          <w:tcPr>
            <w:tcW w:w="1716" w:type="dxa"/>
            <w:gridSpan w:val="2"/>
            <w:vAlign w:val="center"/>
          </w:tcPr>
          <w:p w14:paraId="05676194">
            <w:pPr>
              <w:spacing w:line="240" w:lineRule="auto"/>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生产废水</w:t>
            </w:r>
          </w:p>
        </w:tc>
        <w:tc>
          <w:tcPr>
            <w:tcW w:w="1170" w:type="dxa"/>
            <w:vAlign w:val="center"/>
          </w:tcPr>
          <w:p w14:paraId="1EC55508">
            <w:p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PH、COD、SS、氨氮</w:t>
            </w:r>
            <w:r>
              <w:rPr>
                <w:rFonts w:hint="eastAsia"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lang w:val="en-US" w:eastAsia="zh-CN"/>
              </w:rPr>
              <w:t>石油类</w:t>
            </w:r>
          </w:p>
        </w:tc>
        <w:tc>
          <w:tcPr>
            <w:tcW w:w="1909" w:type="dxa"/>
            <w:vAlign w:val="center"/>
          </w:tcPr>
          <w:p w14:paraId="12E6455D">
            <w:pPr>
              <w:spacing w:line="240" w:lineRule="auto"/>
              <w:jc w:val="center"/>
              <w:rPr>
                <w:rFonts w:hint="default" w:ascii="Times New Roman" w:hAnsi="Times New Roman" w:eastAsia="宋体" w:cs="Times New Roman"/>
                <w:color w:val="auto"/>
                <w:sz w:val="21"/>
                <w:szCs w:val="21"/>
                <w:highlight w:val="none"/>
                <w:vertAlign w:val="baseline"/>
                <w:lang w:val="en-US" w:eastAsia="zh-CN"/>
              </w:rPr>
            </w:pPr>
            <w:r>
              <w:rPr>
                <w:rFonts w:hint="eastAsia" w:cs="Times New Roman"/>
                <w:color w:val="auto"/>
                <w:sz w:val="21"/>
                <w:szCs w:val="21"/>
                <w:highlight w:val="none"/>
                <w:lang w:val="en-US" w:eastAsia="zh-CN"/>
              </w:rPr>
              <w:t>废水进入6m</w:t>
            </w:r>
            <w:r>
              <w:rPr>
                <w:rFonts w:hint="eastAsia"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废水池后定期使用封闭罐车运至秦皇岛市抚宁区中冶水务有限公司进行处理</w:t>
            </w:r>
          </w:p>
        </w:tc>
        <w:tc>
          <w:tcPr>
            <w:tcW w:w="2907" w:type="dxa"/>
            <w:vAlign w:val="center"/>
          </w:tcPr>
          <w:p w14:paraId="6C2FBC2E">
            <w:pPr>
              <w:pStyle w:val="2"/>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cs="Times New Roman"/>
                <w:color w:val="auto"/>
                <w:highlight w:val="none"/>
                <w:lang w:val="en-US" w:eastAsia="zh-CN"/>
              </w:rPr>
            </w:pPr>
            <w:r>
              <w:rPr>
                <w:rFonts w:hint="eastAsia" w:cs="Times New Roman"/>
                <w:color w:val="auto"/>
                <w:sz w:val="21"/>
                <w:szCs w:val="21"/>
                <w:highlight w:val="none"/>
                <w:lang w:val="en-US" w:eastAsia="zh-CN"/>
              </w:rPr>
              <w:t>《污水综合排放标准》 （GB8978-1996）表四中三级标准、《污水排入城镇下水道水质标准》(GB/T31962-2015)表1中A级及秦皇岛市抚宁区中冶水务有限公司收水水质要求</w:t>
            </w:r>
          </w:p>
        </w:tc>
      </w:tr>
      <w:tr w14:paraId="7F3F29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72" w:hRule="atLeast"/>
          <w:jc w:val="center"/>
        </w:trPr>
        <w:tc>
          <w:tcPr>
            <w:tcW w:w="1369" w:type="dxa"/>
            <w:vAlign w:val="center"/>
          </w:tcPr>
          <w:p w14:paraId="238A0BE6">
            <w:pPr>
              <w:adjustRightInd w:val="0"/>
              <w:snapToGrid w:val="0"/>
              <w:spacing w:line="240" w:lineRule="auto"/>
              <w:jc w:val="center"/>
              <w:rPr>
                <w:rFonts w:hint="default" w:ascii="Times New Roman" w:hAnsi="Times New Roman" w:cs="Times New Roman"/>
                <w:b/>
                <w:bCs/>
                <w:color w:val="auto"/>
                <w:szCs w:val="21"/>
                <w:highlight w:val="none"/>
              </w:rPr>
            </w:pPr>
            <w:r>
              <w:rPr>
                <w:rFonts w:hint="default" w:ascii="Times New Roman" w:hAnsi="Times New Roman" w:cs="Times New Roman"/>
                <w:b/>
                <w:bCs/>
                <w:color w:val="auto"/>
                <w:szCs w:val="21"/>
                <w:highlight w:val="none"/>
              </w:rPr>
              <w:t>声环境</w:t>
            </w:r>
          </w:p>
        </w:tc>
        <w:tc>
          <w:tcPr>
            <w:tcW w:w="1716" w:type="dxa"/>
            <w:gridSpan w:val="2"/>
            <w:vAlign w:val="center"/>
          </w:tcPr>
          <w:p w14:paraId="5E7B2F8D">
            <w:pPr>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车间</w:t>
            </w:r>
          </w:p>
        </w:tc>
        <w:tc>
          <w:tcPr>
            <w:tcW w:w="1170" w:type="dxa"/>
            <w:vAlign w:val="center"/>
          </w:tcPr>
          <w:p w14:paraId="7C54836A">
            <w:p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等效A声级</w:t>
            </w:r>
          </w:p>
        </w:tc>
        <w:tc>
          <w:tcPr>
            <w:tcW w:w="1909" w:type="dxa"/>
            <w:vAlign w:val="center"/>
          </w:tcPr>
          <w:p w14:paraId="662E2597">
            <w:pPr>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建筑隔声、距离衰减、安装减振基础</w:t>
            </w:r>
          </w:p>
        </w:tc>
        <w:tc>
          <w:tcPr>
            <w:tcW w:w="2907" w:type="dxa"/>
            <w:vAlign w:val="center"/>
          </w:tcPr>
          <w:p w14:paraId="42355F14">
            <w:p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东、西、南</w:t>
            </w:r>
            <w:r>
              <w:rPr>
                <w:rFonts w:hint="default" w:ascii="Times New Roman" w:hAnsi="Times New Roman" w:cs="Times New Roman"/>
                <w:color w:val="auto"/>
                <w:sz w:val="21"/>
                <w:szCs w:val="21"/>
                <w:highlight w:val="none"/>
                <w:lang w:eastAsia="zh-CN"/>
              </w:rPr>
              <w:t>厂界噪声</w:t>
            </w:r>
            <w:r>
              <w:rPr>
                <w:rFonts w:hint="default" w:ascii="Times New Roman" w:hAnsi="Times New Roman" w:cs="Times New Roman"/>
                <w:color w:val="auto"/>
                <w:sz w:val="21"/>
                <w:szCs w:val="21"/>
                <w:highlight w:val="none"/>
                <w:lang w:val="en-US" w:eastAsia="zh-CN"/>
              </w:rPr>
              <w:t>满足</w:t>
            </w:r>
            <w:r>
              <w:rPr>
                <w:rFonts w:hint="default" w:ascii="Times New Roman" w:hAnsi="Times New Roman" w:cs="Times New Roman"/>
                <w:color w:val="auto"/>
                <w:sz w:val="21"/>
                <w:szCs w:val="21"/>
                <w:highlight w:val="none"/>
                <w:lang w:eastAsia="zh-CN"/>
              </w:rPr>
              <w:t>符合《工业企业厂界环境噪声排放标准》（GB12348-2008）</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lang w:eastAsia="zh-CN"/>
              </w:rPr>
              <w:t>类标准要求</w:t>
            </w:r>
            <w:r>
              <w:rPr>
                <w:rFonts w:hint="default" w:ascii="Times New Roman" w:hAnsi="Times New Roman" w:cs="Times New Roman"/>
                <w:color w:val="auto"/>
                <w:sz w:val="21"/>
                <w:szCs w:val="21"/>
                <w:highlight w:val="none"/>
                <w:lang w:val="en-US" w:eastAsia="zh-CN"/>
              </w:rPr>
              <w:t>昼间：≤6</w:t>
            </w:r>
            <w:r>
              <w:rPr>
                <w:rFonts w:hint="eastAsia" w:cs="Times New Roman"/>
                <w:color w:val="auto"/>
                <w:sz w:val="21"/>
                <w:szCs w:val="21"/>
                <w:highlight w:val="none"/>
                <w:lang w:val="en-US" w:eastAsia="zh-CN"/>
              </w:rPr>
              <w:t>0</w:t>
            </w:r>
            <w:r>
              <w:rPr>
                <w:rFonts w:hint="default" w:ascii="Times New Roman" w:hAnsi="Times New Roman" w:cs="Times New Roman"/>
                <w:color w:val="auto"/>
                <w:sz w:val="21"/>
                <w:szCs w:val="21"/>
                <w:highlight w:val="none"/>
                <w:lang w:val="en-US" w:eastAsia="zh-CN"/>
              </w:rPr>
              <w:t>dB（A）</w:t>
            </w:r>
            <w:r>
              <w:rPr>
                <w:rFonts w:hint="eastAsia" w:cs="Times New Roman"/>
                <w:color w:val="auto"/>
                <w:sz w:val="21"/>
                <w:szCs w:val="21"/>
                <w:highlight w:val="none"/>
                <w:lang w:val="en-US" w:eastAsia="zh-CN"/>
              </w:rPr>
              <w:t>、夜间</w:t>
            </w:r>
            <w:r>
              <w:rPr>
                <w:rFonts w:hint="eastAsia" w:cs="Times New Roman"/>
                <w:color w:val="auto"/>
                <w:sz w:val="21"/>
                <w:szCs w:val="21"/>
                <w:highlight w:val="none"/>
                <w:lang w:eastAsia="zh-CN"/>
              </w:rPr>
              <w:t>；</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50</w:t>
            </w:r>
            <w:r>
              <w:rPr>
                <w:rFonts w:hint="default" w:ascii="Times New Roman" w:hAnsi="Times New Roman" w:cs="Times New Roman"/>
                <w:color w:val="auto"/>
                <w:sz w:val="21"/>
                <w:szCs w:val="21"/>
                <w:highlight w:val="none"/>
                <w:lang w:val="en-US" w:eastAsia="zh-CN"/>
              </w:rPr>
              <w:t>dB（A）北厂界满足4类标准要求昼间：≤</w:t>
            </w:r>
            <w:r>
              <w:rPr>
                <w:rFonts w:hint="eastAsia" w:cs="Times New Roman"/>
                <w:color w:val="auto"/>
                <w:sz w:val="21"/>
                <w:szCs w:val="21"/>
                <w:highlight w:val="none"/>
                <w:lang w:val="en-US" w:eastAsia="zh-CN"/>
              </w:rPr>
              <w:t>70</w:t>
            </w:r>
            <w:r>
              <w:rPr>
                <w:rFonts w:hint="default" w:ascii="Times New Roman" w:hAnsi="Times New Roman" w:cs="Times New Roman"/>
                <w:color w:val="auto"/>
                <w:sz w:val="21"/>
                <w:szCs w:val="21"/>
                <w:highlight w:val="none"/>
                <w:lang w:val="en-US" w:eastAsia="zh-CN"/>
              </w:rPr>
              <w:t>dB（A）</w:t>
            </w:r>
            <w:r>
              <w:rPr>
                <w:rFonts w:hint="eastAsia" w:cs="Times New Roman"/>
                <w:color w:val="auto"/>
                <w:sz w:val="21"/>
                <w:szCs w:val="21"/>
                <w:highlight w:val="none"/>
                <w:lang w:val="en-US" w:eastAsia="zh-CN"/>
              </w:rPr>
              <w:t>、夜间</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55</w:t>
            </w:r>
            <w:r>
              <w:rPr>
                <w:rFonts w:hint="default" w:ascii="Times New Roman" w:hAnsi="Times New Roman" w:cs="Times New Roman"/>
                <w:color w:val="auto"/>
                <w:sz w:val="21"/>
                <w:szCs w:val="21"/>
                <w:highlight w:val="none"/>
                <w:lang w:val="en-US" w:eastAsia="zh-CN"/>
              </w:rPr>
              <w:t>dB（A）</w:t>
            </w:r>
          </w:p>
        </w:tc>
      </w:tr>
      <w:tr w14:paraId="4908E1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1369" w:type="dxa"/>
            <w:vAlign w:val="center"/>
          </w:tcPr>
          <w:p w14:paraId="10E0A1E1">
            <w:pPr>
              <w:adjustRightInd w:val="0"/>
              <w:snapToGrid w:val="0"/>
              <w:spacing w:line="240" w:lineRule="auto"/>
              <w:jc w:val="center"/>
              <w:rPr>
                <w:rFonts w:hint="default" w:ascii="Times New Roman" w:hAnsi="Times New Roman" w:cs="Times New Roman"/>
                <w:b/>
                <w:bCs/>
                <w:color w:val="auto"/>
                <w:szCs w:val="21"/>
                <w:highlight w:val="none"/>
              </w:rPr>
            </w:pPr>
            <w:r>
              <w:rPr>
                <w:rFonts w:hint="default" w:ascii="Times New Roman" w:hAnsi="Times New Roman" w:cs="Times New Roman"/>
                <w:b/>
                <w:bCs/>
                <w:color w:val="auto"/>
                <w:szCs w:val="21"/>
                <w:highlight w:val="none"/>
              </w:rPr>
              <w:t>电磁辐射</w:t>
            </w:r>
          </w:p>
        </w:tc>
        <w:tc>
          <w:tcPr>
            <w:tcW w:w="1716" w:type="dxa"/>
            <w:gridSpan w:val="2"/>
            <w:vAlign w:val="center"/>
          </w:tcPr>
          <w:p w14:paraId="5ECEEA45">
            <w:pPr>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w:t>
            </w:r>
          </w:p>
        </w:tc>
        <w:tc>
          <w:tcPr>
            <w:tcW w:w="1170" w:type="dxa"/>
            <w:vAlign w:val="center"/>
          </w:tcPr>
          <w:p w14:paraId="6BE31D9E">
            <w:pPr>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w:t>
            </w:r>
          </w:p>
        </w:tc>
        <w:tc>
          <w:tcPr>
            <w:tcW w:w="1909" w:type="dxa"/>
            <w:vAlign w:val="center"/>
          </w:tcPr>
          <w:p w14:paraId="25C5338A">
            <w:pPr>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w:t>
            </w:r>
          </w:p>
        </w:tc>
        <w:tc>
          <w:tcPr>
            <w:tcW w:w="2907" w:type="dxa"/>
            <w:vAlign w:val="center"/>
          </w:tcPr>
          <w:p w14:paraId="3B5569D6">
            <w:pPr>
              <w:spacing w:line="240" w:lineRule="auto"/>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w:t>
            </w:r>
          </w:p>
        </w:tc>
      </w:tr>
      <w:tr w14:paraId="2E09FD8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8" w:hRule="atLeast"/>
          <w:jc w:val="center"/>
        </w:trPr>
        <w:tc>
          <w:tcPr>
            <w:tcW w:w="1369" w:type="dxa"/>
            <w:vMerge w:val="restart"/>
            <w:vAlign w:val="center"/>
          </w:tcPr>
          <w:p w14:paraId="30828C2F">
            <w:pPr>
              <w:adjustRightInd w:val="0"/>
              <w:snapToGrid w:val="0"/>
              <w:spacing w:line="240" w:lineRule="auto"/>
              <w:jc w:val="center"/>
              <w:rPr>
                <w:rFonts w:hint="eastAsia" w:eastAsia="宋体"/>
                <w:b/>
                <w:bCs/>
                <w:color w:val="auto"/>
                <w:szCs w:val="21"/>
                <w:highlight w:val="none"/>
                <w:lang w:val="en-US" w:eastAsia="zh-CN"/>
              </w:rPr>
            </w:pPr>
            <w:r>
              <w:rPr>
                <w:b/>
                <w:bCs/>
                <w:color w:val="auto"/>
                <w:szCs w:val="21"/>
                <w:highlight w:val="none"/>
              </w:rPr>
              <w:t>固体废物</w:t>
            </w:r>
          </w:p>
        </w:tc>
        <w:tc>
          <w:tcPr>
            <w:tcW w:w="826" w:type="dxa"/>
            <w:vAlign w:val="center"/>
          </w:tcPr>
          <w:p w14:paraId="630F60B2">
            <w:pPr>
              <w:pStyle w:val="2"/>
              <w:spacing w:line="240" w:lineRule="auto"/>
              <w:ind w:left="0" w:leftChars="0" w:firstLine="0" w:firstLineChars="0"/>
              <w:jc w:val="center"/>
              <w:rPr>
                <w:rFonts w:hint="default"/>
                <w:color w:val="auto"/>
                <w:highlight w:val="none"/>
                <w:lang w:val="en-US" w:eastAsia="zh-CN"/>
              </w:rPr>
            </w:pPr>
            <w:r>
              <w:rPr>
                <w:rFonts w:hint="eastAsia"/>
                <w:color w:val="auto"/>
                <w:highlight w:val="none"/>
                <w:lang w:val="en-US" w:eastAsia="zh-CN"/>
              </w:rPr>
              <w:t>一般固体废物</w:t>
            </w:r>
          </w:p>
        </w:tc>
        <w:tc>
          <w:tcPr>
            <w:tcW w:w="6876" w:type="dxa"/>
            <w:gridSpan w:val="4"/>
            <w:vAlign w:val="center"/>
          </w:tcPr>
          <w:p w14:paraId="665F7BF4">
            <w:pPr>
              <w:pStyle w:val="58"/>
              <w:ind w:firstLine="0" w:firstLineChars="0"/>
              <w:rPr>
                <w:rFonts w:hint="eastAsia"/>
                <w:color w:val="auto"/>
                <w:sz w:val="21"/>
                <w:szCs w:val="21"/>
                <w:highlight w:val="none"/>
                <w:lang w:val="en-US" w:eastAsia="zh-CN"/>
              </w:rPr>
            </w:pPr>
            <w:r>
              <w:rPr>
                <w:rFonts w:hint="eastAsia"/>
                <w:color w:val="auto"/>
                <w:highlight w:val="none"/>
                <w:lang w:val="en-US" w:eastAsia="zh-CN"/>
              </w:rPr>
              <w:t>不含切削液金属屑、</w:t>
            </w:r>
            <w:r>
              <w:rPr>
                <w:rFonts w:hint="eastAsia" w:ascii="Times New Roman" w:hAnsi="Times New Roman" w:cs="Times New Roman"/>
                <w:color w:val="auto"/>
                <w:sz w:val="21"/>
                <w:szCs w:val="21"/>
                <w:highlight w:val="none"/>
                <w:lang w:val="en-US" w:eastAsia="zh-CN"/>
              </w:rPr>
              <w:t>不合格品、边角料</w:t>
            </w:r>
            <w:r>
              <w:rPr>
                <w:rFonts w:hint="eastAsia"/>
                <w:color w:val="auto"/>
                <w:highlight w:val="none"/>
                <w:lang w:val="en-US" w:eastAsia="zh-CN"/>
              </w:rPr>
              <w:t>收集后外售</w:t>
            </w:r>
          </w:p>
        </w:tc>
      </w:tr>
      <w:tr w14:paraId="53CCDF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88" w:hRule="atLeast"/>
          <w:jc w:val="center"/>
        </w:trPr>
        <w:tc>
          <w:tcPr>
            <w:tcW w:w="1369" w:type="dxa"/>
            <w:vMerge w:val="continue"/>
            <w:vAlign w:val="center"/>
          </w:tcPr>
          <w:p w14:paraId="60459DB0">
            <w:pPr>
              <w:adjustRightInd w:val="0"/>
              <w:snapToGrid w:val="0"/>
              <w:spacing w:line="240" w:lineRule="auto"/>
              <w:jc w:val="center"/>
              <w:rPr>
                <w:b/>
                <w:bCs/>
                <w:color w:val="auto"/>
                <w:szCs w:val="21"/>
                <w:highlight w:val="none"/>
              </w:rPr>
            </w:pPr>
          </w:p>
        </w:tc>
        <w:tc>
          <w:tcPr>
            <w:tcW w:w="826" w:type="dxa"/>
            <w:vAlign w:val="center"/>
          </w:tcPr>
          <w:p w14:paraId="098883D6">
            <w:pPr>
              <w:pStyle w:val="2"/>
              <w:spacing w:line="240" w:lineRule="auto"/>
              <w:ind w:left="0" w:leftChars="0" w:firstLine="0" w:firstLineChars="0"/>
              <w:jc w:val="center"/>
              <w:rPr>
                <w:rFonts w:hint="default"/>
                <w:color w:val="auto"/>
                <w:sz w:val="21"/>
                <w:szCs w:val="21"/>
                <w:highlight w:val="none"/>
                <w:lang w:val="en-US" w:eastAsia="zh-CN"/>
              </w:rPr>
            </w:pPr>
            <w:r>
              <w:rPr>
                <w:rFonts w:hint="eastAsia"/>
                <w:color w:val="auto"/>
                <w:sz w:val="21"/>
                <w:szCs w:val="21"/>
                <w:highlight w:val="none"/>
                <w:lang w:val="en-US" w:eastAsia="zh-CN"/>
              </w:rPr>
              <w:t>危险废物</w:t>
            </w:r>
          </w:p>
        </w:tc>
        <w:tc>
          <w:tcPr>
            <w:tcW w:w="6876" w:type="dxa"/>
            <w:gridSpan w:val="4"/>
            <w:vAlign w:val="center"/>
          </w:tcPr>
          <w:p w14:paraId="02E3BBED">
            <w:pPr>
              <w:pStyle w:val="58"/>
              <w:ind w:firstLine="0" w:firstLineChars="0"/>
              <w:rPr>
                <w:rFonts w:hint="eastAsia"/>
                <w:color w:val="auto"/>
                <w:sz w:val="21"/>
                <w:szCs w:val="21"/>
                <w:highlight w:val="none"/>
                <w:lang w:val="en-US" w:eastAsia="zh-CN"/>
              </w:rPr>
            </w:pPr>
            <w:r>
              <w:rPr>
                <w:rFonts w:hint="eastAsia" w:ascii="Times New Roman" w:hAnsi="Times New Roman" w:cs="Times New Roman"/>
                <w:color w:val="auto"/>
                <w:highlight w:val="none"/>
                <w:lang w:val="en-US" w:eastAsia="zh-CN"/>
              </w:rPr>
              <w:t>油泥、废渣、片碱包装袋、盐酸废包装瓶、废油桶、废切削液桶、废切削液、含切削液金属屑分区暂存在</w:t>
            </w:r>
            <w:r>
              <w:rPr>
                <w:rFonts w:hint="default" w:ascii="Times New Roman" w:hAnsi="Times New Roman" w:cs="Times New Roman"/>
                <w:color w:val="auto"/>
                <w:highlight w:val="none"/>
                <w:lang w:val="en-US" w:eastAsia="zh-CN"/>
              </w:rPr>
              <w:t>危废暂存间内，定期交由有资质单位进行处置，</w:t>
            </w:r>
            <w:r>
              <w:rPr>
                <w:rFonts w:hint="default" w:ascii="Times New Roman" w:hAnsi="Times New Roman" w:cs="Times New Roman"/>
                <w:color w:val="auto"/>
                <w:sz w:val="21"/>
                <w:szCs w:val="18"/>
                <w:highlight w:val="none"/>
              </w:rPr>
              <w:t>建筑面积</w:t>
            </w:r>
            <w:r>
              <w:rPr>
                <w:rFonts w:hint="default" w:ascii="Times New Roman" w:hAnsi="Times New Roman" w:cs="Times New Roman"/>
                <w:color w:val="auto"/>
                <w:sz w:val="21"/>
                <w:szCs w:val="18"/>
                <w:highlight w:val="none"/>
                <w:lang w:val="en-US" w:eastAsia="zh-CN"/>
              </w:rPr>
              <w:t>6</w:t>
            </w:r>
            <w:r>
              <w:rPr>
                <w:rFonts w:hint="default" w:ascii="Times New Roman" w:hAnsi="Times New Roman" w:cs="Times New Roman"/>
                <w:color w:val="auto"/>
                <w:sz w:val="21"/>
                <w:szCs w:val="18"/>
                <w:highlight w:val="none"/>
              </w:rPr>
              <w:t>m</w:t>
            </w:r>
            <w:r>
              <w:rPr>
                <w:rFonts w:hint="default" w:ascii="Times New Roman" w:hAnsi="Times New Roman" w:cs="Times New Roman"/>
                <w:color w:val="auto"/>
                <w:sz w:val="21"/>
                <w:szCs w:val="18"/>
                <w:highlight w:val="none"/>
                <w:vertAlign w:val="superscript"/>
              </w:rPr>
              <w:t>2</w:t>
            </w:r>
            <w:r>
              <w:rPr>
                <w:rFonts w:hint="default" w:ascii="Times New Roman" w:hAnsi="Times New Roman" w:cs="Times New Roman"/>
                <w:color w:val="auto"/>
                <w:sz w:val="21"/>
                <w:szCs w:val="18"/>
                <w:highlight w:val="none"/>
              </w:rPr>
              <w:t>，用于暂时</w:t>
            </w:r>
            <w:r>
              <w:rPr>
                <w:rFonts w:hint="default" w:ascii="Times New Roman" w:hAnsi="Times New Roman" w:cs="Times New Roman"/>
                <w:color w:val="auto"/>
                <w:sz w:val="21"/>
                <w:szCs w:val="18"/>
                <w:highlight w:val="none"/>
                <w:lang w:val="en-US" w:eastAsia="zh-CN"/>
              </w:rPr>
              <w:t>生产过程产生的危险废物</w:t>
            </w:r>
            <w:r>
              <w:rPr>
                <w:rFonts w:hint="default" w:ascii="Times New Roman" w:hAnsi="Times New Roman" w:cs="Times New Roman"/>
                <w:color w:val="auto"/>
                <w:sz w:val="21"/>
                <w:szCs w:val="18"/>
                <w:highlight w:val="none"/>
              </w:rPr>
              <w:t>。危废暂存间为</w:t>
            </w:r>
            <w:r>
              <w:rPr>
                <w:rFonts w:hint="default" w:ascii="Times New Roman" w:hAnsi="Times New Roman" w:cs="Times New Roman"/>
                <w:bCs/>
                <w:color w:val="auto"/>
                <w:sz w:val="21"/>
                <w:szCs w:val="18"/>
                <w:highlight w:val="none"/>
              </w:rPr>
              <w:t>重点防渗区，重点防渗区域地面及裙墙采取防渗措施，室内底部铺设1m</w:t>
            </w:r>
            <w:r>
              <w:rPr>
                <w:rFonts w:hint="default" w:ascii="Times New Roman" w:hAnsi="Times New Roman" w:cs="Times New Roman"/>
                <w:bCs/>
                <w:color w:val="auto"/>
                <w:sz w:val="21"/>
                <w:szCs w:val="18"/>
                <w:highlight w:val="none"/>
                <w:lang w:eastAsia="zh-CN"/>
              </w:rPr>
              <w:t>黏土层</w:t>
            </w:r>
            <w:r>
              <w:rPr>
                <w:rFonts w:hint="default" w:ascii="Times New Roman" w:hAnsi="Times New Roman" w:cs="Times New Roman"/>
                <w:bCs/>
                <w:color w:val="auto"/>
                <w:sz w:val="21"/>
                <w:szCs w:val="18"/>
                <w:highlight w:val="none"/>
              </w:rPr>
              <w:t>(保护层，同时作为辅助防渗层)压实平整，</w:t>
            </w:r>
            <w:r>
              <w:rPr>
                <w:rFonts w:hint="default" w:ascii="Times New Roman" w:hAnsi="Times New Roman" w:cs="Times New Roman"/>
                <w:bCs/>
                <w:color w:val="auto"/>
                <w:sz w:val="21"/>
                <w:szCs w:val="18"/>
                <w:highlight w:val="none"/>
                <w:lang w:eastAsia="zh-CN"/>
              </w:rPr>
              <w:t>黏土层</w:t>
            </w:r>
            <w:r>
              <w:rPr>
                <w:rFonts w:hint="default" w:ascii="Times New Roman" w:hAnsi="Times New Roman" w:cs="Times New Roman"/>
                <w:bCs/>
                <w:color w:val="auto"/>
                <w:sz w:val="21"/>
                <w:szCs w:val="18"/>
                <w:highlight w:val="none"/>
              </w:rPr>
              <w:t>上铺设双层HDPE——GCL复合防渗系统(2×2mm厚的高密度聚乙烯膜、300g/m</w:t>
            </w:r>
            <w:r>
              <w:rPr>
                <w:rFonts w:hint="default" w:ascii="Times New Roman" w:hAnsi="Times New Roman" w:cs="Times New Roman"/>
                <w:bCs/>
                <w:color w:val="auto"/>
                <w:sz w:val="21"/>
                <w:szCs w:val="18"/>
                <w:highlight w:val="none"/>
                <w:vertAlign w:val="superscript"/>
              </w:rPr>
              <w:t>2</w:t>
            </w:r>
            <w:r>
              <w:rPr>
                <w:rFonts w:hint="default" w:ascii="Times New Roman" w:hAnsi="Times New Roman" w:cs="Times New Roman"/>
                <w:bCs/>
                <w:color w:val="auto"/>
                <w:sz w:val="21"/>
                <w:szCs w:val="18"/>
                <w:highlight w:val="none"/>
              </w:rPr>
              <w:t>土工织物膨润土垫)，上部外加耐腐蚀混凝土15cm(保护层)等防渗，渗透系数≤10</w:t>
            </w:r>
            <w:r>
              <w:rPr>
                <w:rFonts w:hint="default" w:ascii="Times New Roman" w:hAnsi="Times New Roman" w:cs="Times New Roman"/>
                <w:bCs/>
                <w:color w:val="auto"/>
                <w:sz w:val="21"/>
                <w:szCs w:val="18"/>
                <w:highlight w:val="none"/>
                <w:vertAlign w:val="superscript"/>
              </w:rPr>
              <w:t>-10</w:t>
            </w:r>
            <w:r>
              <w:rPr>
                <w:rFonts w:hint="default" w:ascii="Times New Roman" w:hAnsi="Times New Roman" w:cs="Times New Roman"/>
                <w:bCs/>
                <w:color w:val="auto"/>
                <w:sz w:val="21"/>
                <w:szCs w:val="18"/>
                <w:highlight w:val="none"/>
              </w:rPr>
              <w:t>cm/s（或采取同等有效防渗措施）</w:t>
            </w:r>
          </w:p>
        </w:tc>
      </w:tr>
      <w:tr w14:paraId="6498CC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9" w:hRule="atLeast"/>
          <w:jc w:val="center"/>
        </w:trPr>
        <w:tc>
          <w:tcPr>
            <w:tcW w:w="1369" w:type="dxa"/>
            <w:vMerge w:val="continue"/>
            <w:vAlign w:val="center"/>
          </w:tcPr>
          <w:p w14:paraId="7494CF2D">
            <w:pPr>
              <w:adjustRightInd w:val="0"/>
              <w:snapToGrid w:val="0"/>
              <w:spacing w:line="240" w:lineRule="auto"/>
              <w:jc w:val="center"/>
              <w:rPr>
                <w:b/>
                <w:bCs/>
                <w:color w:val="auto"/>
                <w:szCs w:val="21"/>
                <w:highlight w:val="none"/>
              </w:rPr>
            </w:pPr>
          </w:p>
        </w:tc>
        <w:tc>
          <w:tcPr>
            <w:tcW w:w="826" w:type="dxa"/>
            <w:vAlign w:val="center"/>
          </w:tcPr>
          <w:p w14:paraId="28D23D06">
            <w:pPr>
              <w:pStyle w:val="2"/>
              <w:spacing w:line="240" w:lineRule="auto"/>
              <w:ind w:left="0" w:leftChars="0" w:firstLine="0" w:firstLineChars="0"/>
              <w:jc w:val="center"/>
              <w:rPr>
                <w:rFonts w:hint="default"/>
                <w:color w:val="auto"/>
                <w:sz w:val="21"/>
                <w:szCs w:val="21"/>
                <w:highlight w:val="none"/>
                <w:lang w:val="en-US" w:eastAsia="zh-CN"/>
              </w:rPr>
            </w:pPr>
            <w:r>
              <w:rPr>
                <w:rFonts w:hint="eastAsia"/>
                <w:color w:val="auto"/>
                <w:sz w:val="21"/>
                <w:szCs w:val="21"/>
                <w:highlight w:val="none"/>
                <w:lang w:val="en-US" w:eastAsia="zh-CN"/>
              </w:rPr>
              <w:t>生活垃圾</w:t>
            </w:r>
          </w:p>
        </w:tc>
        <w:tc>
          <w:tcPr>
            <w:tcW w:w="6876" w:type="dxa"/>
            <w:gridSpan w:val="4"/>
            <w:vAlign w:val="center"/>
          </w:tcPr>
          <w:p w14:paraId="19282B7A">
            <w:pPr>
              <w:pStyle w:val="2"/>
              <w:spacing w:line="240" w:lineRule="auto"/>
              <w:ind w:firstLine="420" w:firstLineChars="0"/>
              <w:rPr>
                <w:rFonts w:hint="eastAsia"/>
                <w:color w:val="auto"/>
                <w:sz w:val="21"/>
                <w:szCs w:val="21"/>
                <w:highlight w:val="none"/>
                <w:lang w:val="en-US" w:eastAsia="zh-CN"/>
              </w:rPr>
            </w:pPr>
            <w:r>
              <w:rPr>
                <w:rFonts w:hint="eastAsia"/>
                <w:color w:val="auto"/>
                <w:sz w:val="21"/>
                <w:szCs w:val="21"/>
                <w:highlight w:val="none"/>
                <w:lang w:val="en-US" w:eastAsia="zh-CN"/>
              </w:rPr>
              <w:t>生活垃圾收集后交由环卫部门统一处理</w:t>
            </w:r>
          </w:p>
        </w:tc>
      </w:tr>
      <w:tr w14:paraId="2BB451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4" w:hRule="atLeast"/>
          <w:jc w:val="center"/>
        </w:trPr>
        <w:tc>
          <w:tcPr>
            <w:tcW w:w="1369" w:type="dxa"/>
            <w:vAlign w:val="center"/>
          </w:tcPr>
          <w:p w14:paraId="62CF2B8F">
            <w:pPr>
              <w:adjustRightInd w:val="0"/>
              <w:snapToGrid w:val="0"/>
              <w:spacing w:line="240" w:lineRule="auto"/>
              <w:jc w:val="center"/>
              <w:rPr>
                <w:b/>
                <w:bCs/>
                <w:color w:val="auto"/>
                <w:szCs w:val="21"/>
                <w:highlight w:val="none"/>
              </w:rPr>
            </w:pPr>
            <w:r>
              <w:rPr>
                <w:b/>
                <w:bCs/>
                <w:color w:val="auto"/>
                <w:szCs w:val="21"/>
                <w:highlight w:val="none"/>
              </w:rPr>
              <w:t>土壤及地下水污染防治措施</w:t>
            </w:r>
          </w:p>
        </w:tc>
        <w:tc>
          <w:tcPr>
            <w:tcW w:w="7702" w:type="dxa"/>
            <w:gridSpan w:val="5"/>
            <w:vAlign w:val="center"/>
          </w:tcPr>
          <w:p w14:paraId="5D63FCCF">
            <w:pPr>
              <w:pStyle w:val="27"/>
              <w:keepNext w:val="0"/>
              <w:keepLines w:val="0"/>
              <w:pageBreakBefore w:val="0"/>
              <w:widowControl w:val="0"/>
              <w:kinsoku/>
              <w:wordWrap/>
              <w:overflowPunct/>
              <w:topLinePunct w:val="0"/>
              <w:autoSpaceDE/>
              <w:autoSpaceDN/>
              <w:bidi w:val="0"/>
              <w:adjustRightInd w:val="0"/>
              <w:snapToGrid w:val="0"/>
              <w:spacing w:line="240" w:lineRule="auto"/>
              <w:ind w:left="0" w:firstLine="420" w:firstLineChars="200"/>
              <w:jc w:val="both"/>
              <w:textAlignment w:val="auto"/>
              <w:rPr>
                <w:color w:val="auto"/>
                <w:sz w:val="21"/>
                <w:szCs w:val="21"/>
                <w:highlight w:val="none"/>
              </w:rPr>
            </w:pPr>
            <w:r>
              <w:rPr>
                <w:rFonts w:hint="eastAsia"/>
                <w:color w:val="auto"/>
                <w:sz w:val="21"/>
                <w:szCs w:val="21"/>
                <w:highlight w:val="none"/>
              </w:rPr>
              <w:t>重点防渗区：</w:t>
            </w:r>
            <w:r>
              <w:rPr>
                <w:rFonts w:hint="eastAsia"/>
                <w:color w:val="auto"/>
                <w:sz w:val="21"/>
                <w:szCs w:val="21"/>
                <w:highlight w:val="none"/>
                <w:lang w:val="en-US" w:eastAsia="zh-CN"/>
              </w:rPr>
              <w:t>危废暂存间</w:t>
            </w:r>
            <w:r>
              <w:rPr>
                <w:rFonts w:hint="eastAsia"/>
                <w:color w:val="auto"/>
                <w:sz w:val="21"/>
                <w:szCs w:val="21"/>
                <w:highlight w:val="none"/>
                <w:lang w:eastAsia="zh-CN"/>
              </w:rPr>
              <w:t>、</w:t>
            </w:r>
            <w:r>
              <w:rPr>
                <w:rFonts w:hint="eastAsia"/>
                <w:color w:val="auto"/>
                <w:sz w:val="21"/>
                <w:szCs w:val="21"/>
                <w:highlight w:val="none"/>
                <w:lang w:val="en-US" w:eastAsia="zh-CN"/>
              </w:rPr>
              <w:t>酸洗槽、碱洗槽、水洗槽、盐酸库</w:t>
            </w:r>
            <w:r>
              <w:rPr>
                <w:rFonts w:hint="eastAsia"/>
                <w:color w:val="auto"/>
                <w:sz w:val="21"/>
                <w:szCs w:val="21"/>
                <w:highlight w:val="none"/>
              </w:rPr>
              <w:t>，采用20cm厚P8混凝，并采取2mm厚高密度聚乙烯防渗,渗透系数≤10</w:t>
            </w:r>
            <w:r>
              <w:rPr>
                <w:rFonts w:hint="eastAsia"/>
                <w:color w:val="auto"/>
                <w:sz w:val="21"/>
                <w:szCs w:val="21"/>
                <w:highlight w:val="none"/>
                <w:vertAlign w:val="superscript"/>
              </w:rPr>
              <w:t>-10</w:t>
            </w:r>
            <w:r>
              <w:rPr>
                <w:rFonts w:hint="eastAsia"/>
                <w:color w:val="auto"/>
                <w:sz w:val="21"/>
                <w:szCs w:val="21"/>
                <w:highlight w:val="none"/>
              </w:rPr>
              <w:t>cm/s ，并设置堵截泄漏的裙脚，且做到表面无裂隙，避免泄漏对地下水产生污染影响；并设置泄漏液体的收集装置。</w:t>
            </w:r>
          </w:p>
          <w:p w14:paraId="27C3353A">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jc w:val="both"/>
              <w:textAlignment w:val="auto"/>
              <w:rPr>
                <w:rFonts w:hint="eastAsia" w:eastAsia="宋体"/>
                <w:color w:val="auto"/>
                <w:highlight w:val="none"/>
                <w:lang w:val="en-US" w:eastAsia="zh-CN"/>
              </w:rPr>
            </w:pPr>
            <w:r>
              <w:rPr>
                <w:rFonts w:hint="eastAsia"/>
                <w:color w:val="auto"/>
                <w:sz w:val="21"/>
                <w:szCs w:val="21"/>
                <w:highlight w:val="none"/>
              </w:rPr>
              <w:t>一般防渗区：车间地面</w:t>
            </w:r>
            <w:r>
              <w:rPr>
                <w:rFonts w:hint="eastAsia"/>
                <w:color w:val="auto"/>
                <w:sz w:val="21"/>
                <w:szCs w:val="21"/>
                <w:highlight w:val="none"/>
                <w:lang w:eastAsia="zh-CN"/>
              </w:rPr>
              <w:t>、</w:t>
            </w:r>
            <w:r>
              <w:rPr>
                <w:rFonts w:hint="eastAsia"/>
                <w:color w:val="auto"/>
                <w:sz w:val="21"/>
                <w:szCs w:val="21"/>
                <w:highlight w:val="none"/>
                <w:lang w:val="en-US" w:eastAsia="zh-CN"/>
              </w:rPr>
              <w:t>废水池</w:t>
            </w:r>
            <w:r>
              <w:rPr>
                <w:rFonts w:hint="eastAsia"/>
                <w:color w:val="auto"/>
                <w:sz w:val="21"/>
                <w:szCs w:val="21"/>
                <w:highlight w:val="none"/>
              </w:rPr>
              <w:t>，防渗层为20cm的P8防渗混凝土层，渗透系数&lt;10</w:t>
            </w:r>
            <w:r>
              <w:rPr>
                <w:rFonts w:hint="eastAsia"/>
                <w:color w:val="auto"/>
                <w:sz w:val="21"/>
                <w:szCs w:val="21"/>
                <w:highlight w:val="none"/>
                <w:vertAlign w:val="superscript"/>
              </w:rPr>
              <w:t>-7</w:t>
            </w:r>
            <w:r>
              <w:rPr>
                <w:rFonts w:hint="eastAsia"/>
                <w:color w:val="auto"/>
                <w:sz w:val="21"/>
                <w:szCs w:val="21"/>
                <w:highlight w:val="none"/>
              </w:rPr>
              <w:t>cm/s ，且表面无缝隙。</w:t>
            </w:r>
          </w:p>
        </w:tc>
      </w:tr>
      <w:tr w14:paraId="6B0904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57" w:hRule="atLeast"/>
          <w:jc w:val="center"/>
        </w:trPr>
        <w:tc>
          <w:tcPr>
            <w:tcW w:w="1369" w:type="dxa"/>
            <w:vAlign w:val="center"/>
          </w:tcPr>
          <w:p w14:paraId="54990581">
            <w:pPr>
              <w:adjustRightInd w:val="0"/>
              <w:snapToGrid w:val="0"/>
              <w:spacing w:line="240" w:lineRule="auto"/>
              <w:jc w:val="center"/>
              <w:rPr>
                <w:b/>
                <w:bCs/>
                <w:color w:val="auto"/>
                <w:szCs w:val="21"/>
                <w:highlight w:val="none"/>
              </w:rPr>
            </w:pPr>
            <w:r>
              <w:rPr>
                <w:b/>
                <w:bCs/>
                <w:color w:val="auto"/>
                <w:szCs w:val="21"/>
                <w:highlight w:val="none"/>
              </w:rPr>
              <w:t>生态保护措施</w:t>
            </w:r>
          </w:p>
        </w:tc>
        <w:tc>
          <w:tcPr>
            <w:tcW w:w="7702" w:type="dxa"/>
            <w:gridSpan w:val="5"/>
            <w:vAlign w:val="center"/>
          </w:tcPr>
          <w:p w14:paraId="60D23A9D">
            <w:pPr>
              <w:spacing w:line="240" w:lineRule="auto"/>
              <w:ind w:firstLine="420" w:firstLineChars="200"/>
              <w:jc w:val="left"/>
              <w:rPr>
                <w:rFonts w:hint="eastAsia" w:eastAsia="宋体"/>
                <w:color w:val="auto"/>
                <w:sz w:val="21"/>
                <w:szCs w:val="21"/>
                <w:highlight w:val="none"/>
                <w:lang w:val="en-US" w:eastAsia="zh-CN"/>
              </w:rPr>
            </w:pPr>
            <w:r>
              <w:rPr>
                <w:rFonts w:hint="eastAsia"/>
                <w:color w:val="auto"/>
                <w:sz w:val="21"/>
                <w:szCs w:val="21"/>
                <w:highlight w:val="none"/>
                <w:lang w:val="en-US" w:eastAsia="zh-CN"/>
              </w:rPr>
              <w:t>本项目利用现有厂房建设，不会对周边生态环境造成破坏。</w:t>
            </w:r>
          </w:p>
        </w:tc>
      </w:tr>
      <w:tr w14:paraId="3AE1AA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69" w:type="dxa"/>
            <w:vAlign w:val="center"/>
          </w:tcPr>
          <w:p w14:paraId="145528BE">
            <w:pPr>
              <w:pStyle w:val="7"/>
              <w:keepNext w:val="0"/>
              <w:keepLines w:val="0"/>
              <w:spacing w:line="240" w:lineRule="auto"/>
              <w:jc w:val="both"/>
              <w:rPr>
                <w:color w:val="auto"/>
                <w:highlight w:val="none"/>
              </w:rPr>
            </w:pPr>
            <w:r>
              <w:rPr>
                <w:color w:val="auto"/>
                <w:highlight w:val="none"/>
              </w:rPr>
              <w:t>环境风险</w:t>
            </w:r>
          </w:p>
          <w:p w14:paraId="6562DBD7">
            <w:pPr>
              <w:pStyle w:val="7"/>
              <w:keepNext w:val="0"/>
              <w:keepLines w:val="0"/>
              <w:spacing w:line="240" w:lineRule="auto"/>
              <w:jc w:val="both"/>
              <w:rPr>
                <w:color w:val="auto"/>
                <w:highlight w:val="none"/>
              </w:rPr>
            </w:pPr>
            <w:r>
              <w:rPr>
                <w:color w:val="auto"/>
                <w:highlight w:val="none"/>
              </w:rPr>
              <w:t>防范措施</w:t>
            </w:r>
          </w:p>
        </w:tc>
        <w:tc>
          <w:tcPr>
            <w:tcW w:w="7702" w:type="dxa"/>
            <w:gridSpan w:val="5"/>
            <w:vAlign w:val="center"/>
          </w:tcPr>
          <w:p w14:paraId="7817A8EA">
            <w:pPr>
              <w:adjustRightInd w:val="0"/>
              <w:snapToGrid w:val="0"/>
              <w:spacing w:line="240" w:lineRule="auto"/>
              <w:jc w:val="both"/>
              <w:rPr>
                <w:color w:val="auto"/>
                <w:sz w:val="21"/>
                <w:szCs w:val="21"/>
                <w:highlight w:val="none"/>
              </w:rPr>
            </w:pPr>
            <w:r>
              <w:rPr>
                <w:color w:val="auto"/>
                <w:sz w:val="21"/>
                <w:szCs w:val="21"/>
                <w:highlight w:val="none"/>
              </w:rPr>
              <w:t>1、现场应当有警戒标识；</w:t>
            </w:r>
          </w:p>
          <w:p w14:paraId="5F84DB92">
            <w:pPr>
              <w:adjustRightInd w:val="0"/>
              <w:snapToGrid w:val="0"/>
              <w:spacing w:line="240" w:lineRule="auto"/>
              <w:jc w:val="both"/>
              <w:rPr>
                <w:color w:val="auto"/>
                <w:sz w:val="21"/>
                <w:szCs w:val="21"/>
                <w:highlight w:val="none"/>
              </w:rPr>
            </w:pPr>
            <w:r>
              <w:rPr>
                <w:color w:val="auto"/>
                <w:sz w:val="21"/>
                <w:szCs w:val="21"/>
                <w:highlight w:val="none"/>
              </w:rPr>
              <w:t>2、设置专人保管，保管员要详细核对产品名称、规格、牌号、质量、数量、查清危险性质。遇有包装不良、质量异变、标号不符合等情况，应及时进行安全处理；</w:t>
            </w:r>
          </w:p>
          <w:p w14:paraId="0EE4706E">
            <w:pPr>
              <w:adjustRightInd w:val="0"/>
              <w:snapToGrid w:val="0"/>
              <w:spacing w:line="240" w:lineRule="auto"/>
              <w:jc w:val="both"/>
              <w:rPr>
                <w:color w:val="auto"/>
                <w:sz w:val="21"/>
                <w:szCs w:val="21"/>
                <w:highlight w:val="none"/>
              </w:rPr>
            </w:pPr>
            <w:r>
              <w:rPr>
                <w:color w:val="auto"/>
                <w:sz w:val="21"/>
                <w:szCs w:val="21"/>
                <w:highlight w:val="none"/>
              </w:rPr>
              <w:t>3、避免无任何防护措施直接接触、工作区域保持良好通风状态；</w:t>
            </w:r>
          </w:p>
          <w:p w14:paraId="396DEB26">
            <w:pPr>
              <w:adjustRightInd w:val="0"/>
              <w:snapToGrid w:val="0"/>
              <w:spacing w:line="240" w:lineRule="auto"/>
              <w:jc w:val="both"/>
              <w:rPr>
                <w:color w:val="auto"/>
                <w:sz w:val="21"/>
                <w:szCs w:val="21"/>
                <w:highlight w:val="none"/>
              </w:rPr>
            </w:pPr>
            <w:r>
              <w:rPr>
                <w:color w:val="auto"/>
                <w:sz w:val="21"/>
                <w:szCs w:val="21"/>
                <w:highlight w:val="none"/>
              </w:rPr>
              <w:t>4、容器包装要密闭，完整无损、放置处防火防高温；</w:t>
            </w:r>
          </w:p>
          <w:p w14:paraId="6AE26AA7">
            <w:pPr>
              <w:adjustRightInd w:val="0"/>
              <w:snapToGrid w:val="0"/>
              <w:spacing w:line="240" w:lineRule="auto"/>
              <w:jc w:val="both"/>
              <w:rPr>
                <w:color w:val="auto"/>
                <w:sz w:val="21"/>
                <w:szCs w:val="21"/>
                <w:highlight w:val="none"/>
              </w:rPr>
            </w:pPr>
            <w:r>
              <w:rPr>
                <w:color w:val="auto"/>
                <w:sz w:val="21"/>
                <w:szCs w:val="21"/>
                <w:highlight w:val="none"/>
              </w:rPr>
              <w:t>5、厂区内禁止吸烟，严禁明火作业；</w:t>
            </w:r>
          </w:p>
          <w:p w14:paraId="4CDCB357">
            <w:pPr>
              <w:adjustRightInd w:val="0"/>
              <w:snapToGrid w:val="0"/>
              <w:spacing w:line="240" w:lineRule="auto"/>
              <w:jc w:val="both"/>
              <w:rPr>
                <w:color w:val="auto"/>
                <w:sz w:val="21"/>
                <w:szCs w:val="21"/>
                <w:highlight w:val="none"/>
              </w:rPr>
            </w:pPr>
            <w:r>
              <w:rPr>
                <w:color w:val="auto"/>
                <w:sz w:val="21"/>
                <w:szCs w:val="21"/>
                <w:highlight w:val="none"/>
              </w:rPr>
              <w:t>6、进行定期和不定期的安全检查，查出隐患，要及时整改和上报。如发现不  安全的紧急情况，应先停止工作，再报有关部门研究处理；</w:t>
            </w:r>
          </w:p>
          <w:p w14:paraId="0CF2B359">
            <w:pPr>
              <w:pStyle w:val="102"/>
              <w:spacing w:before="0" w:beforeLines="0" w:line="240" w:lineRule="auto"/>
              <w:ind w:firstLine="0" w:firstLineChars="0"/>
              <w:jc w:val="both"/>
              <w:rPr>
                <w:color w:val="auto"/>
                <w:sz w:val="21"/>
                <w:szCs w:val="18"/>
                <w:highlight w:val="none"/>
              </w:rPr>
            </w:pPr>
            <w:r>
              <w:rPr>
                <w:color w:val="auto"/>
                <w:sz w:val="21"/>
                <w:szCs w:val="18"/>
                <w:highlight w:val="none"/>
              </w:rPr>
              <w:t>7、各种安全防护装置设备要定期检查，不得随意拆除和非法占用；</w:t>
            </w:r>
          </w:p>
          <w:p w14:paraId="77DA5766">
            <w:pPr>
              <w:spacing w:line="240" w:lineRule="auto"/>
              <w:jc w:val="both"/>
              <w:rPr>
                <w:rFonts w:hint="eastAsia"/>
                <w:color w:val="auto"/>
                <w:sz w:val="21"/>
                <w:szCs w:val="18"/>
                <w:highlight w:val="none"/>
                <w:lang w:eastAsia="zh-CN"/>
              </w:rPr>
            </w:pPr>
            <w:r>
              <w:rPr>
                <w:color w:val="auto"/>
                <w:sz w:val="21"/>
                <w:szCs w:val="18"/>
                <w:highlight w:val="none"/>
              </w:rPr>
              <w:t>8、危废间做好防渗防漏措施，各个危险物质分类存放</w:t>
            </w:r>
            <w:r>
              <w:rPr>
                <w:rFonts w:hint="eastAsia"/>
                <w:color w:val="auto"/>
                <w:sz w:val="21"/>
                <w:szCs w:val="18"/>
                <w:highlight w:val="none"/>
                <w:lang w:eastAsia="zh-CN"/>
              </w:rPr>
              <w:t>；</w:t>
            </w:r>
          </w:p>
          <w:p w14:paraId="0E81CB15">
            <w:pPr>
              <w:spacing w:line="240" w:lineRule="auto"/>
              <w:jc w:val="both"/>
              <w:rPr>
                <w:rFonts w:hint="default"/>
                <w:lang w:val="en-US" w:eastAsia="zh-CN"/>
              </w:rPr>
            </w:pPr>
            <w:r>
              <w:rPr>
                <w:rFonts w:hint="eastAsia"/>
                <w:color w:val="auto"/>
                <w:sz w:val="21"/>
                <w:szCs w:val="18"/>
                <w:highlight w:val="none"/>
                <w:lang w:val="en-US" w:eastAsia="zh-CN"/>
              </w:rPr>
              <w:t>9、盐酸库设置24小时监控。</w:t>
            </w:r>
          </w:p>
        </w:tc>
      </w:tr>
      <w:tr w14:paraId="5660B7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38" w:hRule="atLeast"/>
          <w:jc w:val="center"/>
        </w:trPr>
        <w:tc>
          <w:tcPr>
            <w:tcW w:w="1369" w:type="dxa"/>
            <w:vAlign w:val="center"/>
          </w:tcPr>
          <w:p w14:paraId="29DA854D">
            <w:pPr>
              <w:adjustRightInd w:val="0"/>
              <w:snapToGrid w:val="0"/>
              <w:spacing w:line="240" w:lineRule="auto"/>
              <w:jc w:val="center"/>
              <w:rPr>
                <w:b/>
                <w:bCs/>
                <w:color w:val="auto"/>
                <w:spacing w:val="-8"/>
                <w:szCs w:val="21"/>
                <w:highlight w:val="none"/>
              </w:rPr>
            </w:pPr>
            <w:r>
              <w:rPr>
                <w:b/>
                <w:bCs/>
                <w:color w:val="auto"/>
                <w:spacing w:val="-8"/>
                <w:szCs w:val="21"/>
                <w:highlight w:val="none"/>
              </w:rPr>
              <w:t>其他环境</w:t>
            </w:r>
          </w:p>
          <w:p w14:paraId="4215FFDD">
            <w:pPr>
              <w:adjustRightInd w:val="0"/>
              <w:snapToGrid w:val="0"/>
              <w:spacing w:line="240" w:lineRule="auto"/>
              <w:jc w:val="center"/>
              <w:rPr>
                <w:color w:val="auto"/>
                <w:spacing w:val="-8"/>
                <w:szCs w:val="21"/>
                <w:highlight w:val="none"/>
              </w:rPr>
            </w:pPr>
            <w:r>
              <w:rPr>
                <w:b/>
                <w:bCs/>
                <w:color w:val="auto"/>
                <w:spacing w:val="-8"/>
                <w:szCs w:val="21"/>
                <w:highlight w:val="none"/>
              </w:rPr>
              <w:t>管理要求</w:t>
            </w:r>
          </w:p>
        </w:tc>
        <w:tc>
          <w:tcPr>
            <w:tcW w:w="7702" w:type="dxa"/>
            <w:gridSpan w:val="5"/>
            <w:vAlign w:val="center"/>
          </w:tcPr>
          <w:p w14:paraId="2BA20CA7">
            <w:pPr>
              <w:adjustRightInd w:val="0"/>
              <w:snapToGrid w:val="0"/>
              <w:spacing w:line="240" w:lineRule="auto"/>
              <w:jc w:val="both"/>
              <w:rPr>
                <w:rFonts w:hint="eastAsia" w:eastAsia="宋体"/>
                <w:color w:val="auto"/>
                <w:sz w:val="21"/>
                <w:szCs w:val="18"/>
                <w:highlight w:val="none"/>
                <w:lang w:val="en-US" w:eastAsia="zh-CN"/>
              </w:rPr>
            </w:pPr>
            <w:r>
              <w:rPr>
                <w:rFonts w:hint="eastAsia" w:eastAsia="宋体"/>
                <w:color w:val="auto"/>
                <w:sz w:val="21"/>
                <w:szCs w:val="18"/>
                <w:highlight w:val="none"/>
                <w:lang w:val="en-US" w:eastAsia="zh-CN"/>
              </w:rPr>
              <w:t>①排污口管理制度：按照《排污口规范化要求》设置便于采样、监测的采样口。采样口设置应符合《污染源监测技术规范》要求</w:t>
            </w:r>
            <w:r>
              <w:rPr>
                <w:rFonts w:hint="eastAsia"/>
                <w:color w:val="auto"/>
                <w:sz w:val="21"/>
                <w:szCs w:val="18"/>
                <w:highlight w:val="none"/>
                <w:lang w:val="en-US" w:eastAsia="zh-CN"/>
              </w:rPr>
              <w:t>。</w:t>
            </w:r>
          </w:p>
          <w:p w14:paraId="7D02BF35">
            <w:pPr>
              <w:adjustRightInd w:val="0"/>
              <w:snapToGrid w:val="0"/>
              <w:spacing w:line="240" w:lineRule="auto"/>
              <w:jc w:val="both"/>
              <w:rPr>
                <w:rFonts w:hint="eastAsia" w:eastAsia="宋体"/>
                <w:color w:val="auto"/>
                <w:sz w:val="21"/>
                <w:szCs w:val="18"/>
                <w:highlight w:val="none"/>
                <w:lang w:val="en-US" w:eastAsia="zh-CN"/>
              </w:rPr>
            </w:pPr>
            <w:r>
              <w:rPr>
                <w:rFonts w:hint="eastAsia" w:eastAsia="宋体"/>
                <w:color w:val="auto"/>
                <w:sz w:val="21"/>
                <w:szCs w:val="18"/>
                <w:highlight w:val="none"/>
                <w:lang w:val="en-US" w:eastAsia="zh-CN"/>
              </w:rPr>
              <w:t>②环保管理制度：企业应制定环境保护规章制度，由专人负责，环保管理制度。</w:t>
            </w:r>
          </w:p>
          <w:p w14:paraId="7C638DD9">
            <w:pPr>
              <w:adjustRightInd w:val="0"/>
              <w:snapToGrid w:val="0"/>
              <w:spacing w:line="240" w:lineRule="auto"/>
              <w:jc w:val="both"/>
              <w:rPr>
                <w:rFonts w:hint="eastAsia" w:eastAsia="宋体"/>
                <w:color w:val="auto"/>
                <w:sz w:val="21"/>
                <w:szCs w:val="18"/>
                <w:highlight w:val="none"/>
                <w:lang w:val="en-US" w:eastAsia="zh-CN"/>
              </w:rPr>
            </w:pPr>
            <w:r>
              <w:rPr>
                <w:rFonts w:hint="eastAsia" w:eastAsia="宋体"/>
                <w:color w:val="auto"/>
                <w:sz w:val="21"/>
                <w:szCs w:val="18"/>
                <w:highlight w:val="none"/>
                <w:lang w:val="en-US" w:eastAsia="zh-CN"/>
              </w:rPr>
              <w:t>③竣工验收制度：根据《建设项目竣工环境保护验收暂行办法》，建设项目配套建设的环境保护设施竣工后，公开竣工日期；对配套建设的环境保护设施进行调试前，公开调试的起止日期；验收报告编制完成后5个工作日内，公开验收报告，公示的期限不得少于20个工作日；建设单位公开上述信息的同时，应当向所在地县级以上环境保护主管部门报送相关信息，并接受监督检查。</w:t>
            </w:r>
          </w:p>
          <w:p w14:paraId="4A30829B">
            <w:pPr>
              <w:adjustRightInd w:val="0"/>
              <w:snapToGrid w:val="0"/>
              <w:spacing w:line="240" w:lineRule="auto"/>
              <w:jc w:val="both"/>
              <w:rPr>
                <w:rFonts w:hint="eastAsia" w:eastAsia="宋体"/>
                <w:color w:val="auto"/>
                <w:sz w:val="21"/>
                <w:szCs w:val="18"/>
                <w:highlight w:val="none"/>
                <w:lang w:val="en-US" w:eastAsia="zh-CN"/>
              </w:rPr>
            </w:pPr>
            <w:r>
              <w:rPr>
                <w:rFonts w:hint="eastAsia" w:eastAsia="宋体"/>
                <w:color w:val="auto"/>
                <w:sz w:val="21"/>
                <w:szCs w:val="18"/>
                <w:highlight w:val="none"/>
                <w:lang w:val="en-US" w:eastAsia="zh-CN"/>
              </w:rPr>
              <w:t>④排污许可证要求：根据《固定污染源排污许可分类管理名录（2019年版）》</w:t>
            </w:r>
            <w:r>
              <w:rPr>
                <w:rFonts w:hint="eastAsia"/>
                <w:color w:val="auto"/>
                <w:sz w:val="21"/>
                <w:szCs w:val="18"/>
                <w:highlight w:val="none"/>
                <w:lang w:val="en-US" w:eastAsia="zh-CN"/>
              </w:rPr>
              <w:t>本项目属于二十八、金属制品业33  80结构性金属制品制造331，属于登记管理，环评审批后应申领</w:t>
            </w:r>
            <w:r>
              <w:rPr>
                <w:rFonts w:hint="eastAsia" w:eastAsia="宋体"/>
                <w:color w:val="auto"/>
                <w:sz w:val="21"/>
                <w:szCs w:val="18"/>
                <w:highlight w:val="none"/>
                <w:lang w:val="en-US" w:eastAsia="zh-CN"/>
              </w:rPr>
              <w:t>排污许可，并按相关要求进行自行检测。</w:t>
            </w:r>
          </w:p>
          <w:p w14:paraId="5FE18071">
            <w:pPr>
              <w:adjustRightInd w:val="0"/>
              <w:snapToGrid w:val="0"/>
              <w:spacing w:line="240" w:lineRule="auto"/>
              <w:jc w:val="both"/>
              <w:rPr>
                <w:rFonts w:hint="default" w:eastAsia="宋体"/>
                <w:color w:val="auto"/>
                <w:sz w:val="21"/>
                <w:szCs w:val="18"/>
                <w:highlight w:val="none"/>
                <w:lang w:val="en-US" w:eastAsia="zh-CN"/>
              </w:rPr>
            </w:pPr>
            <w:r>
              <w:rPr>
                <w:rFonts w:hint="eastAsia" w:eastAsia="宋体"/>
                <w:color w:val="auto"/>
                <w:sz w:val="21"/>
                <w:szCs w:val="18"/>
                <w:highlight w:val="none"/>
                <w:lang w:val="en-US" w:eastAsia="zh-CN"/>
              </w:rPr>
              <w:t>⑤项目应按照相关文件要求编制突发环境事件应急预案，并在当地生态环境部门备案。</w:t>
            </w:r>
          </w:p>
        </w:tc>
      </w:tr>
    </w:tbl>
    <w:p w14:paraId="1FB53A94">
      <w:pPr>
        <w:pStyle w:val="6"/>
        <w:rPr>
          <w:snapToGrid w:val="0"/>
          <w:color w:val="auto"/>
          <w:highlight w:val="none"/>
        </w:rPr>
      </w:pPr>
      <w:r>
        <w:rPr>
          <w:snapToGrid w:val="0"/>
          <w:color w:val="auto"/>
          <w:highlight w:val="none"/>
        </w:rPr>
        <w:br w:type="page"/>
      </w:r>
      <w:r>
        <w:rPr>
          <w:snapToGrid w:val="0"/>
          <w:color w:val="auto"/>
          <w:highlight w:val="none"/>
        </w:rPr>
        <w:t>六、结论</w:t>
      </w:r>
    </w:p>
    <w:tbl>
      <w:tblPr>
        <w:tblStyle w:val="34"/>
        <w:tblW w:w="907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071"/>
      </w:tblGrid>
      <w:tr w14:paraId="1BE540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vAlign w:val="center"/>
          </w:tcPr>
          <w:p w14:paraId="43B89673">
            <w:pPr>
              <w:ind w:firstLine="480" w:firstLineChars="200"/>
              <w:rPr>
                <w:color w:val="auto"/>
                <w:highlight w:val="none"/>
              </w:rPr>
            </w:pPr>
            <w:r>
              <w:rPr>
                <w:rFonts w:hint="eastAsia"/>
                <w:color w:val="auto"/>
                <w:highlight w:val="none"/>
                <w:lang w:eastAsia="zh-CN"/>
              </w:rPr>
              <w:t>（</w:t>
            </w:r>
            <w:r>
              <w:rPr>
                <w:rFonts w:hint="eastAsia"/>
                <w:color w:val="auto"/>
                <w:highlight w:val="none"/>
                <w:lang w:val="en-US" w:eastAsia="zh-CN"/>
              </w:rPr>
              <w:t>1</w:t>
            </w:r>
            <w:r>
              <w:rPr>
                <w:rFonts w:hint="eastAsia"/>
                <w:color w:val="auto"/>
                <w:highlight w:val="none"/>
                <w:lang w:eastAsia="zh-CN"/>
              </w:rPr>
              <w:t>）</w:t>
            </w:r>
            <w:r>
              <w:rPr>
                <w:rFonts w:hint="eastAsia"/>
                <w:color w:val="auto"/>
                <w:highlight w:val="none"/>
              </w:rPr>
              <w:t>本项目为</w:t>
            </w:r>
            <w:r>
              <w:rPr>
                <w:rFonts w:hint="eastAsia"/>
                <w:color w:val="auto"/>
                <w:highlight w:val="none"/>
                <w:lang w:val="en-US" w:eastAsia="zh-CN"/>
              </w:rPr>
              <w:t>扩建</w:t>
            </w:r>
            <w:r>
              <w:rPr>
                <w:rFonts w:hint="eastAsia"/>
                <w:color w:val="auto"/>
                <w:highlight w:val="none"/>
              </w:rPr>
              <w:t>项目，项目位于</w:t>
            </w:r>
            <w:r>
              <w:rPr>
                <w:rFonts w:hint="eastAsia"/>
                <w:color w:val="auto"/>
                <w:highlight w:val="none"/>
                <w:lang w:val="en-US" w:eastAsia="zh-CN"/>
              </w:rPr>
              <w:t>秦皇岛市抚宁区日昌升公司院内</w:t>
            </w:r>
            <w:r>
              <w:rPr>
                <w:rFonts w:hint="eastAsia"/>
                <w:color w:val="auto"/>
                <w:highlight w:val="none"/>
                <w:lang w:eastAsia="zh-CN"/>
              </w:rPr>
              <w:t>，</w:t>
            </w:r>
            <w:r>
              <w:rPr>
                <w:rFonts w:hint="eastAsia"/>
                <w:color w:val="auto"/>
                <w:highlight w:val="none"/>
              </w:rPr>
              <w:t>总投资</w:t>
            </w:r>
            <w:r>
              <w:rPr>
                <w:rFonts w:hint="eastAsia"/>
                <w:color w:val="auto"/>
                <w:highlight w:val="none"/>
                <w:lang w:val="en-US" w:eastAsia="zh-CN"/>
              </w:rPr>
              <w:t>200</w:t>
            </w:r>
            <w:r>
              <w:rPr>
                <w:rFonts w:hint="eastAsia"/>
                <w:color w:val="auto"/>
                <w:highlight w:val="none"/>
              </w:rPr>
              <w:t>万元，其中环保投资</w:t>
            </w:r>
            <w:r>
              <w:rPr>
                <w:rFonts w:hint="eastAsia"/>
                <w:color w:val="auto"/>
                <w:highlight w:val="none"/>
                <w:lang w:val="en-US" w:eastAsia="zh-CN"/>
              </w:rPr>
              <w:t>10</w:t>
            </w:r>
            <w:r>
              <w:rPr>
                <w:rFonts w:hint="eastAsia"/>
                <w:color w:val="auto"/>
                <w:highlight w:val="none"/>
              </w:rPr>
              <w:t>万元，占总投资的</w:t>
            </w:r>
            <w:r>
              <w:rPr>
                <w:rFonts w:hint="eastAsia"/>
                <w:color w:val="auto"/>
                <w:highlight w:val="none"/>
                <w:lang w:val="en-US" w:eastAsia="zh-CN"/>
              </w:rPr>
              <w:t>5</w:t>
            </w:r>
            <w:r>
              <w:rPr>
                <w:rFonts w:hint="eastAsia"/>
                <w:color w:val="auto"/>
                <w:highlight w:val="none"/>
              </w:rPr>
              <w:t>%。</w:t>
            </w:r>
          </w:p>
          <w:p w14:paraId="04BFB7A8">
            <w:pPr>
              <w:numPr>
                <w:ilvl w:val="0"/>
                <w:numId w:val="0"/>
              </w:numPr>
              <w:ind w:firstLine="480" w:firstLineChars="200"/>
              <w:rPr>
                <w:color w:val="auto"/>
                <w:highlight w:val="none"/>
              </w:rPr>
            </w:pPr>
            <w:r>
              <w:rPr>
                <w:rFonts w:hint="eastAsia"/>
                <w:color w:val="auto"/>
                <w:highlight w:val="none"/>
                <w:lang w:eastAsia="zh-CN"/>
              </w:rPr>
              <w:t>（</w:t>
            </w:r>
            <w:r>
              <w:rPr>
                <w:rFonts w:hint="eastAsia"/>
                <w:color w:val="auto"/>
                <w:highlight w:val="none"/>
                <w:lang w:val="en-US" w:eastAsia="zh-CN"/>
              </w:rPr>
              <w:t>2</w:t>
            </w:r>
            <w:r>
              <w:rPr>
                <w:rFonts w:hint="eastAsia"/>
                <w:color w:val="auto"/>
                <w:highlight w:val="none"/>
                <w:lang w:eastAsia="zh-CN"/>
              </w:rPr>
              <w:t>）</w:t>
            </w:r>
            <w:r>
              <w:rPr>
                <w:color w:val="auto"/>
                <w:highlight w:val="none"/>
              </w:rPr>
              <w:t>本项目符合国家有关产业政策，符合相关行业环境管理要求</w:t>
            </w:r>
            <w:r>
              <w:rPr>
                <w:rFonts w:hint="eastAsia"/>
                <w:color w:val="auto"/>
                <w:highlight w:val="none"/>
                <w:lang w:val="en-US" w:eastAsia="zh-CN"/>
              </w:rPr>
              <w:t>，占地性质为工业用地，选址</w:t>
            </w:r>
            <w:r>
              <w:rPr>
                <w:color w:val="auto"/>
                <w:highlight w:val="none"/>
              </w:rPr>
              <w:t>合理。</w:t>
            </w:r>
          </w:p>
          <w:p w14:paraId="54308280">
            <w:pPr>
              <w:pStyle w:val="85"/>
              <w:keepNext w:val="0"/>
              <w:keepLines w:val="0"/>
              <w:pageBreakBefore w:val="0"/>
              <w:widowControl w:val="0"/>
              <w:kinsoku/>
              <w:wordWrap/>
              <w:overflowPunct/>
              <w:topLinePunct w:val="0"/>
              <w:autoSpaceDE/>
              <w:autoSpaceDN/>
              <w:bidi w:val="0"/>
              <w:adjustRightInd w:val="0"/>
              <w:snapToGrid w:val="0"/>
              <w:ind w:left="0" w:leftChars="0" w:firstLine="480" w:firstLineChars="200"/>
              <w:jc w:val="both"/>
              <w:textAlignment w:val="auto"/>
              <w:rPr>
                <w:color w:val="auto"/>
                <w:highlight w:val="none"/>
              </w:rPr>
            </w:pPr>
            <w:r>
              <w:rPr>
                <w:rFonts w:hint="eastAsia"/>
                <w:color w:val="auto"/>
                <w:highlight w:val="none"/>
              </w:rPr>
              <w:t>（</w:t>
            </w:r>
            <w:r>
              <w:rPr>
                <w:rFonts w:hint="eastAsia"/>
                <w:color w:val="auto"/>
                <w:highlight w:val="none"/>
                <w:lang w:val="en-US" w:eastAsia="zh-CN"/>
              </w:rPr>
              <w:t>3</w:t>
            </w:r>
            <w:r>
              <w:rPr>
                <w:rFonts w:hint="eastAsia"/>
                <w:color w:val="auto"/>
                <w:highlight w:val="none"/>
              </w:rPr>
              <w:t>）</w:t>
            </w:r>
            <w:r>
              <w:rPr>
                <w:rFonts w:hint="eastAsia"/>
                <w:color w:val="auto"/>
                <w:highlight w:val="none"/>
                <w:lang w:val="en-US" w:eastAsia="zh-CN"/>
              </w:rPr>
              <w:t>酸洗池产生的氯化氢经集气罩收集后进入碱喷淋塔进行治理，治理后的废气通过1根15m高排气筒排放，未被收集的氯化氢在封闭车间无组织排放。有组织氯化氢排放浓度及速率满足</w:t>
            </w:r>
            <w:r>
              <w:rPr>
                <w:rFonts w:hint="default" w:ascii="Times New Roman" w:hAnsi="Times New Roman" w:cs="Times New Roman"/>
                <w:color w:val="auto"/>
                <w:sz w:val="24"/>
                <w:szCs w:val="24"/>
                <w:highlight w:val="none"/>
                <w:lang w:val="en-US"/>
              </w:rPr>
              <w:t>《大气污染物综合排放标准》（GB16297-1996） 表2二级排放限值要求</w:t>
            </w:r>
            <w:r>
              <w:rPr>
                <w:rFonts w:hint="eastAsia" w:cs="Times New Roman"/>
                <w:color w:val="auto"/>
                <w:sz w:val="24"/>
                <w:szCs w:val="24"/>
                <w:highlight w:val="none"/>
                <w:lang w:val="en-US" w:eastAsia="zh-CN"/>
              </w:rPr>
              <w:t>：150mg/m</w:t>
            </w:r>
            <w:r>
              <w:rPr>
                <w:rFonts w:hint="eastAsia" w:cs="Times New Roman"/>
                <w:color w:val="auto"/>
                <w:sz w:val="24"/>
                <w:szCs w:val="24"/>
                <w:highlight w:val="none"/>
                <w:vertAlign w:val="superscript"/>
                <w:lang w:val="en-US" w:eastAsia="zh-CN"/>
              </w:rPr>
              <w:t>3</w:t>
            </w:r>
            <w:r>
              <w:rPr>
                <w:rFonts w:hint="eastAsia" w:cs="Times New Roman"/>
                <w:color w:val="auto"/>
                <w:sz w:val="24"/>
                <w:szCs w:val="24"/>
                <w:highlight w:val="none"/>
                <w:vertAlign w:val="baseline"/>
                <w:lang w:val="en-US" w:eastAsia="zh-CN"/>
              </w:rPr>
              <w:t>、0.3kg/h；</w:t>
            </w:r>
            <w:r>
              <w:rPr>
                <w:rFonts w:hint="eastAsia"/>
                <w:b w:val="0"/>
                <w:color w:val="auto"/>
                <w:szCs w:val="24"/>
                <w:highlight w:val="none"/>
                <w:lang w:val="en-US" w:eastAsia="zh-CN"/>
              </w:rPr>
              <w:t>厂界</w:t>
            </w:r>
            <w:r>
              <w:rPr>
                <w:rFonts w:hint="eastAsia"/>
                <w:color w:val="auto"/>
                <w:highlight w:val="none"/>
                <w:lang w:val="en-US" w:eastAsia="zh-CN"/>
              </w:rPr>
              <w:t>无组织氯化氢排放浓度可满足</w:t>
            </w:r>
            <w:r>
              <w:rPr>
                <w:rFonts w:hint="eastAsia"/>
                <w:color w:val="auto"/>
                <w:sz w:val="24"/>
                <w:szCs w:val="21"/>
                <w:highlight w:val="none"/>
                <w:lang w:val="en-US" w:eastAsia="zh-CN"/>
              </w:rPr>
              <w:t>《大气污染物综合排放标准》GB16297-1996表2中无组织标准要求。</w:t>
            </w:r>
          </w:p>
          <w:p w14:paraId="2ECC8A5F">
            <w:pPr>
              <w:adjustRightInd w:val="0"/>
              <w:snapToGrid w:val="0"/>
              <w:ind w:firstLine="480"/>
              <w:rPr>
                <w:color w:val="auto"/>
                <w:highlight w:val="none"/>
              </w:rPr>
            </w:pPr>
            <w:r>
              <w:rPr>
                <w:rFonts w:hint="eastAsia"/>
                <w:color w:val="auto"/>
                <w:highlight w:val="none"/>
              </w:rPr>
              <w:t>（</w:t>
            </w:r>
            <w:r>
              <w:rPr>
                <w:rFonts w:hint="eastAsia"/>
                <w:color w:val="auto"/>
                <w:highlight w:val="none"/>
                <w:lang w:val="en-US" w:eastAsia="zh-CN"/>
              </w:rPr>
              <w:t>4</w:t>
            </w:r>
            <w:r>
              <w:rPr>
                <w:rFonts w:hint="eastAsia"/>
                <w:color w:val="auto"/>
                <w:highlight w:val="none"/>
              </w:rPr>
              <w:t>）</w:t>
            </w:r>
            <w:r>
              <w:rPr>
                <w:rFonts w:hint="default" w:ascii="Times New Roman" w:hAnsi="Times New Roman" w:cs="Times New Roman"/>
                <w:b w:val="0"/>
                <w:bCs w:val="0"/>
                <w:color w:val="auto"/>
                <w:highlight w:val="none"/>
                <w:lang w:val="en-US" w:eastAsia="zh-CN"/>
              </w:rPr>
              <w:t>生活污水进入厂区化粪池后定期</w:t>
            </w:r>
            <w:r>
              <w:rPr>
                <w:rFonts w:hint="eastAsia" w:cs="Times New Roman"/>
                <w:b w:val="0"/>
                <w:bCs w:val="0"/>
                <w:color w:val="auto"/>
                <w:highlight w:val="none"/>
                <w:lang w:val="en-US" w:eastAsia="zh-CN"/>
              </w:rPr>
              <w:t>清掏；</w:t>
            </w:r>
            <w:r>
              <w:rPr>
                <w:rFonts w:hint="eastAsia" w:cs="Times New Roman"/>
                <w:color w:val="auto"/>
                <w:sz w:val="24"/>
                <w:szCs w:val="24"/>
                <w:highlight w:val="none"/>
                <w:lang w:val="en-US" w:eastAsia="zh-CN"/>
              </w:rPr>
              <w:t>废水进入6m</w:t>
            </w:r>
            <w:r>
              <w:rPr>
                <w:rFonts w:hint="eastAsia" w:cs="Times New Roman"/>
                <w:color w:val="auto"/>
                <w:sz w:val="24"/>
                <w:szCs w:val="24"/>
                <w:highlight w:val="none"/>
                <w:vertAlign w:val="superscript"/>
                <w:lang w:val="en-US" w:eastAsia="zh-CN"/>
              </w:rPr>
              <w:t>3</w:t>
            </w:r>
            <w:r>
              <w:rPr>
                <w:rFonts w:hint="eastAsia" w:cs="Times New Roman"/>
                <w:color w:val="auto"/>
                <w:sz w:val="24"/>
                <w:szCs w:val="24"/>
                <w:highlight w:val="none"/>
                <w:lang w:val="en-US" w:eastAsia="zh-CN"/>
              </w:rPr>
              <w:t>废水池后定期使用封闭罐车运至秦皇岛市抚宁区中冶水务有限公司进行处理，废水各污染物《污水综合排放标准》 （GB8978-1996）表四中三级标准、《污水排入城镇下水道水质标准》(GB/T31962-2015)表1中A级及秦皇岛市抚宁区中冶水务有限公司收水水质要求</w:t>
            </w:r>
            <w:r>
              <w:rPr>
                <w:color w:val="auto"/>
                <w:highlight w:val="none"/>
              </w:rPr>
              <w:t>。</w:t>
            </w:r>
          </w:p>
          <w:p w14:paraId="0A84A97B">
            <w:pPr>
              <w:keepNext w:val="0"/>
              <w:keepLines w:val="0"/>
              <w:pageBreakBefore w:val="0"/>
              <w:widowControl w:val="0"/>
              <w:kinsoku/>
              <w:wordWrap/>
              <w:overflowPunct/>
              <w:topLinePunct w:val="0"/>
              <w:autoSpaceDE/>
              <w:autoSpaceDN/>
              <w:bidi w:val="0"/>
              <w:adjustRightInd/>
              <w:snapToGrid/>
              <w:ind w:firstLine="482"/>
              <w:jc w:val="both"/>
              <w:textAlignment w:val="auto"/>
              <w:rPr>
                <w:color w:val="auto"/>
                <w:highlight w:val="none"/>
              </w:rPr>
            </w:pPr>
            <w:r>
              <w:rPr>
                <w:color w:val="auto"/>
                <w:highlight w:val="none"/>
              </w:rPr>
              <w:t>（</w:t>
            </w:r>
            <w:r>
              <w:rPr>
                <w:rFonts w:hint="eastAsia"/>
                <w:color w:val="auto"/>
                <w:highlight w:val="none"/>
                <w:lang w:val="en-US" w:eastAsia="zh-CN"/>
              </w:rPr>
              <w:t>5</w:t>
            </w:r>
            <w:r>
              <w:rPr>
                <w:color w:val="auto"/>
                <w:highlight w:val="none"/>
              </w:rPr>
              <w:t>）</w:t>
            </w:r>
            <w:r>
              <w:rPr>
                <w:rFonts w:hint="eastAsia"/>
                <w:color w:val="auto"/>
                <w:highlight w:val="none"/>
                <w:lang w:val="en-US" w:eastAsia="zh-CN"/>
              </w:rPr>
              <w:t>东、西、南</w:t>
            </w:r>
            <w:r>
              <w:rPr>
                <w:color w:val="auto"/>
                <w:highlight w:val="none"/>
              </w:rPr>
              <w:t>厂界</w:t>
            </w:r>
            <w:r>
              <w:rPr>
                <w:rFonts w:hint="eastAsia"/>
                <w:color w:val="auto"/>
                <w:highlight w:val="none"/>
              </w:rPr>
              <w:t>噪声</w:t>
            </w:r>
            <w:r>
              <w:rPr>
                <w:rFonts w:hint="eastAsia"/>
                <w:color w:val="auto"/>
                <w:highlight w:val="none"/>
                <w:lang w:val="en-US" w:eastAsia="zh-CN"/>
              </w:rPr>
              <w:t>满足</w:t>
            </w:r>
            <w:r>
              <w:rPr>
                <w:color w:val="auto"/>
                <w:highlight w:val="none"/>
              </w:rPr>
              <w:t>符合《工业企业厂界环境噪声排放标准》（GB12348-2008）</w:t>
            </w:r>
            <w:r>
              <w:rPr>
                <w:rFonts w:hint="eastAsia"/>
                <w:color w:val="auto"/>
                <w:highlight w:val="none"/>
                <w:lang w:val="en-US" w:eastAsia="zh-CN"/>
              </w:rPr>
              <w:t>2</w:t>
            </w:r>
            <w:r>
              <w:rPr>
                <w:color w:val="auto"/>
                <w:highlight w:val="none"/>
              </w:rPr>
              <w:t>类</w:t>
            </w:r>
            <w:r>
              <w:rPr>
                <w:rFonts w:hint="eastAsia"/>
                <w:color w:val="auto"/>
                <w:highlight w:val="none"/>
              </w:rPr>
              <w:t>标准</w:t>
            </w:r>
            <w:r>
              <w:rPr>
                <w:color w:val="auto"/>
                <w:highlight w:val="none"/>
              </w:rPr>
              <w:t>要求</w:t>
            </w:r>
            <w:r>
              <w:rPr>
                <w:rFonts w:hint="eastAsia"/>
                <w:color w:val="auto"/>
                <w:highlight w:val="none"/>
                <w:lang w:eastAsia="zh-CN"/>
              </w:rPr>
              <w:t>、</w:t>
            </w:r>
            <w:r>
              <w:rPr>
                <w:rFonts w:hint="eastAsia"/>
                <w:color w:val="auto"/>
                <w:highlight w:val="none"/>
                <w:lang w:val="en-US" w:eastAsia="zh-CN"/>
              </w:rPr>
              <w:t>北厂界满足4类标准要求</w:t>
            </w:r>
            <w:r>
              <w:rPr>
                <w:color w:val="auto"/>
                <w:highlight w:val="none"/>
              </w:rPr>
              <w:t>。</w:t>
            </w:r>
          </w:p>
          <w:p w14:paraId="200AEB7F">
            <w:pPr>
              <w:pStyle w:val="85"/>
              <w:ind w:firstLine="480"/>
              <w:jc w:val="both"/>
              <w:rPr>
                <w:color w:val="auto"/>
                <w:highlight w:val="none"/>
              </w:rPr>
            </w:pPr>
            <w:r>
              <w:rPr>
                <w:rFonts w:hint="eastAsia"/>
                <w:color w:val="auto"/>
                <w:highlight w:val="none"/>
              </w:rPr>
              <w:t>（</w:t>
            </w:r>
            <w:r>
              <w:rPr>
                <w:rFonts w:hint="eastAsia"/>
                <w:color w:val="auto"/>
                <w:highlight w:val="none"/>
                <w:lang w:val="en-US" w:eastAsia="zh-CN"/>
              </w:rPr>
              <w:t>6</w:t>
            </w:r>
            <w:r>
              <w:rPr>
                <w:rFonts w:hint="eastAsia"/>
                <w:color w:val="auto"/>
                <w:highlight w:val="none"/>
              </w:rPr>
              <w:t>）本项目</w:t>
            </w:r>
            <w:r>
              <w:rPr>
                <w:rFonts w:hint="eastAsia"/>
                <w:color w:val="auto"/>
                <w:highlight w:val="none"/>
                <w:lang w:val="en-US" w:eastAsia="zh-CN"/>
              </w:rPr>
              <w:t>不含切削液金属屑、不合格品、边角料收集后外售；油泥、废渣、片碱包装袋、盐酸废包装瓶、废油桶、废切削液桶、废切削液、含切削液金属屑收集后暂存危废暂存间，定期交由有资质单位进行处置，本项目</w:t>
            </w:r>
            <w:r>
              <w:rPr>
                <w:rFonts w:hint="eastAsia"/>
                <w:color w:val="auto"/>
                <w:highlight w:val="none"/>
              </w:rPr>
              <w:t>固体废物均合理处置，不向外界排放。</w:t>
            </w:r>
          </w:p>
          <w:p w14:paraId="7215631E">
            <w:pPr>
              <w:ind w:firstLine="480" w:firstLineChars="200"/>
              <w:rPr>
                <w:rFonts w:hint="eastAsia"/>
                <w:color w:val="auto"/>
                <w:highlight w:val="none"/>
              </w:rPr>
            </w:pPr>
            <w:r>
              <w:rPr>
                <w:rFonts w:hint="eastAsia"/>
                <w:color w:val="auto"/>
                <w:highlight w:val="none"/>
                <w:lang w:eastAsia="zh-CN"/>
              </w:rPr>
              <w:t>（</w:t>
            </w:r>
            <w:r>
              <w:rPr>
                <w:rFonts w:hint="eastAsia"/>
                <w:color w:val="auto"/>
                <w:highlight w:val="none"/>
                <w:lang w:val="en-US" w:eastAsia="zh-CN"/>
              </w:rPr>
              <w:t>7</w:t>
            </w:r>
            <w:r>
              <w:rPr>
                <w:rFonts w:hint="eastAsia"/>
                <w:color w:val="auto"/>
                <w:highlight w:val="none"/>
                <w:lang w:eastAsia="zh-CN"/>
              </w:rPr>
              <w:t>）</w:t>
            </w:r>
            <w:r>
              <w:rPr>
                <w:rFonts w:hint="eastAsia"/>
                <w:color w:val="auto"/>
                <w:highlight w:val="none"/>
              </w:rPr>
              <w:t>本项目总量控制指标为：</w:t>
            </w:r>
          </w:p>
          <w:p w14:paraId="52DCED72">
            <w:pPr>
              <w:spacing w:line="360" w:lineRule="auto"/>
              <w:ind w:firstLine="480" w:firstLineChars="200"/>
              <w:rPr>
                <w:rFonts w:hint="eastAsia" w:cs="Times New Roman"/>
                <w:b w:val="0"/>
                <w:bCs/>
                <w:color w:val="auto"/>
                <w:sz w:val="24"/>
                <w:szCs w:val="22"/>
                <w:highlight w:val="none"/>
                <w:lang w:val="en-US" w:eastAsia="zh-CN"/>
              </w:rPr>
            </w:pPr>
            <w:r>
              <w:rPr>
                <w:rFonts w:hint="eastAsia" w:cs="Times New Roman"/>
                <w:b w:val="0"/>
                <w:bCs/>
                <w:color w:val="auto"/>
                <w:sz w:val="24"/>
                <w:szCs w:val="22"/>
                <w:highlight w:val="none"/>
                <w:lang w:val="en-US" w:eastAsia="zh-CN"/>
              </w:rPr>
              <w:t>根据计算本项目总量控制指标为COD：0.006t/a、氨氮：0.001t/a。根据秦皇岛市生态环境局出具的总量确认书，本项目新增COD、氨氮总量指标从抚宁区中冶水务二期扩建项目减排工程中调剂。</w:t>
            </w:r>
          </w:p>
          <w:p w14:paraId="7A966662">
            <w:pPr>
              <w:pStyle w:val="8"/>
              <w:ind w:firstLine="480" w:firstLineChars="200"/>
              <w:rPr>
                <w:b w:val="0"/>
                <w:bCs/>
                <w:color w:val="auto"/>
                <w:sz w:val="24"/>
                <w:szCs w:val="22"/>
                <w:highlight w:val="none"/>
              </w:rPr>
            </w:pPr>
            <w:r>
              <w:rPr>
                <w:rFonts w:hint="eastAsia"/>
                <w:b w:val="0"/>
                <w:bCs/>
                <w:color w:val="auto"/>
                <w:sz w:val="24"/>
                <w:szCs w:val="22"/>
                <w:highlight w:val="none"/>
                <w:lang w:eastAsia="zh-CN"/>
              </w:rPr>
              <w:t>（</w:t>
            </w:r>
            <w:r>
              <w:rPr>
                <w:rFonts w:hint="eastAsia"/>
                <w:b w:val="0"/>
                <w:bCs/>
                <w:color w:val="auto"/>
                <w:sz w:val="24"/>
                <w:szCs w:val="22"/>
                <w:highlight w:val="none"/>
                <w:lang w:val="en-US" w:eastAsia="zh-CN"/>
              </w:rPr>
              <w:t>8</w:t>
            </w:r>
            <w:r>
              <w:rPr>
                <w:rFonts w:hint="eastAsia"/>
                <w:b w:val="0"/>
                <w:bCs/>
                <w:color w:val="auto"/>
                <w:sz w:val="24"/>
                <w:szCs w:val="22"/>
                <w:highlight w:val="none"/>
                <w:lang w:eastAsia="zh-CN"/>
              </w:rPr>
              <w:t>）</w:t>
            </w:r>
            <w:r>
              <w:rPr>
                <w:b w:val="0"/>
                <w:bCs/>
                <w:color w:val="auto"/>
                <w:sz w:val="24"/>
                <w:szCs w:val="22"/>
                <w:highlight w:val="none"/>
              </w:rPr>
              <w:t>综合结论</w:t>
            </w:r>
          </w:p>
          <w:p w14:paraId="23CEAEEA">
            <w:pPr>
              <w:ind w:firstLine="480" w:firstLineChars="200"/>
              <w:rPr>
                <w:color w:val="auto"/>
                <w:highlight w:val="none"/>
              </w:rPr>
            </w:pPr>
            <w:r>
              <w:rPr>
                <w:color w:val="auto"/>
                <w:highlight w:val="none"/>
              </w:rPr>
              <w:t>综上所述，该项目符合国家产业政策，厂址选择可行，工程采取了较为完善的污染防治措施，可确保达标排放，项目的建设不会对周围环境产生明显的污染影响。在全面加强监督管理，严格执行“三同时”前提下，从环保角度分析项目的建设可行。</w:t>
            </w:r>
          </w:p>
        </w:tc>
      </w:tr>
    </w:tbl>
    <w:p w14:paraId="7EF9995E">
      <w:pPr>
        <w:rPr>
          <w:color w:val="auto"/>
          <w:highlight w:val="none"/>
        </w:rPr>
        <w:sectPr>
          <w:pgSz w:w="11906" w:h="16838"/>
          <w:pgMar w:top="1701" w:right="1531" w:bottom="1701" w:left="1531" w:header="851" w:footer="851" w:gutter="0"/>
          <w:pgNumType w:fmt="decimal"/>
          <w:cols w:space="720" w:num="1"/>
          <w:docGrid w:linePitch="312" w:charSpace="0"/>
        </w:sectPr>
      </w:pPr>
    </w:p>
    <w:p w14:paraId="6AACF02B">
      <w:pPr>
        <w:pStyle w:val="6"/>
        <w:jc w:val="both"/>
        <w:rPr>
          <w:color w:val="auto"/>
          <w:highlight w:val="none"/>
        </w:rPr>
      </w:pPr>
      <w:r>
        <w:rPr>
          <w:color w:val="auto"/>
          <w:highlight w:val="none"/>
        </w:rPr>
        <w:t>附表</w:t>
      </w:r>
    </w:p>
    <w:p w14:paraId="46BF0682">
      <w:pPr>
        <w:pStyle w:val="30"/>
        <w:adjustRightInd w:val="0"/>
        <w:snapToGrid w:val="0"/>
        <w:spacing w:before="0" w:beforeAutospacing="0" w:after="0" w:afterAutospacing="0" w:line="240" w:lineRule="auto"/>
        <w:jc w:val="center"/>
        <w:outlineLvl w:val="0"/>
        <w:rPr>
          <w:rFonts w:ascii="Times New Roman" w:hAnsi="Times New Roman" w:eastAsia="黑体"/>
          <w:snapToGrid w:val="0"/>
          <w:color w:val="auto"/>
          <w:sz w:val="32"/>
          <w:szCs w:val="32"/>
          <w:highlight w:val="none"/>
        </w:rPr>
      </w:pPr>
      <w:r>
        <w:rPr>
          <w:rFonts w:ascii="Times New Roman" w:hAnsi="Times New Roman" w:eastAsia="黑体"/>
          <w:snapToGrid w:val="0"/>
          <w:color w:val="auto"/>
          <w:sz w:val="32"/>
          <w:szCs w:val="32"/>
          <w:highlight w:val="none"/>
        </w:rPr>
        <w:t>建设项目污染物排放量汇总表</w:t>
      </w:r>
    </w:p>
    <w:tbl>
      <w:tblPr>
        <w:tblStyle w:val="34"/>
        <w:tblW w:w="1417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62"/>
        <w:gridCol w:w="1784"/>
        <w:gridCol w:w="1591"/>
        <w:gridCol w:w="1312"/>
        <w:gridCol w:w="1748"/>
        <w:gridCol w:w="1603"/>
        <w:gridCol w:w="1631"/>
        <w:gridCol w:w="1705"/>
        <w:gridCol w:w="1337"/>
      </w:tblGrid>
      <w:tr w14:paraId="2B1AF5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462" w:type="dxa"/>
            <w:tcBorders>
              <w:tl2br w:val="single" w:color="auto" w:sz="4" w:space="0"/>
            </w:tcBorders>
            <w:tcMar>
              <w:left w:w="28" w:type="dxa"/>
              <w:right w:w="28" w:type="dxa"/>
            </w:tcMar>
            <w:vAlign w:val="center"/>
          </w:tcPr>
          <w:p w14:paraId="3D79D0B5">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 xml:space="preserve">     项目</w:t>
            </w:r>
          </w:p>
          <w:p w14:paraId="4D5E691D">
            <w:pPr>
              <w:pStyle w:val="58"/>
              <w:ind w:firstLine="0" w:firstLineChars="0"/>
              <w:jc w:val="both"/>
              <w:rPr>
                <w:rFonts w:hint="default" w:ascii="Times New Roman" w:hAnsi="Times New Roman" w:cs="Times New Roman"/>
                <w:color w:val="auto"/>
                <w:highlight w:val="none"/>
              </w:rPr>
            </w:pPr>
            <w:r>
              <w:rPr>
                <w:rFonts w:hint="default" w:ascii="Times New Roman" w:hAnsi="Times New Roman" w:cs="Times New Roman"/>
                <w:color w:val="auto"/>
                <w:highlight w:val="none"/>
              </w:rPr>
              <w:t>分类</w:t>
            </w:r>
          </w:p>
        </w:tc>
        <w:tc>
          <w:tcPr>
            <w:tcW w:w="1784" w:type="dxa"/>
            <w:tcMar>
              <w:left w:w="28" w:type="dxa"/>
              <w:right w:w="28" w:type="dxa"/>
            </w:tcMar>
            <w:vAlign w:val="center"/>
          </w:tcPr>
          <w:p w14:paraId="016B44FD">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污染物名称</w:t>
            </w:r>
          </w:p>
        </w:tc>
        <w:tc>
          <w:tcPr>
            <w:tcW w:w="1591" w:type="dxa"/>
            <w:tcMar>
              <w:left w:w="28" w:type="dxa"/>
              <w:right w:w="28" w:type="dxa"/>
            </w:tcMar>
            <w:vAlign w:val="center"/>
          </w:tcPr>
          <w:p w14:paraId="700DB941">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现有工程</w:t>
            </w:r>
          </w:p>
          <w:p w14:paraId="2D24EB47">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排放量（固体废物产生量）</w:t>
            </w: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1 \* GB3 \* MERGEFORMAT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①</w:t>
            </w:r>
            <w:r>
              <w:rPr>
                <w:rFonts w:hint="default" w:ascii="Times New Roman" w:hAnsi="Times New Roman" w:cs="Times New Roman"/>
                <w:color w:val="auto"/>
                <w:highlight w:val="none"/>
              </w:rPr>
              <w:fldChar w:fldCharType="end"/>
            </w:r>
          </w:p>
        </w:tc>
        <w:tc>
          <w:tcPr>
            <w:tcW w:w="1312" w:type="dxa"/>
            <w:tcMar>
              <w:left w:w="28" w:type="dxa"/>
              <w:right w:w="28" w:type="dxa"/>
            </w:tcMar>
            <w:vAlign w:val="center"/>
          </w:tcPr>
          <w:p w14:paraId="49452B86">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现有工程</w:t>
            </w:r>
          </w:p>
          <w:p w14:paraId="47BE5BE1">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许可排放量</w:t>
            </w:r>
          </w:p>
          <w:p w14:paraId="272A3944">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2 \* GB3 \* MERGEFORMAT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②</w:t>
            </w:r>
            <w:r>
              <w:rPr>
                <w:rFonts w:hint="default" w:ascii="Times New Roman" w:hAnsi="Times New Roman" w:cs="Times New Roman"/>
                <w:color w:val="auto"/>
                <w:highlight w:val="none"/>
              </w:rPr>
              <w:fldChar w:fldCharType="end"/>
            </w:r>
          </w:p>
        </w:tc>
        <w:tc>
          <w:tcPr>
            <w:tcW w:w="1748" w:type="dxa"/>
            <w:tcMar>
              <w:left w:w="28" w:type="dxa"/>
              <w:right w:w="28" w:type="dxa"/>
            </w:tcMar>
            <w:vAlign w:val="center"/>
          </w:tcPr>
          <w:p w14:paraId="40600F7B">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在建工程</w:t>
            </w:r>
          </w:p>
          <w:p w14:paraId="55E7FD07">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排放量（固体废物产生量）</w:t>
            </w: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3 \* GB3 \* MERGEFORMAT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③</w:t>
            </w:r>
            <w:r>
              <w:rPr>
                <w:rFonts w:hint="default" w:ascii="Times New Roman" w:hAnsi="Times New Roman" w:cs="Times New Roman"/>
                <w:color w:val="auto"/>
                <w:highlight w:val="none"/>
              </w:rPr>
              <w:fldChar w:fldCharType="end"/>
            </w:r>
          </w:p>
        </w:tc>
        <w:tc>
          <w:tcPr>
            <w:tcW w:w="1603" w:type="dxa"/>
            <w:tcMar>
              <w:left w:w="28" w:type="dxa"/>
              <w:right w:w="28" w:type="dxa"/>
            </w:tcMar>
            <w:vAlign w:val="center"/>
          </w:tcPr>
          <w:p w14:paraId="56EC1FB2">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本项目</w:t>
            </w:r>
          </w:p>
          <w:p w14:paraId="64E4A6D8">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排放量（固体废物产生量）</w:t>
            </w: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4 \* GB3 \* MERGEFORMAT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④</w:t>
            </w:r>
            <w:r>
              <w:rPr>
                <w:rFonts w:hint="default" w:ascii="Times New Roman" w:hAnsi="Times New Roman" w:cs="Times New Roman"/>
                <w:color w:val="auto"/>
                <w:highlight w:val="none"/>
              </w:rPr>
              <w:fldChar w:fldCharType="end"/>
            </w:r>
          </w:p>
        </w:tc>
        <w:tc>
          <w:tcPr>
            <w:tcW w:w="1631" w:type="dxa"/>
            <w:tcMar>
              <w:left w:w="28" w:type="dxa"/>
              <w:right w:w="28" w:type="dxa"/>
            </w:tcMar>
            <w:vAlign w:val="center"/>
          </w:tcPr>
          <w:p w14:paraId="482BE686">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以新带老削减量</w:t>
            </w:r>
          </w:p>
          <w:p w14:paraId="72C75CA3">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（新建项目不填）</w:t>
            </w: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5 \* GB3 \* MERGEFORMAT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⑤</w:t>
            </w:r>
            <w:r>
              <w:rPr>
                <w:rFonts w:hint="default" w:ascii="Times New Roman" w:hAnsi="Times New Roman" w:cs="Times New Roman"/>
                <w:color w:val="auto"/>
                <w:highlight w:val="none"/>
              </w:rPr>
              <w:fldChar w:fldCharType="end"/>
            </w:r>
          </w:p>
        </w:tc>
        <w:tc>
          <w:tcPr>
            <w:tcW w:w="1705" w:type="dxa"/>
            <w:tcMar>
              <w:left w:w="28" w:type="dxa"/>
              <w:right w:w="28" w:type="dxa"/>
            </w:tcMar>
            <w:vAlign w:val="center"/>
          </w:tcPr>
          <w:p w14:paraId="15567480">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本项目建成后</w:t>
            </w:r>
          </w:p>
          <w:p w14:paraId="6452C843">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全厂排放量（固体废物产生量）</w:t>
            </w: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6 \* GB3 \* MERGEFORMAT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⑥</w:t>
            </w:r>
            <w:r>
              <w:rPr>
                <w:rFonts w:hint="default" w:ascii="Times New Roman" w:hAnsi="Times New Roman" w:cs="Times New Roman"/>
                <w:color w:val="auto"/>
                <w:highlight w:val="none"/>
              </w:rPr>
              <w:fldChar w:fldCharType="end"/>
            </w:r>
          </w:p>
        </w:tc>
        <w:tc>
          <w:tcPr>
            <w:tcW w:w="1337" w:type="dxa"/>
            <w:tcMar>
              <w:left w:w="28" w:type="dxa"/>
              <w:right w:w="28" w:type="dxa"/>
            </w:tcMar>
            <w:vAlign w:val="center"/>
          </w:tcPr>
          <w:p w14:paraId="39C4C670">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变化量</w:t>
            </w:r>
          </w:p>
          <w:p w14:paraId="62EE1B11">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7 \* GB3 \* MERGEFORMAT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⑦</w:t>
            </w:r>
            <w:r>
              <w:rPr>
                <w:rFonts w:hint="default" w:ascii="Times New Roman" w:hAnsi="Times New Roman" w:cs="Times New Roman"/>
                <w:color w:val="auto"/>
                <w:highlight w:val="none"/>
              </w:rPr>
              <w:fldChar w:fldCharType="end"/>
            </w:r>
          </w:p>
        </w:tc>
      </w:tr>
      <w:tr w14:paraId="3573EAF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1" w:hRule="atLeast"/>
          <w:jc w:val="center"/>
        </w:trPr>
        <w:tc>
          <w:tcPr>
            <w:tcW w:w="1462" w:type="dxa"/>
            <w:vMerge w:val="restart"/>
            <w:vAlign w:val="center"/>
          </w:tcPr>
          <w:p w14:paraId="5BDD73B3">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废气</w:t>
            </w:r>
          </w:p>
        </w:tc>
        <w:tc>
          <w:tcPr>
            <w:tcW w:w="1784" w:type="dxa"/>
            <w:vAlign w:val="center"/>
          </w:tcPr>
          <w:p w14:paraId="676EE90C">
            <w:pPr>
              <w:pStyle w:val="58"/>
              <w:ind w:firstLine="0"/>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颗粒物</w:t>
            </w:r>
          </w:p>
        </w:tc>
        <w:tc>
          <w:tcPr>
            <w:tcW w:w="1591" w:type="dxa"/>
            <w:vAlign w:val="center"/>
          </w:tcPr>
          <w:p w14:paraId="72DA45FD">
            <w:pPr>
              <w:pStyle w:val="58"/>
              <w:ind w:firstLine="0"/>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highlight w:val="none"/>
              </w:rPr>
              <w:t>/</w:t>
            </w:r>
          </w:p>
        </w:tc>
        <w:tc>
          <w:tcPr>
            <w:tcW w:w="1312" w:type="dxa"/>
            <w:vAlign w:val="center"/>
          </w:tcPr>
          <w:p w14:paraId="72ED1EE4">
            <w:pPr>
              <w:pStyle w:val="58"/>
              <w:ind w:firstLine="0"/>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highlight w:val="none"/>
              </w:rPr>
              <w:t>/</w:t>
            </w:r>
          </w:p>
        </w:tc>
        <w:tc>
          <w:tcPr>
            <w:tcW w:w="1748" w:type="dxa"/>
            <w:vAlign w:val="center"/>
          </w:tcPr>
          <w:p w14:paraId="759A1F56">
            <w:pPr>
              <w:pStyle w:val="58"/>
              <w:ind w:firstLine="0"/>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highlight w:val="none"/>
              </w:rPr>
              <w:t>/</w:t>
            </w:r>
          </w:p>
        </w:tc>
        <w:tc>
          <w:tcPr>
            <w:tcW w:w="1603" w:type="dxa"/>
            <w:vAlign w:val="center"/>
          </w:tcPr>
          <w:p w14:paraId="786F4FDD">
            <w:pPr>
              <w:pStyle w:val="58"/>
              <w:ind w:firstLine="0" w:firstLineChars="0"/>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highlight w:val="none"/>
              </w:rPr>
              <w:t>/</w:t>
            </w:r>
          </w:p>
        </w:tc>
        <w:tc>
          <w:tcPr>
            <w:tcW w:w="1631" w:type="dxa"/>
            <w:vAlign w:val="center"/>
          </w:tcPr>
          <w:p w14:paraId="46291DB4">
            <w:pPr>
              <w:pStyle w:val="58"/>
              <w:ind w:firstLine="0" w:firstLineChars="0"/>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highlight w:val="none"/>
              </w:rPr>
              <w:t>/</w:t>
            </w:r>
          </w:p>
        </w:tc>
        <w:tc>
          <w:tcPr>
            <w:tcW w:w="1705" w:type="dxa"/>
            <w:vAlign w:val="center"/>
          </w:tcPr>
          <w:p w14:paraId="7575EA8A">
            <w:pPr>
              <w:pStyle w:val="58"/>
              <w:ind w:firstLine="0" w:firstLineChars="0"/>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highlight w:val="none"/>
              </w:rPr>
              <w:t>/</w:t>
            </w:r>
          </w:p>
        </w:tc>
        <w:tc>
          <w:tcPr>
            <w:tcW w:w="1337" w:type="dxa"/>
            <w:vAlign w:val="center"/>
          </w:tcPr>
          <w:p w14:paraId="5243577F">
            <w:pPr>
              <w:pStyle w:val="58"/>
              <w:ind w:firstLine="0" w:firstLineChars="0"/>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highlight w:val="none"/>
              </w:rPr>
              <w:t>/</w:t>
            </w:r>
          </w:p>
        </w:tc>
      </w:tr>
      <w:tr w14:paraId="61C885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 w:hRule="atLeast"/>
          <w:jc w:val="center"/>
        </w:trPr>
        <w:tc>
          <w:tcPr>
            <w:tcW w:w="1462" w:type="dxa"/>
            <w:vMerge w:val="continue"/>
            <w:vAlign w:val="center"/>
          </w:tcPr>
          <w:p w14:paraId="470B7F55">
            <w:pPr>
              <w:pStyle w:val="58"/>
              <w:ind w:firstLine="0"/>
              <w:rPr>
                <w:rFonts w:hint="default" w:ascii="Times New Roman" w:hAnsi="Times New Roman" w:cs="Times New Roman"/>
                <w:color w:val="auto"/>
                <w:highlight w:val="none"/>
              </w:rPr>
            </w:pPr>
          </w:p>
        </w:tc>
        <w:tc>
          <w:tcPr>
            <w:tcW w:w="1784" w:type="dxa"/>
            <w:vAlign w:val="center"/>
          </w:tcPr>
          <w:p w14:paraId="74F14965">
            <w:pPr>
              <w:pStyle w:val="58"/>
              <w:ind w:firstLine="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二氧化硫</w:t>
            </w:r>
          </w:p>
        </w:tc>
        <w:tc>
          <w:tcPr>
            <w:tcW w:w="1591" w:type="dxa"/>
            <w:vAlign w:val="center"/>
          </w:tcPr>
          <w:p w14:paraId="03D8867F">
            <w:pPr>
              <w:pStyle w:val="58"/>
              <w:ind w:firstLine="0" w:firstLineChars="0"/>
              <w:rPr>
                <w:rFonts w:hint="default" w:ascii="Times New Roman" w:hAnsi="Times New Roman" w:cs="Times New Roman"/>
                <w:color w:val="auto"/>
                <w:highlight w:val="none"/>
              </w:rPr>
            </w:pPr>
            <w:r>
              <w:rPr>
                <w:rFonts w:hint="default" w:ascii="Times New Roman" w:hAnsi="Times New Roman" w:cs="Times New Roman"/>
                <w:color w:val="auto"/>
                <w:highlight w:val="none"/>
              </w:rPr>
              <w:t>/</w:t>
            </w:r>
          </w:p>
        </w:tc>
        <w:tc>
          <w:tcPr>
            <w:tcW w:w="1312" w:type="dxa"/>
            <w:vAlign w:val="center"/>
          </w:tcPr>
          <w:p w14:paraId="3D8FA6B6">
            <w:pPr>
              <w:pStyle w:val="58"/>
              <w:ind w:firstLine="0" w:firstLineChars="0"/>
              <w:rPr>
                <w:rFonts w:hint="default" w:ascii="Times New Roman" w:hAnsi="Times New Roman" w:cs="Times New Roman"/>
                <w:color w:val="auto"/>
                <w:highlight w:val="none"/>
              </w:rPr>
            </w:pPr>
            <w:r>
              <w:rPr>
                <w:rFonts w:hint="default" w:ascii="Times New Roman" w:hAnsi="Times New Roman" w:cs="Times New Roman"/>
                <w:color w:val="auto"/>
                <w:highlight w:val="none"/>
              </w:rPr>
              <w:t>/</w:t>
            </w:r>
          </w:p>
        </w:tc>
        <w:tc>
          <w:tcPr>
            <w:tcW w:w="1748" w:type="dxa"/>
            <w:vAlign w:val="center"/>
          </w:tcPr>
          <w:p w14:paraId="51A3D277">
            <w:pPr>
              <w:pStyle w:val="58"/>
              <w:ind w:firstLine="0" w:firstLineChars="0"/>
              <w:rPr>
                <w:rFonts w:hint="default" w:ascii="Times New Roman" w:hAnsi="Times New Roman" w:cs="Times New Roman"/>
                <w:color w:val="auto"/>
                <w:highlight w:val="none"/>
              </w:rPr>
            </w:pPr>
            <w:r>
              <w:rPr>
                <w:rFonts w:hint="default" w:ascii="Times New Roman" w:hAnsi="Times New Roman" w:cs="Times New Roman"/>
                <w:color w:val="auto"/>
                <w:highlight w:val="none"/>
              </w:rPr>
              <w:t>/</w:t>
            </w:r>
          </w:p>
        </w:tc>
        <w:tc>
          <w:tcPr>
            <w:tcW w:w="1603" w:type="dxa"/>
            <w:vAlign w:val="center"/>
          </w:tcPr>
          <w:p w14:paraId="3C9B97B2">
            <w:pPr>
              <w:pStyle w:val="58"/>
              <w:ind w:firstLine="0" w:firstLineChars="0"/>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highlight w:val="none"/>
              </w:rPr>
              <w:t>/</w:t>
            </w:r>
          </w:p>
        </w:tc>
        <w:tc>
          <w:tcPr>
            <w:tcW w:w="1631" w:type="dxa"/>
            <w:vAlign w:val="center"/>
          </w:tcPr>
          <w:p w14:paraId="21E95D33">
            <w:pPr>
              <w:pStyle w:val="58"/>
              <w:ind w:firstLine="0" w:firstLineChars="0"/>
              <w:rPr>
                <w:rFonts w:hint="default" w:ascii="Times New Roman" w:hAnsi="Times New Roman" w:cs="Times New Roman"/>
                <w:color w:val="auto"/>
                <w:highlight w:val="none"/>
              </w:rPr>
            </w:pPr>
            <w:r>
              <w:rPr>
                <w:rFonts w:hint="default" w:ascii="Times New Roman" w:hAnsi="Times New Roman" w:cs="Times New Roman"/>
                <w:color w:val="auto"/>
                <w:highlight w:val="none"/>
              </w:rPr>
              <w:t>/</w:t>
            </w:r>
          </w:p>
        </w:tc>
        <w:tc>
          <w:tcPr>
            <w:tcW w:w="1705" w:type="dxa"/>
            <w:vAlign w:val="center"/>
          </w:tcPr>
          <w:p w14:paraId="7BB78221">
            <w:pPr>
              <w:pStyle w:val="58"/>
              <w:ind w:firstLine="0" w:firstLineChars="0"/>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highlight w:val="none"/>
              </w:rPr>
              <w:t>/</w:t>
            </w:r>
          </w:p>
        </w:tc>
        <w:tc>
          <w:tcPr>
            <w:tcW w:w="1337" w:type="dxa"/>
            <w:vAlign w:val="center"/>
          </w:tcPr>
          <w:p w14:paraId="24AECB9A">
            <w:pPr>
              <w:pStyle w:val="58"/>
              <w:ind w:firstLine="0" w:firstLineChars="0"/>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highlight w:val="none"/>
              </w:rPr>
              <w:t>/</w:t>
            </w:r>
          </w:p>
        </w:tc>
      </w:tr>
      <w:tr w14:paraId="648C5F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1462" w:type="dxa"/>
            <w:vMerge w:val="continue"/>
            <w:vAlign w:val="center"/>
          </w:tcPr>
          <w:p w14:paraId="27FD8740">
            <w:pPr>
              <w:pStyle w:val="58"/>
              <w:ind w:firstLine="0"/>
              <w:rPr>
                <w:rFonts w:hint="default" w:ascii="Times New Roman" w:hAnsi="Times New Roman" w:cs="Times New Roman"/>
                <w:color w:val="auto"/>
                <w:highlight w:val="none"/>
              </w:rPr>
            </w:pPr>
          </w:p>
        </w:tc>
        <w:tc>
          <w:tcPr>
            <w:tcW w:w="1784" w:type="dxa"/>
            <w:vAlign w:val="center"/>
          </w:tcPr>
          <w:p w14:paraId="76B38823">
            <w:pPr>
              <w:pStyle w:val="58"/>
              <w:ind w:firstLine="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氮氧化物</w:t>
            </w:r>
          </w:p>
        </w:tc>
        <w:tc>
          <w:tcPr>
            <w:tcW w:w="1591" w:type="dxa"/>
            <w:vAlign w:val="center"/>
          </w:tcPr>
          <w:p w14:paraId="5DD069BB">
            <w:pPr>
              <w:pStyle w:val="58"/>
              <w:ind w:firstLine="0" w:firstLineChars="0"/>
              <w:rPr>
                <w:rFonts w:hint="default" w:ascii="Times New Roman" w:hAnsi="Times New Roman" w:cs="Times New Roman"/>
                <w:color w:val="auto"/>
                <w:highlight w:val="none"/>
              </w:rPr>
            </w:pPr>
            <w:r>
              <w:rPr>
                <w:rFonts w:hint="default" w:ascii="Times New Roman" w:hAnsi="Times New Roman" w:cs="Times New Roman"/>
                <w:color w:val="auto"/>
                <w:highlight w:val="none"/>
              </w:rPr>
              <w:t>/</w:t>
            </w:r>
          </w:p>
        </w:tc>
        <w:tc>
          <w:tcPr>
            <w:tcW w:w="1312" w:type="dxa"/>
            <w:vAlign w:val="center"/>
          </w:tcPr>
          <w:p w14:paraId="05DD8E8C">
            <w:pPr>
              <w:pStyle w:val="58"/>
              <w:ind w:firstLine="0" w:firstLineChars="0"/>
              <w:rPr>
                <w:rFonts w:hint="default" w:ascii="Times New Roman" w:hAnsi="Times New Roman" w:cs="Times New Roman"/>
                <w:color w:val="auto"/>
                <w:highlight w:val="none"/>
              </w:rPr>
            </w:pPr>
            <w:r>
              <w:rPr>
                <w:rFonts w:hint="default" w:ascii="Times New Roman" w:hAnsi="Times New Roman" w:cs="Times New Roman"/>
                <w:color w:val="auto"/>
                <w:highlight w:val="none"/>
              </w:rPr>
              <w:t>/</w:t>
            </w:r>
          </w:p>
        </w:tc>
        <w:tc>
          <w:tcPr>
            <w:tcW w:w="1748" w:type="dxa"/>
            <w:vAlign w:val="center"/>
          </w:tcPr>
          <w:p w14:paraId="3D453963">
            <w:pPr>
              <w:pStyle w:val="58"/>
              <w:ind w:firstLine="0" w:firstLineChars="0"/>
              <w:rPr>
                <w:rFonts w:hint="default" w:ascii="Times New Roman" w:hAnsi="Times New Roman" w:cs="Times New Roman"/>
                <w:color w:val="auto"/>
                <w:highlight w:val="none"/>
              </w:rPr>
            </w:pPr>
            <w:r>
              <w:rPr>
                <w:rFonts w:hint="default" w:ascii="Times New Roman" w:hAnsi="Times New Roman" w:cs="Times New Roman"/>
                <w:color w:val="auto"/>
                <w:highlight w:val="none"/>
              </w:rPr>
              <w:t>/</w:t>
            </w:r>
          </w:p>
        </w:tc>
        <w:tc>
          <w:tcPr>
            <w:tcW w:w="1603" w:type="dxa"/>
            <w:vAlign w:val="center"/>
          </w:tcPr>
          <w:p w14:paraId="5D499EF1">
            <w:pPr>
              <w:pStyle w:val="58"/>
              <w:ind w:firstLine="0" w:firstLineChars="0"/>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highlight w:val="none"/>
              </w:rPr>
              <w:t>/</w:t>
            </w:r>
          </w:p>
        </w:tc>
        <w:tc>
          <w:tcPr>
            <w:tcW w:w="1631" w:type="dxa"/>
            <w:vAlign w:val="center"/>
          </w:tcPr>
          <w:p w14:paraId="7F315F21">
            <w:pPr>
              <w:pStyle w:val="58"/>
              <w:ind w:firstLine="0" w:firstLineChars="0"/>
              <w:rPr>
                <w:rFonts w:hint="default" w:ascii="Times New Roman" w:hAnsi="Times New Roman" w:cs="Times New Roman"/>
                <w:color w:val="auto"/>
                <w:highlight w:val="none"/>
              </w:rPr>
            </w:pPr>
            <w:r>
              <w:rPr>
                <w:rFonts w:hint="default" w:ascii="Times New Roman" w:hAnsi="Times New Roman" w:cs="Times New Roman"/>
                <w:color w:val="auto"/>
                <w:highlight w:val="none"/>
              </w:rPr>
              <w:t>/</w:t>
            </w:r>
          </w:p>
        </w:tc>
        <w:tc>
          <w:tcPr>
            <w:tcW w:w="1705" w:type="dxa"/>
            <w:vAlign w:val="center"/>
          </w:tcPr>
          <w:p w14:paraId="7368EF23">
            <w:pPr>
              <w:pStyle w:val="58"/>
              <w:ind w:firstLine="0" w:firstLineChars="0"/>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highlight w:val="none"/>
              </w:rPr>
              <w:t>/</w:t>
            </w:r>
          </w:p>
        </w:tc>
        <w:tc>
          <w:tcPr>
            <w:tcW w:w="1337" w:type="dxa"/>
            <w:vAlign w:val="center"/>
          </w:tcPr>
          <w:p w14:paraId="76E9EC2A">
            <w:pPr>
              <w:pStyle w:val="58"/>
              <w:ind w:firstLine="0" w:firstLineChars="0"/>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highlight w:val="none"/>
              </w:rPr>
              <w:t>/</w:t>
            </w:r>
          </w:p>
        </w:tc>
      </w:tr>
      <w:tr w14:paraId="4C5C4B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9" w:hRule="exact"/>
          <w:jc w:val="center"/>
        </w:trPr>
        <w:tc>
          <w:tcPr>
            <w:tcW w:w="1462" w:type="dxa"/>
            <w:vMerge w:val="restart"/>
            <w:vAlign w:val="center"/>
          </w:tcPr>
          <w:p w14:paraId="5E5D7C60">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废水</w:t>
            </w:r>
          </w:p>
        </w:tc>
        <w:tc>
          <w:tcPr>
            <w:tcW w:w="1784" w:type="dxa"/>
            <w:vAlign w:val="center"/>
          </w:tcPr>
          <w:p w14:paraId="0DA72CFB">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COD</w:t>
            </w:r>
          </w:p>
        </w:tc>
        <w:tc>
          <w:tcPr>
            <w:tcW w:w="1591" w:type="dxa"/>
            <w:vAlign w:val="center"/>
          </w:tcPr>
          <w:p w14:paraId="7BDEF36D">
            <w:pPr>
              <w:jc w:val="center"/>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kern w:val="0"/>
                <w:sz w:val="21"/>
                <w:szCs w:val="20"/>
                <w:highlight w:val="none"/>
              </w:rPr>
              <w:t>/</w:t>
            </w:r>
          </w:p>
        </w:tc>
        <w:tc>
          <w:tcPr>
            <w:tcW w:w="1312" w:type="dxa"/>
            <w:vAlign w:val="center"/>
          </w:tcPr>
          <w:p w14:paraId="6D3821D4">
            <w:pPr>
              <w:jc w:val="center"/>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kern w:val="0"/>
                <w:sz w:val="21"/>
                <w:szCs w:val="20"/>
                <w:highlight w:val="none"/>
              </w:rPr>
              <w:t>/</w:t>
            </w:r>
          </w:p>
        </w:tc>
        <w:tc>
          <w:tcPr>
            <w:tcW w:w="1748" w:type="dxa"/>
            <w:vAlign w:val="center"/>
          </w:tcPr>
          <w:p w14:paraId="3D066775">
            <w:pPr>
              <w:jc w:val="center"/>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kern w:val="0"/>
                <w:sz w:val="21"/>
                <w:szCs w:val="20"/>
                <w:highlight w:val="none"/>
              </w:rPr>
              <w:t>/</w:t>
            </w:r>
          </w:p>
        </w:tc>
        <w:tc>
          <w:tcPr>
            <w:tcW w:w="1603" w:type="dxa"/>
            <w:vAlign w:val="center"/>
          </w:tcPr>
          <w:p w14:paraId="59A62CC6">
            <w:pPr>
              <w:pStyle w:val="58"/>
              <w:ind w:firstLine="0" w:firstLineChars="0"/>
              <w:rPr>
                <w:rFonts w:hint="default" w:ascii="Times New Roman" w:hAnsi="Times New Roman" w:eastAsia="宋体" w:cs="Times New Roman"/>
                <w:bCs/>
                <w:color w:val="auto"/>
                <w:kern w:val="44"/>
                <w:sz w:val="21"/>
                <w:szCs w:val="21"/>
                <w:highlight w:val="none"/>
                <w:lang w:val="en-US" w:eastAsia="zh-CN" w:bidi="ar-SA"/>
              </w:rPr>
            </w:pPr>
            <w:r>
              <w:rPr>
                <w:rFonts w:hint="eastAsia" w:ascii="Times New Roman" w:hAnsi="Times New Roman" w:cs="Times New Roman"/>
                <w:color w:val="auto"/>
                <w:highlight w:val="none"/>
                <w:lang w:val="en-US" w:eastAsia="zh-CN"/>
              </w:rPr>
              <w:t>0.006</w:t>
            </w:r>
          </w:p>
        </w:tc>
        <w:tc>
          <w:tcPr>
            <w:tcW w:w="1631" w:type="dxa"/>
            <w:vAlign w:val="center"/>
          </w:tcPr>
          <w:p w14:paraId="3749D483">
            <w:pPr>
              <w:pStyle w:val="58"/>
              <w:ind w:firstLine="0" w:firstLineChars="0"/>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highlight w:val="none"/>
              </w:rPr>
              <w:t>/</w:t>
            </w:r>
          </w:p>
        </w:tc>
        <w:tc>
          <w:tcPr>
            <w:tcW w:w="1705" w:type="dxa"/>
            <w:vAlign w:val="center"/>
          </w:tcPr>
          <w:p w14:paraId="13553B3B">
            <w:pPr>
              <w:pStyle w:val="58"/>
              <w:ind w:firstLine="0" w:firstLineChars="0"/>
              <w:rPr>
                <w:rFonts w:hint="default" w:ascii="Times New Roman" w:hAnsi="Times New Roman" w:eastAsia="宋体" w:cs="Times New Roman"/>
                <w:bCs/>
                <w:color w:val="auto"/>
                <w:kern w:val="44"/>
                <w:sz w:val="21"/>
                <w:szCs w:val="21"/>
                <w:highlight w:val="none"/>
                <w:lang w:val="en-US" w:eastAsia="zh-CN" w:bidi="ar-SA"/>
              </w:rPr>
            </w:pPr>
            <w:r>
              <w:rPr>
                <w:rFonts w:hint="eastAsia" w:ascii="Times New Roman" w:hAnsi="Times New Roman" w:cs="Times New Roman"/>
                <w:color w:val="auto"/>
                <w:highlight w:val="none"/>
                <w:lang w:val="en-US" w:eastAsia="zh-CN"/>
              </w:rPr>
              <w:t>0.006</w:t>
            </w:r>
          </w:p>
        </w:tc>
        <w:tc>
          <w:tcPr>
            <w:tcW w:w="1337" w:type="dxa"/>
            <w:vAlign w:val="center"/>
          </w:tcPr>
          <w:p w14:paraId="33E357B4">
            <w:pPr>
              <w:pStyle w:val="58"/>
              <w:ind w:firstLine="0" w:firstLineChars="0"/>
              <w:rPr>
                <w:rFonts w:hint="default" w:ascii="Times New Roman" w:hAnsi="Times New Roman" w:eastAsia="宋体" w:cs="Times New Roman"/>
                <w:bCs/>
                <w:color w:val="auto"/>
                <w:kern w:val="44"/>
                <w:sz w:val="21"/>
                <w:szCs w:val="21"/>
                <w:highlight w:val="none"/>
                <w:lang w:val="en-US" w:eastAsia="zh-CN" w:bidi="ar-SA"/>
              </w:rPr>
            </w:pPr>
            <w:r>
              <w:rPr>
                <w:rFonts w:hint="eastAsia" w:ascii="Times New Roman" w:hAnsi="Times New Roman" w:cs="Times New Roman"/>
                <w:color w:val="auto"/>
                <w:highlight w:val="none"/>
                <w:lang w:val="en-US" w:eastAsia="zh-CN"/>
              </w:rPr>
              <w:t>+0.006</w:t>
            </w:r>
          </w:p>
        </w:tc>
      </w:tr>
      <w:tr w14:paraId="79EE80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0" w:hRule="exact"/>
          <w:jc w:val="center"/>
        </w:trPr>
        <w:tc>
          <w:tcPr>
            <w:tcW w:w="1462" w:type="dxa"/>
            <w:vMerge w:val="continue"/>
            <w:vAlign w:val="center"/>
          </w:tcPr>
          <w:p w14:paraId="12A47425">
            <w:pPr>
              <w:pStyle w:val="58"/>
              <w:ind w:firstLine="0"/>
              <w:rPr>
                <w:rFonts w:hint="default" w:ascii="Times New Roman" w:hAnsi="Times New Roman" w:cs="Times New Roman"/>
                <w:color w:val="auto"/>
                <w:highlight w:val="none"/>
              </w:rPr>
            </w:pPr>
          </w:p>
        </w:tc>
        <w:tc>
          <w:tcPr>
            <w:tcW w:w="1784" w:type="dxa"/>
            <w:vAlign w:val="center"/>
          </w:tcPr>
          <w:p w14:paraId="1B79B4EA">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氨氮</w:t>
            </w:r>
          </w:p>
        </w:tc>
        <w:tc>
          <w:tcPr>
            <w:tcW w:w="1591" w:type="dxa"/>
            <w:vAlign w:val="center"/>
          </w:tcPr>
          <w:p w14:paraId="3624BEC3">
            <w:pPr>
              <w:pStyle w:val="58"/>
              <w:ind w:firstLine="0"/>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highlight w:val="none"/>
              </w:rPr>
              <w:t>/</w:t>
            </w:r>
          </w:p>
        </w:tc>
        <w:tc>
          <w:tcPr>
            <w:tcW w:w="1312" w:type="dxa"/>
            <w:vAlign w:val="center"/>
          </w:tcPr>
          <w:p w14:paraId="233A03B6">
            <w:pPr>
              <w:pStyle w:val="58"/>
              <w:ind w:firstLine="0"/>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highlight w:val="none"/>
              </w:rPr>
              <w:t>/</w:t>
            </w:r>
          </w:p>
        </w:tc>
        <w:tc>
          <w:tcPr>
            <w:tcW w:w="1748" w:type="dxa"/>
            <w:vAlign w:val="center"/>
          </w:tcPr>
          <w:p w14:paraId="3B012919">
            <w:pPr>
              <w:pStyle w:val="58"/>
              <w:ind w:firstLine="0"/>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highlight w:val="none"/>
              </w:rPr>
              <w:t>/</w:t>
            </w:r>
          </w:p>
        </w:tc>
        <w:tc>
          <w:tcPr>
            <w:tcW w:w="1603" w:type="dxa"/>
            <w:vAlign w:val="center"/>
          </w:tcPr>
          <w:p w14:paraId="4B76F5CB">
            <w:pPr>
              <w:pStyle w:val="58"/>
              <w:ind w:firstLine="0" w:firstLineChars="0"/>
              <w:rPr>
                <w:rFonts w:hint="default" w:ascii="Times New Roman" w:hAnsi="Times New Roman" w:eastAsia="宋体" w:cs="Times New Roman"/>
                <w:bCs/>
                <w:color w:val="auto"/>
                <w:kern w:val="44"/>
                <w:sz w:val="21"/>
                <w:szCs w:val="21"/>
                <w:highlight w:val="none"/>
                <w:lang w:val="en-US" w:eastAsia="zh-CN" w:bidi="ar-SA"/>
              </w:rPr>
            </w:pPr>
            <w:r>
              <w:rPr>
                <w:rFonts w:hint="eastAsia" w:ascii="Times New Roman" w:hAnsi="Times New Roman" w:cs="Times New Roman"/>
                <w:color w:val="auto"/>
                <w:highlight w:val="none"/>
                <w:lang w:val="en-US" w:eastAsia="zh-CN"/>
              </w:rPr>
              <w:t>0.001</w:t>
            </w:r>
          </w:p>
        </w:tc>
        <w:tc>
          <w:tcPr>
            <w:tcW w:w="1631" w:type="dxa"/>
            <w:vAlign w:val="center"/>
          </w:tcPr>
          <w:p w14:paraId="75C40016">
            <w:pPr>
              <w:pStyle w:val="58"/>
              <w:ind w:firstLine="0" w:firstLineChars="0"/>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highlight w:val="none"/>
              </w:rPr>
              <w:t>/</w:t>
            </w:r>
          </w:p>
        </w:tc>
        <w:tc>
          <w:tcPr>
            <w:tcW w:w="1705" w:type="dxa"/>
            <w:vAlign w:val="center"/>
          </w:tcPr>
          <w:p w14:paraId="70E02394">
            <w:pPr>
              <w:pStyle w:val="58"/>
              <w:ind w:firstLine="0" w:firstLineChars="0"/>
              <w:rPr>
                <w:rFonts w:hint="default" w:ascii="Times New Roman" w:hAnsi="Times New Roman" w:eastAsia="宋体" w:cs="Times New Roman"/>
                <w:bCs/>
                <w:color w:val="auto"/>
                <w:kern w:val="44"/>
                <w:sz w:val="21"/>
                <w:szCs w:val="21"/>
                <w:highlight w:val="none"/>
                <w:lang w:val="en-US" w:eastAsia="zh-CN" w:bidi="ar-SA"/>
              </w:rPr>
            </w:pPr>
            <w:r>
              <w:rPr>
                <w:rFonts w:hint="eastAsia" w:ascii="Times New Roman" w:hAnsi="Times New Roman" w:cs="Times New Roman"/>
                <w:color w:val="auto"/>
                <w:highlight w:val="none"/>
                <w:lang w:val="en-US" w:eastAsia="zh-CN"/>
              </w:rPr>
              <w:t>0.001</w:t>
            </w:r>
          </w:p>
        </w:tc>
        <w:tc>
          <w:tcPr>
            <w:tcW w:w="1337" w:type="dxa"/>
            <w:vAlign w:val="center"/>
          </w:tcPr>
          <w:p w14:paraId="190F0E24">
            <w:pPr>
              <w:pStyle w:val="58"/>
              <w:ind w:firstLine="0" w:firstLineChars="0"/>
              <w:rPr>
                <w:rFonts w:hint="default" w:ascii="Times New Roman" w:hAnsi="Times New Roman" w:eastAsia="宋体" w:cs="Times New Roman"/>
                <w:bCs/>
                <w:color w:val="auto"/>
                <w:kern w:val="44"/>
                <w:sz w:val="21"/>
                <w:szCs w:val="21"/>
                <w:highlight w:val="none"/>
                <w:lang w:val="en-US" w:eastAsia="zh-CN" w:bidi="ar-SA"/>
              </w:rPr>
            </w:pPr>
            <w:r>
              <w:rPr>
                <w:rFonts w:hint="eastAsia" w:ascii="Times New Roman" w:hAnsi="Times New Roman" w:cs="Times New Roman"/>
                <w:color w:val="auto"/>
                <w:highlight w:val="none"/>
                <w:lang w:val="en-US" w:eastAsia="zh-CN"/>
              </w:rPr>
              <w:t>+0.001</w:t>
            </w:r>
          </w:p>
        </w:tc>
      </w:tr>
      <w:tr w14:paraId="742BF5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5" w:hRule="atLeast"/>
          <w:jc w:val="center"/>
        </w:trPr>
        <w:tc>
          <w:tcPr>
            <w:tcW w:w="1462" w:type="dxa"/>
            <w:vMerge w:val="restart"/>
            <w:vAlign w:val="center"/>
          </w:tcPr>
          <w:p w14:paraId="0388F3FF">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一般工业</w:t>
            </w:r>
          </w:p>
          <w:p w14:paraId="5B97095B">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固体废物</w:t>
            </w:r>
          </w:p>
        </w:tc>
        <w:tc>
          <w:tcPr>
            <w:tcW w:w="1784" w:type="dxa"/>
            <w:vAlign w:val="center"/>
          </w:tcPr>
          <w:p w14:paraId="72A23C7E">
            <w:pPr>
              <w:pStyle w:val="58"/>
              <w:ind w:firstLine="0" w:firstLineChars="0"/>
              <w:rPr>
                <w:rFonts w:hint="default" w:ascii="Times New Roman" w:hAnsi="Times New Roman" w:cs="Times New Roman"/>
                <w:color w:val="auto"/>
                <w:highlight w:val="none"/>
              </w:rPr>
            </w:pPr>
            <w:r>
              <w:rPr>
                <w:rFonts w:hint="eastAsia" w:ascii="Times New Roman" w:hAnsi="Times New Roman" w:cs="Times New Roman"/>
                <w:color w:val="auto"/>
                <w:sz w:val="21"/>
                <w:szCs w:val="21"/>
                <w:highlight w:val="none"/>
                <w:vertAlign w:val="baseline"/>
                <w:lang w:val="en-US" w:eastAsia="zh-CN"/>
              </w:rPr>
              <w:t>不含切削液金属屑</w:t>
            </w:r>
          </w:p>
        </w:tc>
        <w:tc>
          <w:tcPr>
            <w:tcW w:w="1591" w:type="dxa"/>
            <w:vAlign w:val="center"/>
          </w:tcPr>
          <w:p w14:paraId="48FCE881">
            <w:pPr>
              <w:pStyle w:val="58"/>
              <w:ind w:firstLine="0"/>
              <w:rPr>
                <w:rFonts w:hint="default" w:ascii="Times New Roman" w:hAnsi="Times New Roman" w:eastAsia="宋体" w:cs="Times New Roman"/>
                <w:color w:val="auto"/>
                <w:kern w:val="0"/>
                <w:sz w:val="21"/>
                <w:szCs w:val="20"/>
                <w:highlight w:val="none"/>
                <w:lang w:val="en-US" w:eastAsia="zh-CN" w:bidi="ar-SA"/>
              </w:rPr>
            </w:pPr>
            <w:r>
              <w:rPr>
                <w:rFonts w:hint="default" w:ascii="Times New Roman" w:hAnsi="Times New Roman" w:cs="Times New Roman"/>
                <w:color w:val="auto"/>
                <w:highlight w:val="none"/>
              </w:rPr>
              <w:t>/</w:t>
            </w:r>
          </w:p>
        </w:tc>
        <w:tc>
          <w:tcPr>
            <w:tcW w:w="1312" w:type="dxa"/>
            <w:vAlign w:val="center"/>
          </w:tcPr>
          <w:p w14:paraId="229379FF">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w:t>
            </w:r>
          </w:p>
        </w:tc>
        <w:tc>
          <w:tcPr>
            <w:tcW w:w="1748" w:type="dxa"/>
            <w:vAlign w:val="center"/>
          </w:tcPr>
          <w:p w14:paraId="405620D3">
            <w:pPr>
              <w:pStyle w:val="58"/>
              <w:ind w:firstLine="0"/>
              <w:rPr>
                <w:rFonts w:hint="default" w:ascii="Times New Roman" w:hAnsi="Times New Roman" w:cs="Times New Roman"/>
                <w:color w:val="auto"/>
                <w:highlight w:val="none"/>
              </w:rPr>
            </w:pPr>
            <w:r>
              <w:rPr>
                <w:rFonts w:hint="default" w:ascii="Times New Roman" w:hAnsi="Times New Roman" w:cs="Times New Roman"/>
                <w:color w:val="auto"/>
                <w:highlight w:val="none"/>
              </w:rPr>
              <w:t>/</w:t>
            </w:r>
          </w:p>
        </w:tc>
        <w:tc>
          <w:tcPr>
            <w:tcW w:w="1603" w:type="dxa"/>
            <w:vAlign w:val="center"/>
          </w:tcPr>
          <w:p w14:paraId="31EB006D">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sz w:val="21"/>
                <w:szCs w:val="21"/>
                <w:highlight w:val="none"/>
                <w:vertAlign w:val="baseline"/>
                <w:lang w:val="en-US" w:eastAsia="zh-CN"/>
              </w:rPr>
              <w:t>15t/a</w:t>
            </w:r>
          </w:p>
        </w:tc>
        <w:tc>
          <w:tcPr>
            <w:tcW w:w="1631" w:type="dxa"/>
            <w:vAlign w:val="center"/>
          </w:tcPr>
          <w:p w14:paraId="7C2EB0DE">
            <w:pPr>
              <w:pStyle w:val="58"/>
              <w:ind w:firstLine="0"/>
              <w:rPr>
                <w:rFonts w:hint="default" w:ascii="Times New Roman" w:hAnsi="Times New Roman" w:eastAsia="宋体" w:cs="Times New Roman"/>
                <w:bCs/>
                <w:color w:val="auto"/>
                <w:kern w:val="44"/>
                <w:sz w:val="21"/>
                <w:szCs w:val="21"/>
                <w:highlight w:val="none"/>
                <w:lang w:val="en-US" w:eastAsia="zh-CN" w:bidi="ar-SA"/>
              </w:rPr>
            </w:pPr>
            <w:r>
              <w:rPr>
                <w:rFonts w:hint="default" w:ascii="Times New Roman" w:hAnsi="Times New Roman" w:cs="Times New Roman"/>
                <w:color w:val="auto"/>
                <w:highlight w:val="none"/>
              </w:rPr>
              <w:t>/</w:t>
            </w:r>
          </w:p>
        </w:tc>
        <w:tc>
          <w:tcPr>
            <w:tcW w:w="1705" w:type="dxa"/>
            <w:vAlign w:val="center"/>
          </w:tcPr>
          <w:p w14:paraId="05A06CB2">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sz w:val="21"/>
                <w:szCs w:val="21"/>
                <w:highlight w:val="none"/>
                <w:vertAlign w:val="baseline"/>
                <w:lang w:val="en-US" w:eastAsia="zh-CN"/>
              </w:rPr>
              <w:t>15t/a</w:t>
            </w:r>
          </w:p>
        </w:tc>
        <w:tc>
          <w:tcPr>
            <w:tcW w:w="1337" w:type="dxa"/>
            <w:vAlign w:val="center"/>
          </w:tcPr>
          <w:p w14:paraId="6C812F0D">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highlight w:val="none"/>
              </w:rPr>
            </w:pPr>
            <w:r>
              <w:rPr>
                <w:rFonts w:hint="eastAsia" w:ascii="Times New Roman" w:hAnsi="Times New Roman" w:cs="Times New Roman"/>
                <w:color w:val="auto"/>
                <w:sz w:val="21"/>
                <w:szCs w:val="21"/>
                <w:highlight w:val="none"/>
                <w:vertAlign w:val="baseline"/>
                <w:lang w:val="en-US" w:eastAsia="zh-CN"/>
              </w:rPr>
              <w:t>+15t/a</w:t>
            </w:r>
          </w:p>
        </w:tc>
      </w:tr>
      <w:tr w14:paraId="4D119E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1462" w:type="dxa"/>
            <w:vMerge w:val="continue"/>
            <w:vAlign w:val="center"/>
          </w:tcPr>
          <w:p w14:paraId="723AF228">
            <w:pPr>
              <w:pStyle w:val="58"/>
              <w:ind w:firstLine="0"/>
              <w:rPr>
                <w:rFonts w:hint="default" w:ascii="Times New Roman" w:hAnsi="Times New Roman" w:cs="Times New Roman"/>
                <w:color w:val="auto"/>
                <w:highlight w:val="none"/>
              </w:rPr>
            </w:pPr>
          </w:p>
        </w:tc>
        <w:tc>
          <w:tcPr>
            <w:tcW w:w="1784" w:type="dxa"/>
            <w:vAlign w:val="center"/>
          </w:tcPr>
          <w:p w14:paraId="111B002F">
            <w:pPr>
              <w:pStyle w:val="58"/>
              <w:ind w:firstLine="0" w:firstLineChars="0"/>
              <w:rPr>
                <w:rFonts w:hint="default" w:ascii="Times New Roman" w:hAnsi="Times New Roman" w:cs="Times New Roman"/>
                <w:color w:val="auto"/>
                <w:highlight w:val="none"/>
                <w:lang w:val="en-US" w:eastAsia="zh-CN"/>
              </w:rPr>
            </w:pPr>
            <w:r>
              <w:rPr>
                <w:rFonts w:hint="eastAsia" w:ascii="Times New Roman" w:hAnsi="Times New Roman" w:cs="Times New Roman"/>
                <w:color w:val="auto"/>
                <w:sz w:val="21"/>
                <w:szCs w:val="21"/>
                <w:highlight w:val="none"/>
                <w:vertAlign w:val="baseline"/>
                <w:lang w:val="en-US" w:eastAsia="zh-CN"/>
              </w:rPr>
              <w:t>不合格品</w:t>
            </w:r>
          </w:p>
        </w:tc>
        <w:tc>
          <w:tcPr>
            <w:tcW w:w="1591" w:type="dxa"/>
            <w:vAlign w:val="center"/>
          </w:tcPr>
          <w:p w14:paraId="2A72493A">
            <w:pPr>
              <w:pStyle w:val="58"/>
              <w:ind w:firstLine="0"/>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312" w:type="dxa"/>
            <w:vAlign w:val="center"/>
          </w:tcPr>
          <w:p w14:paraId="11F14AA4">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748" w:type="dxa"/>
            <w:vAlign w:val="center"/>
          </w:tcPr>
          <w:p w14:paraId="25C93556">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603" w:type="dxa"/>
            <w:vAlign w:val="center"/>
          </w:tcPr>
          <w:p w14:paraId="6A97C2AD">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sz w:val="21"/>
                <w:szCs w:val="21"/>
                <w:highlight w:val="none"/>
                <w:vertAlign w:val="baseline"/>
                <w:lang w:val="en-US" w:eastAsia="zh-CN"/>
              </w:rPr>
              <w:t>3t/a</w:t>
            </w:r>
          </w:p>
        </w:tc>
        <w:tc>
          <w:tcPr>
            <w:tcW w:w="1631" w:type="dxa"/>
            <w:vAlign w:val="center"/>
          </w:tcPr>
          <w:p w14:paraId="7515A7E8">
            <w:pPr>
              <w:pStyle w:val="58"/>
              <w:ind w:firstLine="0"/>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05" w:type="dxa"/>
            <w:vAlign w:val="center"/>
          </w:tcPr>
          <w:p w14:paraId="1BB15BF7">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highlight w:val="none"/>
                <w:lang w:val="en-US" w:eastAsia="zh-CN"/>
              </w:rPr>
            </w:pPr>
            <w:r>
              <w:rPr>
                <w:rFonts w:hint="eastAsia" w:ascii="Times New Roman" w:hAnsi="Times New Roman" w:cs="Times New Roman"/>
                <w:color w:val="auto"/>
                <w:sz w:val="21"/>
                <w:szCs w:val="21"/>
                <w:highlight w:val="none"/>
                <w:vertAlign w:val="baseline"/>
                <w:lang w:val="en-US" w:eastAsia="zh-CN"/>
              </w:rPr>
              <w:t>3t/a</w:t>
            </w:r>
          </w:p>
        </w:tc>
        <w:tc>
          <w:tcPr>
            <w:tcW w:w="1337" w:type="dxa"/>
            <w:vAlign w:val="center"/>
          </w:tcPr>
          <w:p w14:paraId="2E56912E">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highlight w:val="none"/>
                <w:lang w:val="en-US"/>
              </w:rPr>
            </w:pPr>
            <w:r>
              <w:rPr>
                <w:rFonts w:hint="eastAsia" w:ascii="Times New Roman" w:hAnsi="Times New Roman" w:cs="Times New Roman"/>
                <w:color w:val="auto"/>
                <w:sz w:val="21"/>
                <w:szCs w:val="21"/>
                <w:highlight w:val="none"/>
                <w:vertAlign w:val="baseline"/>
                <w:lang w:val="en-US" w:eastAsia="zh-CN"/>
              </w:rPr>
              <w:t>+3t/a</w:t>
            </w:r>
          </w:p>
        </w:tc>
      </w:tr>
      <w:tr w14:paraId="0B3FA9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 w:hRule="atLeast"/>
          <w:jc w:val="center"/>
        </w:trPr>
        <w:tc>
          <w:tcPr>
            <w:tcW w:w="1462" w:type="dxa"/>
            <w:vMerge w:val="continue"/>
            <w:vAlign w:val="center"/>
          </w:tcPr>
          <w:p w14:paraId="2E0D8168">
            <w:pPr>
              <w:pStyle w:val="58"/>
              <w:ind w:firstLine="0"/>
              <w:rPr>
                <w:rFonts w:hint="default" w:ascii="Times New Roman" w:hAnsi="Times New Roman" w:cs="Times New Roman"/>
                <w:color w:val="auto"/>
                <w:highlight w:val="none"/>
              </w:rPr>
            </w:pPr>
          </w:p>
        </w:tc>
        <w:tc>
          <w:tcPr>
            <w:tcW w:w="1784" w:type="dxa"/>
            <w:vAlign w:val="center"/>
          </w:tcPr>
          <w:p w14:paraId="2E4DDF43">
            <w:pPr>
              <w:pStyle w:val="58"/>
              <w:ind w:firstLine="0" w:firstLineChars="0"/>
              <w:rPr>
                <w:rFonts w:hint="default" w:ascii="Times New Roman" w:hAnsi="Times New Roman" w:cs="Times New Roman"/>
                <w:color w:val="auto"/>
                <w:highlight w:val="none"/>
                <w:lang w:val="en-US" w:eastAsia="zh-CN"/>
              </w:rPr>
            </w:pPr>
            <w:r>
              <w:rPr>
                <w:rFonts w:hint="eastAsia" w:ascii="Times New Roman" w:hAnsi="Times New Roman" w:cs="Times New Roman"/>
                <w:color w:val="auto"/>
                <w:sz w:val="21"/>
                <w:szCs w:val="21"/>
                <w:highlight w:val="none"/>
                <w:vertAlign w:val="baseline"/>
                <w:lang w:val="en-US" w:eastAsia="zh-CN"/>
              </w:rPr>
              <w:t>边角料</w:t>
            </w:r>
          </w:p>
        </w:tc>
        <w:tc>
          <w:tcPr>
            <w:tcW w:w="1591" w:type="dxa"/>
            <w:vAlign w:val="center"/>
          </w:tcPr>
          <w:p w14:paraId="2073230C">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w:t>
            </w:r>
          </w:p>
        </w:tc>
        <w:tc>
          <w:tcPr>
            <w:tcW w:w="1312" w:type="dxa"/>
            <w:vAlign w:val="center"/>
          </w:tcPr>
          <w:p w14:paraId="6A9D5407">
            <w:pPr>
              <w:pStyle w:val="58"/>
              <w:ind w:firstLine="0" w:firstLineChars="0"/>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rPr>
              <w:t>/</w:t>
            </w:r>
          </w:p>
        </w:tc>
        <w:tc>
          <w:tcPr>
            <w:tcW w:w="1748" w:type="dxa"/>
            <w:vAlign w:val="center"/>
          </w:tcPr>
          <w:p w14:paraId="6613D725">
            <w:pPr>
              <w:pStyle w:val="58"/>
              <w:ind w:firstLine="0" w:firstLineChars="0"/>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rPr>
              <w:t>/</w:t>
            </w:r>
          </w:p>
        </w:tc>
        <w:tc>
          <w:tcPr>
            <w:tcW w:w="1603" w:type="dxa"/>
            <w:vAlign w:val="center"/>
          </w:tcPr>
          <w:p w14:paraId="699534C3">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sz w:val="21"/>
                <w:szCs w:val="21"/>
                <w:highlight w:val="none"/>
                <w:vertAlign w:val="baseline"/>
                <w:lang w:val="en-US" w:eastAsia="zh-CN"/>
              </w:rPr>
              <w:t>15t/a</w:t>
            </w:r>
          </w:p>
        </w:tc>
        <w:tc>
          <w:tcPr>
            <w:tcW w:w="1631" w:type="dxa"/>
            <w:vAlign w:val="center"/>
          </w:tcPr>
          <w:p w14:paraId="6148AB79">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w:t>
            </w:r>
          </w:p>
        </w:tc>
        <w:tc>
          <w:tcPr>
            <w:tcW w:w="1705" w:type="dxa"/>
            <w:vAlign w:val="center"/>
          </w:tcPr>
          <w:p w14:paraId="59676157">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sz w:val="21"/>
                <w:szCs w:val="21"/>
                <w:highlight w:val="none"/>
                <w:vertAlign w:val="baseline"/>
                <w:lang w:val="en-US" w:eastAsia="zh-CN"/>
              </w:rPr>
              <w:t>15t/a</w:t>
            </w:r>
          </w:p>
        </w:tc>
        <w:tc>
          <w:tcPr>
            <w:tcW w:w="1337" w:type="dxa"/>
            <w:vAlign w:val="center"/>
          </w:tcPr>
          <w:p w14:paraId="0908E6CD">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sz w:val="21"/>
                <w:szCs w:val="21"/>
                <w:highlight w:val="none"/>
                <w:vertAlign w:val="baseline"/>
                <w:lang w:val="en-US" w:eastAsia="zh-CN"/>
              </w:rPr>
              <w:t>+15t/a</w:t>
            </w:r>
          </w:p>
        </w:tc>
      </w:tr>
      <w:tr w14:paraId="66AE03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5" w:hRule="atLeast"/>
          <w:jc w:val="center"/>
        </w:trPr>
        <w:tc>
          <w:tcPr>
            <w:tcW w:w="1462" w:type="dxa"/>
            <w:vAlign w:val="center"/>
          </w:tcPr>
          <w:p w14:paraId="1B777B13">
            <w:pPr>
              <w:pStyle w:val="58"/>
              <w:ind w:firstLine="0"/>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生活垃圾</w:t>
            </w:r>
          </w:p>
        </w:tc>
        <w:tc>
          <w:tcPr>
            <w:tcW w:w="1784" w:type="dxa"/>
            <w:vAlign w:val="center"/>
          </w:tcPr>
          <w:p w14:paraId="3F9231E0">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sz w:val="21"/>
                <w:szCs w:val="21"/>
                <w:highlight w:val="none"/>
                <w:lang w:val="en-US" w:eastAsia="zh-CN"/>
              </w:rPr>
              <w:t>生活垃圾</w:t>
            </w:r>
          </w:p>
        </w:tc>
        <w:tc>
          <w:tcPr>
            <w:tcW w:w="1591" w:type="dxa"/>
            <w:vAlign w:val="center"/>
          </w:tcPr>
          <w:p w14:paraId="6B109EAE">
            <w:pPr>
              <w:pStyle w:val="58"/>
              <w:ind w:firstLine="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1.5</w:t>
            </w:r>
            <w:r>
              <w:rPr>
                <w:rFonts w:hint="eastAsia" w:ascii="Times New Roman" w:hAnsi="Times New Roman" w:cs="Times New Roman"/>
                <w:color w:val="auto"/>
                <w:sz w:val="21"/>
                <w:szCs w:val="21"/>
                <w:highlight w:val="none"/>
                <w:vertAlign w:val="baseline"/>
                <w:lang w:val="en-US" w:eastAsia="zh-CN"/>
              </w:rPr>
              <w:t>t/a</w:t>
            </w:r>
          </w:p>
        </w:tc>
        <w:tc>
          <w:tcPr>
            <w:tcW w:w="1312" w:type="dxa"/>
            <w:vAlign w:val="center"/>
          </w:tcPr>
          <w:p w14:paraId="5831B582">
            <w:pPr>
              <w:pStyle w:val="58"/>
              <w:ind w:firstLine="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48" w:type="dxa"/>
            <w:vAlign w:val="center"/>
          </w:tcPr>
          <w:p w14:paraId="3BFFF3C0">
            <w:pPr>
              <w:pStyle w:val="58"/>
              <w:ind w:firstLine="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603" w:type="dxa"/>
            <w:vAlign w:val="center"/>
          </w:tcPr>
          <w:p w14:paraId="6D2F3130">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w:t>
            </w:r>
            <w:r>
              <w:rPr>
                <w:rFonts w:hint="eastAsia" w:ascii="Times New Roman" w:hAnsi="Times New Roman" w:cs="Times New Roman"/>
                <w:color w:val="auto"/>
                <w:sz w:val="21"/>
                <w:szCs w:val="21"/>
                <w:highlight w:val="none"/>
                <w:vertAlign w:val="baseline"/>
                <w:lang w:val="en-US" w:eastAsia="zh-CN"/>
              </w:rPr>
              <w:t>t/a</w:t>
            </w:r>
          </w:p>
        </w:tc>
        <w:tc>
          <w:tcPr>
            <w:tcW w:w="1631" w:type="dxa"/>
            <w:vAlign w:val="center"/>
          </w:tcPr>
          <w:p w14:paraId="296FA0C4">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w:t>
            </w:r>
          </w:p>
        </w:tc>
        <w:tc>
          <w:tcPr>
            <w:tcW w:w="1705" w:type="dxa"/>
            <w:vAlign w:val="center"/>
          </w:tcPr>
          <w:p w14:paraId="12D1652D">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1.5</w:t>
            </w:r>
            <w:r>
              <w:rPr>
                <w:rFonts w:hint="eastAsia" w:ascii="Times New Roman" w:hAnsi="Times New Roman" w:cs="Times New Roman"/>
                <w:color w:val="auto"/>
                <w:sz w:val="21"/>
                <w:szCs w:val="21"/>
                <w:highlight w:val="none"/>
                <w:vertAlign w:val="baseline"/>
                <w:lang w:val="en-US" w:eastAsia="zh-CN"/>
              </w:rPr>
              <w:t>t/a</w:t>
            </w:r>
          </w:p>
        </w:tc>
        <w:tc>
          <w:tcPr>
            <w:tcW w:w="1337" w:type="dxa"/>
            <w:vAlign w:val="center"/>
          </w:tcPr>
          <w:p w14:paraId="378EC968">
            <w:pPr>
              <w:pStyle w:val="58"/>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w:t>
            </w:r>
            <w:r>
              <w:rPr>
                <w:rFonts w:hint="eastAsia" w:ascii="Times New Roman" w:hAnsi="Times New Roman" w:cs="Times New Roman"/>
                <w:color w:val="auto"/>
                <w:sz w:val="21"/>
                <w:szCs w:val="21"/>
                <w:highlight w:val="none"/>
                <w:vertAlign w:val="baseline"/>
                <w:lang w:val="en-US" w:eastAsia="zh-CN"/>
              </w:rPr>
              <w:t>t/a</w:t>
            </w:r>
          </w:p>
        </w:tc>
      </w:tr>
      <w:tr w14:paraId="3334EA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1462" w:type="dxa"/>
            <w:vMerge w:val="restart"/>
            <w:vAlign w:val="center"/>
          </w:tcPr>
          <w:p w14:paraId="3D794F8C">
            <w:pPr>
              <w:pStyle w:val="58"/>
              <w:ind w:firstLine="0"/>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危险废物</w:t>
            </w:r>
          </w:p>
        </w:tc>
        <w:tc>
          <w:tcPr>
            <w:tcW w:w="1784" w:type="dxa"/>
            <w:vAlign w:val="center"/>
          </w:tcPr>
          <w:p w14:paraId="7A118C3C">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eastAsia" w:ascii="Times New Roman"/>
                <w:color w:val="auto"/>
                <w:sz w:val="21"/>
                <w:szCs w:val="21"/>
                <w:highlight w:val="none"/>
                <w:lang w:val="en-US" w:eastAsia="zh-CN"/>
              </w:rPr>
              <w:t>油泥</w:t>
            </w:r>
          </w:p>
        </w:tc>
        <w:tc>
          <w:tcPr>
            <w:tcW w:w="1591" w:type="dxa"/>
            <w:vAlign w:val="center"/>
          </w:tcPr>
          <w:p w14:paraId="7AF98772">
            <w:pPr>
              <w:pStyle w:val="58"/>
              <w:ind w:firstLine="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312" w:type="dxa"/>
            <w:vAlign w:val="center"/>
          </w:tcPr>
          <w:p w14:paraId="243EB79B">
            <w:pPr>
              <w:pStyle w:val="58"/>
              <w:ind w:firstLine="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48" w:type="dxa"/>
            <w:vAlign w:val="center"/>
          </w:tcPr>
          <w:p w14:paraId="77DC0919">
            <w:pPr>
              <w:pStyle w:val="58"/>
              <w:ind w:firstLine="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603" w:type="dxa"/>
            <w:vAlign w:val="center"/>
          </w:tcPr>
          <w:p w14:paraId="0FEE7CC6">
            <w:pPr>
              <w:pStyle w:val="106"/>
              <w:pageBreakBefore w:val="0"/>
              <w:widowControl w:val="0"/>
              <w:kinsoku/>
              <w:wordWrap/>
              <w:overflowPunct/>
              <w:topLinePunct w:val="0"/>
              <w:autoSpaceDE/>
              <w:autoSpaceDN/>
              <w:bidi w:val="0"/>
              <w:spacing w:line="240" w:lineRule="auto"/>
              <w:ind w:firstLine="0" w:firstLineChars="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0.05</w:t>
            </w:r>
            <w:r>
              <w:rPr>
                <w:rFonts w:hint="eastAsia" w:ascii="Times New Roman" w:hAnsi="Times New Roman" w:cs="Times New Roman"/>
                <w:color w:val="auto"/>
                <w:sz w:val="21"/>
                <w:szCs w:val="21"/>
                <w:highlight w:val="none"/>
                <w:vertAlign w:val="baseline"/>
                <w:lang w:val="en-US" w:eastAsia="zh-CN"/>
              </w:rPr>
              <w:t>t/a</w:t>
            </w:r>
          </w:p>
        </w:tc>
        <w:tc>
          <w:tcPr>
            <w:tcW w:w="1631" w:type="dxa"/>
            <w:vAlign w:val="center"/>
          </w:tcPr>
          <w:p w14:paraId="679BFACA">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05" w:type="dxa"/>
            <w:vAlign w:val="center"/>
          </w:tcPr>
          <w:p w14:paraId="47EF06EE">
            <w:pPr>
              <w:pStyle w:val="106"/>
              <w:pageBreakBefore w:val="0"/>
              <w:widowControl w:val="0"/>
              <w:kinsoku/>
              <w:wordWrap/>
              <w:overflowPunct/>
              <w:topLinePunct w:val="0"/>
              <w:autoSpaceDE/>
              <w:autoSpaceDN/>
              <w:bidi w:val="0"/>
              <w:spacing w:line="240" w:lineRule="auto"/>
              <w:ind w:firstLine="0" w:firstLineChars="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0.05</w:t>
            </w:r>
            <w:r>
              <w:rPr>
                <w:rFonts w:hint="eastAsia" w:ascii="Times New Roman" w:hAnsi="Times New Roman" w:cs="Times New Roman"/>
                <w:color w:val="auto"/>
                <w:sz w:val="21"/>
                <w:szCs w:val="21"/>
                <w:highlight w:val="none"/>
                <w:vertAlign w:val="baseline"/>
                <w:lang w:val="en-US" w:eastAsia="zh-CN"/>
              </w:rPr>
              <w:t>t/a</w:t>
            </w:r>
          </w:p>
        </w:tc>
        <w:tc>
          <w:tcPr>
            <w:tcW w:w="1337" w:type="dxa"/>
            <w:vAlign w:val="center"/>
          </w:tcPr>
          <w:p w14:paraId="33615106">
            <w:pPr>
              <w:pStyle w:val="106"/>
              <w:pageBreakBefore w:val="0"/>
              <w:widowControl w:val="0"/>
              <w:kinsoku/>
              <w:wordWrap/>
              <w:overflowPunct/>
              <w:topLinePunct w:val="0"/>
              <w:autoSpaceDE/>
              <w:autoSpaceDN/>
              <w:bidi w:val="0"/>
              <w:spacing w:line="240" w:lineRule="auto"/>
              <w:ind w:firstLine="0" w:firstLineChars="0"/>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+0.05</w:t>
            </w:r>
            <w:r>
              <w:rPr>
                <w:rFonts w:hint="eastAsia" w:ascii="Times New Roman" w:hAnsi="Times New Roman" w:cs="Times New Roman"/>
                <w:color w:val="auto"/>
                <w:sz w:val="21"/>
                <w:szCs w:val="21"/>
                <w:highlight w:val="none"/>
                <w:vertAlign w:val="baseline"/>
                <w:lang w:val="en-US" w:eastAsia="zh-CN"/>
              </w:rPr>
              <w:t>t/a</w:t>
            </w:r>
          </w:p>
        </w:tc>
      </w:tr>
      <w:tr w14:paraId="53C136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1462" w:type="dxa"/>
            <w:vMerge w:val="continue"/>
            <w:vAlign w:val="center"/>
          </w:tcPr>
          <w:p w14:paraId="458215BF">
            <w:pPr>
              <w:pStyle w:val="58"/>
              <w:ind w:firstLine="0"/>
              <w:rPr>
                <w:rFonts w:hint="default" w:ascii="Times New Roman" w:hAnsi="Times New Roman" w:cs="Times New Roman"/>
                <w:color w:val="auto"/>
                <w:highlight w:val="none"/>
                <w:lang w:val="en-US" w:eastAsia="zh-CN"/>
              </w:rPr>
            </w:pPr>
          </w:p>
        </w:tc>
        <w:tc>
          <w:tcPr>
            <w:tcW w:w="1784" w:type="dxa"/>
            <w:vAlign w:val="center"/>
          </w:tcPr>
          <w:p w14:paraId="306EAAE6">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eastAsia"/>
                <w:color w:val="auto"/>
                <w:sz w:val="21"/>
                <w:szCs w:val="21"/>
                <w:highlight w:val="none"/>
                <w:lang w:val="en-US" w:eastAsia="zh-CN"/>
              </w:rPr>
              <w:t>废渣</w:t>
            </w:r>
          </w:p>
        </w:tc>
        <w:tc>
          <w:tcPr>
            <w:tcW w:w="1591" w:type="dxa"/>
            <w:vAlign w:val="center"/>
          </w:tcPr>
          <w:p w14:paraId="6BEAB185">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312" w:type="dxa"/>
            <w:vAlign w:val="center"/>
          </w:tcPr>
          <w:p w14:paraId="11656416">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48" w:type="dxa"/>
            <w:vAlign w:val="center"/>
          </w:tcPr>
          <w:p w14:paraId="496C8434">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603" w:type="dxa"/>
            <w:vAlign w:val="center"/>
          </w:tcPr>
          <w:p w14:paraId="25B6E850">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0.05</w:t>
            </w:r>
            <w:r>
              <w:rPr>
                <w:rFonts w:hint="eastAsia" w:ascii="Times New Roman" w:hAnsi="Times New Roman" w:cs="Times New Roman"/>
                <w:color w:val="auto"/>
                <w:sz w:val="21"/>
                <w:szCs w:val="21"/>
                <w:highlight w:val="none"/>
                <w:vertAlign w:val="baseline"/>
                <w:lang w:val="en-US" w:eastAsia="zh-CN"/>
              </w:rPr>
              <w:t>t/a</w:t>
            </w:r>
          </w:p>
        </w:tc>
        <w:tc>
          <w:tcPr>
            <w:tcW w:w="1631" w:type="dxa"/>
            <w:vAlign w:val="center"/>
          </w:tcPr>
          <w:p w14:paraId="2350DA37">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w:t>
            </w:r>
          </w:p>
        </w:tc>
        <w:tc>
          <w:tcPr>
            <w:tcW w:w="1705" w:type="dxa"/>
            <w:vAlign w:val="center"/>
          </w:tcPr>
          <w:p w14:paraId="68AC191D">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0.05</w:t>
            </w:r>
            <w:r>
              <w:rPr>
                <w:rFonts w:hint="eastAsia" w:ascii="Times New Roman" w:hAnsi="Times New Roman" w:cs="Times New Roman"/>
                <w:color w:val="auto"/>
                <w:sz w:val="21"/>
                <w:szCs w:val="21"/>
                <w:highlight w:val="none"/>
                <w:vertAlign w:val="baseline"/>
                <w:lang w:val="en-US" w:eastAsia="zh-CN"/>
              </w:rPr>
              <w:t>t/a</w:t>
            </w:r>
          </w:p>
        </w:tc>
        <w:tc>
          <w:tcPr>
            <w:tcW w:w="1337" w:type="dxa"/>
            <w:vAlign w:val="center"/>
          </w:tcPr>
          <w:p w14:paraId="6AA40C77">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+0.05</w:t>
            </w:r>
            <w:r>
              <w:rPr>
                <w:rFonts w:hint="eastAsia" w:ascii="Times New Roman" w:hAnsi="Times New Roman" w:cs="Times New Roman"/>
                <w:color w:val="auto"/>
                <w:sz w:val="21"/>
                <w:szCs w:val="21"/>
                <w:highlight w:val="none"/>
                <w:vertAlign w:val="baseline"/>
                <w:lang w:val="en-US" w:eastAsia="zh-CN"/>
              </w:rPr>
              <w:t>t/a</w:t>
            </w:r>
          </w:p>
        </w:tc>
      </w:tr>
      <w:tr w14:paraId="6EB327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1462" w:type="dxa"/>
            <w:vMerge w:val="continue"/>
            <w:vAlign w:val="center"/>
          </w:tcPr>
          <w:p w14:paraId="66EB14F1">
            <w:pPr>
              <w:pStyle w:val="58"/>
              <w:ind w:firstLine="0"/>
              <w:rPr>
                <w:rFonts w:hint="default" w:ascii="Times New Roman" w:hAnsi="Times New Roman" w:cs="Times New Roman"/>
                <w:color w:val="auto"/>
                <w:highlight w:val="none"/>
                <w:lang w:val="en-US" w:eastAsia="zh-CN"/>
              </w:rPr>
            </w:pPr>
          </w:p>
        </w:tc>
        <w:tc>
          <w:tcPr>
            <w:tcW w:w="1784" w:type="dxa"/>
            <w:vAlign w:val="center"/>
          </w:tcPr>
          <w:p w14:paraId="5DA13C26">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eastAsia"/>
                <w:color w:val="auto"/>
                <w:sz w:val="21"/>
                <w:szCs w:val="21"/>
                <w:highlight w:val="none"/>
                <w:lang w:val="en-US" w:eastAsia="zh-CN"/>
              </w:rPr>
              <w:t>片碱包装袋</w:t>
            </w:r>
          </w:p>
        </w:tc>
        <w:tc>
          <w:tcPr>
            <w:tcW w:w="1591" w:type="dxa"/>
            <w:vAlign w:val="center"/>
          </w:tcPr>
          <w:p w14:paraId="06ED794C">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312" w:type="dxa"/>
            <w:vAlign w:val="center"/>
          </w:tcPr>
          <w:p w14:paraId="4D0285EC">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48" w:type="dxa"/>
            <w:vAlign w:val="center"/>
          </w:tcPr>
          <w:p w14:paraId="159446EF">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603" w:type="dxa"/>
            <w:vAlign w:val="center"/>
          </w:tcPr>
          <w:p w14:paraId="3CD906A5">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0.02</w:t>
            </w:r>
            <w:r>
              <w:rPr>
                <w:rFonts w:hint="eastAsia" w:ascii="Times New Roman" w:hAnsi="Times New Roman" w:cs="Times New Roman"/>
                <w:color w:val="auto"/>
                <w:sz w:val="21"/>
                <w:szCs w:val="21"/>
                <w:highlight w:val="none"/>
                <w:vertAlign w:val="baseline"/>
                <w:lang w:val="en-US" w:eastAsia="zh-CN"/>
              </w:rPr>
              <w:t>t/a</w:t>
            </w:r>
          </w:p>
        </w:tc>
        <w:tc>
          <w:tcPr>
            <w:tcW w:w="1631" w:type="dxa"/>
            <w:vAlign w:val="center"/>
          </w:tcPr>
          <w:p w14:paraId="06A6C6E7">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w:t>
            </w:r>
          </w:p>
        </w:tc>
        <w:tc>
          <w:tcPr>
            <w:tcW w:w="1705" w:type="dxa"/>
            <w:vAlign w:val="center"/>
          </w:tcPr>
          <w:p w14:paraId="2B52E380">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0.02</w:t>
            </w:r>
            <w:r>
              <w:rPr>
                <w:rFonts w:hint="eastAsia" w:ascii="Times New Roman" w:hAnsi="Times New Roman" w:cs="Times New Roman"/>
                <w:color w:val="auto"/>
                <w:sz w:val="21"/>
                <w:szCs w:val="21"/>
                <w:highlight w:val="none"/>
                <w:vertAlign w:val="baseline"/>
                <w:lang w:val="en-US" w:eastAsia="zh-CN"/>
              </w:rPr>
              <w:t>t/a</w:t>
            </w:r>
          </w:p>
        </w:tc>
        <w:tc>
          <w:tcPr>
            <w:tcW w:w="1337" w:type="dxa"/>
            <w:vAlign w:val="center"/>
          </w:tcPr>
          <w:p w14:paraId="4A906E81">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+0.02</w:t>
            </w:r>
            <w:r>
              <w:rPr>
                <w:rFonts w:hint="eastAsia" w:ascii="Times New Roman" w:hAnsi="Times New Roman" w:cs="Times New Roman"/>
                <w:color w:val="auto"/>
                <w:sz w:val="21"/>
                <w:szCs w:val="21"/>
                <w:highlight w:val="none"/>
                <w:vertAlign w:val="baseline"/>
                <w:lang w:val="en-US" w:eastAsia="zh-CN"/>
              </w:rPr>
              <w:t>t/a</w:t>
            </w:r>
          </w:p>
        </w:tc>
      </w:tr>
      <w:tr w14:paraId="4F395A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1462" w:type="dxa"/>
            <w:vMerge w:val="continue"/>
            <w:vAlign w:val="center"/>
          </w:tcPr>
          <w:p w14:paraId="3BA3C492">
            <w:pPr>
              <w:pStyle w:val="58"/>
              <w:ind w:firstLine="0"/>
              <w:rPr>
                <w:rFonts w:hint="default" w:ascii="Times New Roman" w:hAnsi="Times New Roman" w:cs="Times New Roman"/>
                <w:color w:val="auto"/>
                <w:highlight w:val="none"/>
                <w:lang w:val="en-US" w:eastAsia="zh-CN"/>
              </w:rPr>
            </w:pPr>
          </w:p>
        </w:tc>
        <w:tc>
          <w:tcPr>
            <w:tcW w:w="1784" w:type="dxa"/>
            <w:vAlign w:val="center"/>
          </w:tcPr>
          <w:p w14:paraId="10576859">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eastAsia"/>
                <w:color w:val="auto"/>
                <w:sz w:val="21"/>
                <w:szCs w:val="21"/>
                <w:highlight w:val="none"/>
                <w:lang w:val="en-US" w:eastAsia="zh-CN"/>
              </w:rPr>
              <w:t>盐酸废包装瓶</w:t>
            </w:r>
          </w:p>
        </w:tc>
        <w:tc>
          <w:tcPr>
            <w:tcW w:w="1591" w:type="dxa"/>
            <w:vAlign w:val="center"/>
          </w:tcPr>
          <w:p w14:paraId="01EE0352">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312" w:type="dxa"/>
            <w:vAlign w:val="center"/>
          </w:tcPr>
          <w:p w14:paraId="303D08BB">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48" w:type="dxa"/>
            <w:vAlign w:val="center"/>
          </w:tcPr>
          <w:p w14:paraId="1BB36D91">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603" w:type="dxa"/>
            <w:vAlign w:val="center"/>
          </w:tcPr>
          <w:p w14:paraId="291A2CE0">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0.01</w:t>
            </w:r>
            <w:r>
              <w:rPr>
                <w:rFonts w:hint="eastAsia" w:ascii="Times New Roman" w:hAnsi="Times New Roman" w:cs="Times New Roman"/>
                <w:color w:val="auto"/>
                <w:sz w:val="21"/>
                <w:szCs w:val="21"/>
                <w:highlight w:val="none"/>
                <w:vertAlign w:val="baseline"/>
                <w:lang w:val="en-US" w:eastAsia="zh-CN"/>
              </w:rPr>
              <w:t>t/a</w:t>
            </w:r>
          </w:p>
        </w:tc>
        <w:tc>
          <w:tcPr>
            <w:tcW w:w="1631" w:type="dxa"/>
            <w:vAlign w:val="center"/>
          </w:tcPr>
          <w:p w14:paraId="4F9A77B2">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05" w:type="dxa"/>
            <w:vAlign w:val="center"/>
          </w:tcPr>
          <w:p w14:paraId="0BA986E3">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0.01</w:t>
            </w:r>
            <w:r>
              <w:rPr>
                <w:rFonts w:hint="eastAsia" w:ascii="Times New Roman" w:hAnsi="Times New Roman" w:cs="Times New Roman"/>
                <w:color w:val="auto"/>
                <w:sz w:val="21"/>
                <w:szCs w:val="21"/>
                <w:highlight w:val="none"/>
                <w:vertAlign w:val="baseline"/>
                <w:lang w:val="en-US" w:eastAsia="zh-CN"/>
              </w:rPr>
              <w:t>t/a</w:t>
            </w:r>
          </w:p>
        </w:tc>
        <w:tc>
          <w:tcPr>
            <w:tcW w:w="1337" w:type="dxa"/>
            <w:vAlign w:val="center"/>
          </w:tcPr>
          <w:p w14:paraId="48859A85">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+0.01</w:t>
            </w:r>
            <w:r>
              <w:rPr>
                <w:rFonts w:hint="eastAsia" w:ascii="Times New Roman" w:hAnsi="Times New Roman" w:cs="Times New Roman"/>
                <w:color w:val="auto"/>
                <w:sz w:val="21"/>
                <w:szCs w:val="21"/>
                <w:highlight w:val="none"/>
                <w:vertAlign w:val="baseline"/>
                <w:lang w:val="en-US" w:eastAsia="zh-CN"/>
              </w:rPr>
              <w:t>t/a</w:t>
            </w:r>
          </w:p>
        </w:tc>
      </w:tr>
      <w:tr w14:paraId="0B914D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1462" w:type="dxa"/>
            <w:vMerge w:val="continue"/>
            <w:vAlign w:val="center"/>
          </w:tcPr>
          <w:p w14:paraId="5FFB77FD">
            <w:pPr>
              <w:pStyle w:val="58"/>
              <w:ind w:firstLine="0"/>
              <w:rPr>
                <w:rFonts w:hint="default" w:ascii="Times New Roman" w:hAnsi="Times New Roman" w:cs="Times New Roman"/>
                <w:color w:val="auto"/>
                <w:highlight w:val="none"/>
                <w:lang w:val="en-US" w:eastAsia="zh-CN"/>
              </w:rPr>
            </w:pPr>
          </w:p>
        </w:tc>
        <w:tc>
          <w:tcPr>
            <w:tcW w:w="1784" w:type="dxa"/>
            <w:vAlign w:val="center"/>
          </w:tcPr>
          <w:p w14:paraId="02C45C23">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eastAsia"/>
                <w:color w:val="auto"/>
                <w:sz w:val="21"/>
                <w:szCs w:val="21"/>
                <w:highlight w:val="none"/>
                <w:lang w:val="en-US" w:eastAsia="zh-CN"/>
              </w:rPr>
              <w:t>废油桶</w:t>
            </w:r>
          </w:p>
        </w:tc>
        <w:tc>
          <w:tcPr>
            <w:tcW w:w="1591" w:type="dxa"/>
            <w:vAlign w:val="center"/>
          </w:tcPr>
          <w:p w14:paraId="4C8E67F0">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312" w:type="dxa"/>
            <w:vAlign w:val="center"/>
          </w:tcPr>
          <w:p w14:paraId="53194E2C">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48" w:type="dxa"/>
            <w:vAlign w:val="center"/>
          </w:tcPr>
          <w:p w14:paraId="60B1C711">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603" w:type="dxa"/>
            <w:vAlign w:val="center"/>
          </w:tcPr>
          <w:p w14:paraId="3B04F075">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0.05</w:t>
            </w:r>
            <w:r>
              <w:rPr>
                <w:rFonts w:hint="eastAsia" w:ascii="Times New Roman" w:hAnsi="Times New Roman" w:cs="Times New Roman"/>
                <w:color w:val="auto"/>
                <w:sz w:val="21"/>
                <w:szCs w:val="21"/>
                <w:highlight w:val="none"/>
                <w:vertAlign w:val="baseline"/>
                <w:lang w:val="en-US" w:eastAsia="zh-CN"/>
              </w:rPr>
              <w:t>t/a</w:t>
            </w:r>
          </w:p>
        </w:tc>
        <w:tc>
          <w:tcPr>
            <w:tcW w:w="1631" w:type="dxa"/>
            <w:vAlign w:val="center"/>
          </w:tcPr>
          <w:p w14:paraId="1B80726F">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w:t>
            </w:r>
          </w:p>
        </w:tc>
        <w:tc>
          <w:tcPr>
            <w:tcW w:w="1705" w:type="dxa"/>
            <w:vAlign w:val="center"/>
          </w:tcPr>
          <w:p w14:paraId="5FB119C0">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0.05</w:t>
            </w:r>
            <w:r>
              <w:rPr>
                <w:rFonts w:hint="eastAsia" w:ascii="Times New Roman" w:hAnsi="Times New Roman" w:cs="Times New Roman"/>
                <w:color w:val="auto"/>
                <w:sz w:val="21"/>
                <w:szCs w:val="21"/>
                <w:highlight w:val="none"/>
                <w:vertAlign w:val="baseline"/>
                <w:lang w:val="en-US" w:eastAsia="zh-CN"/>
              </w:rPr>
              <w:t>t/a</w:t>
            </w:r>
          </w:p>
        </w:tc>
        <w:tc>
          <w:tcPr>
            <w:tcW w:w="1337" w:type="dxa"/>
            <w:vAlign w:val="center"/>
          </w:tcPr>
          <w:p w14:paraId="6FD57AB0">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+0.05</w:t>
            </w:r>
            <w:r>
              <w:rPr>
                <w:rFonts w:hint="eastAsia" w:ascii="Times New Roman" w:hAnsi="Times New Roman" w:cs="Times New Roman"/>
                <w:color w:val="auto"/>
                <w:sz w:val="21"/>
                <w:szCs w:val="21"/>
                <w:highlight w:val="none"/>
                <w:vertAlign w:val="baseline"/>
                <w:lang w:val="en-US" w:eastAsia="zh-CN"/>
              </w:rPr>
              <w:t>t/a</w:t>
            </w:r>
          </w:p>
        </w:tc>
      </w:tr>
      <w:tr w14:paraId="63878A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1462" w:type="dxa"/>
            <w:vMerge w:val="continue"/>
            <w:vAlign w:val="center"/>
          </w:tcPr>
          <w:p w14:paraId="76F674DF">
            <w:pPr>
              <w:pStyle w:val="58"/>
              <w:ind w:firstLine="0"/>
              <w:rPr>
                <w:rFonts w:hint="default" w:ascii="Times New Roman" w:hAnsi="Times New Roman" w:cs="Times New Roman"/>
                <w:color w:val="auto"/>
                <w:highlight w:val="none"/>
                <w:lang w:val="en-US" w:eastAsia="zh-CN"/>
              </w:rPr>
            </w:pPr>
          </w:p>
        </w:tc>
        <w:tc>
          <w:tcPr>
            <w:tcW w:w="1784" w:type="dxa"/>
            <w:vAlign w:val="center"/>
          </w:tcPr>
          <w:p w14:paraId="6ED567E3">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eastAsia"/>
                <w:color w:val="auto"/>
                <w:sz w:val="21"/>
                <w:szCs w:val="21"/>
                <w:highlight w:val="none"/>
                <w:lang w:val="en-US" w:eastAsia="zh-CN"/>
              </w:rPr>
              <w:t>废切削液桶</w:t>
            </w:r>
          </w:p>
        </w:tc>
        <w:tc>
          <w:tcPr>
            <w:tcW w:w="1591" w:type="dxa"/>
            <w:vAlign w:val="center"/>
          </w:tcPr>
          <w:p w14:paraId="4408F277">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312" w:type="dxa"/>
            <w:vAlign w:val="center"/>
          </w:tcPr>
          <w:p w14:paraId="0CAA62E1">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48" w:type="dxa"/>
            <w:vAlign w:val="center"/>
          </w:tcPr>
          <w:p w14:paraId="60D91F03">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603" w:type="dxa"/>
            <w:vAlign w:val="center"/>
          </w:tcPr>
          <w:p w14:paraId="5AD2915B">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0.03</w:t>
            </w:r>
            <w:r>
              <w:rPr>
                <w:rFonts w:hint="eastAsia" w:ascii="Times New Roman" w:hAnsi="Times New Roman" w:cs="Times New Roman"/>
                <w:color w:val="auto"/>
                <w:sz w:val="21"/>
                <w:szCs w:val="21"/>
                <w:highlight w:val="none"/>
                <w:vertAlign w:val="baseline"/>
                <w:lang w:val="en-US" w:eastAsia="zh-CN"/>
              </w:rPr>
              <w:t>t/a</w:t>
            </w:r>
          </w:p>
        </w:tc>
        <w:tc>
          <w:tcPr>
            <w:tcW w:w="1631" w:type="dxa"/>
            <w:vAlign w:val="center"/>
          </w:tcPr>
          <w:p w14:paraId="1505C902">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w:t>
            </w:r>
          </w:p>
        </w:tc>
        <w:tc>
          <w:tcPr>
            <w:tcW w:w="1705" w:type="dxa"/>
            <w:vAlign w:val="center"/>
          </w:tcPr>
          <w:p w14:paraId="5A828E49">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0.03</w:t>
            </w:r>
            <w:r>
              <w:rPr>
                <w:rFonts w:hint="eastAsia" w:ascii="Times New Roman" w:hAnsi="Times New Roman" w:cs="Times New Roman"/>
                <w:color w:val="auto"/>
                <w:sz w:val="21"/>
                <w:szCs w:val="21"/>
                <w:highlight w:val="none"/>
                <w:vertAlign w:val="baseline"/>
                <w:lang w:val="en-US" w:eastAsia="zh-CN"/>
              </w:rPr>
              <w:t>t/a</w:t>
            </w:r>
          </w:p>
        </w:tc>
        <w:tc>
          <w:tcPr>
            <w:tcW w:w="1337" w:type="dxa"/>
            <w:vAlign w:val="center"/>
          </w:tcPr>
          <w:p w14:paraId="7E4F7F47">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+0.03</w:t>
            </w:r>
            <w:r>
              <w:rPr>
                <w:rFonts w:hint="eastAsia" w:ascii="Times New Roman" w:hAnsi="Times New Roman" w:cs="Times New Roman"/>
                <w:color w:val="auto"/>
                <w:sz w:val="21"/>
                <w:szCs w:val="21"/>
                <w:highlight w:val="none"/>
                <w:vertAlign w:val="baseline"/>
                <w:lang w:val="en-US" w:eastAsia="zh-CN"/>
              </w:rPr>
              <w:t>t/a</w:t>
            </w:r>
          </w:p>
        </w:tc>
      </w:tr>
      <w:tr w14:paraId="036FBA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1462" w:type="dxa"/>
            <w:vMerge w:val="continue"/>
            <w:vAlign w:val="center"/>
          </w:tcPr>
          <w:p w14:paraId="1FAB218B">
            <w:pPr>
              <w:pStyle w:val="58"/>
              <w:ind w:firstLine="0"/>
              <w:rPr>
                <w:rFonts w:hint="default" w:ascii="Times New Roman" w:hAnsi="Times New Roman" w:cs="Times New Roman"/>
                <w:color w:val="auto"/>
                <w:highlight w:val="none"/>
                <w:lang w:val="en-US" w:eastAsia="zh-CN"/>
              </w:rPr>
            </w:pPr>
          </w:p>
        </w:tc>
        <w:tc>
          <w:tcPr>
            <w:tcW w:w="1784" w:type="dxa"/>
            <w:vAlign w:val="center"/>
          </w:tcPr>
          <w:p w14:paraId="4C20204B">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eastAsia"/>
                <w:color w:val="auto"/>
                <w:sz w:val="21"/>
                <w:szCs w:val="21"/>
                <w:highlight w:val="none"/>
                <w:lang w:val="en-US" w:eastAsia="zh-CN"/>
              </w:rPr>
              <w:t>废切削液</w:t>
            </w:r>
          </w:p>
        </w:tc>
        <w:tc>
          <w:tcPr>
            <w:tcW w:w="1591" w:type="dxa"/>
            <w:vAlign w:val="center"/>
          </w:tcPr>
          <w:p w14:paraId="5BF676DD">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312" w:type="dxa"/>
            <w:vAlign w:val="center"/>
          </w:tcPr>
          <w:p w14:paraId="4574BDC1">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48" w:type="dxa"/>
            <w:vAlign w:val="center"/>
          </w:tcPr>
          <w:p w14:paraId="33EE1198">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603" w:type="dxa"/>
            <w:vAlign w:val="center"/>
          </w:tcPr>
          <w:p w14:paraId="7FD1BF7D">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0.05</w:t>
            </w:r>
            <w:r>
              <w:rPr>
                <w:rFonts w:hint="eastAsia" w:ascii="Times New Roman" w:hAnsi="Times New Roman" w:cs="Times New Roman"/>
                <w:color w:val="auto"/>
                <w:sz w:val="21"/>
                <w:szCs w:val="21"/>
                <w:highlight w:val="none"/>
                <w:vertAlign w:val="baseline"/>
                <w:lang w:val="en-US" w:eastAsia="zh-CN"/>
              </w:rPr>
              <w:t>t/a</w:t>
            </w:r>
          </w:p>
        </w:tc>
        <w:tc>
          <w:tcPr>
            <w:tcW w:w="1631" w:type="dxa"/>
            <w:vAlign w:val="center"/>
          </w:tcPr>
          <w:p w14:paraId="5305C477">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05" w:type="dxa"/>
            <w:vAlign w:val="center"/>
          </w:tcPr>
          <w:p w14:paraId="5B845202">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0.05</w:t>
            </w:r>
            <w:r>
              <w:rPr>
                <w:rFonts w:hint="eastAsia" w:ascii="Times New Roman" w:hAnsi="Times New Roman" w:cs="Times New Roman"/>
                <w:color w:val="auto"/>
                <w:sz w:val="21"/>
                <w:szCs w:val="21"/>
                <w:highlight w:val="none"/>
                <w:vertAlign w:val="baseline"/>
                <w:lang w:val="en-US" w:eastAsia="zh-CN"/>
              </w:rPr>
              <w:t>t/a</w:t>
            </w:r>
          </w:p>
        </w:tc>
        <w:tc>
          <w:tcPr>
            <w:tcW w:w="1337" w:type="dxa"/>
            <w:vAlign w:val="center"/>
          </w:tcPr>
          <w:p w14:paraId="3ECA12B2">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+0.05</w:t>
            </w:r>
            <w:r>
              <w:rPr>
                <w:rFonts w:hint="eastAsia" w:ascii="Times New Roman" w:hAnsi="Times New Roman" w:cs="Times New Roman"/>
                <w:color w:val="auto"/>
                <w:sz w:val="21"/>
                <w:szCs w:val="21"/>
                <w:highlight w:val="none"/>
                <w:vertAlign w:val="baseline"/>
                <w:lang w:val="en-US" w:eastAsia="zh-CN"/>
              </w:rPr>
              <w:t>t/a</w:t>
            </w:r>
          </w:p>
        </w:tc>
      </w:tr>
      <w:tr w14:paraId="615540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1462" w:type="dxa"/>
            <w:vMerge w:val="continue"/>
            <w:vAlign w:val="center"/>
          </w:tcPr>
          <w:p w14:paraId="5B7530EF">
            <w:pPr>
              <w:pStyle w:val="58"/>
              <w:ind w:firstLine="0"/>
              <w:rPr>
                <w:rFonts w:hint="default" w:ascii="Times New Roman" w:hAnsi="Times New Roman" w:cs="Times New Roman"/>
                <w:color w:val="auto"/>
                <w:highlight w:val="none"/>
                <w:lang w:val="en-US" w:eastAsia="zh-CN"/>
              </w:rPr>
            </w:pPr>
          </w:p>
        </w:tc>
        <w:tc>
          <w:tcPr>
            <w:tcW w:w="1784" w:type="dxa"/>
            <w:vAlign w:val="center"/>
          </w:tcPr>
          <w:p w14:paraId="02F938D1">
            <w:pPr>
              <w:pStyle w:val="58"/>
              <w:keepNext w:val="0"/>
              <w:keepLines w:val="0"/>
              <w:pageBreakBefore w:val="0"/>
              <w:widowControl w:val="0"/>
              <w:kinsoku/>
              <w:wordWrap/>
              <w:overflowPunct/>
              <w:topLinePunct w:val="0"/>
              <w:autoSpaceDE/>
              <w:autoSpaceDN/>
              <w:bidi w:val="0"/>
              <w:adjustRightInd w:val="0"/>
              <w:snapToGrid w:val="0"/>
              <w:ind w:firstLine="0" w:firstLineChars="0"/>
              <w:textAlignment w:val="auto"/>
              <w:rPr>
                <w:rFonts w:hint="default" w:ascii="Times New Roman" w:hAnsi="Times New Roman" w:cs="Times New Roman"/>
                <w:color w:val="auto"/>
                <w:sz w:val="21"/>
                <w:szCs w:val="21"/>
                <w:highlight w:val="none"/>
                <w:lang w:val="en-US" w:eastAsia="zh-CN"/>
              </w:rPr>
            </w:pPr>
            <w:r>
              <w:rPr>
                <w:rFonts w:hint="eastAsia"/>
                <w:color w:val="auto"/>
                <w:sz w:val="21"/>
                <w:szCs w:val="21"/>
                <w:highlight w:val="none"/>
                <w:lang w:val="en-US" w:eastAsia="zh-CN"/>
              </w:rPr>
              <w:t>含切削液金属屑</w:t>
            </w:r>
          </w:p>
        </w:tc>
        <w:tc>
          <w:tcPr>
            <w:tcW w:w="1591" w:type="dxa"/>
            <w:vAlign w:val="center"/>
          </w:tcPr>
          <w:p w14:paraId="1A339223">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312" w:type="dxa"/>
            <w:vAlign w:val="center"/>
          </w:tcPr>
          <w:p w14:paraId="4B51445C">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48" w:type="dxa"/>
            <w:vAlign w:val="center"/>
          </w:tcPr>
          <w:p w14:paraId="4E27F9D2">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603" w:type="dxa"/>
            <w:vAlign w:val="center"/>
          </w:tcPr>
          <w:p w14:paraId="1835896D">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1.5</w:t>
            </w:r>
            <w:r>
              <w:rPr>
                <w:rFonts w:hint="eastAsia" w:ascii="Times New Roman" w:hAnsi="Times New Roman" w:cs="Times New Roman"/>
                <w:color w:val="auto"/>
                <w:sz w:val="21"/>
                <w:szCs w:val="21"/>
                <w:highlight w:val="none"/>
                <w:vertAlign w:val="baseline"/>
                <w:lang w:val="en-US" w:eastAsia="zh-CN"/>
              </w:rPr>
              <w:t>t/a</w:t>
            </w:r>
          </w:p>
        </w:tc>
        <w:tc>
          <w:tcPr>
            <w:tcW w:w="1631" w:type="dxa"/>
            <w:vAlign w:val="center"/>
          </w:tcPr>
          <w:p w14:paraId="6FDBAE77">
            <w:pPr>
              <w:pStyle w:val="58"/>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w:t>
            </w:r>
          </w:p>
        </w:tc>
        <w:tc>
          <w:tcPr>
            <w:tcW w:w="1705" w:type="dxa"/>
            <w:vAlign w:val="center"/>
          </w:tcPr>
          <w:p w14:paraId="4C77E889">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1.5</w:t>
            </w:r>
            <w:r>
              <w:rPr>
                <w:rFonts w:hint="eastAsia" w:ascii="Times New Roman" w:hAnsi="Times New Roman" w:cs="Times New Roman"/>
                <w:color w:val="auto"/>
                <w:sz w:val="21"/>
                <w:szCs w:val="21"/>
                <w:highlight w:val="none"/>
                <w:vertAlign w:val="baseline"/>
                <w:lang w:val="en-US" w:eastAsia="zh-CN"/>
              </w:rPr>
              <w:t>t/a</w:t>
            </w:r>
          </w:p>
        </w:tc>
        <w:tc>
          <w:tcPr>
            <w:tcW w:w="1337" w:type="dxa"/>
            <w:vAlign w:val="center"/>
          </w:tcPr>
          <w:p w14:paraId="255DD4E9">
            <w:pPr>
              <w:pStyle w:val="58"/>
              <w:keepNext w:val="0"/>
              <w:keepLines w:val="0"/>
              <w:pageBreakBefore w:val="0"/>
              <w:widowControl w:val="0"/>
              <w:kinsoku/>
              <w:wordWrap/>
              <w:overflowPunct/>
              <w:topLinePunct w:val="0"/>
              <w:autoSpaceDE/>
              <w:autoSpaceDN/>
              <w:bidi w:val="0"/>
              <w:adjustRightInd w:val="0"/>
              <w:snapToGrid w:val="0"/>
              <w:spacing w:before="24" w:after="24" w:line="240" w:lineRule="auto"/>
              <w:ind w:left="0" w:leftChars="0" w:right="0" w:rightChars="0" w:firstLine="0" w:firstLineChars="0"/>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+1.5</w:t>
            </w:r>
            <w:r>
              <w:rPr>
                <w:rFonts w:hint="eastAsia" w:ascii="Times New Roman" w:hAnsi="Times New Roman" w:cs="Times New Roman"/>
                <w:color w:val="auto"/>
                <w:sz w:val="21"/>
                <w:szCs w:val="21"/>
                <w:highlight w:val="none"/>
                <w:vertAlign w:val="baseline"/>
                <w:lang w:val="en-US" w:eastAsia="zh-CN"/>
              </w:rPr>
              <w:t>t/a</w:t>
            </w:r>
          </w:p>
        </w:tc>
      </w:tr>
    </w:tbl>
    <w:p w14:paraId="026E281D">
      <w:pPr>
        <w:pStyle w:val="58"/>
        <w:keepNext w:val="0"/>
        <w:keepLines w:val="0"/>
        <w:pageBreakBefore w:val="0"/>
        <w:widowControl w:val="0"/>
        <w:kinsoku/>
        <w:wordWrap/>
        <w:overflowPunct/>
        <w:topLinePunct w:val="0"/>
        <w:autoSpaceDE/>
        <w:autoSpaceDN/>
        <w:bidi w:val="0"/>
        <w:adjustRightInd w:val="0"/>
        <w:snapToGrid w:val="0"/>
        <w:ind w:firstLine="420"/>
        <w:jc w:val="left"/>
        <w:textAlignment w:val="auto"/>
        <w:outlineLvl w:val="0"/>
        <w:rPr>
          <w:color w:val="auto"/>
          <w:highlight w:val="none"/>
        </w:rPr>
        <w:sectPr>
          <w:footerReference r:id="rId9" w:type="default"/>
          <w:pgSz w:w="16838" w:h="11906" w:orient="landscape"/>
          <w:pgMar w:top="1701" w:right="1531" w:bottom="1701" w:left="1531" w:header="851" w:footer="851" w:gutter="0"/>
          <w:pgNumType w:fmt="decimal"/>
          <w:cols w:space="720" w:num="1"/>
          <w:docGrid w:linePitch="312" w:charSpace="0"/>
        </w:sectPr>
      </w:pPr>
      <w:r>
        <w:rPr>
          <w:rFonts w:hint="default" w:ascii="Times New Roman" w:hAnsi="Times New Roman" w:cs="Times New Roman"/>
          <w:snapToGrid w:val="0"/>
          <w:color w:val="auto"/>
          <w:kern w:val="21"/>
          <w:szCs w:val="21"/>
          <w:highlight w:val="none"/>
        </w:rPr>
        <w:t>注：</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3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③</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4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④</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5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⑤</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7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⑦</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r>
        <w:rPr>
          <w:rFonts w:hint="eastAsia"/>
          <w:color w:val="auto"/>
          <w:highlight w:val="none"/>
        </w:rPr>
        <w:tab/>
      </w:r>
    </w:p>
    <w:tbl>
      <w:tblPr>
        <w:tblStyle w:val="35"/>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71"/>
      </w:tblGrid>
      <w:tr w14:paraId="7B11A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60" w:type="dxa"/>
          </w:tcPr>
          <w:p w14:paraId="663D9E1E">
            <w:pPr>
              <w:pStyle w:val="8"/>
              <w:outlineLvl w:val="2"/>
              <w:rPr>
                <w:color w:val="auto"/>
                <w:highlight w:val="none"/>
              </w:rPr>
            </w:pPr>
          </w:p>
          <w:p w14:paraId="55A8EBBA">
            <w:pPr>
              <w:pStyle w:val="8"/>
              <w:adjustRightInd w:val="0"/>
              <w:snapToGrid w:val="0"/>
              <w:ind w:firstLine="562" w:firstLineChars="200"/>
              <w:jc w:val="left"/>
              <w:outlineLvl w:val="2"/>
              <w:rPr>
                <w:color w:val="auto"/>
                <w:highlight w:val="none"/>
              </w:rPr>
            </w:pPr>
            <w:r>
              <w:rPr>
                <w:color w:val="auto"/>
                <w:highlight w:val="none"/>
              </w:rPr>
              <w:t>附图</w:t>
            </w:r>
          </w:p>
          <w:p w14:paraId="61AAE022">
            <w:pPr>
              <w:adjustRightInd w:val="0"/>
              <w:snapToGrid w:val="0"/>
              <w:ind w:firstLine="480" w:firstLineChars="200"/>
              <w:jc w:val="left"/>
              <w:rPr>
                <w:color w:val="auto"/>
                <w:highlight w:val="none"/>
              </w:rPr>
            </w:pPr>
            <w:r>
              <w:rPr>
                <w:color w:val="auto"/>
                <w:highlight w:val="none"/>
              </w:rPr>
              <w:t>附图1  项目地理位置图</w:t>
            </w:r>
          </w:p>
          <w:p w14:paraId="20663316">
            <w:pPr>
              <w:adjustRightInd w:val="0"/>
              <w:snapToGrid w:val="0"/>
              <w:ind w:firstLine="480" w:firstLineChars="200"/>
              <w:jc w:val="left"/>
              <w:rPr>
                <w:color w:val="auto"/>
                <w:highlight w:val="none"/>
              </w:rPr>
            </w:pPr>
            <w:r>
              <w:rPr>
                <w:color w:val="auto"/>
                <w:highlight w:val="none"/>
              </w:rPr>
              <w:t>附图2  项目周边关系图</w:t>
            </w:r>
          </w:p>
          <w:p w14:paraId="04078BDD">
            <w:pPr>
              <w:adjustRightInd w:val="0"/>
              <w:snapToGrid w:val="0"/>
              <w:ind w:firstLine="480" w:firstLineChars="200"/>
              <w:jc w:val="left"/>
              <w:rPr>
                <w:color w:val="auto"/>
                <w:highlight w:val="none"/>
              </w:rPr>
            </w:pPr>
            <w:r>
              <w:rPr>
                <w:color w:val="auto"/>
                <w:highlight w:val="none"/>
              </w:rPr>
              <w:t>附图3  项目平面布置图</w:t>
            </w:r>
          </w:p>
          <w:p w14:paraId="57DD0484">
            <w:pPr>
              <w:ind w:firstLine="480"/>
              <w:rPr>
                <w:b w:val="0"/>
                <w:bCs w:val="0"/>
                <w:color w:val="auto"/>
                <w:sz w:val="24"/>
                <w:szCs w:val="24"/>
                <w:highlight w:val="none"/>
              </w:rPr>
            </w:pPr>
            <w:r>
              <w:rPr>
                <w:b/>
                <w:bCs/>
                <w:color w:val="auto"/>
                <w:sz w:val="28"/>
                <w:szCs w:val="21"/>
                <w:highlight w:val="none"/>
              </w:rPr>
              <w:t>附件</w:t>
            </w:r>
          </w:p>
          <w:p w14:paraId="64B8697C">
            <w:pPr>
              <w:keepNext w:val="0"/>
              <w:keepLines w:val="0"/>
              <w:pageBreakBefore w:val="0"/>
              <w:widowControl w:val="0"/>
              <w:kinsoku/>
              <w:wordWrap/>
              <w:overflowPunct/>
              <w:topLinePunct w:val="0"/>
              <w:autoSpaceDE/>
              <w:autoSpaceDN/>
              <w:bidi w:val="0"/>
              <w:adjustRightInd w:val="0"/>
              <w:snapToGrid w:val="0"/>
              <w:ind w:firstLine="480" w:firstLineChars="200"/>
              <w:jc w:val="left"/>
              <w:textAlignment w:val="auto"/>
              <w:rPr>
                <w:color w:val="auto"/>
                <w:highlight w:val="none"/>
              </w:rPr>
            </w:pPr>
            <w:r>
              <w:rPr>
                <w:rFonts w:hint="eastAsia"/>
                <w:color w:val="auto"/>
                <w:highlight w:val="none"/>
              </w:rPr>
              <w:t>附件1  营业执照</w:t>
            </w:r>
          </w:p>
          <w:p w14:paraId="44202695">
            <w:pPr>
              <w:keepNext w:val="0"/>
              <w:keepLines w:val="0"/>
              <w:pageBreakBefore w:val="0"/>
              <w:widowControl w:val="0"/>
              <w:kinsoku/>
              <w:wordWrap/>
              <w:overflowPunct/>
              <w:topLinePunct w:val="0"/>
              <w:autoSpaceDE/>
              <w:autoSpaceDN/>
              <w:bidi w:val="0"/>
              <w:adjustRightInd w:val="0"/>
              <w:snapToGrid w:val="0"/>
              <w:ind w:firstLine="480" w:firstLineChars="200"/>
              <w:jc w:val="left"/>
              <w:textAlignment w:val="auto"/>
              <w:rPr>
                <w:color w:val="auto"/>
                <w:highlight w:val="none"/>
              </w:rPr>
            </w:pPr>
            <w:r>
              <w:rPr>
                <w:rFonts w:hint="eastAsia"/>
                <w:color w:val="auto"/>
                <w:highlight w:val="none"/>
              </w:rPr>
              <w:t>附件2  企业投资项目备案信息</w:t>
            </w:r>
          </w:p>
          <w:p w14:paraId="650518CA">
            <w:pPr>
              <w:keepNext w:val="0"/>
              <w:keepLines w:val="0"/>
              <w:pageBreakBefore w:val="0"/>
              <w:widowControl w:val="0"/>
              <w:kinsoku/>
              <w:wordWrap/>
              <w:overflowPunct/>
              <w:topLinePunct w:val="0"/>
              <w:autoSpaceDE/>
              <w:autoSpaceDN/>
              <w:bidi w:val="0"/>
              <w:adjustRightInd w:val="0"/>
              <w:snapToGrid w:val="0"/>
              <w:ind w:firstLine="480" w:firstLineChars="200"/>
              <w:jc w:val="left"/>
              <w:textAlignment w:val="auto"/>
              <w:rPr>
                <w:rFonts w:hint="eastAsia"/>
                <w:color w:val="auto"/>
                <w:highlight w:val="none"/>
                <w:lang w:val="en-US" w:eastAsia="zh-CN"/>
              </w:rPr>
            </w:pPr>
            <w:r>
              <w:rPr>
                <w:rFonts w:hint="eastAsia"/>
                <w:color w:val="auto"/>
                <w:highlight w:val="none"/>
              </w:rPr>
              <w:t>附件</w:t>
            </w:r>
            <w:r>
              <w:rPr>
                <w:rFonts w:hint="default"/>
                <w:color w:val="auto"/>
                <w:highlight w:val="none"/>
                <w:lang w:val="en-US" w:eastAsia="zh-CN"/>
              </w:rPr>
              <w:t>3</w:t>
            </w:r>
            <w:r>
              <w:rPr>
                <w:rFonts w:hint="eastAsia"/>
                <w:color w:val="auto"/>
                <w:highlight w:val="none"/>
              </w:rPr>
              <w:t xml:space="preserve"> </w:t>
            </w:r>
            <w:r>
              <w:rPr>
                <w:rFonts w:hint="default"/>
                <w:color w:val="auto"/>
                <w:highlight w:val="none"/>
                <w:lang w:val="en-US" w:eastAsia="zh-CN"/>
              </w:rPr>
              <w:t xml:space="preserve"> </w:t>
            </w:r>
            <w:r>
              <w:rPr>
                <w:rFonts w:hint="eastAsia" w:ascii="Times New Roman" w:hAnsi="Times New Roman" w:eastAsia="宋体" w:cs="Times New Roman"/>
                <w:color w:val="auto"/>
                <w:highlight w:val="none"/>
              </w:rPr>
              <w:t>土地证</w:t>
            </w:r>
          </w:p>
          <w:p w14:paraId="6626A1D1">
            <w:pPr>
              <w:keepNext w:val="0"/>
              <w:keepLines w:val="0"/>
              <w:pageBreakBefore w:val="0"/>
              <w:widowControl w:val="0"/>
              <w:kinsoku/>
              <w:wordWrap/>
              <w:overflowPunct/>
              <w:topLinePunct w:val="0"/>
              <w:autoSpaceDE/>
              <w:autoSpaceDN/>
              <w:bidi w:val="0"/>
              <w:adjustRightInd w:val="0"/>
              <w:snapToGrid w:val="0"/>
              <w:ind w:firstLine="480" w:firstLineChars="200"/>
              <w:jc w:val="left"/>
              <w:textAlignment w:val="auto"/>
              <w:rPr>
                <w:rFonts w:ascii="Times New Roman" w:hAnsi="Times New Roman"/>
                <w:color w:val="auto"/>
                <w:szCs w:val="24"/>
                <w:highlight w:val="none"/>
              </w:rPr>
            </w:pPr>
            <w:r>
              <w:rPr>
                <w:rFonts w:hint="eastAsia" w:ascii="Times New Roman" w:hAnsi="Times New Roman" w:eastAsia="宋体" w:cs="Times New Roman"/>
                <w:color w:val="auto"/>
                <w:highlight w:val="none"/>
                <w:lang w:val="en-US" w:eastAsia="zh-CN"/>
              </w:rPr>
              <w:t xml:space="preserve">附件4  </w:t>
            </w:r>
            <w:r>
              <w:rPr>
                <w:rFonts w:hint="eastAsia" w:cs="Times New Roman"/>
                <w:b w:val="0"/>
                <w:bCs w:val="0"/>
                <w:color w:val="auto"/>
                <w:sz w:val="24"/>
                <w:szCs w:val="20"/>
                <w:highlight w:val="none"/>
                <w:lang w:val="en-US" w:eastAsia="zh-CN"/>
              </w:rPr>
              <w:t>现有环评手续</w:t>
            </w:r>
          </w:p>
          <w:p w14:paraId="13AA59ED">
            <w:pPr>
              <w:keepNext w:val="0"/>
              <w:keepLines w:val="0"/>
              <w:pageBreakBefore w:val="0"/>
              <w:widowControl w:val="0"/>
              <w:kinsoku/>
              <w:wordWrap/>
              <w:overflowPunct/>
              <w:topLinePunct w:val="0"/>
              <w:autoSpaceDE/>
              <w:autoSpaceDN/>
              <w:bidi w:val="0"/>
              <w:adjustRightInd w:val="0"/>
              <w:snapToGrid w:val="0"/>
              <w:ind w:firstLine="480"/>
              <w:textAlignment w:val="auto"/>
              <w:rPr>
                <w:rFonts w:ascii="Times New Roman" w:hAnsi="Times New Roman"/>
                <w:color w:val="auto"/>
                <w:szCs w:val="24"/>
                <w:highlight w:val="none"/>
              </w:rPr>
            </w:pPr>
            <w:r>
              <w:rPr>
                <w:rFonts w:hint="eastAsia" w:ascii="Times New Roman" w:hAnsi="Times New Roman" w:eastAsia="宋体" w:cs="Times New Roman"/>
                <w:b w:val="0"/>
                <w:bCs w:val="0"/>
                <w:color w:val="auto"/>
                <w:sz w:val="24"/>
                <w:szCs w:val="20"/>
                <w:highlight w:val="none"/>
                <w:lang w:val="en-US" w:eastAsia="zh-CN"/>
              </w:rPr>
              <w:t>附件</w:t>
            </w:r>
            <w:r>
              <w:rPr>
                <w:rFonts w:hint="eastAsia" w:cs="Times New Roman"/>
                <w:b w:val="0"/>
                <w:bCs w:val="0"/>
                <w:color w:val="auto"/>
                <w:sz w:val="24"/>
                <w:szCs w:val="20"/>
                <w:highlight w:val="none"/>
                <w:lang w:val="en-US" w:eastAsia="zh-CN"/>
              </w:rPr>
              <w:t>5</w:t>
            </w:r>
            <w:r>
              <w:rPr>
                <w:rFonts w:hint="eastAsia" w:ascii="Times New Roman" w:hAnsi="Times New Roman" w:eastAsia="宋体" w:cs="Times New Roman"/>
                <w:b w:val="0"/>
                <w:bCs w:val="0"/>
                <w:color w:val="auto"/>
                <w:sz w:val="24"/>
                <w:szCs w:val="20"/>
                <w:highlight w:val="none"/>
                <w:lang w:val="en-US" w:eastAsia="zh-CN"/>
              </w:rPr>
              <w:t xml:space="preserve">  </w:t>
            </w:r>
            <w:r>
              <w:rPr>
                <w:rFonts w:hint="eastAsia" w:cs="Times New Roman"/>
                <w:b w:val="0"/>
                <w:bCs w:val="0"/>
                <w:color w:val="auto"/>
                <w:sz w:val="24"/>
                <w:szCs w:val="20"/>
                <w:highlight w:val="none"/>
                <w:lang w:val="en-US" w:eastAsia="zh-CN"/>
              </w:rPr>
              <w:t>现状监测报告</w:t>
            </w:r>
          </w:p>
          <w:p w14:paraId="66147D62">
            <w:pPr>
              <w:adjustRightInd w:val="0"/>
              <w:snapToGrid w:val="0"/>
              <w:rPr>
                <w:rFonts w:ascii="Times New Roman" w:hAnsi="Times New Roman"/>
                <w:color w:val="auto"/>
                <w:szCs w:val="24"/>
                <w:highlight w:val="none"/>
              </w:rPr>
            </w:pPr>
          </w:p>
          <w:p w14:paraId="16471477">
            <w:pPr>
              <w:pStyle w:val="30"/>
              <w:spacing w:before="0" w:beforeAutospacing="0" w:after="0" w:afterAutospacing="0"/>
              <w:ind w:firstLine="480" w:firstLineChars="200"/>
              <w:rPr>
                <w:rFonts w:ascii="Times New Roman" w:hAnsi="Times New Roman"/>
                <w:color w:val="auto"/>
                <w:szCs w:val="24"/>
                <w:highlight w:val="none"/>
              </w:rPr>
            </w:pPr>
          </w:p>
          <w:p w14:paraId="0CCB41CB">
            <w:pPr>
              <w:pStyle w:val="30"/>
              <w:spacing w:before="0" w:beforeAutospacing="0" w:after="0" w:afterAutospacing="0"/>
              <w:ind w:firstLine="480" w:firstLineChars="200"/>
              <w:rPr>
                <w:rFonts w:ascii="Times New Roman" w:hAnsi="Times New Roman"/>
                <w:color w:val="auto"/>
                <w:szCs w:val="24"/>
                <w:highlight w:val="none"/>
              </w:rPr>
            </w:pPr>
          </w:p>
          <w:p w14:paraId="5266BF01">
            <w:pPr>
              <w:pStyle w:val="30"/>
              <w:spacing w:before="0" w:beforeAutospacing="0" w:after="0" w:afterAutospacing="0"/>
              <w:ind w:firstLine="480" w:firstLineChars="200"/>
              <w:rPr>
                <w:rFonts w:ascii="Times New Roman" w:hAnsi="Times New Roman"/>
                <w:color w:val="auto"/>
                <w:szCs w:val="24"/>
                <w:highlight w:val="none"/>
              </w:rPr>
            </w:pPr>
          </w:p>
          <w:p w14:paraId="21D8E1B7">
            <w:pPr>
              <w:pStyle w:val="30"/>
              <w:spacing w:before="0" w:beforeAutospacing="0" w:after="0" w:afterAutospacing="0"/>
              <w:ind w:firstLine="480" w:firstLineChars="200"/>
              <w:rPr>
                <w:rFonts w:ascii="Times New Roman" w:hAnsi="Times New Roman"/>
                <w:color w:val="auto"/>
                <w:szCs w:val="24"/>
                <w:highlight w:val="none"/>
              </w:rPr>
            </w:pPr>
          </w:p>
          <w:p w14:paraId="03F53255">
            <w:pPr>
              <w:pStyle w:val="30"/>
              <w:spacing w:before="0" w:beforeAutospacing="0" w:after="0" w:afterAutospacing="0"/>
              <w:ind w:firstLine="480" w:firstLineChars="200"/>
              <w:rPr>
                <w:rFonts w:ascii="Times New Roman" w:hAnsi="Times New Roman"/>
                <w:color w:val="auto"/>
                <w:szCs w:val="24"/>
                <w:highlight w:val="none"/>
              </w:rPr>
            </w:pPr>
          </w:p>
          <w:p w14:paraId="678E7BD0">
            <w:pPr>
              <w:pStyle w:val="30"/>
              <w:spacing w:before="0" w:beforeAutospacing="0" w:after="0" w:afterAutospacing="0"/>
              <w:ind w:firstLine="480" w:firstLineChars="200"/>
              <w:rPr>
                <w:rFonts w:ascii="Times New Roman" w:hAnsi="Times New Roman"/>
                <w:color w:val="auto"/>
                <w:szCs w:val="24"/>
                <w:highlight w:val="none"/>
              </w:rPr>
            </w:pPr>
          </w:p>
          <w:p w14:paraId="70E3D626">
            <w:pPr>
              <w:pStyle w:val="30"/>
              <w:spacing w:before="0" w:beforeAutospacing="0" w:after="0" w:afterAutospacing="0"/>
              <w:ind w:firstLine="480" w:firstLineChars="200"/>
              <w:rPr>
                <w:rFonts w:ascii="Times New Roman" w:hAnsi="Times New Roman"/>
                <w:color w:val="auto"/>
                <w:szCs w:val="24"/>
                <w:highlight w:val="none"/>
              </w:rPr>
            </w:pPr>
          </w:p>
          <w:p w14:paraId="06FE2BF6">
            <w:pPr>
              <w:pStyle w:val="30"/>
              <w:spacing w:before="0" w:beforeAutospacing="0" w:after="0" w:afterAutospacing="0"/>
              <w:ind w:firstLine="480" w:firstLineChars="200"/>
              <w:rPr>
                <w:rFonts w:ascii="Times New Roman" w:hAnsi="Times New Roman"/>
                <w:color w:val="auto"/>
                <w:szCs w:val="24"/>
                <w:highlight w:val="none"/>
              </w:rPr>
            </w:pPr>
          </w:p>
          <w:p w14:paraId="7DFD4EF0">
            <w:pPr>
              <w:pStyle w:val="30"/>
              <w:spacing w:before="0" w:beforeAutospacing="0" w:after="0" w:afterAutospacing="0"/>
              <w:ind w:firstLine="480" w:firstLineChars="200"/>
              <w:rPr>
                <w:rFonts w:ascii="Times New Roman" w:hAnsi="Times New Roman"/>
                <w:color w:val="auto"/>
                <w:szCs w:val="24"/>
                <w:highlight w:val="none"/>
              </w:rPr>
            </w:pPr>
          </w:p>
          <w:p w14:paraId="10D0F17A">
            <w:pPr>
              <w:pStyle w:val="30"/>
              <w:spacing w:before="0" w:beforeAutospacing="0" w:after="0" w:afterAutospacing="0"/>
              <w:ind w:firstLine="480" w:firstLineChars="200"/>
              <w:rPr>
                <w:rFonts w:ascii="Times New Roman" w:hAnsi="Times New Roman"/>
                <w:color w:val="auto"/>
                <w:szCs w:val="24"/>
                <w:highlight w:val="none"/>
              </w:rPr>
            </w:pPr>
          </w:p>
          <w:p w14:paraId="32F0352F">
            <w:pPr>
              <w:pStyle w:val="30"/>
              <w:spacing w:before="0" w:beforeAutospacing="0" w:after="0" w:afterAutospacing="0"/>
              <w:ind w:firstLine="480" w:firstLineChars="200"/>
              <w:rPr>
                <w:rFonts w:ascii="Times New Roman" w:hAnsi="Times New Roman"/>
                <w:color w:val="auto"/>
                <w:szCs w:val="24"/>
                <w:highlight w:val="none"/>
              </w:rPr>
            </w:pPr>
          </w:p>
          <w:p w14:paraId="160974AA">
            <w:pPr>
              <w:pStyle w:val="30"/>
              <w:spacing w:before="0" w:beforeAutospacing="0" w:after="0" w:afterAutospacing="0"/>
              <w:ind w:firstLine="480" w:firstLineChars="200"/>
              <w:rPr>
                <w:rFonts w:ascii="Times New Roman" w:hAnsi="Times New Roman"/>
                <w:color w:val="auto"/>
                <w:szCs w:val="24"/>
                <w:highlight w:val="none"/>
              </w:rPr>
            </w:pPr>
          </w:p>
          <w:p w14:paraId="1F30D7BB">
            <w:pPr>
              <w:pStyle w:val="30"/>
              <w:spacing w:before="0" w:beforeAutospacing="0" w:after="0" w:afterAutospacing="0"/>
              <w:ind w:firstLine="480" w:firstLineChars="200"/>
              <w:rPr>
                <w:rFonts w:ascii="Times New Roman" w:hAnsi="Times New Roman"/>
                <w:color w:val="auto"/>
                <w:szCs w:val="24"/>
                <w:highlight w:val="none"/>
              </w:rPr>
            </w:pPr>
          </w:p>
          <w:p w14:paraId="58BD6876">
            <w:pPr>
              <w:pStyle w:val="6"/>
              <w:jc w:val="both"/>
              <w:outlineLvl w:val="0"/>
              <w:rPr>
                <w:color w:val="auto"/>
                <w:highlight w:val="none"/>
              </w:rPr>
            </w:pPr>
          </w:p>
        </w:tc>
      </w:tr>
    </w:tbl>
    <w:p w14:paraId="12EB465E">
      <w:pPr>
        <w:rPr>
          <w:color w:val="auto"/>
          <w:highlight w:val="none"/>
        </w:rPr>
      </w:pPr>
    </w:p>
    <w:p w14:paraId="1FFE2FB4">
      <w:pPr>
        <w:rPr>
          <w:color w:val="auto"/>
          <w:highlight w:val="none"/>
        </w:rPr>
      </w:pPr>
    </w:p>
    <w:p w14:paraId="73B4A0B3">
      <w:pPr>
        <w:rPr>
          <w:color w:val="auto"/>
          <w:highlight w:val="none"/>
        </w:rPr>
      </w:pPr>
    </w:p>
    <w:sectPr>
      <w:footerReference r:id="rId10" w:type="default"/>
      <w:pgSz w:w="11906" w:h="16838"/>
      <w:pgMar w:top="1440" w:right="1134" w:bottom="1440" w:left="1134"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06079E33-660E-4898-B0DD-FAF8FC2604F7}"/>
  </w:font>
  <w:font w:name="Arial">
    <w:panose1 w:val="020B0604020202020204"/>
    <w:charset w:val="01"/>
    <w:family w:val="swiss"/>
    <w:pitch w:val="default"/>
    <w:sig w:usb0="E0002AFF" w:usb1="C0007843" w:usb2="00000009" w:usb3="00000000" w:csb0="400001FF" w:csb1="FFFF0000"/>
    <w:embedRegular r:id="rId2" w:fontKey="{1ECD389D-FD14-43AD-A87D-B8E82F92114C}"/>
  </w:font>
  <w:font w:name="黑体">
    <w:panose1 w:val="02010609060101010101"/>
    <w:charset w:val="86"/>
    <w:family w:val="auto"/>
    <w:pitch w:val="default"/>
    <w:sig w:usb0="800002BF" w:usb1="38CF7CFA" w:usb2="00000016" w:usb3="00000000" w:csb0="00040001" w:csb1="00000000"/>
    <w:embedRegular r:id="rId3" w:fontKey="{D60DB736-B671-48E6-BCFD-461FD3B1CDE8}"/>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embedRegular r:id="rId4" w:fontKey="{04BBA0C1-0C12-4A8A-8E25-F4D63EC244E8}"/>
  </w:font>
  <w:font w:name="方正小标宋_GBK">
    <w:panose1 w:val="02000000000000000000"/>
    <w:charset w:val="86"/>
    <w:family w:val="script"/>
    <w:pitch w:val="default"/>
    <w:sig w:usb0="A00002BF" w:usb1="38CF7CFA" w:usb2="00082016" w:usb3="00000000" w:csb0="00040001" w:csb1="00000000"/>
    <w:embedRegular r:id="rId5" w:fontKey="{33B36449-F48C-41AD-A321-DA9A7CFF01E7}"/>
  </w:font>
  <w:font w:name="楷体_GB2312">
    <w:panose1 w:val="02010609030101010101"/>
    <w:charset w:val="86"/>
    <w:family w:val="modern"/>
    <w:pitch w:val="default"/>
    <w:sig w:usb0="00000001" w:usb1="080E0000" w:usb2="00000000" w:usb3="00000000" w:csb0="00040000" w:csb1="00000000"/>
    <w:embedRegular r:id="rId6" w:fontKey="{E4669E5C-176C-49B6-BA12-6F67D8C57198}"/>
  </w:font>
  <w:font w:name="仿宋">
    <w:panose1 w:val="02010609060101010101"/>
    <w:charset w:val="86"/>
    <w:family w:val="auto"/>
    <w:pitch w:val="default"/>
    <w:sig w:usb0="800002BF" w:usb1="38CF7CFA" w:usb2="00000016" w:usb3="00000000" w:csb0="00040001" w:csb1="00000000"/>
    <w:embedRegular r:id="rId7" w:fontKey="{F69BC83E-AD71-4E9B-88F8-98FD94BE0E37}"/>
  </w:font>
  <w:font w:name="等线">
    <w:panose1 w:val="02010600030101010101"/>
    <w:charset w:val="86"/>
    <w:family w:val="auto"/>
    <w:pitch w:val="default"/>
    <w:sig w:usb0="A00002BF" w:usb1="38CF7CFA" w:usb2="00000016" w:usb3="00000000" w:csb0="0004000F" w:csb1="00000000"/>
    <w:embedRegular r:id="rId8" w:fontKey="{D0A6A4B9-5506-47DA-A0EE-F7FF5FB74801}"/>
  </w:font>
  <w:font w:name="微软雅黑">
    <w:panose1 w:val="020B0503020204020204"/>
    <w:charset w:val="86"/>
    <w:family w:val="auto"/>
    <w:pitch w:val="default"/>
    <w:sig w:usb0="80000287" w:usb1="280F3C52" w:usb2="00000016" w:usb3="00000000" w:csb0="0004001F" w:csb1="00000000"/>
    <w:embedRegular r:id="rId9" w:fontKey="{13E21049-10F6-44C9-B902-81CE60A450F1}"/>
  </w:font>
  <w:font w:name="FangSong_GB2312">
    <w:altName w:val="仿宋_GB2312"/>
    <w:panose1 w:val="00000000000000000000"/>
    <w:charset w:val="86"/>
    <w:family w:val="modern"/>
    <w:pitch w:val="default"/>
    <w:sig w:usb0="00000000" w:usb1="00000000" w:usb2="00000016" w:usb3="00000000" w:csb0="00040001" w:csb1="00000000"/>
    <w:embedRegular r:id="rId10" w:fontKey="{A5A0D575-616B-4EB8-854A-1897CEC007B0}"/>
  </w:font>
  <w:font w:name="MS PGothic">
    <w:panose1 w:val="020B0600070205080204"/>
    <w:charset w:val="80"/>
    <w:family w:val="auto"/>
    <w:pitch w:val="default"/>
    <w:sig w:usb0="E00002FF" w:usb1="6AC7FDFB" w:usb2="00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CFB4A7">
    <w:pPr>
      <w:pStyle w:val="2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E1445">
    <w:pPr>
      <w:pStyle w:val="22"/>
      <w:framePr w:wrap="around" w:vAnchor="text" w:hAnchor="margin" w:xAlign="center" w:y="1"/>
      <w:rPr>
        <w:rStyle w:val="38"/>
      </w:rPr>
    </w:pPr>
    <w:r>
      <w:fldChar w:fldCharType="begin"/>
    </w:r>
    <w:r>
      <w:rPr>
        <w:rStyle w:val="38"/>
      </w:rPr>
      <w:instrText xml:space="preserve">PAGE  </w:instrText>
    </w:r>
    <w:r>
      <w:fldChar w:fldCharType="end"/>
    </w:r>
  </w:p>
  <w:p w14:paraId="7C34ADC2">
    <w:pPr>
      <w:pStyle w:val="22"/>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AF223">
    <w:pPr>
      <w:pStyle w:val="22"/>
      <w:ind w:right="360"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7A0C18">
                          <w:pPr>
                            <w:pStyle w:val="2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14:paraId="227A0C18">
                    <w:pPr>
                      <w:pStyle w:val="2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76665D">
    <w:pPr>
      <w:pStyle w:val="22"/>
      <w:ind w:right="360" w:firstLine="360"/>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A9400A">
                          <w:pPr>
                            <w:pStyle w:val="22"/>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MFE50y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QYphGxU8/vp9+&#10;Ppx+fSM4g0CNCzPE3TtExvadbRE8nAccJt5t5XX6ghGBH/IeL/KKNhKeLk0n02kOF4dv2AA/e7zu&#10;fIjvhdUkGQX1qF8nKztsQuxDh5CUzdi1VKqroTKkKejV67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IwUTnTICAABjBAAADgAAAAAAAAABACAAAAAfAQAAZHJzL2Uyb0RvYy54bWxQSwUG&#10;AAAAAAYABgBZAQAAwwUAAAAA&#10;">
              <v:fill on="f" focussize="0,0"/>
              <v:stroke on="f" weight="0.5pt"/>
              <v:imagedata o:title=""/>
              <o:lock v:ext="edit" aspectratio="f"/>
              <v:textbox inset="0mm,0mm,0mm,0mm" style="mso-fit-shape-to-text:t;">
                <w:txbxContent>
                  <w:p w14:paraId="2CA9400A">
                    <w:pPr>
                      <w:pStyle w:val="22"/>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A8B877">
    <w:pPr>
      <w:pStyle w:val="22"/>
      <w:ind w:right="360" w:firstLine="360"/>
      <w:jc w:val="center"/>
      <w:rPr>
        <w:rFonts w:hint="default" w:eastAsia="宋体"/>
        <w:lang w:val="en-US" w:eastAsia="zh-CN"/>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1C0C1C">
                          <w:pPr>
                            <w:pStyle w:val="22"/>
                          </w:pPr>
                          <w:r>
                            <w:fldChar w:fldCharType="begin"/>
                          </w:r>
                          <w:r>
                            <w:instrText xml:space="preserve"> PAGE  \* MERGEFORMAT </w:instrText>
                          </w:r>
                          <w:r>
                            <w:fldChar w:fldCharType="separate"/>
                          </w:r>
                          <w:r>
                            <w:t>67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361C0C1C">
                    <w:pPr>
                      <w:pStyle w:val="22"/>
                    </w:pPr>
                    <w:r>
                      <w:fldChar w:fldCharType="begin"/>
                    </w:r>
                    <w:r>
                      <w:instrText xml:space="preserve"> PAGE  \* MERGEFORMAT </w:instrText>
                    </w:r>
                    <w:r>
                      <w:fldChar w:fldCharType="separate"/>
                    </w:r>
                    <w:r>
                      <w:t>67</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1B3B32">
    <w:pPr>
      <w:pStyle w:val="2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9EC662C"/>
    <w:multiLevelType w:val="singleLevel"/>
    <w:tmpl w:val="C9EC662C"/>
    <w:lvl w:ilvl="0" w:tentative="0">
      <w:start w:val="1"/>
      <w:numFmt w:val="decimal"/>
      <w:suff w:val="nothing"/>
      <w:lvlText w:val="%1、"/>
      <w:lvlJc w:val="left"/>
    </w:lvl>
  </w:abstractNum>
  <w:abstractNum w:abstractNumId="1">
    <w:nsid w:val="FE1A149A"/>
    <w:multiLevelType w:val="singleLevel"/>
    <w:tmpl w:val="FE1A149A"/>
    <w:lvl w:ilvl="0" w:tentative="0">
      <w:start w:val="1"/>
      <w:numFmt w:val="decimal"/>
      <w:suff w:val="nothing"/>
      <w:lvlText w:val="%1、"/>
      <w:lvlJc w:val="left"/>
    </w:lvl>
  </w:abstractNum>
  <w:abstractNum w:abstractNumId="2">
    <w:nsid w:val="05F1134B"/>
    <w:multiLevelType w:val="singleLevel"/>
    <w:tmpl w:val="05F1134B"/>
    <w:lvl w:ilvl="0" w:tentative="0">
      <w:start w:val="1"/>
      <w:numFmt w:val="decimal"/>
      <w:suff w:val="nothing"/>
      <w:lvlText w:val="%1、"/>
      <w:lvlJc w:val="left"/>
    </w:lvl>
  </w:abstractNum>
  <w:abstractNum w:abstractNumId="3">
    <w:nsid w:val="2BB21EA9"/>
    <w:multiLevelType w:val="singleLevel"/>
    <w:tmpl w:val="2BB21EA9"/>
    <w:lvl w:ilvl="0" w:tentative="0">
      <w:start w:val="1"/>
      <w:numFmt w:val="decimal"/>
      <w:suff w:val="nothing"/>
      <w:lvlText w:val="%1、"/>
      <w:lvlJc w:val="left"/>
    </w:lvl>
  </w:abstractNum>
  <w:abstractNum w:abstractNumId="4">
    <w:nsid w:val="641C39A5"/>
    <w:multiLevelType w:val="singleLevel"/>
    <w:tmpl w:val="641C39A5"/>
    <w:lvl w:ilvl="0" w:tentative="0">
      <w:start w:val="1"/>
      <w:numFmt w:val="decimal"/>
      <w:suff w:val="nothing"/>
      <w:lvlText w:val="%1、"/>
      <w:lvlJc w:val="left"/>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E4YzFhMWU4M2FkNTE5MjU4YTgxNzhhNWEyMGIyNGMifQ=="/>
  </w:docVars>
  <w:rsids>
    <w:rsidRoot w:val="00172A27"/>
    <w:rsid w:val="000060B3"/>
    <w:rsid w:val="0002117A"/>
    <w:rsid w:val="000273CC"/>
    <w:rsid w:val="0004364B"/>
    <w:rsid w:val="00050BB5"/>
    <w:rsid w:val="00052A18"/>
    <w:rsid w:val="00061B1F"/>
    <w:rsid w:val="00072C34"/>
    <w:rsid w:val="000733C4"/>
    <w:rsid w:val="00074783"/>
    <w:rsid w:val="00076791"/>
    <w:rsid w:val="0008070B"/>
    <w:rsid w:val="000810AC"/>
    <w:rsid w:val="00081A02"/>
    <w:rsid w:val="00082231"/>
    <w:rsid w:val="00083CC5"/>
    <w:rsid w:val="0009075B"/>
    <w:rsid w:val="00092D38"/>
    <w:rsid w:val="0009377B"/>
    <w:rsid w:val="000A002F"/>
    <w:rsid w:val="000A20C9"/>
    <w:rsid w:val="000B058F"/>
    <w:rsid w:val="000B4467"/>
    <w:rsid w:val="000B4DB9"/>
    <w:rsid w:val="000C024B"/>
    <w:rsid w:val="000C09AC"/>
    <w:rsid w:val="000C72CA"/>
    <w:rsid w:val="000C767F"/>
    <w:rsid w:val="000D5A44"/>
    <w:rsid w:val="000E3ED2"/>
    <w:rsid w:val="000E5D71"/>
    <w:rsid w:val="00101AE9"/>
    <w:rsid w:val="00131F42"/>
    <w:rsid w:val="00135135"/>
    <w:rsid w:val="001357F1"/>
    <w:rsid w:val="00140FA8"/>
    <w:rsid w:val="00142FEB"/>
    <w:rsid w:val="00143A2D"/>
    <w:rsid w:val="00144753"/>
    <w:rsid w:val="0014595C"/>
    <w:rsid w:val="00145A41"/>
    <w:rsid w:val="00150EAD"/>
    <w:rsid w:val="00151675"/>
    <w:rsid w:val="00157435"/>
    <w:rsid w:val="0017504D"/>
    <w:rsid w:val="0017671A"/>
    <w:rsid w:val="00177422"/>
    <w:rsid w:val="00184590"/>
    <w:rsid w:val="001870D1"/>
    <w:rsid w:val="0018781E"/>
    <w:rsid w:val="0019262D"/>
    <w:rsid w:val="001A1B35"/>
    <w:rsid w:val="001A2968"/>
    <w:rsid w:val="001A48A2"/>
    <w:rsid w:val="001A6F61"/>
    <w:rsid w:val="001B72B8"/>
    <w:rsid w:val="001C66E0"/>
    <w:rsid w:val="001C69B3"/>
    <w:rsid w:val="001D5595"/>
    <w:rsid w:val="001D7874"/>
    <w:rsid w:val="001D7F22"/>
    <w:rsid w:val="001F0F17"/>
    <w:rsid w:val="001F1D2C"/>
    <w:rsid w:val="001F3347"/>
    <w:rsid w:val="001F3ADA"/>
    <w:rsid w:val="001F69E4"/>
    <w:rsid w:val="001F7F7E"/>
    <w:rsid w:val="002125B4"/>
    <w:rsid w:val="002155B8"/>
    <w:rsid w:val="00224839"/>
    <w:rsid w:val="002249B2"/>
    <w:rsid w:val="00225378"/>
    <w:rsid w:val="00225B4F"/>
    <w:rsid w:val="00226574"/>
    <w:rsid w:val="002278EC"/>
    <w:rsid w:val="0023280E"/>
    <w:rsid w:val="002377D1"/>
    <w:rsid w:val="0024752E"/>
    <w:rsid w:val="002506BC"/>
    <w:rsid w:val="0025264E"/>
    <w:rsid w:val="00254345"/>
    <w:rsid w:val="0026130D"/>
    <w:rsid w:val="00264557"/>
    <w:rsid w:val="00270BE1"/>
    <w:rsid w:val="002805AB"/>
    <w:rsid w:val="00284204"/>
    <w:rsid w:val="00291773"/>
    <w:rsid w:val="002924D0"/>
    <w:rsid w:val="002A168C"/>
    <w:rsid w:val="002A3DC7"/>
    <w:rsid w:val="002B49E2"/>
    <w:rsid w:val="002B7B00"/>
    <w:rsid w:val="002B7C44"/>
    <w:rsid w:val="002C2B17"/>
    <w:rsid w:val="002D269B"/>
    <w:rsid w:val="002D3DD0"/>
    <w:rsid w:val="002E1F3A"/>
    <w:rsid w:val="002E298A"/>
    <w:rsid w:val="002E6413"/>
    <w:rsid w:val="002E64A6"/>
    <w:rsid w:val="002E75DF"/>
    <w:rsid w:val="00301978"/>
    <w:rsid w:val="0030332C"/>
    <w:rsid w:val="003051C2"/>
    <w:rsid w:val="00310860"/>
    <w:rsid w:val="00312296"/>
    <w:rsid w:val="00314F0E"/>
    <w:rsid w:val="00321D8E"/>
    <w:rsid w:val="00325928"/>
    <w:rsid w:val="00332863"/>
    <w:rsid w:val="0033684D"/>
    <w:rsid w:val="00337B42"/>
    <w:rsid w:val="00341B42"/>
    <w:rsid w:val="0034348F"/>
    <w:rsid w:val="003532FE"/>
    <w:rsid w:val="00356653"/>
    <w:rsid w:val="0035743F"/>
    <w:rsid w:val="003577A2"/>
    <w:rsid w:val="00357BE2"/>
    <w:rsid w:val="0036170C"/>
    <w:rsid w:val="00362036"/>
    <w:rsid w:val="00366E0F"/>
    <w:rsid w:val="00381A72"/>
    <w:rsid w:val="00384676"/>
    <w:rsid w:val="00390857"/>
    <w:rsid w:val="00395FEE"/>
    <w:rsid w:val="003A4BF3"/>
    <w:rsid w:val="003B420D"/>
    <w:rsid w:val="003C6C16"/>
    <w:rsid w:val="003D794D"/>
    <w:rsid w:val="003E3058"/>
    <w:rsid w:val="003E76A9"/>
    <w:rsid w:val="003F0809"/>
    <w:rsid w:val="003F23CE"/>
    <w:rsid w:val="003F6A8C"/>
    <w:rsid w:val="003F755C"/>
    <w:rsid w:val="00404346"/>
    <w:rsid w:val="00406F01"/>
    <w:rsid w:val="00411CA3"/>
    <w:rsid w:val="00416D50"/>
    <w:rsid w:val="00416FD5"/>
    <w:rsid w:val="00417772"/>
    <w:rsid w:val="00420E6A"/>
    <w:rsid w:val="00423C6D"/>
    <w:rsid w:val="004255F9"/>
    <w:rsid w:val="00425A9E"/>
    <w:rsid w:val="00426D6B"/>
    <w:rsid w:val="004277C9"/>
    <w:rsid w:val="00431E6C"/>
    <w:rsid w:val="00433CE7"/>
    <w:rsid w:val="00452738"/>
    <w:rsid w:val="00456091"/>
    <w:rsid w:val="00456228"/>
    <w:rsid w:val="00466321"/>
    <w:rsid w:val="00484B9B"/>
    <w:rsid w:val="004855F6"/>
    <w:rsid w:val="0048661E"/>
    <w:rsid w:val="00492088"/>
    <w:rsid w:val="00494670"/>
    <w:rsid w:val="00494FFB"/>
    <w:rsid w:val="004A3823"/>
    <w:rsid w:val="004B3D42"/>
    <w:rsid w:val="004C0647"/>
    <w:rsid w:val="004C55A7"/>
    <w:rsid w:val="004D4AEB"/>
    <w:rsid w:val="004E43BF"/>
    <w:rsid w:val="004E6946"/>
    <w:rsid w:val="004F1AD8"/>
    <w:rsid w:val="00501EE6"/>
    <w:rsid w:val="005039CB"/>
    <w:rsid w:val="0050558F"/>
    <w:rsid w:val="00506286"/>
    <w:rsid w:val="00510813"/>
    <w:rsid w:val="00511990"/>
    <w:rsid w:val="00511DE0"/>
    <w:rsid w:val="00514870"/>
    <w:rsid w:val="00514B9B"/>
    <w:rsid w:val="00517F02"/>
    <w:rsid w:val="00522F55"/>
    <w:rsid w:val="00523EB0"/>
    <w:rsid w:val="00524303"/>
    <w:rsid w:val="005258A2"/>
    <w:rsid w:val="00537C28"/>
    <w:rsid w:val="005401AE"/>
    <w:rsid w:val="00542E07"/>
    <w:rsid w:val="00545424"/>
    <w:rsid w:val="005539A0"/>
    <w:rsid w:val="00554A7B"/>
    <w:rsid w:val="0055572C"/>
    <w:rsid w:val="0056106A"/>
    <w:rsid w:val="00563274"/>
    <w:rsid w:val="005720AE"/>
    <w:rsid w:val="00594D77"/>
    <w:rsid w:val="005969E4"/>
    <w:rsid w:val="005A06B7"/>
    <w:rsid w:val="005A0A26"/>
    <w:rsid w:val="005A0FB6"/>
    <w:rsid w:val="005A1759"/>
    <w:rsid w:val="005A68A7"/>
    <w:rsid w:val="005C2F6E"/>
    <w:rsid w:val="005D36AB"/>
    <w:rsid w:val="005F481F"/>
    <w:rsid w:val="00617CC3"/>
    <w:rsid w:val="00627B0B"/>
    <w:rsid w:val="006377A6"/>
    <w:rsid w:val="00637A3D"/>
    <w:rsid w:val="006411EF"/>
    <w:rsid w:val="00645991"/>
    <w:rsid w:val="00661709"/>
    <w:rsid w:val="006748B8"/>
    <w:rsid w:val="006775C3"/>
    <w:rsid w:val="00681BE2"/>
    <w:rsid w:val="0069290A"/>
    <w:rsid w:val="0069775A"/>
    <w:rsid w:val="00697813"/>
    <w:rsid w:val="006A3EE8"/>
    <w:rsid w:val="006A72BF"/>
    <w:rsid w:val="006B03F2"/>
    <w:rsid w:val="006B37DC"/>
    <w:rsid w:val="006B4F68"/>
    <w:rsid w:val="006C0592"/>
    <w:rsid w:val="006C272E"/>
    <w:rsid w:val="006C5479"/>
    <w:rsid w:val="006D13B5"/>
    <w:rsid w:val="006E12FF"/>
    <w:rsid w:val="006E4A62"/>
    <w:rsid w:val="006E607E"/>
    <w:rsid w:val="00703122"/>
    <w:rsid w:val="007065DD"/>
    <w:rsid w:val="00706C5D"/>
    <w:rsid w:val="007200AE"/>
    <w:rsid w:val="00726300"/>
    <w:rsid w:val="00732922"/>
    <w:rsid w:val="007402CA"/>
    <w:rsid w:val="0075162E"/>
    <w:rsid w:val="00754034"/>
    <w:rsid w:val="00755DF0"/>
    <w:rsid w:val="00756556"/>
    <w:rsid w:val="007618C4"/>
    <w:rsid w:val="00767980"/>
    <w:rsid w:val="00770B19"/>
    <w:rsid w:val="00771B68"/>
    <w:rsid w:val="0077325E"/>
    <w:rsid w:val="00773916"/>
    <w:rsid w:val="0077463F"/>
    <w:rsid w:val="007836EA"/>
    <w:rsid w:val="00784CDA"/>
    <w:rsid w:val="007906C4"/>
    <w:rsid w:val="007940EA"/>
    <w:rsid w:val="00795915"/>
    <w:rsid w:val="007967E8"/>
    <w:rsid w:val="007A1658"/>
    <w:rsid w:val="007A2170"/>
    <w:rsid w:val="007A22BF"/>
    <w:rsid w:val="007A3323"/>
    <w:rsid w:val="007A3406"/>
    <w:rsid w:val="007B72B8"/>
    <w:rsid w:val="007B7A58"/>
    <w:rsid w:val="007C21B5"/>
    <w:rsid w:val="007C2CDB"/>
    <w:rsid w:val="007C717F"/>
    <w:rsid w:val="007E4BD2"/>
    <w:rsid w:val="007F6C6F"/>
    <w:rsid w:val="00800A19"/>
    <w:rsid w:val="00801393"/>
    <w:rsid w:val="00802F88"/>
    <w:rsid w:val="008050A4"/>
    <w:rsid w:val="0081293E"/>
    <w:rsid w:val="00815465"/>
    <w:rsid w:val="00817E9A"/>
    <w:rsid w:val="008306BD"/>
    <w:rsid w:val="00831A80"/>
    <w:rsid w:val="00833743"/>
    <w:rsid w:val="008340A4"/>
    <w:rsid w:val="00844285"/>
    <w:rsid w:val="0087135F"/>
    <w:rsid w:val="00872D94"/>
    <w:rsid w:val="00880364"/>
    <w:rsid w:val="00891592"/>
    <w:rsid w:val="00891E9E"/>
    <w:rsid w:val="008937EF"/>
    <w:rsid w:val="008953F8"/>
    <w:rsid w:val="008A2F68"/>
    <w:rsid w:val="008B4FA6"/>
    <w:rsid w:val="008B5282"/>
    <w:rsid w:val="008B5614"/>
    <w:rsid w:val="008B73C2"/>
    <w:rsid w:val="008B7C17"/>
    <w:rsid w:val="008C2D01"/>
    <w:rsid w:val="008C40E6"/>
    <w:rsid w:val="008D0F7A"/>
    <w:rsid w:val="008D313A"/>
    <w:rsid w:val="008D4EE8"/>
    <w:rsid w:val="008D68E4"/>
    <w:rsid w:val="008E0506"/>
    <w:rsid w:val="008E0CFF"/>
    <w:rsid w:val="008E5D6B"/>
    <w:rsid w:val="008E76F0"/>
    <w:rsid w:val="008F15FE"/>
    <w:rsid w:val="008F2D29"/>
    <w:rsid w:val="008F5187"/>
    <w:rsid w:val="008F60D8"/>
    <w:rsid w:val="00902727"/>
    <w:rsid w:val="0090312B"/>
    <w:rsid w:val="00906786"/>
    <w:rsid w:val="0091736D"/>
    <w:rsid w:val="009224FE"/>
    <w:rsid w:val="0093037A"/>
    <w:rsid w:val="0094154D"/>
    <w:rsid w:val="00950240"/>
    <w:rsid w:val="0095155F"/>
    <w:rsid w:val="00954429"/>
    <w:rsid w:val="009563CE"/>
    <w:rsid w:val="0096657E"/>
    <w:rsid w:val="00973FB8"/>
    <w:rsid w:val="00976328"/>
    <w:rsid w:val="0097680D"/>
    <w:rsid w:val="00982438"/>
    <w:rsid w:val="0098404C"/>
    <w:rsid w:val="00984CAE"/>
    <w:rsid w:val="00985283"/>
    <w:rsid w:val="00991ADF"/>
    <w:rsid w:val="00995992"/>
    <w:rsid w:val="009A03E5"/>
    <w:rsid w:val="009A0F3B"/>
    <w:rsid w:val="009A191A"/>
    <w:rsid w:val="009A1BB4"/>
    <w:rsid w:val="009A2628"/>
    <w:rsid w:val="009A3200"/>
    <w:rsid w:val="009B0897"/>
    <w:rsid w:val="009B7BD9"/>
    <w:rsid w:val="009C512B"/>
    <w:rsid w:val="009C7DD5"/>
    <w:rsid w:val="009D2DC7"/>
    <w:rsid w:val="009E227D"/>
    <w:rsid w:val="009E5019"/>
    <w:rsid w:val="009E70F5"/>
    <w:rsid w:val="009F4C1B"/>
    <w:rsid w:val="00A01B2C"/>
    <w:rsid w:val="00A04F1B"/>
    <w:rsid w:val="00A0501B"/>
    <w:rsid w:val="00A14947"/>
    <w:rsid w:val="00A16BE5"/>
    <w:rsid w:val="00A3295D"/>
    <w:rsid w:val="00A32A83"/>
    <w:rsid w:val="00A368DB"/>
    <w:rsid w:val="00A423AA"/>
    <w:rsid w:val="00A52871"/>
    <w:rsid w:val="00A53EC6"/>
    <w:rsid w:val="00A55C0F"/>
    <w:rsid w:val="00A638FE"/>
    <w:rsid w:val="00A8713F"/>
    <w:rsid w:val="00A87F74"/>
    <w:rsid w:val="00A90BA1"/>
    <w:rsid w:val="00A97A9A"/>
    <w:rsid w:val="00AA0671"/>
    <w:rsid w:val="00AA2531"/>
    <w:rsid w:val="00AB1E09"/>
    <w:rsid w:val="00AB35C0"/>
    <w:rsid w:val="00AB5330"/>
    <w:rsid w:val="00AB7747"/>
    <w:rsid w:val="00AB7A64"/>
    <w:rsid w:val="00AC14CE"/>
    <w:rsid w:val="00AC2A56"/>
    <w:rsid w:val="00AD055E"/>
    <w:rsid w:val="00AD47A7"/>
    <w:rsid w:val="00AD7338"/>
    <w:rsid w:val="00AF0CBF"/>
    <w:rsid w:val="00AF257F"/>
    <w:rsid w:val="00AF33CF"/>
    <w:rsid w:val="00AF4D50"/>
    <w:rsid w:val="00AF6179"/>
    <w:rsid w:val="00B1295A"/>
    <w:rsid w:val="00B20A45"/>
    <w:rsid w:val="00B22C5C"/>
    <w:rsid w:val="00B24F30"/>
    <w:rsid w:val="00B31ABF"/>
    <w:rsid w:val="00B33BE3"/>
    <w:rsid w:val="00B46918"/>
    <w:rsid w:val="00B53B5D"/>
    <w:rsid w:val="00B6055E"/>
    <w:rsid w:val="00B6317D"/>
    <w:rsid w:val="00B66BE8"/>
    <w:rsid w:val="00B7723F"/>
    <w:rsid w:val="00B80534"/>
    <w:rsid w:val="00B8433C"/>
    <w:rsid w:val="00B87491"/>
    <w:rsid w:val="00B93F2F"/>
    <w:rsid w:val="00B94C65"/>
    <w:rsid w:val="00BA29E9"/>
    <w:rsid w:val="00BA7142"/>
    <w:rsid w:val="00BB237C"/>
    <w:rsid w:val="00BB41A3"/>
    <w:rsid w:val="00BC32DC"/>
    <w:rsid w:val="00BC35B6"/>
    <w:rsid w:val="00BC3A1F"/>
    <w:rsid w:val="00BC74C1"/>
    <w:rsid w:val="00BD1B51"/>
    <w:rsid w:val="00BD4596"/>
    <w:rsid w:val="00BE1405"/>
    <w:rsid w:val="00BE1545"/>
    <w:rsid w:val="00BE312D"/>
    <w:rsid w:val="00BE7797"/>
    <w:rsid w:val="00BF1C20"/>
    <w:rsid w:val="00BF52BD"/>
    <w:rsid w:val="00C10578"/>
    <w:rsid w:val="00C11035"/>
    <w:rsid w:val="00C135BC"/>
    <w:rsid w:val="00C15C95"/>
    <w:rsid w:val="00C2596A"/>
    <w:rsid w:val="00C27537"/>
    <w:rsid w:val="00C27F2D"/>
    <w:rsid w:val="00C31E35"/>
    <w:rsid w:val="00C328FE"/>
    <w:rsid w:val="00C33507"/>
    <w:rsid w:val="00C4409D"/>
    <w:rsid w:val="00C44E72"/>
    <w:rsid w:val="00C45A06"/>
    <w:rsid w:val="00C47E5B"/>
    <w:rsid w:val="00C56432"/>
    <w:rsid w:val="00C61E4B"/>
    <w:rsid w:val="00C64BFF"/>
    <w:rsid w:val="00C704E9"/>
    <w:rsid w:val="00C763C9"/>
    <w:rsid w:val="00C80057"/>
    <w:rsid w:val="00C80754"/>
    <w:rsid w:val="00C82232"/>
    <w:rsid w:val="00C823C4"/>
    <w:rsid w:val="00C82913"/>
    <w:rsid w:val="00C9112E"/>
    <w:rsid w:val="00C91C98"/>
    <w:rsid w:val="00C972B1"/>
    <w:rsid w:val="00CA2CCE"/>
    <w:rsid w:val="00CA43FD"/>
    <w:rsid w:val="00CA7EEA"/>
    <w:rsid w:val="00CA7EF8"/>
    <w:rsid w:val="00CB1EB4"/>
    <w:rsid w:val="00CB3C62"/>
    <w:rsid w:val="00CC489B"/>
    <w:rsid w:val="00CD2BCD"/>
    <w:rsid w:val="00CD3A4C"/>
    <w:rsid w:val="00CD79DA"/>
    <w:rsid w:val="00CE10E9"/>
    <w:rsid w:val="00CE2910"/>
    <w:rsid w:val="00CE5393"/>
    <w:rsid w:val="00CF36BE"/>
    <w:rsid w:val="00CF3752"/>
    <w:rsid w:val="00CF6000"/>
    <w:rsid w:val="00D003F3"/>
    <w:rsid w:val="00D0364F"/>
    <w:rsid w:val="00D06834"/>
    <w:rsid w:val="00D13BE3"/>
    <w:rsid w:val="00D24FF0"/>
    <w:rsid w:val="00D308ED"/>
    <w:rsid w:val="00D36D86"/>
    <w:rsid w:val="00D428AA"/>
    <w:rsid w:val="00D50A34"/>
    <w:rsid w:val="00D53EFA"/>
    <w:rsid w:val="00D91EDB"/>
    <w:rsid w:val="00D94A7C"/>
    <w:rsid w:val="00D95896"/>
    <w:rsid w:val="00DB2983"/>
    <w:rsid w:val="00DC1257"/>
    <w:rsid w:val="00DC19CB"/>
    <w:rsid w:val="00DC3DC0"/>
    <w:rsid w:val="00DC5B2B"/>
    <w:rsid w:val="00DD318D"/>
    <w:rsid w:val="00DE3995"/>
    <w:rsid w:val="00DF2E12"/>
    <w:rsid w:val="00DF3A39"/>
    <w:rsid w:val="00DF514A"/>
    <w:rsid w:val="00DF6690"/>
    <w:rsid w:val="00DF6804"/>
    <w:rsid w:val="00E0358D"/>
    <w:rsid w:val="00E04323"/>
    <w:rsid w:val="00E070A2"/>
    <w:rsid w:val="00E0770D"/>
    <w:rsid w:val="00E173E3"/>
    <w:rsid w:val="00E2656A"/>
    <w:rsid w:val="00E412D0"/>
    <w:rsid w:val="00E56322"/>
    <w:rsid w:val="00E60982"/>
    <w:rsid w:val="00E6284A"/>
    <w:rsid w:val="00E62C62"/>
    <w:rsid w:val="00E654C1"/>
    <w:rsid w:val="00E65D97"/>
    <w:rsid w:val="00E72829"/>
    <w:rsid w:val="00E72A5A"/>
    <w:rsid w:val="00E73354"/>
    <w:rsid w:val="00E80493"/>
    <w:rsid w:val="00E8256E"/>
    <w:rsid w:val="00E9242D"/>
    <w:rsid w:val="00E9402F"/>
    <w:rsid w:val="00EA40E8"/>
    <w:rsid w:val="00EB5255"/>
    <w:rsid w:val="00EB5C47"/>
    <w:rsid w:val="00EC5C36"/>
    <w:rsid w:val="00ED0639"/>
    <w:rsid w:val="00ED5986"/>
    <w:rsid w:val="00EE4D8E"/>
    <w:rsid w:val="00EF16FF"/>
    <w:rsid w:val="00EF4755"/>
    <w:rsid w:val="00EF7135"/>
    <w:rsid w:val="00F027DB"/>
    <w:rsid w:val="00F036C9"/>
    <w:rsid w:val="00F14A7A"/>
    <w:rsid w:val="00F22985"/>
    <w:rsid w:val="00F3383E"/>
    <w:rsid w:val="00F465A7"/>
    <w:rsid w:val="00F50B7C"/>
    <w:rsid w:val="00F50CDF"/>
    <w:rsid w:val="00F550E6"/>
    <w:rsid w:val="00F74345"/>
    <w:rsid w:val="00F80A0A"/>
    <w:rsid w:val="00F82B19"/>
    <w:rsid w:val="00F9212D"/>
    <w:rsid w:val="00F9257D"/>
    <w:rsid w:val="00F941FA"/>
    <w:rsid w:val="00F965DA"/>
    <w:rsid w:val="00FA406A"/>
    <w:rsid w:val="00FA6AB1"/>
    <w:rsid w:val="00FB503A"/>
    <w:rsid w:val="00FB516C"/>
    <w:rsid w:val="00FB62F5"/>
    <w:rsid w:val="00FD0236"/>
    <w:rsid w:val="00FD18F4"/>
    <w:rsid w:val="00FD54DB"/>
    <w:rsid w:val="00FD619F"/>
    <w:rsid w:val="00FE1942"/>
    <w:rsid w:val="00FE4037"/>
    <w:rsid w:val="00FE7031"/>
    <w:rsid w:val="00FF4AB2"/>
    <w:rsid w:val="0100390C"/>
    <w:rsid w:val="0103164E"/>
    <w:rsid w:val="01055DCC"/>
    <w:rsid w:val="010827C0"/>
    <w:rsid w:val="010A381B"/>
    <w:rsid w:val="010A5041"/>
    <w:rsid w:val="010A6538"/>
    <w:rsid w:val="010C0502"/>
    <w:rsid w:val="01101675"/>
    <w:rsid w:val="01160AB0"/>
    <w:rsid w:val="01160EA3"/>
    <w:rsid w:val="011646D7"/>
    <w:rsid w:val="01172099"/>
    <w:rsid w:val="01185587"/>
    <w:rsid w:val="011C44BE"/>
    <w:rsid w:val="011D4022"/>
    <w:rsid w:val="01207B0A"/>
    <w:rsid w:val="01211AD4"/>
    <w:rsid w:val="01227D26"/>
    <w:rsid w:val="012375FA"/>
    <w:rsid w:val="012531F6"/>
    <w:rsid w:val="01253372"/>
    <w:rsid w:val="01264F45"/>
    <w:rsid w:val="01290F7E"/>
    <w:rsid w:val="012B6B7C"/>
    <w:rsid w:val="012C2953"/>
    <w:rsid w:val="01343FA0"/>
    <w:rsid w:val="01347A59"/>
    <w:rsid w:val="013542CF"/>
    <w:rsid w:val="013637D1"/>
    <w:rsid w:val="01372C26"/>
    <w:rsid w:val="013730A5"/>
    <w:rsid w:val="0138166C"/>
    <w:rsid w:val="01396E1E"/>
    <w:rsid w:val="013C06BC"/>
    <w:rsid w:val="013E2018"/>
    <w:rsid w:val="013E2686"/>
    <w:rsid w:val="013E4434"/>
    <w:rsid w:val="014001AC"/>
    <w:rsid w:val="01423F24"/>
    <w:rsid w:val="014337F8"/>
    <w:rsid w:val="01457570"/>
    <w:rsid w:val="01466B00"/>
    <w:rsid w:val="0147153B"/>
    <w:rsid w:val="014C58F6"/>
    <w:rsid w:val="014D4677"/>
    <w:rsid w:val="014E4FD3"/>
    <w:rsid w:val="014F219D"/>
    <w:rsid w:val="014F30DB"/>
    <w:rsid w:val="014F7656"/>
    <w:rsid w:val="01514167"/>
    <w:rsid w:val="01536274"/>
    <w:rsid w:val="01540E45"/>
    <w:rsid w:val="01541EA9"/>
    <w:rsid w:val="01541FBE"/>
    <w:rsid w:val="01543C57"/>
    <w:rsid w:val="01545A05"/>
    <w:rsid w:val="01550B94"/>
    <w:rsid w:val="0156177E"/>
    <w:rsid w:val="01565C22"/>
    <w:rsid w:val="0159126E"/>
    <w:rsid w:val="015A3474"/>
    <w:rsid w:val="015C48BA"/>
    <w:rsid w:val="015D08A0"/>
    <w:rsid w:val="015D1E09"/>
    <w:rsid w:val="015E6237"/>
    <w:rsid w:val="015E6F9B"/>
    <w:rsid w:val="016025FC"/>
    <w:rsid w:val="01633E9B"/>
    <w:rsid w:val="016340E6"/>
    <w:rsid w:val="01687703"/>
    <w:rsid w:val="016A347B"/>
    <w:rsid w:val="016A5229"/>
    <w:rsid w:val="016D6AC7"/>
    <w:rsid w:val="016F0A91"/>
    <w:rsid w:val="01700269"/>
    <w:rsid w:val="01763BCE"/>
    <w:rsid w:val="01787946"/>
    <w:rsid w:val="017936BE"/>
    <w:rsid w:val="017B2F92"/>
    <w:rsid w:val="017B5688"/>
    <w:rsid w:val="017C09B1"/>
    <w:rsid w:val="017D31AE"/>
    <w:rsid w:val="017D75D9"/>
    <w:rsid w:val="017F6580"/>
    <w:rsid w:val="017F6D8E"/>
    <w:rsid w:val="01807BB0"/>
    <w:rsid w:val="018207C5"/>
    <w:rsid w:val="01833C12"/>
    <w:rsid w:val="018362EB"/>
    <w:rsid w:val="01852063"/>
    <w:rsid w:val="018856AF"/>
    <w:rsid w:val="01916C5A"/>
    <w:rsid w:val="019329D2"/>
    <w:rsid w:val="01934780"/>
    <w:rsid w:val="01944054"/>
    <w:rsid w:val="0194674A"/>
    <w:rsid w:val="01960BF8"/>
    <w:rsid w:val="0196601E"/>
    <w:rsid w:val="01981D96"/>
    <w:rsid w:val="01987FE8"/>
    <w:rsid w:val="019964A9"/>
    <w:rsid w:val="019B32C6"/>
    <w:rsid w:val="019B4930"/>
    <w:rsid w:val="019B53E2"/>
    <w:rsid w:val="019E4ED3"/>
    <w:rsid w:val="019F1377"/>
    <w:rsid w:val="01A3073B"/>
    <w:rsid w:val="01A324E9"/>
    <w:rsid w:val="01A93FA3"/>
    <w:rsid w:val="01AC5842"/>
    <w:rsid w:val="01AC75F0"/>
    <w:rsid w:val="01AD2E90"/>
    <w:rsid w:val="01AD4FB5"/>
    <w:rsid w:val="01AE3368"/>
    <w:rsid w:val="01AF5332"/>
    <w:rsid w:val="01AF70E0"/>
    <w:rsid w:val="01B3097E"/>
    <w:rsid w:val="01B449E6"/>
    <w:rsid w:val="01B469A1"/>
    <w:rsid w:val="01B91D0C"/>
    <w:rsid w:val="01B96A92"/>
    <w:rsid w:val="01BA4B09"/>
    <w:rsid w:val="01BA61B0"/>
    <w:rsid w:val="01BD126D"/>
    <w:rsid w:val="01BD17FD"/>
    <w:rsid w:val="01BD4B8A"/>
    <w:rsid w:val="01BE7323"/>
    <w:rsid w:val="01C012ED"/>
    <w:rsid w:val="01C04E49"/>
    <w:rsid w:val="01C06EC1"/>
    <w:rsid w:val="01C74429"/>
    <w:rsid w:val="01C80EB6"/>
    <w:rsid w:val="01C963F3"/>
    <w:rsid w:val="01CA63A7"/>
    <w:rsid w:val="01CC1A40"/>
    <w:rsid w:val="01CC5EE4"/>
    <w:rsid w:val="01CC715B"/>
    <w:rsid w:val="01CC7C92"/>
    <w:rsid w:val="01CF7782"/>
    <w:rsid w:val="01D34B7C"/>
    <w:rsid w:val="01D37272"/>
    <w:rsid w:val="01D54ECF"/>
    <w:rsid w:val="01D839E6"/>
    <w:rsid w:val="01D866AD"/>
    <w:rsid w:val="01DA2D9E"/>
    <w:rsid w:val="01DB6127"/>
    <w:rsid w:val="01DD1E9F"/>
    <w:rsid w:val="01DE1773"/>
    <w:rsid w:val="01E0002B"/>
    <w:rsid w:val="01E07299"/>
    <w:rsid w:val="01E21263"/>
    <w:rsid w:val="01E4322D"/>
    <w:rsid w:val="01E51B2E"/>
    <w:rsid w:val="01E52B01"/>
    <w:rsid w:val="01E70628"/>
    <w:rsid w:val="01E90844"/>
    <w:rsid w:val="01EA0118"/>
    <w:rsid w:val="01F3017A"/>
    <w:rsid w:val="01F34A86"/>
    <w:rsid w:val="01F64D0F"/>
    <w:rsid w:val="01F67E7C"/>
    <w:rsid w:val="01F71D20"/>
    <w:rsid w:val="01FA47FF"/>
    <w:rsid w:val="01FB3FF1"/>
    <w:rsid w:val="01FB51D5"/>
    <w:rsid w:val="01FB5B91"/>
    <w:rsid w:val="01FC4E2B"/>
    <w:rsid w:val="01FD1236"/>
    <w:rsid w:val="01FF3BC3"/>
    <w:rsid w:val="0200793B"/>
    <w:rsid w:val="02010A8C"/>
    <w:rsid w:val="02021905"/>
    <w:rsid w:val="0204742C"/>
    <w:rsid w:val="02051AE6"/>
    <w:rsid w:val="02056D00"/>
    <w:rsid w:val="020640BE"/>
    <w:rsid w:val="020874E3"/>
    <w:rsid w:val="020967F0"/>
    <w:rsid w:val="020C008E"/>
    <w:rsid w:val="020E02AA"/>
    <w:rsid w:val="020E2058"/>
    <w:rsid w:val="020E6C8E"/>
    <w:rsid w:val="0215208E"/>
    <w:rsid w:val="02182ED7"/>
    <w:rsid w:val="021944FA"/>
    <w:rsid w:val="021B6523"/>
    <w:rsid w:val="021D23A4"/>
    <w:rsid w:val="022278B2"/>
    <w:rsid w:val="02247ACE"/>
    <w:rsid w:val="02274EC8"/>
    <w:rsid w:val="02290C40"/>
    <w:rsid w:val="022C6982"/>
    <w:rsid w:val="02313F99"/>
    <w:rsid w:val="023470AD"/>
    <w:rsid w:val="02372EAB"/>
    <w:rsid w:val="023870D5"/>
    <w:rsid w:val="02397D48"/>
    <w:rsid w:val="023A109F"/>
    <w:rsid w:val="023B0973"/>
    <w:rsid w:val="023B43AB"/>
    <w:rsid w:val="023C4E17"/>
    <w:rsid w:val="023D0B8F"/>
    <w:rsid w:val="023D293E"/>
    <w:rsid w:val="023F2212"/>
    <w:rsid w:val="023F2479"/>
    <w:rsid w:val="02421D02"/>
    <w:rsid w:val="02443CCC"/>
    <w:rsid w:val="024535A0"/>
    <w:rsid w:val="0247556A"/>
    <w:rsid w:val="024D4A7D"/>
    <w:rsid w:val="02522DDA"/>
    <w:rsid w:val="0252665D"/>
    <w:rsid w:val="02567262"/>
    <w:rsid w:val="025739FF"/>
    <w:rsid w:val="02595BF1"/>
    <w:rsid w:val="025A529E"/>
    <w:rsid w:val="025C6CD9"/>
    <w:rsid w:val="025C7268"/>
    <w:rsid w:val="025D4D8E"/>
    <w:rsid w:val="02624152"/>
    <w:rsid w:val="02624F72"/>
    <w:rsid w:val="02661032"/>
    <w:rsid w:val="02661E94"/>
    <w:rsid w:val="026659F0"/>
    <w:rsid w:val="026774FC"/>
    <w:rsid w:val="026779BA"/>
    <w:rsid w:val="02682A2A"/>
    <w:rsid w:val="02685C0C"/>
    <w:rsid w:val="02697903"/>
    <w:rsid w:val="026D3223"/>
    <w:rsid w:val="026E00C7"/>
    <w:rsid w:val="026E2AF7"/>
    <w:rsid w:val="0270061D"/>
    <w:rsid w:val="02714395"/>
    <w:rsid w:val="0273635F"/>
    <w:rsid w:val="027427F8"/>
    <w:rsid w:val="02747A63"/>
    <w:rsid w:val="02750329"/>
    <w:rsid w:val="027520D7"/>
    <w:rsid w:val="027553C9"/>
    <w:rsid w:val="027619AC"/>
    <w:rsid w:val="02775E4F"/>
    <w:rsid w:val="027C49C6"/>
    <w:rsid w:val="027C5214"/>
    <w:rsid w:val="027C7285"/>
    <w:rsid w:val="027F6AB2"/>
    <w:rsid w:val="0281282A"/>
    <w:rsid w:val="02820350"/>
    <w:rsid w:val="028218A9"/>
    <w:rsid w:val="028247F4"/>
    <w:rsid w:val="02826B39"/>
    <w:rsid w:val="02830946"/>
    <w:rsid w:val="02835946"/>
    <w:rsid w:val="0285377D"/>
    <w:rsid w:val="02881E0B"/>
    <w:rsid w:val="02897931"/>
    <w:rsid w:val="028B18FB"/>
    <w:rsid w:val="02921448"/>
    <w:rsid w:val="02955B20"/>
    <w:rsid w:val="02972F89"/>
    <w:rsid w:val="02974358"/>
    <w:rsid w:val="029C1412"/>
    <w:rsid w:val="029D33DC"/>
    <w:rsid w:val="029F53A6"/>
    <w:rsid w:val="029F7154"/>
    <w:rsid w:val="02A15246"/>
    <w:rsid w:val="02A67131"/>
    <w:rsid w:val="02A97FD3"/>
    <w:rsid w:val="02AB3D4B"/>
    <w:rsid w:val="02AE1145"/>
    <w:rsid w:val="02B01361"/>
    <w:rsid w:val="02B04EBD"/>
    <w:rsid w:val="02B05F8D"/>
    <w:rsid w:val="02B06584"/>
    <w:rsid w:val="02B52978"/>
    <w:rsid w:val="02B62AFF"/>
    <w:rsid w:val="02B726F0"/>
    <w:rsid w:val="02B80216"/>
    <w:rsid w:val="02B81FC4"/>
    <w:rsid w:val="02BA5D3C"/>
    <w:rsid w:val="02BD75DA"/>
    <w:rsid w:val="02BF3353"/>
    <w:rsid w:val="02BF77F6"/>
    <w:rsid w:val="02C62933"/>
    <w:rsid w:val="02C848FD"/>
    <w:rsid w:val="02C86101"/>
    <w:rsid w:val="02C866AB"/>
    <w:rsid w:val="02CB3070"/>
    <w:rsid w:val="02CD3CC1"/>
    <w:rsid w:val="02CD601D"/>
    <w:rsid w:val="02CE01A5"/>
    <w:rsid w:val="02D23086"/>
    <w:rsid w:val="02D2752A"/>
    <w:rsid w:val="02D50DC8"/>
    <w:rsid w:val="02D52B76"/>
    <w:rsid w:val="02D54924"/>
    <w:rsid w:val="02DC5CB3"/>
    <w:rsid w:val="02DD1A2B"/>
    <w:rsid w:val="02DF39F5"/>
    <w:rsid w:val="02E071C6"/>
    <w:rsid w:val="02E1151B"/>
    <w:rsid w:val="02E4100B"/>
    <w:rsid w:val="02E42DB9"/>
    <w:rsid w:val="02E66B31"/>
    <w:rsid w:val="02E7383D"/>
    <w:rsid w:val="02E9543A"/>
    <w:rsid w:val="02E96621"/>
    <w:rsid w:val="02EB7596"/>
    <w:rsid w:val="02ED6112"/>
    <w:rsid w:val="02F2197A"/>
    <w:rsid w:val="02F254D6"/>
    <w:rsid w:val="02F96569"/>
    <w:rsid w:val="02FA082F"/>
    <w:rsid w:val="02FA25DD"/>
    <w:rsid w:val="02FA438B"/>
    <w:rsid w:val="02FB0CF8"/>
    <w:rsid w:val="02FC3B53"/>
    <w:rsid w:val="02FD4578"/>
    <w:rsid w:val="02FE3E7B"/>
    <w:rsid w:val="02FF7BF3"/>
    <w:rsid w:val="030238E4"/>
    <w:rsid w:val="03062D2F"/>
    <w:rsid w:val="030671D3"/>
    <w:rsid w:val="03084CFA"/>
    <w:rsid w:val="030B47EA"/>
    <w:rsid w:val="030B6598"/>
    <w:rsid w:val="030D0562"/>
    <w:rsid w:val="030D2E29"/>
    <w:rsid w:val="030F2294"/>
    <w:rsid w:val="030F53B2"/>
    <w:rsid w:val="03100052"/>
    <w:rsid w:val="031134F8"/>
    <w:rsid w:val="031138F5"/>
    <w:rsid w:val="03127926"/>
    <w:rsid w:val="03140B66"/>
    <w:rsid w:val="03167028"/>
    <w:rsid w:val="031A67DB"/>
    <w:rsid w:val="031C69F7"/>
    <w:rsid w:val="031D702B"/>
    <w:rsid w:val="031E62CB"/>
    <w:rsid w:val="0321400D"/>
    <w:rsid w:val="03215DBB"/>
    <w:rsid w:val="0323302B"/>
    <w:rsid w:val="03241355"/>
    <w:rsid w:val="03244347"/>
    <w:rsid w:val="032514FC"/>
    <w:rsid w:val="032558AB"/>
    <w:rsid w:val="03265180"/>
    <w:rsid w:val="0328539C"/>
    <w:rsid w:val="032A1114"/>
    <w:rsid w:val="032B09E8"/>
    <w:rsid w:val="032B6C3A"/>
    <w:rsid w:val="032C4E8C"/>
    <w:rsid w:val="032E3AD3"/>
    <w:rsid w:val="032F2286"/>
    <w:rsid w:val="032F672A"/>
    <w:rsid w:val="03301B5F"/>
    <w:rsid w:val="03304250"/>
    <w:rsid w:val="03307A30"/>
    <w:rsid w:val="03321D76"/>
    <w:rsid w:val="03323B24"/>
    <w:rsid w:val="03340AC7"/>
    <w:rsid w:val="03353615"/>
    <w:rsid w:val="033755DF"/>
    <w:rsid w:val="0337738D"/>
    <w:rsid w:val="033930D8"/>
    <w:rsid w:val="03393105"/>
    <w:rsid w:val="033B56D0"/>
    <w:rsid w:val="033B6E7D"/>
    <w:rsid w:val="033B7C53"/>
    <w:rsid w:val="033F6241"/>
    <w:rsid w:val="034026E5"/>
    <w:rsid w:val="0341020B"/>
    <w:rsid w:val="034201E9"/>
    <w:rsid w:val="03422E78"/>
    <w:rsid w:val="034321D6"/>
    <w:rsid w:val="03433F84"/>
    <w:rsid w:val="03435D32"/>
    <w:rsid w:val="03457CFC"/>
    <w:rsid w:val="03462081"/>
    <w:rsid w:val="034675D0"/>
    <w:rsid w:val="034A4C7F"/>
    <w:rsid w:val="034A6182"/>
    <w:rsid w:val="034A7C6B"/>
    <w:rsid w:val="034B34EC"/>
    <w:rsid w:val="034C108A"/>
    <w:rsid w:val="0350044F"/>
    <w:rsid w:val="03505229"/>
    <w:rsid w:val="03522419"/>
    <w:rsid w:val="03524E0F"/>
    <w:rsid w:val="03525F75"/>
    <w:rsid w:val="035A0050"/>
    <w:rsid w:val="035A307B"/>
    <w:rsid w:val="035C474C"/>
    <w:rsid w:val="035C6DF3"/>
    <w:rsid w:val="03604B36"/>
    <w:rsid w:val="0361440A"/>
    <w:rsid w:val="036208AE"/>
    <w:rsid w:val="036363D4"/>
    <w:rsid w:val="036A3B19"/>
    <w:rsid w:val="036A59B4"/>
    <w:rsid w:val="036A7762"/>
    <w:rsid w:val="036D1670"/>
    <w:rsid w:val="036F2FCB"/>
    <w:rsid w:val="03726617"/>
    <w:rsid w:val="03766107"/>
    <w:rsid w:val="037759DB"/>
    <w:rsid w:val="037805D6"/>
    <w:rsid w:val="037B4694"/>
    <w:rsid w:val="037C1244"/>
    <w:rsid w:val="037C7496"/>
    <w:rsid w:val="037D56E7"/>
    <w:rsid w:val="037E4FBC"/>
    <w:rsid w:val="03802AE2"/>
    <w:rsid w:val="0381685A"/>
    <w:rsid w:val="038325D2"/>
    <w:rsid w:val="03863DD3"/>
    <w:rsid w:val="03867954"/>
    <w:rsid w:val="03870314"/>
    <w:rsid w:val="038732E9"/>
    <w:rsid w:val="038A1948"/>
    <w:rsid w:val="038B1487"/>
    <w:rsid w:val="038B5791"/>
    <w:rsid w:val="038E5DA6"/>
    <w:rsid w:val="0396642E"/>
    <w:rsid w:val="03981C19"/>
    <w:rsid w:val="0398212A"/>
    <w:rsid w:val="039B5B6E"/>
    <w:rsid w:val="039B791C"/>
    <w:rsid w:val="039D6C50"/>
    <w:rsid w:val="03A26EFC"/>
    <w:rsid w:val="03A34A22"/>
    <w:rsid w:val="03A569EC"/>
    <w:rsid w:val="03A74512"/>
    <w:rsid w:val="03A762C0"/>
    <w:rsid w:val="03A82039"/>
    <w:rsid w:val="03AA4003"/>
    <w:rsid w:val="03AA7B5F"/>
    <w:rsid w:val="03AC7D7B"/>
    <w:rsid w:val="03AD58A1"/>
    <w:rsid w:val="03B26DEA"/>
    <w:rsid w:val="03B35F94"/>
    <w:rsid w:val="03B409DD"/>
    <w:rsid w:val="03B42306"/>
    <w:rsid w:val="03B46C2F"/>
    <w:rsid w:val="03B64756"/>
    <w:rsid w:val="03B739A6"/>
    <w:rsid w:val="03B804CE"/>
    <w:rsid w:val="03BB41F9"/>
    <w:rsid w:val="03BC3669"/>
    <w:rsid w:val="03BD206A"/>
    <w:rsid w:val="03BD20BE"/>
    <w:rsid w:val="03BD3D36"/>
    <w:rsid w:val="03BD623A"/>
    <w:rsid w:val="03BE185C"/>
    <w:rsid w:val="03C07382"/>
    <w:rsid w:val="03C2759E"/>
    <w:rsid w:val="03C377B9"/>
    <w:rsid w:val="03C520CE"/>
    <w:rsid w:val="03C6063B"/>
    <w:rsid w:val="03C9309C"/>
    <w:rsid w:val="03CA6453"/>
    <w:rsid w:val="03CC21CB"/>
    <w:rsid w:val="03CC2D68"/>
    <w:rsid w:val="03CD1A9F"/>
    <w:rsid w:val="03CE13CD"/>
    <w:rsid w:val="03CE7CF1"/>
    <w:rsid w:val="03CF0D1E"/>
    <w:rsid w:val="03CF48D0"/>
    <w:rsid w:val="03D270B5"/>
    <w:rsid w:val="03D64210"/>
    <w:rsid w:val="03D80B70"/>
    <w:rsid w:val="03D90444"/>
    <w:rsid w:val="03DA4021"/>
    <w:rsid w:val="03DE5A5A"/>
    <w:rsid w:val="03DF1EFE"/>
    <w:rsid w:val="03E05C76"/>
    <w:rsid w:val="03E07A24"/>
    <w:rsid w:val="03E9152D"/>
    <w:rsid w:val="03E94B2B"/>
    <w:rsid w:val="03EA43FF"/>
    <w:rsid w:val="03EA7B21"/>
    <w:rsid w:val="03EB2744"/>
    <w:rsid w:val="03EE3EEF"/>
    <w:rsid w:val="03EE671A"/>
    <w:rsid w:val="03EF7C67"/>
    <w:rsid w:val="03F139E0"/>
    <w:rsid w:val="03F3761D"/>
    <w:rsid w:val="03F50C28"/>
    <w:rsid w:val="03F92894"/>
    <w:rsid w:val="03FA61DB"/>
    <w:rsid w:val="03FB03BA"/>
    <w:rsid w:val="03FE58A6"/>
    <w:rsid w:val="04003C23"/>
    <w:rsid w:val="040359DA"/>
    <w:rsid w:val="040703AC"/>
    <w:rsid w:val="040A684F"/>
    <w:rsid w:val="040D00EE"/>
    <w:rsid w:val="040E4592"/>
    <w:rsid w:val="040F3A4C"/>
    <w:rsid w:val="04131BA8"/>
    <w:rsid w:val="04133956"/>
    <w:rsid w:val="04137DFA"/>
    <w:rsid w:val="04167D9F"/>
    <w:rsid w:val="04175B29"/>
    <w:rsid w:val="04194CE4"/>
    <w:rsid w:val="041E22FB"/>
    <w:rsid w:val="041E271C"/>
    <w:rsid w:val="04211F8A"/>
    <w:rsid w:val="0422003D"/>
    <w:rsid w:val="04223B99"/>
    <w:rsid w:val="04243DB5"/>
    <w:rsid w:val="04245B63"/>
    <w:rsid w:val="042518DB"/>
    <w:rsid w:val="04253689"/>
    <w:rsid w:val="04277401"/>
    <w:rsid w:val="042839DF"/>
    <w:rsid w:val="04293179"/>
    <w:rsid w:val="042C0EBC"/>
    <w:rsid w:val="042C4A18"/>
    <w:rsid w:val="042C7234"/>
    <w:rsid w:val="042F1187"/>
    <w:rsid w:val="042F66A7"/>
    <w:rsid w:val="0430275A"/>
    <w:rsid w:val="0435244F"/>
    <w:rsid w:val="04363AE8"/>
    <w:rsid w:val="04377778"/>
    <w:rsid w:val="043B095A"/>
    <w:rsid w:val="043B2EAD"/>
    <w:rsid w:val="043B4C5B"/>
    <w:rsid w:val="043F1D3E"/>
    <w:rsid w:val="043F299D"/>
    <w:rsid w:val="04402271"/>
    <w:rsid w:val="04410970"/>
    <w:rsid w:val="04450781"/>
    <w:rsid w:val="04456A8D"/>
    <w:rsid w:val="04467040"/>
    <w:rsid w:val="0449094B"/>
    <w:rsid w:val="044A30F0"/>
    <w:rsid w:val="044B7594"/>
    <w:rsid w:val="044E0E32"/>
    <w:rsid w:val="044E2BE0"/>
    <w:rsid w:val="04504BAA"/>
    <w:rsid w:val="04511EA2"/>
    <w:rsid w:val="0453757C"/>
    <w:rsid w:val="045521C0"/>
    <w:rsid w:val="04561A95"/>
    <w:rsid w:val="045A77D7"/>
    <w:rsid w:val="045D2B16"/>
    <w:rsid w:val="045E1BB5"/>
    <w:rsid w:val="046046C1"/>
    <w:rsid w:val="04616466"/>
    <w:rsid w:val="0464496B"/>
    <w:rsid w:val="0466617C"/>
    <w:rsid w:val="04682D51"/>
    <w:rsid w:val="04695C6C"/>
    <w:rsid w:val="046973F8"/>
    <w:rsid w:val="04697A1A"/>
    <w:rsid w:val="046B19E4"/>
    <w:rsid w:val="046C12B8"/>
    <w:rsid w:val="046E5030"/>
    <w:rsid w:val="046E6DDE"/>
    <w:rsid w:val="04700DA8"/>
    <w:rsid w:val="04702B56"/>
    <w:rsid w:val="04714B20"/>
    <w:rsid w:val="047658A2"/>
    <w:rsid w:val="0478336C"/>
    <w:rsid w:val="047A2883"/>
    <w:rsid w:val="047A39D5"/>
    <w:rsid w:val="047D34C5"/>
    <w:rsid w:val="047D5ACF"/>
    <w:rsid w:val="047F2D99"/>
    <w:rsid w:val="047F723D"/>
    <w:rsid w:val="048033EF"/>
    <w:rsid w:val="048110D0"/>
    <w:rsid w:val="048168F2"/>
    <w:rsid w:val="04820ADC"/>
    <w:rsid w:val="048452B7"/>
    <w:rsid w:val="048605CC"/>
    <w:rsid w:val="0486237A"/>
    <w:rsid w:val="048B6EB5"/>
    <w:rsid w:val="048D39AE"/>
    <w:rsid w:val="048E122E"/>
    <w:rsid w:val="048E4B7A"/>
    <w:rsid w:val="0490144A"/>
    <w:rsid w:val="04905689"/>
    <w:rsid w:val="04910D1F"/>
    <w:rsid w:val="049154C2"/>
    <w:rsid w:val="049649D9"/>
    <w:rsid w:val="04983E5B"/>
    <w:rsid w:val="04992E63"/>
    <w:rsid w:val="049D3B67"/>
    <w:rsid w:val="049F343C"/>
    <w:rsid w:val="04A03924"/>
    <w:rsid w:val="04A10F62"/>
    <w:rsid w:val="04A24CDA"/>
    <w:rsid w:val="04A44EF6"/>
    <w:rsid w:val="04A62A1C"/>
    <w:rsid w:val="04A70542"/>
    <w:rsid w:val="04A722F0"/>
    <w:rsid w:val="04A732AF"/>
    <w:rsid w:val="04AC5B58"/>
    <w:rsid w:val="04AC61EE"/>
    <w:rsid w:val="04AE18D1"/>
    <w:rsid w:val="04AF3F3E"/>
    <w:rsid w:val="04B073F7"/>
    <w:rsid w:val="04B30C95"/>
    <w:rsid w:val="04B34B43"/>
    <w:rsid w:val="04B36EE7"/>
    <w:rsid w:val="04B70869"/>
    <w:rsid w:val="04B844FD"/>
    <w:rsid w:val="04B862AB"/>
    <w:rsid w:val="04BA2023"/>
    <w:rsid w:val="04BB31FA"/>
    <w:rsid w:val="04BC1A0B"/>
    <w:rsid w:val="04BC223F"/>
    <w:rsid w:val="04BD1D44"/>
    <w:rsid w:val="04BD7D66"/>
    <w:rsid w:val="04C25894"/>
    <w:rsid w:val="04C335CE"/>
    <w:rsid w:val="04C504D6"/>
    <w:rsid w:val="04C609C8"/>
    <w:rsid w:val="04CA26E5"/>
    <w:rsid w:val="04CB2483"/>
    <w:rsid w:val="04CB4231"/>
    <w:rsid w:val="04CB4348"/>
    <w:rsid w:val="04CD4588"/>
    <w:rsid w:val="04CE0F70"/>
    <w:rsid w:val="04CE3D21"/>
    <w:rsid w:val="04CF4159"/>
    <w:rsid w:val="04D1736D"/>
    <w:rsid w:val="04D222C3"/>
    <w:rsid w:val="04D255BF"/>
    <w:rsid w:val="04D70E27"/>
    <w:rsid w:val="04D76933"/>
    <w:rsid w:val="04DA42B4"/>
    <w:rsid w:val="04DA4474"/>
    <w:rsid w:val="04DC643E"/>
    <w:rsid w:val="04DD561A"/>
    <w:rsid w:val="04DD5BC3"/>
    <w:rsid w:val="04DF7CDC"/>
    <w:rsid w:val="04E11CA6"/>
    <w:rsid w:val="04E13A54"/>
    <w:rsid w:val="04E14131"/>
    <w:rsid w:val="04E15802"/>
    <w:rsid w:val="04E23328"/>
    <w:rsid w:val="04E52EB2"/>
    <w:rsid w:val="04E62E18"/>
    <w:rsid w:val="04E83035"/>
    <w:rsid w:val="04E92E1E"/>
    <w:rsid w:val="04EB042F"/>
    <w:rsid w:val="04EB6681"/>
    <w:rsid w:val="04ED064B"/>
    <w:rsid w:val="04F217BD"/>
    <w:rsid w:val="04F220C4"/>
    <w:rsid w:val="04F27A0F"/>
    <w:rsid w:val="04F3592C"/>
    <w:rsid w:val="04F574FF"/>
    <w:rsid w:val="04FB4238"/>
    <w:rsid w:val="04FB65BC"/>
    <w:rsid w:val="04FD0162"/>
    <w:rsid w:val="04FF3EDA"/>
    <w:rsid w:val="050126C3"/>
    <w:rsid w:val="050140F6"/>
    <w:rsid w:val="05041908"/>
    <w:rsid w:val="05055969"/>
    <w:rsid w:val="0506494D"/>
    <w:rsid w:val="0508204E"/>
    <w:rsid w:val="050842EA"/>
    <w:rsid w:val="05090A3D"/>
    <w:rsid w:val="050B0AD1"/>
    <w:rsid w:val="050B418B"/>
    <w:rsid w:val="050D2A9B"/>
    <w:rsid w:val="050F05C1"/>
    <w:rsid w:val="05103390"/>
    <w:rsid w:val="05123C0E"/>
    <w:rsid w:val="05162EE3"/>
    <w:rsid w:val="05163267"/>
    <w:rsid w:val="05171224"/>
    <w:rsid w:val="05177476"/>
    <w:rsid w:val="05177D7E"/>
    <w:rsid w:val="051A6F66"/>
    <w:rsid w:val="051E25B2"/>
    <w:rsid w:val="051E6A56"/>
    <w:rsid w:val="052027CE"/>
    <w:rsid w:val="05213A01"/>
    <w:rsid w:val="05216546"/>
    <w:rsid w:val="05223A5B"/>
    <w:rsid w:val="0525771E"/>
    <w:rsid w:val="052676B9"/>
    <w:rsid w:val="052749B1"/>
    <w:rsid w:val="05277929"/>
    <w:rsid w:val="05283431"/>
    <w:rsid w:val="052971A9"/>
    <w:rsid w:val="052A3623"/>
    <w:rsid w:val="052B2F21"/>
    <w:rsid w:val="052B7684"/>
    <w:rsid w:val="052C2F46"/>
    <w:rsid w:val="05305B7E"/>
    <w:rsid w:val="0530678A"/>
    <w:rsid w:val="053242B0"/>
    <w:rsid w:val="05340028"/>
    <w:rsid w:val="05341DD6"/>
    <w:rsid w:val="0534627A"/>
    <w:rsid w:val="05353DA0"/>
    <w:rsid w:val="05355B4E"/>
    <w:rsid w:val="05382B9E"/>
    <w:rsid w:val="053973EC"/>
    <w:rsid w:val="053A13B6"/>
    <w:rsid w:val="053A3164"/>
    <w:rsid w:val="053A4F12"/>
    <w:rsid w:val="053B6C38"/>
    <w:rsid w:val="053B7608"/>
    <w:rsid w:val="053C0C8A"/>
    <w:rsid w:val="053D1A99"/>
    <w:rsid w:val="053F68E3"/>
    <w:rsid w:val="053F69CD"/>
    <w:rsid w:val="054022C8"/>
    <w:rsid w:val="05412745"/>
    <w:rsid w:val="054144F3"/>
    <w:rsid w:val="054512FC"/>
    <w:rsid w:val="05467D5B"/>
    <w:rsid w:val="05485881"/>
    <w:rsid w:val="0549044B"/>
    <w:rsid w:val="054A15F9"/>
    <w:rsid w:val="054A30B5"/>
    <w:rsid w:val="054F6C10"/>
    <w:rsid w:val="05513747"/>
    <w:rsid w:val="05526700"/>
    <w:rsid w:val="05544226"/>
    <w:rsid w:val="055460C6"/>
    <w:rsid w:val="05557F9E"/>
    <w:rsid w:val="05596955"/>
    <w:rsid w:val="055A4ED6"/>
    <w:rsid w:val="055C36E7"/>
    <w:rsid w:val="055C7BF2"/>
    <w:rsid w:val="055D75CA"/>
    <w:rsid w:val="055D7941"/>
    <w:rsid w:val="055E50A5"/>
    <w:rsid w:val="05616943"/>
    <w:rsid w:val="05622E62"/>
    <w:rsid w:val="0563090D"/>
    <w:rsid w:val="05634469"/>
    <w:rsid w:val="05636384"/>
    <w:rsid w:val="05656433"/>
    <w:rsid w:val="05687CD1"/>
    <w:rsid w:val="05697348"/>
    <w:rsid w:val="056B77C2"/>
    <w:rsid w:val="056D52E8"/>
    <w:rsid w:val="056D7096"/>
    <w:rsid w:val="056F2E0E"/>
    <w:rsid w:val="057249A5"/>
    <w:rsid w:val="05726DA2"/>
    <w:rsid w:val="057448C8"/>
    <w:rsid w:val="05760640"/>
    <w:rsid w:val="05777F14"/>
    <w:rsid w:val="05793C8D"/>
    <w:rsid w:val="057A17B3"/>
    <w:rsid w:val="057A4A8F"/>
    <w:rsid w:val="057B7407"/>
    <w:rsid w:val="057E12A3"/>
    <w:rsid w:val="057E5747"/>
    <w:rsid w:val="058556BD"/>
    <w:rsid w:val="0586071E"/>
    <w:rsid w:val="05886E41"/>
    <w:rsid w:val="058D14E6"/>
    <w:rsid w:val="058D598A"/>
    <w:rsid w:val="059053A1"/>
    <w:rsid w:val="05913415"/>
    <w:rsid w:val="05913A19"/>
    <w:rsid w:val="05940AC6"/>
    <w:rsid w:val="05946FA8"/>
    <w:rsid w:val="059509DC"/>
    <w:rsid w:val="05961213"/>
    <w:rsid w:val="059705B7"/>
    <w:rsid w:val="05972BB7"/>
    <w:rsid w:val="059960DD"/>
    <w:rsid w:val="059A73BF"/>
    <w:rsid w:val="059D3E1F"/>
    <w:rsid w:val="059F0E35"/>
    <w:rsid w:val="05A01219"/>
    <w:rsid w:val="05A21435"/>
    <w:rsid w:val="05A23FE4"/>
    <w:rsid w:val="05A74730"/>
    <w:rsid w:val="05A86320"/>
    <w:rsid w:val="05AA02EA"/>
    <w:rsid w:val="05AA5F48"/>
    <w:rsid w:val="05AB7BBE"/>
    <w:rsid w:val="05AD3936"/>
    <w:rsid w:val="05AF3B52"/>
    <w:rsid w:val="05AF5900"/>
    <w:rsid w:val="05B178CA"/>
    <w:rsid w:val="05B20F4D"/>
    <w:rsid w:val="05B2719F"/>
    <w:rsid w:val="05B3073B"/>
    <w:rsid w:val="05B44CC5"/>
    <w:rsid w:val="05B60A3D"/>
    <w:rsid w:val="05B64EE1"/>
    <w:rsid w:val="05B72A07"/>
    <w:rsid w:val="05B75F0F"/>
    <w:rsid w:val="05BA78F4"/>
    <w:rsid w:val="05BB3177"/>
    <w:rsid w:val="05BC1DCB"/>
    <w:rsid w:val="05C0366A"/>
    <w:rsid w:val="05C173E2"/>
    <w:rsid w:val="05C23886"/>
    <w:rsid w:val="05C56ED2"/>
    <w:rsid w:val="05C74FA3"/>
    <w:rsid w:val="05CA098C"/>
    <w:rsid w:val="05CA202E"/>
    <w:rsid w:val="05CA44E8"/>
    <w:rsid w:val="05CD3091"/>
    <w:rsid w:val="05CD3FD8"/>
    <w:rsid w:val="05CF5FA2"/>
    <w:rsid w:val="05CF7265"/>
    <w:rsid w:val="05D47DA6"/>
    <w:rsid w:val="05D64307"/>
    <w:rsid w:val="05D67B88"/>
    <w:rsid w:val="05D709B3"/>
    <w:rsid w:val="05D76C05"/>
    <w:rsid w:val="05DA3601"/>
    <w:rsid w:val="05DB66F5"/>
    <w:rsid w:val="05DC421B"/>
    <w:rsid w:val="05DC4F6D"/>
    <w:rsid w:val="05DD06BF"/>
    <w:rsid w:val="05DE0E4B"/>
    <w:rsid w:val="05DF6C92"/>
    <w:rsid w:val="05E05ABA"/>
    <w:rsid w:val="05E15894"/>
    <w:rsid w:val="05E9131F"/>
    <w:rsid w:val="05E97064"/>
    <w:rsid w:val="05EA06E6"/>
    <w:rsid w:val="05EA12B3"/>
    <w:rsid w:val="05EE2780"/>
    <w:rsid w:val="05F11A75"/>
    <w:rsid w:val="05F15F19"/>
    <w:rsid w:val="05F22FFD"/>
    <w:rsid w:val="05F23CEB"/>
    <w:rsid w:val="05F24FA8"/>
    <w:rsid w:val="05F45A09"/>
    <w:rsid w:val="05F83EAE"/>
    <w:rsid w:val="05FB0B46"/>
    <w:rsid w:val="05FC4EA3"/>
    <w:rsid w:val="05FD48BE"/>
    <w:rsid w:val="05FE23E4"/>
    <w:rsid w:val="0600615C"/>
    <w:rsid w:val="0600768E"/>
    <w:rsid w:val="06042115"/>
    <w:rsid w:val="06043E9E"/>
    <w:rsid w:val="060519C4"/>
    <w:rsid w:val="06053772"/>
    <w:rsid w:val="060774EA"/>
    <w:rsid w:val="060914B4"/>
    <w:rsid w:val="06091B3A"/>
    <w:rsid w:val="060A2F13"/>
    <w:rsid w:val="060A6FDB"/>
    <w:rsid w:val="060B481D"/>
    <w:rsid w:val="060E0544"/>
    <w:rsid w:val="060E0879"/>
    <w:rsid w:val="060E27D6"/>
    <w:rsid w:val="060E5EC9"/>
    <w:rsid w:val="06110369"/>
    <w:rsid w:val="06112117"/>
    <w:rsid w:val="06133A77"/>
    <w:rsid w:val="06141C07"/>
    <w:rsid w:val="0616597F"/>
    <w:rsid w:val="0617661D"/>
    <w:rsid w:val="061B0C12"/>
    <w:rsid w:val="061E27BA"/>
    <w:rsid w:val="061E728F"/>
    <w:rsid w:val="061F0937"/>
    <w:rsid w:val="061F7618"/>
    <w:rsid w:val="06222576"/>
    <w:rsid w:val="0622792A"/>
    <w:rsid w:val="06233BF8"/>
    <w:rsid w:val="0624009C"/>
    <w:rsid w:val="062449FC"/>
    <w:rsid w:val="06256193"/>
    <w:rsid w:val="062639CE"/>
    <w:rsid w:val="062736E9"/>
    <w:rsid w:val="06277B8D"/>
    <w:rsid w:val="06287461"/>
    <w:rsid w:val="062956B3"/>
    <w:rsid w:val="062A4F87"/>
    <w:rsid w:val="062C2248"/>
    <w:rsid w:val="0630252B"/>
    <w:rsid w:val="06304C93"/>
    <w:rsid w:val="06336531"/>
    <w:rsid w:val="063413AA"/>
    <w:rsid w:val="063522A9"/>
    <w:rsid w:val="06361B7E"/>
    <w:rsid w:val="063858F6"/>
    <w:rsid w:val="063876A4"/>
    <w:rsid w:val="0639166E"/>
    <w:rsid w:val="063D2F0C"/>
    <w:rsid w:val="063E7D85"/>
    <w:rsid w:val="063F61FE"/>
    <w:rsid w:val="063F6C84"/>
    <w:rsid w:val="064033D0"/>
    <w:rsid w:val="06426774"/>
    <w:rsid w:val="06436049"/>
    <w:rsid w:val="064623C5"/>
    <w:rsid w:val="06473D8B"/>
    <w:rsid w:val="064C0444"/>
    <w:rsid w:val="064C18B5"/>
    <w:rsid w:val="064E5119"/>
    <w:rsid w:val="06530982"/>
    <w:rsid w:val="065344DE"/>
    <w:rsid w:val="06540256"/>
    <w:rsid w:val="06587D46"/>
    <w:rsid w:val="065A13C7"/>
    <w:rsid w:val="065B5A88"/>
    <w:rsid w:val="065B769C"/>
    <w:rsid w:val="065C167B"/>
    <w:rsid w:val="065D710A"/>
    <w:rsid w:val="065E2C2B"/>
    <w:rsid w:val="065F10D4"/>
    <w:rsid w:val="065F7326"/>
    <w:rsid w:val="0660735B"/>
    <w:rsid w:val="06616D34"/>
    <w:rsid w:val="06624721"/>
    <w:rsid w:val="06640499"/>
    <w:rsid w:val="0664230B"/>
    <w:rsid w:val="06661F8B"/>
    <w:rsid w:val="0667442D"/>
    <w:rsid w:val="06676738"/>
    <w:rsid w:val="06681A9B"/>
    <w:rsid w:val="06691F53"/>
    <w:rsid w:val="066E0546"/>
    <w:rsid w:val="066E7451"/>
    <w:rsid w:val="06712BB6"/>
    <w:rsid w:val="067173A2"/>
    <w:rsid w:val="067508F8"/>
    <w:rsid w:val="0676641E"/>
    <w:rsid w:val="06766E75"/>
    <w:rsid w:val="06772C28"/>
    <w:rsid w:val="06775734"/>
    <w:rsid w:val="06783F44"/>
    <w:rsid w:val="067A7CBC"/>
    <w:rsid w:val="06823015"/>
    <w:rsid w:val="06830CD2"/>
    <w:rsid w:val="06841479"/>
    <w:rsid w:val="0687062B"/>
    <w:rsid w:val="068723D9"/>
    <w:rsid w:val="06877DFA"/>
    <w:rsid w:val="06913A7D"/>
    <w:rsid w:val="06936FD0"/>
    <w:rsid w:val="069468A4"/>
    <w:rsid w:val="0696086E"/>
    <w:rsid w:val="0696261C"/>
    <w:rsid w:val="06980BF2"/>
    <w:rsid w:val="06997F82"/>
    <w:rsid w:val="069A035E"/>
    <w:rsid w:val="069A65B0"/>
    <w:rsid w:val="069C6813"/>
    <w:rsid w:val="069D2020"/>
    <w:rsid w:val="069D39AB"/>
    <w:rsid w:val="069F5975"/>
    <w:rsid w:val="069F6081"/>
    <w:rsid w:val="06A116ED"/>
    <w:rsid w:val="06A25465"/>
    <w:rsid w:val="06A765D7"/>
    <w:rsid w:val="06AD304A"/>
    <w:rsid w:val="06AE7966"/>
    <w:rsid w:val="06AF311A"/>
    <w:rsid w:val="06B036DE"/>
    <w:rsid w:val="06B07B82"/>
    <w:rsid w:val="06B16DA2"/>
    <w:rsid w:val="06B238FA"/>
    <w:rsid w:val="06B31420"/>
    <w:rsid w:val="06B331CE"/>
    <w:rsid w:val="06B8420F"/>
    <w:rsid w:val="06B95D59"/>
    <w:rsid w:val="06BA630B"/>
    <w:rsid w:val="06BA656A"/>
    <w:rsid w:val="06BC02D5"/>
    <w:rsid w:val="06BC4F18"/>
    <w:rsid w:val="06BD677A"/>
    <w:rsid w:val="06C158EB"/>
    <w:rsid w:val="06C61153"/>
    <w:rsid w:val="06C673A5"/>
    <w:rsid w:val="06C76681"/>
    <w:rsid w:val="06C8202F"/>
    <w:rsid w:val="06CA7A37"/>
    <w:rsid w:val="06CB49BC"/>
    <w:rsid w:val="06CB676A"/>
    <w:rsid w:val="06CB7731"/>
    <w:rsid w:val="06CC597B"/>
    <w:rsid w:val="06CE625A"/>
    <w:rsid w:val="06D05B2E"/>
    <w:rsid w:val="06D25D4A"/>
    <w:rsid w:val="06D32A31"/>
    <w:rsid w:val="06D3561E"/>
    <w:rsid w:val="06D51397"/>
    <w:rsid w:val="06D82C35"/>
    <w:rsid w:val="06DA4BFF"/>
    <w:rsid w:val="06DA69AD"/>
    <w:rsid w:val="06DD14B3"/>
    <w:rsid w:val="06DD48E1"/>
    <w:rsid w:val="06E11AE9"/>
    <w:rsid w:val="06E12683"/>
    <w:rsid w:val="06E15E33"/>
    <w:rsid w:val="06E72E78"/>
    <w:rsid w:val="06E96BF0"/>
    <w:rsid w:val="06EB1AB6"/>
    <w:rsid w:val="06EB2968"/>
    <w:rsid w:val="06ED5932"/>
    <w:rsid w:val="06EE06AA"/>
    <w:rsid w:val="06F04422"/>
    <w:rsid w:val="06F05449"/>
    <w:rsid w:val="06F3181D"/>
    <w:rsid w:val="06F35CC1"/>
    <w:rsid w:val="06F67604"/>
    <w:rsid w:val="06F82B7E"/>
    <w:rsid w:val="06F832D7"/>
    <w:rsid w:val="06F9721C"/>
    <w:rsid w:val="06FA0DFD"/>
    <w:rsid w:val="06FA2BAB"/>
    <w:rsid w:val="06FE6B3F"/>
    <w:rsid w:val="07007ADC"/>
    <w:rsid w:val="070457D8"/>
    <w:rsid w:val="07061550"/>
    <w:rsid w:val="0708351A"/>
    <w:rsid w:val="070A6B78"/>
    <w:rsid w:val="070B1BB7"/>
    <w:rsid w:val="070C4371"/>
    <w:rsid w:val="07124399"/>
    <w:rsid w:val="07133C6D"/>
    <w:rsid w:val="07152C1A"/>
    <w:rsid w:val="071579E5"/>
    <w:rsid w:val="071719AF"/>
    <w:rsid w:val="0717375D"/>
    <w:rsid w:val="07174993"/>
    <w:rsid w:val="071874D5"/>
    <w:rsid w:val="071D4B6E"/>
    <w:rsid w:val="0721638A"/>
    <w:rsid w:val="07241C47"/>
    <w:rsid w:val="07265D95"/>
    <w:rsid w:val="072705C8"/>
    <w:rsid w:val="07277FC9"/>
    <w:rsid w:val="07293586"/>
    <w:rsid w:val="07295285"/>
    <w:rsid w:val="072B0FB7"/>
    <w:rsid w:val="072C2FAA"/>
    <w:rsid w:val="072D2F81"/>
    <w:rsid w:val="072D4D2F"/>
    <w:rsid w:val="072E0AA7"/>
    <w:rsid w:val="073065CD"/>
    <w:rsid w:val="07312958"/>
    <w:rsid w:val="07322345"/>
    <w:rsid w:val="0733430F"/>
    <w:rsid w:val="073360BD"/>
    <w:rsid w:val="07362663"/>
    <w:rsid w:val="07370BC3"/>
    <w:rsid w:val="073A744C"/>
    <w:rsid w:val="073D0CEA"/>
    <w:rsid w:val="073D1FEE"/>
    <w:rsid w:val="073E6F3C"/>
    <w:rsid w:val="073F0F06"/>
    <w:rsid w:val="07442078"/>
    <w:rsid w:val="07481B68"/>
    <w:rsid w:val="07493C2F"/>
    <w:rsid w:val="074958E1"/>
    <w:rsid w:val="074E2EF7"/>
    <w:rsid w:val="074E4EB4"/>
    <w:rsid w:val="07500A1D"/>
    <w:rsid w:val="0750482F"/>
    <w:rsid w:val="07546EE1"/>
    <w:rsid w:val="07591FC8"/>
    <w:rsid w:val="075B5D40"/>
    <w:rsid w:val="075C5614"/>
    <w:rsid w:val="075C75B8"/>
    <w:rsid w:val="075F46F8"/>
    <w:rsid w:val="075F5104"/>
    <w:rsid w:val="07603356"/>
    <w:rsid w:val="07612C2A"/>
    <w:rsid w:val="076269AA"/>
    <w:rsid w:val="07636392"/>
    <w:rsid w:val="0768045D"/>
    <w:rsid w:val="0768220B"/>
    <w:rsid w:val="07686EEB"/>
    <w:rsid w:val="07691ADF"/>
    <w:rsid w:val="07693337"/>
    <w:rsid w:val="076D5A73"/>
    <w:rsid w:val="076D7821"/>
    <w:rsid w:val="076F4034"/>
    <w:rsid w:val="07716B0D"/>
    <w:rsid w:val="07746BCF"/>
    <w:rsid w:val="07750484"/>
    <w:rsid w:val="07754928"/>
    <w:rsid w:val="077566D6"/>
    <w:rsid w:val="07770C56"/>
    <w:rsid w:val="07770ECE"/>
    <w:rsid w:val="077965D0"/>
    <w:rsid w:val="07797E70"/>
    <w:rsid w:val="077A3CEC"/>
    <w:rsid w:val="077A5294"/>
    <w:rsid w:val="077A5458"/>
    <w:rsid w:val="077B0190"/>
    <w:rsid w:val="077C7A64"/>
    <w:rsid w:val="07830DF3"/>
    <w:rsid w:val="07832BA1"/>
    <w:rsid w:val="0784456A"/>
    <w:rsid w:val="07852DBD"/>
    <w:rsid w:val="078608E3"/>
    <w:rsid w:val="07887876"/>
    <w:rsid w:val="07893F2F"/>
    <w:rsid w:val="078A03D3"/>
    <w:rsid w:val="078A0D82"/>
    <w:rsid w:val="078A2181"/>
    <w:rsid w:val="078B7CA7"/>
    <w:rsid w:val="078D1C71"/>
    <w:rsid w:val="078D3A1F"/>
    <w:rsid w:val="078D77EF"/>
    <w:rsid w:val="078F59E9"/>
    <w:rsid w:val="078F7797"/>
    <w:rsid w:val="07927457"/>
    <w:rsid w:val="07941252"/>
    <w:rsid w:val="07944DAE"/>
    <w:rsid w:val="079528D4"/>
    <w:rsid w:val="07955350"/>
    <w:rsid w:val="07971403"/>
    <w:rsid w:val="0797489E"/>
    <w:rsid w:val="07987C12"/>
    <w:rsid w:val="07990616"/>
    <w:rsid w:val="079923C4"/>
    <w:rsid w:val="079A008C"/>
    <w:rsid w:val="079A7F04"/>
    <w:rsid w:val="079C5DDB"/>
    <w:rsid w:val="07A019A5"/>
    <w:rsid w:val="07A03D8C"/>
    <w:rsid w:val="07A07BF6"/>
    <w:rsid w:val="07A1571D"/>
    <w:rsid w:val="07A50D69"/>
    <w:rsid w:val="07A829C3"/>
    <w:rsid w:val="07AD2313"/>
    <w:rsid w:val="07B02BEA"/>
    <w:rsid w:val="07B22115"/>
    <w:rsid w:val="07B23486"/>
    <w:rsid w:val="07B40FAC"/>
    <w:rsid w:val="07B436A2"/>
    <w:rsid w:val="07B62F76"/>
    <w:rsid w:val="07B838B8"/>
    <w:rsid w:val="07BA1E2A"/>
    <w:rsid w:val="07BB058C"/>
    <w:rsid w:val="07BC2556"/>
    <w:rsid w:val="07BE62CF"/>
    <w:rsid w:val="07C00A58"/>
    <w:rsid w:val="07C025C7"/>
    <w:rsid w:val="07C06D44"/>
    <w:rsid w:val="07C1191B"/>
    <w:rsid w:val="07C43ABF"/>
    <w:rsid w:val="07C531B9"/>
    <w:rsid w:val="07C66F31"/>
    <w:rsid w:val="07C766CF"/>
    <w:rsid w:val="07CA6A21"/>
    <w:rsid w:val="07CB4548"/>
    <w:rsid w:val="07CC279A"/>
    <w:rsid w:val="07CD02C0"/>
    <w:rsid w:val="07CE3B6C"/>
    <w:rsid w:val="07CF155D"/>
    <w:rsid w:val="07CF5DE6"/>
    <w:rsid w:val="07D1069B"/>
    <w:rsid w:val="07D21D7A"/>
    <w:rsid w:val="07D23B28"/>
    <w:rsid w:val="07D4164E"/>
    <w:rsid w:val="07D638B4"/>
    <w:rsid w:val="07D7113E"/>
    <w:rsid w:val="07DC0503"/>
    <w:rsid w:val="07DC5DE3"/>
    <w:rsid w:val="07E04497"/>
    <w:rsid w:val="07E06245"/>
    <w:rsid w:val="07E13D6B"/>
    <w:rsid w:val="07E21FBD"/>
    <w:rsid w:val="07E32CEB"/>
    <w:rsid w:val="07E35D35"/>
    <w:rsid w:val="07E37CE0"/>
    <w:rsid w:val="07E55609"/>
    <w:rsid w:val="07E61381"/>
    <w:rsid w:val="07E6312F"/>
    <w:rsid w:val="07E72C4C"/>
    <w:rsid w:val="07E769A5"/>
    <w:rsid w:val="07E76C04"/>
    <w:rsid w:val="07E8334B"/>
    <w:rsid w:val="07EB0E8D"/>
    <w:rsid w:val="07EC4BEA"/>
    <w:rsid w:val="07ED0962"/>
    <w:rsid w:val="07ED6EB8"/>
    <w:rsid w:val="07EE658E"/>
    <w:rsid w:val="07F10452"/>
    <w:rsid w:val="07F24F95"/>
    <w:rsid w:val="07F27D26"/>
    <w:rsid w:val="07F33D53"/>
    <w:rsid w:val="07F341CA"/>
    <w:rsid w:val="07F626D4"/>
    <w:rsid w:val="07F7358F"/>
    <w:rsid w:val="07F817E1"/>
    <w:rsid w:val="07F91544"/>
    <w:rsid w:val="07F95559"/>
    <w:rsid w:val="07F968F9"/>
    <w:rsid w:val="07FF2F50"/>
    <w:rsid w:val="07FF7B2E"/>
    <w:rsid w:val="080041F1"/>
    <w:rsid w:val="08007A98"/>
    <w:rsid w:val="08055CAB"/>
    <w:rsid w:val="08056AEF"/>
    <w:rsid w:val="080A32C2"/>
    <w:rsid w:val="080C528C"/>
    <w:rsid w:val="080D2DB2"/>
    <w:rsid w:val="08114650"/>
    <w:rsid w:val="08122176"/>
    <w:rsid w:val="08145EEF"/>
    <w:rsid w:val="0817778D"/>
    <w:rsid w:val="08183C31"/>
    <w:rsid w:val="08191757"/>
    <w:rsid w:val="081B63E6"/>
    <w:rsid w:val="08200168"/>
    <w:rsid w:val="08202AE5"/>
    <w:rsid w:val="082038E6"/>
    <w:rsid w:val="08226517"/>
    <w:rsid w:val="08236132"/>
    <w:rsid w:val="082463FC"/>
    <w:rsid w:val="0825634E"/>
    <w:rsid w:val="0828199A"/>
    <w:rsid w:val="08297EB4"/>
    <w:rsid w:val="082A41F5"/>
    <w:rsid w:val="082A4A66"/>
    <w:rsid w:val="082C1123"/>
    <w:rsid w:val="082E7378"/>
    <w:rsid w:val="082F4AD6"/>
    <w:rsid w:val="08316AA1"/>
    <w:rsid w:val="083222D1"/>
    <w:rsid w:val="083373EB"/>
    <w:rsid w:val="083420ED"/>
    <w:rsid w:val="08346591"/>
    <w:rsid w:val="08373344"/>
    <w:rsid w:val="0837398B"/>
    <w:rsid w:val="083B16CD"/>
    <w:rsid w:val="083B1F11"/>
    <w:rsid w:val="083B765A"/>
    <w:rsid w:val="083B791F"/>
    <w:rsid w:val="083D5445"/>
    <w:rsid w:val="083D71F3"/>
    <w:rsid w:val="083E11BD"/>
    <w:rsid w:val="083F13FA"/>
    <w:rsid w:val="083F3FAD"/>
    <w:rsid w:val="08400A92"/>
    <w:rsid w:val="08420CAE"/>
    <w:rsid w:val="08430582"/>
    <w:rsid w:val="084602A2"/>
    <w:rsid w:val="08470AEB"/>
    <w:rsid w:val="0849203C"/>
    <w:rsid w:val="084B79DF"/>
    <w:rsid w:val="084E5DED"/>
    <w:rsid w:val="084F5152"/>
    <w:rsid w:val="084F5179"/>
    <w:rsid w:val="084F6F27"/>
    <w:rsid w:val="0854725E"/>
    <w:rsid w:val="08550AB7"/>
    <w:rsid w:val="085602B5"/>
    <w:rsid w:val="0858402D"/>
    <w:rsid w:val="08591B53"/>
    <w:rsid w:val="085A5FF7"/>
    <w:rsid w:val="085D7896"/>
    <w:rsid w:val="085E53BC"/>
    <w:rsid w:val="085E5949"/>
    <w:rsid w:val="085E792F"/>
    <w:rsid w:val="08602EE2"/>
    <w:rsid w:val="08607386"/>
    <w:rsid w:val="086159A4"/>
    <w:rsid w:val="086230FE"/>
    <w:rsid w:val="08626C5A"/>
    <w:rsid w:val="086707D7"/>
    <w:rsid w:val="086A76ED"/>
    <w:rsid w:val="086D0162"/>
    <w:rsid w:val="0878647D"/>
    <w:rsid w:val="08793FA4"/>
    <w:rsid w:val="087C32B0"/>
    <w:rsid w:val="087D1CE6"/>
    <w:rsid w:val="087D3A94"/>
    <w:rsid w:val="087E15BA"/>
    <w:rsid w:val="0882554E"/>
    <w:rsid w:val="088272FC"/>
    <w:rsid w:val="0885449C"/>
    <w:rsid w:val="08865304"/>
    <w:rsid w:val="08892439"/>
    <w:rsid w:val="088968DD"/>
    <w:rsid w:val="088C017B"/>
    <w:rsid w:val="088C3CD7"/>
    <w:rsid w:val="088E3EF3"/>
    <w:rsid w:val="088E44BE"/>
    <w:rsid w:val="08914E9E"/>
    <w:rsid w:val="08915791"/>
    <w:rsid w:val="0891753F"/>
    <w:rsid w:val="08935065"/>
    <w:rsid w:val="08940DDD"/>
    <w:rsid w:val="089808CE"/>
    <w:rsid w:val="08986B20"/>
    <w:rsid w:val="089963F4"/>
    <w:rsid w:val="089C4A50"/>
    <w:rsid w:val="089D6191"/>
    <w:rsid w:val="089D7C92"/>
    <w:rsid w:val="089F4B7E"/>
    <w:rsid w:val="08A13E3F"/>
    <w:rsid w:val="08A2799E"/>
    <w:rsid w:val="08A6123D"/>
    <w:rsid w:val="08A74FB5"/>
    <w:rsid w:val="08AB26B4"/>
    <w:rsid w:val="08AB6853"/>
    <w:rsid w:val="08AE00F1"/>
    <w:rsid w:val="08B123F7"/>
    <w:rsid w:val="08B1373D"/>
    <w:rsid w:val="08B5322E"/>
    <w:rsid w:val="08B55272"/>
    <w:rsid w:val="08B63DD9"/>
    <w:rsid w:val="08B82D1E"/>
    <w:rsid w:val="08B862F7"/>
    <w:rsid w:val="08BA4CE8"/>
    <w:rsid w:val="08BA6A96"/>
    <w:rsid w:val="08BB636A"/>
    <w:rsid w:val="08BD778E"/>
    <w:rsid w:val="08BF40AC"/>
    <w:rsid w:val="08BF496D"/>
    <w:rsid w:val="08C416C3"/>
    <w:rsid w:val="08C64073"/>
    <w:rsid w:val="08D107D5"/>
    <w:rsid w:val="08D132F7"/>
    <w:rsid w:val="08D15B8E"/>
    <w:rsid w:val="08D227B0"/>
    <w:rsid w:val="08D43AEC"/>
    <w:rsid w:val="08D51B22"/>
    <w:rsid w:val="08D917FD"/>
    <w:rsid w:val="08DA0EE6"/>
    <w:rsid w:val="08DB1458"/>
    <w:rsid w:val="08DB6A0C"/>
    <w:rsid w:val="08DF2DD9"/>
    <w:rsid w:val="08DF474E"/>
    <w:rsid w:val="08DF64FD"/>
    <w:rsid w:val="08E04023"/>
    <w:rsid w:val="08E41D65"/>
    <w:rsid w:val="08E458C1"/>
    <w:rsid w:val="08E510A5"/>
    <w:rsid w:val="08E81855"/>
    <w:rsid w:val="08E8793F"/>
    <w:rsid w:val="08E92ED7"/>
    <w:rsid w:val="08EB4D82"/>
    <w:rsid w:val="08EC0C19"/>
    <w:rsid w:val="08EE7CFD"/>
    <w:rsid w:val="08EF1DF5"/>
    <w:rsid w:val="08F215EC"/>
    <w:rsid w:val="08F24482"/>
    <w:rsid w:val="08F301FA"/>
    <w:rsid w:val="08F57ACE"/>
    <w:rsid w:val="08F61060"/>
    <w:rsid w:val="08F655F4"/>
    <w:rsid w:val="08F724F0"/>
    <w:rsid w:val="08F82AEF"/>
    <w:rsid w:val="08FD1455"/>
    <w:rsid w:val="08FE10EA"/>
    <w:rsid w:val="08FF26FB"/>
    <w:rsid w:val="09000221"/>
    <w:rsid w:val="090441B5"/>
    <w:rsid w:val="09061CDB"/>
    <w:rsid w:val="09063A89"/>
    <w:rsid w:val="090716A9"/>
    <w:rsid w:val="090D1B45"/>
    <w:rsid w:val="090D306A"/>
    <w:rsid w:val="090E0B90"/>
    <w:rsid w:val="09104908"/>
    <w:rsid w:val="09130588"/>
    <w:rsid w:val="09150170"/>
    <w:rsid w:val="09153CCC"/>
    <w:rsid w:val="09161874"/>
    <w:rsid w:val="09172B79"/>
    <w:rsid w:val="091757C8"/>
    <w:rsid w:val="091837BC"/>
    <w:rsid w:val="09187C60"/>
    <w:rsid w:val="09196B7C"/>
    <w:rsid w:val="091A12E3"/>
    <w:rsid w:val="091A7535"/>
    <w:rsid w:val="091D7025"/>
    <w:rsid w:val="091F16FC"/>
    <w:rsid w:val="092217DD"/>
    <w:rsid w:val="0922635E"/>
    <w:rsid w:val="092263E9"/>
    <w:rsid w:val="092306F9"/>
    <w:rsid w:val="092403B3"/>
    <w:rsid w:val="09246605"/>
    <w:rsid w:val="0925408D"/>
    <w:rsid w:val="09274B17"/>
    <w:rsid w:val="092959CA"/>
    <w:rsid w:val="092C1F51"/>
    <w:rsid w:val="092C26CA"/>
    <w:rsid w:val="092C7268"/>
    <w:rsid w:val="092E279E"/>
    <w:rsid w:val="09305CA1"/>
    <w:rsid w:val="09315571"/>
    <w:rsid w:val="09352492"/>
    <w:rsid w:val="093525C0"/>
    <w:rsid w:val="09363922"/>
    <w:rsid w:val="09363AA0"/>
    <w:rsid w:val="09383E5F"/>
    <w:rsid w:val="093920B1"/>
    <w:rsid w:val="093A0BEC"/>
    <w:rsid w:val="093A2E09"/>
    <w:rsid w:val="093A7294"/>
    <w:rsid w:val="09424A96"/>
    <w:rsid w:val="09434CDD"/>
    <w:rsid w:val="0946032A"/>
    <w:rsid w:val="094748D9"/>
    <w:rsid w:val="0949606C"/>
    <w:rsid w:val="09497E1A"/>
    <w:rsid w:val="094B1DE4"/>
    <w:rsid w:val="094B5940"/>
    <w:rsid w:val="094D16B8"/>
    <w:rsid w:val="094D790A"/>
    <w:rsid w:val="094E5430"/>
    <w:rsid w:val="09523172"/>
    <w:rsid w:val="095306EF"/>
    <w:rsid w:val="095347F5"/>
    <w:rsid w:val="09540C99"/>
    <w:rsid w:val="0958443C"/>
    <w:rsid w:val="095A5B83"/>
    <w:rsid w:val="095E38C5"/>
    <w:rsid w:val="095F2F6D"/>
    <w:rsid w:val="095F6ED7"/>
    <w:rsid w:val="095F763D"/>
    <w:rsid w:val="095F7975"/>
    <w:rsid w:val="0962293F"/>
    <w:rsid w:val="09630EDC"/>
    <w:rsid w:val="09664528"/>
    <w:rsid w:val="0968167E"/>
    <w:rsid w:val="09682EB8"/>
    <w:rsid w:val="09684744"/>
    <w:rsid w:val="096864F2"/>
    <w:rsid w:val="096B4234"/>
    <w:rsid w:val="096F428E"/>
    <w:rsid w:val="097561E4"/>
    <w:rsid w:val="097906FF"/>
    <w:rsid w:val="097A4477"/>
    <w:rsid w:val="097A7FD3"/>
    <w:rsid w:val="097C60B7"/>
    <w:rsid w:val="097E7AC3"/>
    <w:rsid w:val="09815C56"/>
    <w:rsid w:val="0983157E"/>
    <w:rsid w:val="09842C00"/>
    <w:rsid w:val="09864BCA"/>
    <w:rsid w:val="09866978"/>
    <w:rsid w:val="09893EC2"/>
    <w:rsid w:val="098B3F8E"/>
    <w:rsid w:val="098C2271"/>
    <w:rsid w:val="098D108B"/>
    <w:rsid w:val="098D5F59"/>
    <w:rsid w:val="098D7D07"/>
    <w:rsid w:val="098F1CD1"/>
    <w:rsid w:val="098F7F23"/>
    <w:rsid w:val="09903C9B"/>
    <w:rsid w:val="0991299F"/>
    <w:rsid w:val="0991427C"/>
    <w:rsid w:val="09921684"/>
    <w:rsid w:val="09954E0D"/>
    <w:rsid w:val="09970B85"/>
    <w:rsid w:val="0998157E"/>
    <w:rsid w:val="099968E8"/>
    <w:rsid w:val="099A0675"/>
    <w:rsid w:val="099A2423"/>
    <w:rsid w:val="099A5C14"/>
    <w:rsid w:val="099B68C7"/>
    <w:rsid w:val="099C263F"/>
    <w:rsid w:val="099C619C"/>
    <w:rsid w:val="099D2DC6"/>
    <w:rsid w:val="099D590A"/>
    <w:rsid w:val="099E0166"/>
    <w:rsid w:val="099E1F14"/>
    <w:rsid w:val="099E3CC2"/>
    <w:rsid w:val="099F12A5"/>
    <w:rsid w:val="09A137B2"/>
    <w:rsid w:val="09A432A2"/>
    <w:rsid w:val="09A45050"/>
    <w:rsid w:val="09A60DC8"/>
    <w:rsid w:val="09A6701A"/>
    <w:rsid w:val="09AA6564"/>
    <w:rsid w:val="09AB0D36"/>
    <w:rsid w:val="09AB2883"/>
    <w:rsid w:val="09AB63DF"/>
    <w:rsid w:val="09AC7D0D"/>
    <w:rsid w:val="09AE497E"/>
    <w:rsid w:val="09AF4D93"/>
    <w:rsid w:val="09AF4F58"/>
    <w:rsid w:val="09B01C47"/>
    <w:rsid w:val="09B41737"/>
    <w:rsid w:val="09B61B3E"/>
    <w:rsid w:val="09B74D83"/>
    <w:rsid w:val="09BB20BA"/>
    <w:rsid w:val="09BF1E8A"/>
    <w:rsid w:val="09C000DC"/>
    <w:rsid w:val="09C1299A"/>
    <w:rsid w:val="09C273BB"/>
    <w:rsid w:val="09C32C91"/>
    <w:rsid w:val="09C33728"/>
    <w:rsid w:val="09C35C7A"/>
    <w:rsid w:val="09C35E1E"/>
    <w:rsid w:val="09C37BCC"/>
    <w:rsid w:val="09C645FB"/>
    <w:rsid w:val="09C676BC"/>
    <w:rsid w:val="09C94AB7"/>
    <w:rsid w:val="09D349B4"/>
    <w:rsid w:val="09D37A01"/>
    <w:rsid w:val="09D5272B"/>
    <w:rsid w:val="09D52C60"/>
    <w:rsid w:val="09D5345C"/>
    <w:rsid w:val="09D54231"/>
    <w:rsid w:val="09D73678"/>
    <w:rsid w:val="09D91422"/>
    <w:rsid w:val="09D973F0"/>
    <w:rsid w:val="09DA01AF"/>
    <w:rsid w:val="09DB3168"/>
    <w:rsid w:val="09DB4F16"/>
    <w:rsid w:val="09DE1E10"/>
    <w:rsid w:val="09DE798F"/>
    <w:rsid w:val="09DE7E5F"/>
    <w:rsid w:val="09E0077E"/>
    <w:rsid w:val="09E2327B"/>
    <w:rsid w:val="09E3201C"/>
    <w:rsid w:val="09E65669"/>
    <w:rsid w:val="09E813E1"/>
    <w:rsid w:val="09E87633"/>
    <w:rsid w:val="09EB0ED1"/>
    <w:rsid w:val="09EC23D5"/>
    <w:rsid w:val="09EF451D"/>
    <w:rsid w:val="09F14739"/>
    <w:rsid w:val="09F4422A"/>
    <w:rsid w:val="09F9539C"/>
    <w:rsid w:val="09FD1B72"/>
    <w:rsid w:val="09FE5F7D"/>
    <w:rsid w:val="09FE6E56"/>
    <w:rsid w:val="0A002BCE"/>
    <w:rsid w:val="0A00497C"/>
    <w:rsid w:val="0A014251"/>
    <w:rsid w:val="0A03727A"/>
    <w:rsid w:val="0A0501E5"/>
    <w:rsid w:val="0A051D81"/>
    <w:rsid w:val="0A052592"/>
    <w:rsid w:val="0A062F31"/>
    <w:rsid w:val="0A067AB9"/>
    <w:rsid w:val="0A083831"/>
    <w:rsid w:val="0A0A1152"/>
    <w:rsid w:val="0A0A57FB"/>
    <w:rsid w:val="0A0C1573"/>
    <w:rsid w:val="0A161BC7"/>
    <w:rsid w:val="0A165F4E"/>
    <w:rsid w:val="0A183EA3"/>
    <w:rsid w:val="0A195A3E"/>
    <w:rsid w:val="0A197F04"/>
    <w:rsid w:val="0A1B17B6"/>
    <w:rsid w:val="0A1B3F65"/>
    <w:rsid w:val="0A1B5312"/>
    <w:rsid w:val="0A1E12A6"/>
    <w:rsid w:val="0A1F01FB"/>
    <w:rsid w:val="0A20096D"/>
    <w:rsid w:val="0A2543E3"/>
    <w:rsid w:val="0A263993"/>
    <w:rsid w:val="0A285C81"/>
    <w:rsid w:val="0A2A37A7"/>
    <w:rsid w:val="0A2D3AC2"/>
    <w:rsid w:val="0A2E773B"/>
    <w:rsid w:val="0A2F0DBE"/>
    <w:rsid w:val="0A2F5262"/>
    <w:rsid w:val="0A314B36"/>
    <w:rsid w:val="0A3245CA"/>
    <w:rsid w:val="0A334D52"/>
    <w:rsid w:val="0A36214C"/>
    <w:rsid w:val="0A3960E0"/>
    <w:rsid w:val="0A3B7A5B"/>
    <w:rsid w:val="0A3F1C1F"/>
    <w:rsid w:val="0A40746F"/>
    <w:rsid w:val="0A415C80"/>
    <w:rsid w:val="0A424F95"/>
    <w:rsid w:val="0A430D0D"/>
    <w:rsid w:val="0A444601"/>
    <w:rsid w:val="0A4505E1"/>
    <w:rsid w:val="0A453197"/>
    <w:rsid w:val="0A4725AB"/>
    <w:rsid w:val="0A4800D1"/>
    <w:rsid w:val="0A485659"/>
    <w:rsid w:val="0A48667A"/>
    <w:rsid w:val="0A4F320E"/>
    <w:rsid w:val="0A580BBE"/>
    <w:rsid w:val="0A583185"/>
    <w:rsid w:val="0A5A3134"/>
    <w:rsid w:val="0A5C592B"/>
    <w:rsid w:val="0A634F0B"/>
    <w:rsid w:val="0A652A31"/>
    <w:rsid w:val="0A656F01"/>
    <w:rsid w:val="0A674015"/>
    <w:rsid w:val="0A6749FB"/>
    <w:rsid w:val="0A696248"/>
    <w:rsid w:val="0A6A44EC"/>
    <w:rsid w:val="0A7113D6"/>
    <w:rsid w:val="0A722320"/>
    <w:rsid w:val="0A7333A0"/>
    <w:rsid w:val="0A740EC6"/>
    <w:rsid w:val="0A747118"/>
    <w:rsid w:val="0A775E1F"/>
    <w:rsid w:val="0A7B04A7"/>
    <w:rsid w:val="0A7B4003"/>
    <w:rsid w:val="0A7C2A1D"/>
    <w:rsid w:val="0A7D7D7B"/>
    <w:rsid w:val="0A801619"/>
    <w:rsid w:val="0A8455AD"/>
    <w:rsid w:val="0A851326"/>
    <w:rsid w:val="0A866BA0"/>
    <w:rsid w:val="0A867DEF"/>
    <w:rsid w:val="0A8729A8"/>
    <w:rsid w:val="0A884A5E"/>
    <w:rsid w:val="0A886CD4"/>
    <w:rsid w:val="0A891756"/>
    <w:rsid w:val="0A894972"/>
    <w:rsid w:val="0A8A693C"/>
    <w:rsid w:val="0A90639B"/>
    <w:rsid w:val="0A9123E5"/>
    <w:rsid w:val="0A921402"/>
    <w:rsid w:val="0A927580"/>
    <w:rsid w:val="0A9450C5"/>
    <w:rsid w:val="0A954DD4"/>
    <w:rsid w:val="0A974BAF"/>
    <w:rsid w:val="0A983F6E"/>
    <w:rsid w:val="0A9A6385"/>
    <w:rsid w:val="0A9B28F7"/>
    <w:rsid w:val="0A9B688B"/>
    <w:rsid w:val="0A9D31F2"/>
    <w:rsid w:val="0AA04F5B"/>
    <w:rsid w:val="0AA07F0D"/>
    <w:rsid w:val="0AA277E2"/>
    <w:rsid w:val="0AA3355A"/>
    <w:rsid w:val="0AA7304A"/>
    <w:rsid w:val="0AA755DF"/>
    <w:rsid w:val="0AA862BE"/>
    <w:rsid w:val="0AA95014"/>
    <w:rsid w:val="0AAA2B3A"/>
    <w:rsid w:val="0AAA37AF"/>
    <w:rsid w:val="0AAC0A11"/>
    <w:rsid w:val="0AAC240E"/>
    <w:rsid w:val="0AAD3F14"/>
    <w:rsid w:val="0AB063A2"/>
    <w:rsid w:val="0AB1291A"/>
    <w:rsid w:val="0AB13EC9"/>
    <w:rsid w:val="0AB3379D"/>
    <w:rsid w:val="0AB40305"/>
    <w:rsid w:val="0AB41E3B"/>
    <w:rsid w:val="0AB539B9"/>
    <w:rsid w:val="0AB747E1"/>
    <w:rsid w:val="0AB97243"/>
    <w:rsid w:val="0ABD286D"/>
    <w:rsid w:val="0ABF0394"/>
    <w:rsid w:val="0AC27FEC"/>
    <w:rsid w:val="0AC52104"/>
    <w:rsid w:val="0AC86CBC"/>
    <w:rsid w:val="0AC92BFB"/>
    <w:rsid w:val="0ACA54C2"/>
    <w:rsid w:val="0ACB31DC"/>
    <w:rsid w:val="0ACC485F"/>
    <w:rsid w:val="0ACE4A7B"/>
    <w:rsid w:val="0AD21E61"/>
    <w:rsid w:val="0AD32091"/>
    <w:rsid w:val="0AD55E09"/>
    <w:rsid w:val="0AD57BB7"/>
    <w:rsid w:val="0AD62B4E"/>
    <w:rsid w:val="0AD6392F"/>
    <w:rsid w:val="0AD749D3"/>
    <w:rsid w:val="0AD81455"/>
    <w:rsid w:val="0ADA51CD"/>
    <w:rsid w:val="0ADF0A36"/>
    <w:rsid w:val="0AE0030A"/>
    <w:rsid w:val="0AE24082"/>
    <w:rsid w:val="0AE41BA8"/>
    <w:rsid w:val="0AE47DFA"/>
    <w:rsid w:val="0AE57D4B"/>
    <w:rsid w:val="0AE722C1"/>
    <w:rsid w:val="0AE75B3C"/>
    <w:rsid w:val="0AE86877"/>
    <w:rsid w:val="0AEA2A84"/>
    <w:rsid w:val="0AEB4BB9"/>
    <w:rsid w:val="0AEC57CB"/>
    <w:rsid w:val="0AEE0C79"/>
    <w:rsid w:val="0AF142C5"/>
    <w:rsid w:val="0AF3003D"/>
    <w:rsid w:val="0AF344E1"/>
    <w:rsid w:val="0AF40A48"/>
    <w:rsid w:val="0AF87123"/>
    <w:rsid w:val="0AFA13CC"/>
    <w:rsid w:val="0AFA761E"/>
    <w:rsid w:val="0AFB0582"/>
    <w:rsid w:val="0AFD2C6A"/>
    <w:rsid w:val="0AFF3D11"/>
    <w:rsid w:val="0AFF69E2"/>
    <w:rsid w:val="0B04049C"/>
    <w:rsid w:val="0B053994"/>
    <w:rsid w:val="0B0805EE"/>
    <w:rsid w:val="0B094C47"/>
    <w:rsid w:val="0B0A5387"/>
    <w:rsid w:val="0B0B360F"/>
    <w:rsid w:val="0B0B5703"/>
    <w:rsid w:val="0B0B580F"/>
    <w:rsid w:val="0B0E6D82"/>
    <w:rsid w:val="0B11176E"/>
    <w:rsid w:val="0B116715"/>
    <w:rsid w:val="0B120D44"/>
    <w:rsid w:val="0B13248D"/>
    <w:rsid w:val="0B136931"/>
    <w:rsid w:val="0B141459"/>
    <w:rsid w:val="0B143885"/>
    <w:rsid w:val="0B1526A9"/>
    <w:rsid w:val="0B172D74"/>
    <w:rsid w:val="0B177790"/>
    <w:rsid w:val="0B193ECD"/>
    <w:rsid w:val="0B1A1A6E"/>
    <w:rsid w:val="0B1A381C"/>
    <w:rsid w:val="0B1B59FF"/>
    <w:rsid w:val="0B1D50BA"/>
    <w:rsid w:val="0B1F52D6"/>
    <w:rsid w:val="0B220922"/>
    <w:rsid w:val="0B226B74"/>
    <w:rsid w:val="0B2621C1"/>
    <w:rsid w:val="0B293A5F"/>
    <w:rsid w:val="0B2B77D7"/>
    <w:rsid w:val="0B2C17A1"/>
    <w:rsid w:val="0B2C47E2"/>
    <w:rsid w:val="0B300806"/>
    <w:rsid w:val="0B30303F"/>
    <w:rsid w:val="0B3348DE"/>
    <w:rsid w:val="0B347187"/>
    <w:rsid w:val="0B353632"/>
    <w:rsid w:val="0B362561"/>
    <w:rsid w:val="0B3812E5"/>
    <w:rsid w:val="0B381467"/>
    <w:rsid w:val="0B381EF4"/>
    <w:rsid w:val="0B3D7FA1"/>
    <w:rsid w:val="0B400839"/>
    <w:rsid w:val="0B40795D"/>
    <w:rsid w:val="0B416FFB"/>
    <w:rsid w:val="0B420FC5"/>
    <w:rsid w:val="0B422D73"/>
    <w:rsid w:val="0B446AEB"/>
    <w:rsid w:val="0B45008E"/>
    <w:rsid w:val="0B464611"/>
    <w:rsid w:val="0B4765DB"/>
    <w:rsid w:val="0B48482D"/>
    <w:rsid w:val="0B4C4D17"/>
    <w:rsid w:val="0B4D1E43"/>
    <w:rsid w:val="0B4E159C"/>
    <w:rsid w:val="0B4E5BBB"/>
    <w:rsid w:val="0B50509B"/>
    <w:rsid w:val="0B50723E"/>
    <w:rsid w:val="0B525AE4"/>
    <w:rsid w:val="0B550CF8"/>
    <w:rsid w:val="0B554854"/>
    <w:rsid w:val="0B574A70"/>
    <w:rsid w:val="0B580B29"/>
    <w:rsid w:val="0B5A00BC"/>
    <w:rsid w:val="0B5B4F86"/>
    <w:rsid w:val="0B5C3E34"/>
    <w:rsid w:val="0B5C5BE2"/>
    <w:rsid w:val="0B5E23F3"/>
    <w:rsid w:val="0B5E26D9"/>
    <w:rsid w:val="0B5F1B77"/>
    <w:rsid w:val="0B5F3925"/>
    <w:rsid w:val="0B602A5E"/>
    <w:rsid w:val="0B6131F9"/>
    <w:rsid w:val="0B621425"/>
    <w:rsid w:val="0B6251C3"/>
    <w:rsid w:val="0B666A61"/>
    <w:rsid w:val="0B703F6E"/>
    <w:rsid w:val="0B725406"/>
    <w:rsid w:val="0B7365E8"/>
    <w:rsid w:val="0B7423F7"/>
    <w:rsid w:val="0B745622"/>
    <w:rsid w:val="0B745825"/>
    <w:rsid w:val="0B773753"/>
    <w:rsid w:val="0B78105E"/>
    <w:rsid w:val="0B784D6E"/>
    <w:rsid w:val="0B792C38"/>
    <w:rsid w:val="0B7C423B"/>
    <w:rsid w:val="0B825D4F"/>
    <w:rsid w:val="0B844E71"/>
    <w:rsid w:val="0B860EB1"/>
    <w:rsid w:val="0B884C29"/>
    <w:rsid w:val="0B8A3150"/>
    <w:rsid w:val="0B8C227D"/>
    <w:rsid w:val="0B925AA8"/>
    <w:rsid w:val="0B931032"/>
    <w:rsid w:val="0B9335CE"/>
    <w:rsid w:val="0B93537C"/>
    <w:rsid w:val="0B942CBA"/>
    <w:rsid w:val="0B9730BE"/>
    <w:rsid w:val="0B9A495D"/>
    <w:rsid w:val="0B9A670B"/>
    <w:rsid w:val="0B9F5AFA"/>
    <w:rsid w:val="0B9F6417"/>
    <w:rsid w:val="0BA23811"/>
    <w:rsid w:val="0BA354C3"/>
    <w:rsid w:val="0BA37CB5"/>
    <w:rsid w:val="0BA47589"/>
    <w:rsid w:val="0BA53A2D"/>
    <w:rsid w:val="0BA61553"/>
    <w:rsid w:val="0BA650B0"/>
    <w:rsid w:val="0BA80E28"/>
    <w:rsid w:val="0BA87ED3"/>
    <w:rsid w:val="0BAB0918"/>
    <w:rsid w:val="0BAD643E"/>
    <w:rsid w:val="0BAF665A"/>
    <w:rsid w:val="0BB21CA6"/>
    <w:rsid w:val="0BB2718C"/>
    <w:rsid w:val="0BB643CC"/>
    <w:rsid w:val="0BB70F4B"/>
    <w:rsid w:val="0BBC2B25"/>
    <w:rsid w:val="0BBC2E0F"/>
    <w:rsid w:val="0BBD52AE"/>
    <w:rsid w:val="0BBF1DEA"/>
    <w:rsid w:val="0BBF43C3"/>
    <w:rsid w:val="0BC22C1A"/>
    <w:rsid w:val="0BC415A1"/>
    <w:rsid w:val="0BC51688"/>
    <w:rsid w:val="0BC639A4"/>
    <w:rsid w:val="0BC66A92"/>
    <w:rsid w:val="0BC67500"/>
    <w:rsid w:val="0BC72462"/>
    <w:rsid w:val="0BC77592"/>
    <w:rsid w:val="0BCB2A5E"/>
    <w:rsid w:val="0BCB4B16"/>
    <w:rsid w:val="0BCD4D32"/>
    <w:rsid w:val="0BCE3B39"/>
    <w:rsid w:val="0BD25EA5"/>
    <w:rsid w:val="0BD27BF6"/>
    <w:rsid w:val="0BD7795F"/>
    <w:rsid w:val="0BD92337"/>
    <w:rsid w:val="0BDA3067"/>
    <w:rsid w:val="0BDC453B"/>
    <w:rsid w:val="0BE41636"/>
    <w:rsid w:val="0BE502CE"/>
    <w:rsid w:val="0BE65DF4"/>
    <w:rsid w:val="0BE67BA2"/>
    <w:rsid w:val="0BE70DCC"/>
    <w:rsid w:val="0BE81B6C"/>
    <w:rsid w:val="0BE906EB"/>
    <w:rsid w:val="0BEA06E2"/>
    <w:rsid w:val="0BEB340A"/>
    <w:rsid w:val="0BEC054D"/>
    <w:rsid w:val="0BEC11A0"/>
    <w:rsid w:val="0BEE30CD"/>
    <w:rsid w:val="0BF027CF"/>
    <w:rsid w:val="0BF1500A"/>
    <w:rsid w:val="0BF26547"/>
    <w:rsid w:val="0BF30C8F"/>
    <w:rsid w:val="0BF33E08"/>
    <w:rsid w:val="0BF70001"/>
    <w:rsid w:val="0BF7590B"/>
    <w:rsid w:val="0BF91683"/>
    <w:rsid w:val="0BF95B27"/>
    <w:rsid w:val="0BFA364D"/>
    <w:rsid w:val="0BFA53FB"/>
    <w:rsid w:val="0BFB189F"/>
    <w:rsid w:val="0BFC1173"/>
    <w:rsid w:val="0BFE313E"/>
    <w:rsid w:val="0BFE4EEC"/>
    <w:rsid w:val="0BFE6C9A"/>
    <w:rsid w:val="0C013BCC"/>
    <w:rsid w:val="0C053827"/>
    <w:rsid w:val="0C05627A"/>
    <w:rsid w:val="0C060244"/>
    <w:rsid w:val="0C083C74"/>
    <w:rsid w:val="0C087B18"/>
    <w:rsid w:val="0C0A75FC"/>
    <w:rsid w:val="0C0B3E50"/>
    <w:rsid w:val="0C0E7CC4"/>
    <w:rsid w:val="0C0F6320"/>
    <w:rsid w:val="0C0F6BAC"/>
    <w:rsid w:val="0C122745"/>
    <w:rsid w:val="0C126BE9"/>
    <w:rsid w:val="0C14059C"/>
    <w:rsid w:val="0C1464BD"/>
    <w:rsid w:val="0C1666D9"/>
    <w:rsid w:val="0C1741FF"/>
    <w:rsid w:val="0C191D25"/>
    <w:rsid w:val="0C197F77"/>
    <w:rsid w:val="0C1A784C"/>
    <w:rsid w:val="0C1B4F42"/>
    <w:rsid w:val="0C1E558E"/>
    <w:rsid w:val="0C1E733C"/>
    <w:rsid w:val="0C1F08F2"/>
    <w:rsid w:val="0C1F4E62"/>
    <w:rsid w:val="0C210B2D"/>
    <w:rsid w:val="0C22507E"/>
    <w:rsid w:val="0C234952"/>
    <w:rsid w:val="0C2574AE"/>
    <w:rsid w:val="0C264442"/>
    <w:rsid w:val="0C2671FD"/>
    <w:rsid w:val="0C281F69"/>
    <w:rsid w:val="0C2A7A8F"/>
    <w:rsid w:val="0C2B1A59"/>
    <w:rsid w:val="0C2D3A23"/>
    <w:rsid w:val="0C2D757F"/>
    <w:rsid w:val="0C3152C1"/>
    <w:rsid w:val="0C326EE1"/>
    <w:rsid w:val="0C333B11"/>
    <w:rsid w:val="0C346B5F"/>
    <w:rsid w:val="0C37664F"/>
    <w:rsid w:val="0C395F24"/>
    <w:rsid w:val="0C3B1C9C"/>
    <w:rsid w:val="0C3B3C7D"/>
    <w:rsid w:val="0C3B4B55"/>
    <w:rsid w:val="0C3B6140"/>
    <w:rsid w:val="0C3C5A14"/>
    <w:rsid w:val="0C3C77C2"/>
    <w:rsid w:val="0C3F39BE"/>
    <w:rsid w:val="0C400913"/>
    <w:rsid w:val="0C4072B2"/>
    <w:rsid w:val="0C4112ED"/>
    <w:rsid w:val="0C492597"/>
    <w:rsid w:val="0C4B5C57"/>
    <w:rsid w:val="0C501EC1"/>
    <w:rsid w:val="0C50246A"/>
    <w:rsid w:val="0C520625"/>
    <w:rsid w:val="0C523489"/>
    <w:rsid w:val="0C550884"/>
    <w:rsid w:val="0C5745FC"/>
    <w:rsid w:val="0C5806CC"/>
    <w:rsid w:val="0C590374"/>
    <w:rsid w:val="0C5A1E78"/>
    <w:rsid w:val="0C5A3AFD"/>
    <w:rsid w:val="0C5B2FCE"/>
    <w:rsid w:val="0C5D353C"/>
    <w:rsid w:val="0C62191E"/>
    <w:rsid w:val="0C63034C"/>
    <w:rsid w:val="0C637705"/>
    <w:rsid w:val="0C656752"/>
    <w:rsid w:val="0C663CC2"/>
    <w:rsid w:val="0C664935"/>
    <w:rsid w:val="0C676F35"/>
    <w:rsid w:val="0C677C54"/>
    <w:rsid w:val="0C6805B7"/>
    <w:rsid w:val="0C6C00A7"/>
    <w:rsid w:val="0C6C62F9"/>
    <w:rsid w:val="0C712EE4"/>
    <w:rsid w:val="0C743400"/>
    <w:rsid w:val="0C756FEA"/>
    <w:rsid w:val="0C776A4C"/>
    <w:rsid w:val="0C795780"/>
    <w:rsid w:val="0C7B4653"/>
    <w:rsid w:val="0C7D0506"/>
    <w:rsid w:val="0C7E427E"/>
    <w:rsid w:val="0C802C54"/>
    <w:rsid w:val="0C831B32"/>
    <w:rsid w:val="0C84135A"/>
    <w:rsid w:val="0C85560D"/>
    <w:rsid w:val="0C882A07"/>
    <w:rsid w:val="0C8C0749"/>
    <w:rsid w:val="0C8D3125"/>
    <w:rsid w:val="0C91415A"/>
    <w:rsid w:val="0C917B0E"/>
    <w:rsid w:val="0C931CB9"/>
    <w:rsid w:val="0C937D2A"/>
    <w:rsid w:val="0C9615C8"/>
    <w:rsid w:val="0C965124"/>
    <w:rsid w:val="0C970E9C"/>
    <w:rsid w:val="0C9B6363"/>
    <w:rsid w:val="0C9C64B3"/>
    <w:rsid w:val="0CA041F5"/>
    <w:rsid w:val="0CA05EF5"/>
    <w:rsid w:val="0CA84E57"/>
    <w:rsid w:val="0CA912FB"/>
    <w:rsid w:val="0CAA0BCF"/>
    <w:rsid w:val="0CAA5073"/>
    <w:rsid w:val="0CAA6E21"/>
    <w:rsid w:val="0CAB2EAE"/>
    <w:rsid w:val="0CAD246E"/>
    <w:rsid w:val="0CB0103F"/>
    <w:rsid w:val="0CB06EE6"/>
    <w:rsid w:val="0CB10376"/>
    <w:rsid w:val="0CB21806"/>
    <w:rsid w:val="0CB41A4E"/>
    <w:rsid w:val="0CB63A18"/>
    <w:rsid w:val="0CB67574"/>
    <w:rsid w:val="0CB8153E"/>
    <w:rsid w:val="0CB87790"/>
    <w:rsid w:val="0CBA1929"/>
    <w:rsid w:val="0CBB102F"/>
    <w:rsid w:val="0CBB4B8B"/>
    <w:rsid w:val="0CBD7413"/>
    <w:rsid w:val="0CBE467B"/>
    <w:rsid w:val="0CC04897"/>
    <w:rsid w:val="0CC2416B"/>
    <w:rsid w:val="0CC25F19"/>
    <w:rsid w:val="0CC4006B"/>
    <w:rsid w:val="0CC51EAD"/>
    <w:rsid w:val="0CC53774"/>
    <w:rsid w:val="0CC53C5B"/>
    <w:rsid w:val="0CC73E81"/>
    <w:rsid w:val="0CC954FA"/>
    <w:rsid w:val="0CCA3020"/>
    <w:rsid w:val="0CCA74C4"/>
    <w:rsid w:val="0CCC6D98"/>
    <w:rsid w:val="0CCE2B10"/>
    <w:rsid w:val="0CD30126"/>
    <w:rsid w:val="0CD345CA"/>
    <w:rsid w:val="0CD520F0"/>
    <w:rsid w:val="0CD65E68"/>
    <w:rsid w:val="0CD8573D"/>
    <w:rsid w:val="0CD86320"/>
    <w:rsid w:val="0CD873D0"/>
    <w:rsid w:val="0CDB522D"/>
    <w:rsid w:val="0CDE6ACB"/>
    <w:rsid w:val="0CDF2F6F"/>
    <w:rsid w:val="0CE2480D"/>
    <w:rsid w:val="0CE265BB"/>
    <w:rsid w:val="0CE316AA"/>
    <w:rsid w:val="0CE51C08"/>
    <w:rsid w:val="0CE51D21"/>
    <w:rsid w:val="0CE560AB"/>
    <w:rsid w:val="0CE642FD"/>
    <w:rsid w:val="0CE82B67"/>
    <w:rsid w:val="0CEA36C2"/>
    <w:rsid w:val="0CEB6C0B"/>
    <w:rsid w:val="0CEF2A86"/>
    <w:rsid w:val="0CEF5748"/>
    <w:rsid w:val="0CF06F2A"/>
    <w:rsid w:val="0CF4009D"/>
    <w:rsid w:val="0CF43DCE"/>
    <w:rsid w:val="0CF64E24"/>
    <w:rsid w:val="0CF74AB8"/>
    <w:rsid w:val="0CF804C6"/>
    <w:rsid w:val="0CFA1B57"/>
    <w:rsid w:val="0CFD33F5"/>
    <w:rsid w:val="0CFD51A3"/>
    <w:rsid w:val="0D002EE5"/>
    <w:rsid w:val="0D0504FC"/>
    <w:rsid w:val="0D075066"/>
    <w:rsid w:val="0D076022"/>
    <w:rsid w:val="0D097FEC"/>
    <w:rsid w:val="0D0B01A1"/>
    <w:rsid w:val="0D0C1298"/>
    <w:rsid w:val="0D0E5602"/>
    <w:rsid w:val="0D0F4ED6"/>
    <w:rsid w:val="0D1129FD"/>
    <w:rsid w:val="0D1150F2"/>
    <w:rsid w:val="0D136775"/>
    <w:rsid w:val="0D156991"/>
    <w:rsid w:val="0D162709"/>
    <w:rsid w:val="0D166706"/>
    <w:rsid w:val="0D18022F"/>
    <w:rsid w:val="0D187DE7"/>
    <w:rsid w:val="0D1B1ACD"/>
    <w:rsid w:val="0D1D3A97"/>
    <w:rsid w:val="0D1E09AD"/>
    <w:rsid w:val="0D1F336B"/>
    <w:rsid w:val="0D20037A"/>
    <w:rsid w:val="0D2512B6"/>
    <w:rsid w:val="0D2766C4"/>
    <w:rsid w:val="0D2A1D10"/>
    <w:rsid w:val="0D2A4946"/>
    <w:rsid w:val="0D2C3CDA"/>
    <w:rsid w:val="0D2D6A5E"/>
    <w:rsid w:val="0D2E7A52"/>
    <w:rsid w:val="0D2F406A"/>
    <w:rsid w:val="0D30423A"/>
    <w:rsid w:val="0D350DE1"/>
    <w:rsid w:val="0D352AAD"/>
    <w:rsid w:val="0D3759A5"/>
    <w:rsid w:val="0D3847AB"/>
    <w:rsid w:val="0D3B5CCB"/>
    <w:rsid w:val="0D3D5EE8"/>
    <w:rsid w:val="0D437156"/>
    <w:rsid w:val="0D444B80"/>
    <w:rsid w:val="0D4903E8"/>
    <w:rsid w:val="0D4B1CD1"/>
    <w:rsid w:val="0D4B4161"/>
    <w:rsid w:val="0D506ECD"/>
    <w:rsid w:val="0D51729D"/>
    <w:rsid w:val="0D5541BD"/>
    <w:rsid w:val="0D556D8D"/>
    <w:rsid w:val="0D584ACF"/>
    <w:rsid w:val="0D5972D7"/>
    <w:rsid w:val="0D5E0578"/>
    <w:rsid w:val="0D5F19BA"/>
    <w:rsid w:val="0D5F7C0C"/>
    <w:rsid w:val="0D605732"/>
    <w:rsid w:val="0D613984"/>
    <w:rsid w:val="0D621ACA"/>
    <w:rsid w:val="0D621C7D"/>
    <w:rsid w:val="0D643474"/>
    <w:rsid w:val="0D660F9A"/>
    <w:rsid w:val="0D696CDD"/>
    <w:rsid w:val="0D6A5091"/>
    <w:rsid w:val="0D6A6AA2"/>
    <w:rsid w:val="0D6B035F"/>
    <w:rsid w:val="0D6B6205"/>
    <w:rsid w:val="0D6B65B1"/>
    <w:rsid w:val="0D6C40D7"/>
    <w:rsid w:val="0D6D057B"/>
    <w:rsid w:val="0D6D1FAA"/>
    <w:rsid w:val="0D6E7B1E"/>
    <w:rsid w:val="0D6E7E4F"/>
    <w:rsid w:val="0D701E19"/>
    <w:rsid w:val="0D705975"/>
    <w:rsid w:val="0D724825"/>
    <w:rsid w:val="0D7511DD"/>
    <w:rsid w:val="0D754339"/>
    <w:rsid w:val="0D75742F"/>
    <w:rsid w:val="0D766FD4"/>
    <w:rsid w:val="0D772860"/>
    <w:rsid w:val="0D780CCE"/>
    <w:rsid w:val="0D786F20"/>
    <w:rsid w:val="0D7A67F4"/>
    <w:rsid w:val="0D7B752A"/>
    <w:rsid w:val="0D7C256C"/>
    <w:rsid w:val="0D7C6A10"/>
    <w:rsid w:val="0D7D4536"/>
    <w:rsid w:val="0D7F3E0A"/>
    <w:rsid w:val="0D817B82"/>
    <w:rsid w:val="0D8439D4"/>
    <w:rsid w:val="0D892ADE"/>
    <w:rsid w:val="0D894C75"/>
    <w:rsid w:val="0D8B7595"/>
    <w:rsid w:val="0D8D4779"/>
    <w:rsid w:val="0D8E04F1"/>
    <w:rsid w:val="0D8E229F"/>
    <w:rsid w:val="0D904269"/>
    <w:rsid w:val="0D933D59"/>
    <w:rsid w:val="0D9378B6"/>
    <w:rsid w:val="0D995C97"/>
    <w:rsid w:val="0D9A0C44"/>
    <w:rsid w:val="0D9A6E96"/>
    <w:rsid w:val="0DA14216"/>
    <w:rsid w:val="0DA32561"/>
    <w:rsid w:val="0DA41AC3"/>
    <w:rsid w:val="0DA6583B"/>
    <w:rsid w:val="0DA67939"/>
    <w:rsid w:val="0DA67DDF"/>
    <w:rsid w:val="0DA73361"/>
    <w:rsid w:val="0DA815B3"/>
    <w:rsid w:val="0DA9532B"/>
    <w:rsid w:val="0DAB37C5"/>
    <w:rsid w:val="0DAE649D"/>
    <w:rsid w:val="0DAF0B93"/>
    <w:rsid w:val="0DB00467"/>
    <w:rsid w:val="0DB02216"/>
    <w:rsid w:val="0DB5188A"/>
    <w:rsid w:val="0DB8556E"/>
    <w:rsid w:val="0DB86340"/>
    <w:rsid w:val="0DB963BF"/>
    <w:rsid w:val="0DBC04D7"/>
    <w:rsid w:val="0DBC6E0C"/>
    <w:rsid w:val="0DBF06AB"/>
    <w:rsid w:val="0DBF1AA2"/>
    <w:rsid w:val="0DBF4B4E"/>
    <w:rsid w:val="0DBF6485"/>
    <w:rsid w:val="0DC12675"/>
    <w:rsid w:val="0DC363ED"/>
    <w:rsid w:val="0DC44067"/>
    <w:rsid w:val="0DC65EDD"/>
    <w:rsid w:val="0DC772CA"/>
    <w:rsid w:val="0DC83A03"/>
    <w:rsid w:val="0DC91529"/>
    <w:rsid w:val="0DC932D7"/>
    <w:rsid w:val="0DCB34F3"/>
    <w:rsid w:val="0DCB704F"/>
    <w:rsid w:val="0DD00B0A"/>
    <w:rsid w:val="0DD1346B"/>
    <w:rsid w:val="0DD24882"/>
    <w:rsid w:val="0DD34156"/>
    <w:rsid w:val="0DD73C46"/>
    <w:rsid w:val="0DD8176C"/>
    <w:rsid w:val="0DDF0D4D"/>
    <w:rsid w:val="0DE34399"/>
    <w:rsid w:val="0DE40111"/>
    <w:rsid w:val="0DE545B5"/>
    <w:rsid w:val="0DE6032D"/>
    <w:rsid w:val="0DE92EA6"/>
    <w:rsid w:val="0DE93979"/>
    <w:rsid w:val="0DEB76F2"/>
    <w:rsid w:val="0DED16BC"/>
    <w:rsid w:val="0DEF1F9A"/>
    <w:rsid w:val="0DEF71E2"/>
    <w:rsid w:val="0DEF7CAB"/>
    <w:rsid w:val="0DF04D08"/>
    <w:rsid w:val="0DF06AB6"/>
    <w:rsid w:val="0DF20A80"/>
    <w:rsid w:val="0DF22462"/>
    <w:rsid w:val="0DF25F11"/>
    <w:rsid w:val="0DF50570"/>
    <w:rsid w:val="0DF626F7"/>
    <w:rsid w:val="0DF93BBD"/>
    <w:rsid w:val="0DFA0F36"/>
    <w:rsid w:val="0DFA5B87"/>
    <w:rsid w:val="0DFC545B"/>
    <w:rsid w:val="0DFC6427"/>
    <w:rsid w:val="0DFD0FF8"/>
    <w:rsid w:val="0DFE0B08"/>
    <w:rsid w:val="0DFE17E8"/>
    <w:rsid w:val="0E0013EF"/>
    <w:rsid w:val="0E016238"/>
    <w:rsid w:val="0E032C8D"/>
    <w:rsid w:val="0E042561"/>
    <w:rsid w:val="0E0548E5"/>
    <w:rsid w:val="0E0662D9"/>
    <w:rsid w:val="0E091F38"/>
    <w:rsid w:val="0E0C7D77"/>
    <w:rsid w:val="0E0D1416"/>
    <w:rsid w:val="0E0D58BA"/>
    <w:rsid w:val="0E0F33E0"/>
    <w:rsid w:val="0E100F06"/>
    <w:rsid w:val="0E111386"/>
    <w:rsid w:val="0E121122"/>
    <w:rsid w:val="0E121D8E"/>
    <w:rsid w:val="0E140D02"/>
    <w:rsid w:val="0E176739"/>
    <w:rsid w:val="0E1919B2"/>
    <w:rsid w:val="0E1924B1"/>
    <w:rsid w:val="0E1A1D85"/>
    <w:rsid w:val="0E1B4EB5"/>
    <w:rsid w:val="0E1C2936"/>
    <w:rsid w:val="0E1D6EA1"/>
    <w:rsid w:val="0E1E3623"/>
    <w:rsid w:val="0E205AB9"/>
    <w:rsid w:val="0E213113"/>
    <w:rsid w:val="0E2350DD"/>
    <w:rsid w:val="0E247D43"/>
    <w:rsid w:val="0E2579C3"/>
    <w:rsid w:val="0E2844A2"/>
    <w:rsid w:val="0E286250"/>
    <w:rsid w:val="0E29465B"/>
    <w:rsid w:val="0E2A1C4C"/>
    <w:rsid w:val="0E2A646C"/>
    <w:rsid w:val="0E2B3F92"/>
    <w:rsid w:val="0E2C21E4"/>
    <w:rsid w:val="0E2D3866"/>
    <w:rsid w:val="0E2F3A82"/>
    <w:rsid w:val="0E2F75DE"/>
    <w:rsid w:val="0E304A35"/>
    <w:rsid w:val="0E320E7D"/>
    <w:rsid w:val="0E325320"/>
    <w:rsid w:val="0E344BF5"/>
    <w:rsid w:val="0E366EAA"/>
    <w:rsid w:val="0E370B89"/>
    <w:rsid w:val="0E3E3CC5"/>
    <w:rsid w:val="0E4137B5"/>
    <w:rsid w:val="0E415563"/>
    <w:rsid w:val="0E43752E"/>
    <w:rsid w:val="0E4532A6"/>
    <w:rsid w:val="0E456E02"/>
    <w:rsid w:val="0E47210D"/>
    <w:rsid w:val="0E4A08BC"/>
    <w:rsid w:val="0E4A266A"/>
    <w:rsid w:val="0E4A4418"/>
    <w:rsid w:val="0E4A6DA5"/>
    <w:rsid w:val="0E4E0924"/>
    <w:rsid w:val="0E4E4068"/>
    <w:rsid w:val="0E527771"/>
    <w:rsid w:val="0E572FD9"/>
    <w:rsid w:val="0E574D87"/>
    <w:rsid w:val="0E59710F"/>
    <w:rsid w:val="0E5B6C15"/>
    <w:rsid w:val="0E5C5A3F"/>
    <w:rsid w:val="0E5E6115"/>
    <w:rsid w:val="0E5E7EC3"/>
    <w:rsid w:val="0E625C06"/>
    <w:rsid w:val="0E651252"/>
    <w:rsid w:val="0E666D78"/>
    <w:rsid w:val="0E667BFA"/>
    <w:rsid w:val="0E673CAF"/>
    <w:rsid w:val="0E677FB6"/>
    <w:rsid w:val="0E6A6868"/>
    <w:rsid w:val="0E6B25E0"/>
    <w:rsid w:val="0E6C0832"/>
    <w:rsid w:val="0E6C2948"/>
    <w:rsid w:val="0E6D0107"/>
    <w:rsid w:val="0E6D6359"/>
    <w:rsid w:val="0E6F3E7F"/>
    <w:rsid w:val="0E707DD9"/>
    <w:rsid w:val="0E710DAC"/>
    <w:rsid w:val="0E71409B"/>
    <w:rsid w:val="0E72396F"/>
    <w:rsid w:val="0E73034D"/>
    <w:rsid w:val="0E741495"/>
    <w:rsid w:val="0E745939"/>
    <w:rsid w:val="0E76345F"/>
    <w:rsid w:val="0E76520D"/>
    <w:rsid w:val="0E796AAB"/>
    <w:rsid w:val="0E7E40C2"/>
    <w:rsid w:val="0E8006AC"/>
    <w:rsid w:val="0E807E3A"/>
    <w:rsid w:val="0E81007C"/>
    <w:rsid w:val="0E833DCE"/>
    <w:rsid w:val="0E835B7C"/>
    <w:rsid w:val="0E844653"/>
    <w:rsid w:val="0E8548DB"/>
    <w:rsid w:val="0E855450"/>
    <w:rsid w:val="0E8611C8"/>
    <w:rsid w:val="0E87566C"/>
    <w:rsid w:val="0E8E3161"/>
    <w:rsid w:val="0E8F4521"/>
    <w:rsid w:val="0E914AF4"/>
    <w:rsid w:val="0E917BF5"/>
    <w:rsid w:val="0E947D89"/>
    <w:rsid w:val="0E9658AF"/>
    <w:rsid w:val="0E972403"/>
    <w:rsid w:val="0E983A2E"/>
    <w:rsid w:val="0E9953A0"/>
    <w:rsid w:val="0E9A3896"/>
    <w:rsid w:val="0E9B1118"/>
    <w:rsid w:val="0E9D4E90"/>
    <w:rsid w:val="0E9E69EA"/>
    <w:rsid w:val="0E9F58FD"/>
    <w:rsid w:val="0EA33B28"/>
    <w:rsid w:val="0EA43B14"/>
    <w:rsid w:val="0EA55AF2"/>
    <w:rsid w:val="0EA63619"/>
    <w:rsid w:val="0EA855E3"/>
    <w:rsid w:val="0EB01A7D"/>
    <w:rsid w:val="0EB11AE3"/>
    <w:rsid w:val="0EB126E9"/>
    <w:rsid w:val="0EB2020F"/>
    <w:rsid w:val="0EB61AAE"/>
    <w:rsid w:val="0EB67D00"/>
    <w:rsid w:val="0EB775D4"/>
    <w:rsid w:val="0EB83A78"/>
    <w:rsid w:val="0EB90BAC"/>
    <w:rsid w:val="0EBA407A"/>
    <w:rsid w:val="0EBB3568"/>
    <w:rsid w:val="0EBB3739"/>
    <w:rsid w:val="0EBB38BF"/>
    <w:rsid w:val="0EBB7EB6"/>
    <w:rsid w:val="0EBC0800"/>
    <w:rsid w:val="0EBC4BEA"/>
    <w:rsid w:val="0EBD2E3C"/>
    <w:rsid w:val="0EBE4E06"/>
    <w:rsid w:val="0EC046DA"/>
    <w:rsid w:val="0EC35F79"/>
    <w:rsid w:val="0EC435B7"/>
    <w:rsid w:val="0EC71F0D"/>
    <w:rsid w:val="0EC73CBB"/>
    <w:rsid w:val="0EC87A33"/>
    <w:rsid w:val="0EC95AAB"/>
    <w:rsid w:val="0ECC12D1"/>
    <w:rsid w:val="0ECC2C14"/>
    <w:rsid w:val="0ECC307F"/>
    <w:rsid w:val="0ECD6DF7"/>
    <w:rsid w:val="0ED106EE"/>
    <w:rsid w:val="0ED14B39"/>
    <w:rsid w:val="0ED32660"/>
    <w:rsid w:val="0ED4462A"/>
    <w:rsid w:val="0ED55BB5"/>
    <w:rsid w:val="0ED71A24"/>
    <w:rsid w:val="0ED85EC8"/>
    <w:rsid w:val="0ED939EE"/>
    <w:rsid w:val="0ED9579C"/>
    <w:rsid w:val="0EDE69A8"/>
    <w:rsid w:val="0EE16CA7"/>
    <w:rsid w:val="0EE52393"/>
    <w:rsid w:val="0EE54141"/>
    <w:rsid w:val="0EE73304"/>
    <w:rsid w:val="0EE7610B"/>
    <w:rsid w:val="0EEA79A9"/>
    <w:rsid w:val="0EED1247"/>
    <w:rsid w:val="0EEF0710"/>
    <w:rsid w:val="0EF44384"/>
    <w:rsid w:val="0EF52E27"/>
    <w:rsid w:val="0EF6229A"/>
    <w:rsid w:val="0EF64818"/>
    <w:rsid w:val="0EF820C6"/>
    <w:rsid w:val="0EF83E74"/>
    <w:rsid w:val="0EF97BEC"/>
    <w:rsid w:val="0EFB1BB6"/>
    <w:rsid w:val="0EFE5203"/>
    <w:rsid w:val="0F032819"/>
    <w:rsid w:val="0F040A6B"/>
    <w:rsid w:val="0F046CBD"/>
    <w:rsid w:val="0F052A35"/>
    <w:rsid w:val="0F0547E3"/>
    <w:rsid w:val="0F083839"/>
    <w:rsid w:val="0F087E2F"/>
    <w:rsid w:val="0F091448"/>
    <w:rsid w:val="0F0C5B71"/>
    <w:rsid w:val="0F0D5446"/>
    <w:rsid w:val="0F1113DA"/>
    <w:rsid w:val="0F113188"/>
    <w:rsid w:val="0F114F36"/>
    <w:rsid w:val="0F13775A"/>
    <w:rsid w:val="0F16079E"/>
    <w:rsid w:val="0F1669F0"/>
    <w:rsid w:val="0F167392"/>
    <w:rsid w:val="0F1E7653"/>
    <w:rsid w:val="0F1F3AF7"/>
    <w:rsid w:val="0F20161D"/>
    <w:rsid w:val="0F2049D9"/>
    <w:rsid w:val="0F227143"/>
    <w:rsid w:val="0F2729AB"/>
    <w:rsid w:val="0F272A69"/>
    <w:rsid w:val="0F2804EA"/>
    <w:rsid w:val="0F2904D1"/>
    <w:rsid w:val="0F297ABE"/>
    <w:rsid w:val="0F2A424A"/>
    <w:rsid w:val="0F2A5FF8"/>
    <w:rsid w:val="0F2B7270"/>
    <w:rsid w:val="0F31382A"/>
    <w:rsid w:val="0F324E82"/>
    <w:rsid w:val="0F3375A2"/>
    <w:rsid w:val="0F362BEE"/>
    <w:rsid w:val="0F390A43"/>
    <w:rsid w:val="0F39623B"/>
    <w:rsid w:val="0F3B6613"/>
    <w:rsid w:val="0F3D0A31"/>
    <w:rsid w:val="0F3D1107"/>
    <w:rsid w:val="0F3D21CF"/>
    <w:rsid w:val="0F3F5F47"/>
    <w:rsid w:val="0F400C34"/>
    <w:rsid w:val="0F40581B"/>
    <w:rsid w:val="0F405B1D"/>
    <w:rsid w:val="0F423341"/>
    <w:rsid w:val="0F476BAA"/>
    <w:rsid w:val="0F4A0448"/>
    <w:rsid w:val="0F4C0664"/>
    <w:rsid w:val="0F4C5F6E"/>
    <w:rsid w:val="0F4D1F40"/>
    <w:rsid w:val="0F4E1CE6"/>
    <w:rsid w:val="0F4E7F38"/>
    <w:rsid w:val="0F51040B"/>
    <w:rsid w:val="0F5324D3"/>
    <w:rsid w:val="0F532D2B"/>
    <w:rsid w:val="0F53554E"/>
    <w:rsid w:val="0F537A34"/>
    <w:rsid w:val="0F543075"/>
    <w:rsid w:val="0F543301"/>
    <w:rsid w:val="0F5D461F"/>
    <w:rsid w:val="0F5F2145"/>
    <w:rsid w:val="0F5F45FE"/>
    <w:rsid w:val="0F5F5B60"/>
    <w:rsid w:val="0F607C6B"/>
    <w:rsid w:val="0F694D72"/>
    <w:rsid w:val="0F6E05DA"/>
    <w:rsid w:val="0F6F0AD3"/>
    <w:rsid w:val="0F704352"/>
    <w:rsid w:val="0F704E24"/>
    <w:rsid w:val="0F751969"/>
    <w:rsid w:val="0F754D02"/>
    <w:rsid w:val="0F7554C5"/>
    <w:rsid w:val="0F76123D"/>
    <w:rsid w:val="0F7A0D2D"/>
    <w:rsid w:val="0F7A7366"/>
    <w:rsid w:val="0F7D081D"/>
    <w:rsid w:val="0F7D5F98"/>
    <w:rsid w:val="0F805160"/>
    <w:rsid w:val="0F8120BC"/>
    <w:rsid w:val="0F854CFE"/>
    <w:rsid w:val="0F8603D5"/>
    <w:rsid w:val="0F8676D2"/>
    <w:rsid w:val="0F8751F8"/>
    <w:rsid w:val="0F880364"/>
    <w:rsid w:val="0F88453B"/>
    <w:rsid w:val="0F8971C2"/>
    <w:rsid w:val="0F8A5F06"/>
    <w:rsid w:val="0F8B118C"/>
    <w:rsid w:val="0F8B2F3A"/>
    <w:rsid w:val="0F900551"/>
    <w:rsid w:val="0F9022FF"/>
    <w:rsid w:val="0F917E25"/>
    <w:rsid w:val="0F930041"/>
    <w:rsid w:val="0F933B9D"/>
    <w:rsid w:val="0F935B2D"/>
    <w:rsid w:val="0F955B67"/>
    <w:rsid w:val="0F963B2C"/>
    <w:rsid w:val="0F9710D5"/>
    <w:rsid w:val="0F977B31"/>
    <w:rsid w:val="0F9973D1"/>
    <w:rsid w:val="0F9A112B"/>
    <w:rsid w:val="0F9C6EF5"/>
    <w:rsid w:val="0F9D2C6D"/>
    <w:rsid w:val="0F9E17AE"/>
    <w:rsid w:val="0F9E2E3C"/>
    <w:rsid w:val="0F9F2542"/>
    <w:rsid w:val="0F9F5435"/>
    <w:rsid w:val="0FA13C51"/>
    <w:rsid w:val="0FA22032"/>
    <w:rsid w:val="0FA43FFC"/>
    <w:rsid w:val="0FA6300A"/>
    <w:rsid w:val="0FA638D0"/>
    <w:rsid w:val="0FA67D74"/>
    <w:rsid w:val="0FA7589A"/>
    <w:rsid w:val="0FA933C0"/>
    <w:rsid w:val="0FA947DF"/>
    <w:rsid w:val="0FAB538A"/>
    <w:rsid w:val="0FAC4C5F"/>
    <w:rsid w:val="0FAD1102"/>
    <w:rsid w:val="0FAE09D7"/>
    <w:rsid w:val="0FAE4DC5"/>
    <w:rsid w:val="0FAE6C29"/>
    <w:rsid w:val="0FB107CE"/>
    <w:rsid w:val="0FB31E5E"/>
    <w:rsid w:val="0FB3423F"/>
    <w:rsid w:val="0FB513D3"/>
    <w:rsid w:val="0FB51D65"/>
    <w:rsid w:val="0FB56209"/>
    <w:rsid w:val="0FB80A48"/>
    <w:rsid w:val="0FBA381F"/>
    <w:rsid w:val="0FBA737B"/>
    <w:rsid w:val="0FBC7598"/>
    <w:rsid w:val="0FBD50BE"/>
    <w:rsid w:val="0FBF0E36"/>
    <w:rsid w:val="0FBF363A"/>
    <w:rsid w:val="0FBF4992"/>
    <w:rsid w:val="0FC05E29"/>
    <w:rsid w:val="0FC226D4"/>
    <w:rsid w:val="0FC41BBC"/>
    <w:rsid w:val="0FC41FA8"/>
    <w:rsid w:val="0FC4644C"/>
    <w:rsid w:val="0FC5047B"/>
    <w:rsid w:val="0FC53499"/>
    <w:rsid w:val="0FC56F7C"/>
    <w:rsid w:val="0FC65D20"/>
    <w:rsid w:val="0FC95811"/>
    <w:rsid w:val="0FCB0EB9"/>
    <w:rsid w:val="0FCC70AF"/>
    <w:rsid w:val="0FD03043"/>
    <w:rsid w:val="0FD07339"/>
    <w:rsid w:val="0FD3043D"/>
    <w:rsid w:val="0FD41334"/>
    <w:rsid w:val="0FD77F2D"/>
    <w:rsid w:val="0FD85A54"/>
    <w:rsid w:val="0FDA50F3"/>
    <w:rsid w:val="0FDD12BC"/>
    <w:rsid w:val="0FDF5034"/>
    <w:rsid w:val="0FE03949"/>
    <w:rsid w:val="0FE110E4"/>
    <w:rsid w:val="0FE27930"/>
    <w:rsid w:val="0FE64614"/>
    <w:rsid w:val="0FE92B27"/>
    <w:rsid w:val="0FEB3209"/>
    <w:rsid w:val="0FEB5787"/>
    <w:rsid w:val="0FEE5277"/>
    <w:rsid w:val="0FF075FC"/>
    <w:rsid w:val="0FF26B15"/>
    <w:rsid w:val="0FF36CB9"/>
    <w:rsid w:val="0FF52AA9"/>
    <w:rsid w:val="0FF7412C"/>
    <w:rsid w:val="0FFC1742"/>
    <w:rsid w:val="0FFC5BE6"/>
    <w:rsid w:val="0FFE570A"/>
    <w:rsid w:val="0FFF2388"/>
    <w:rsid w:val="0FFF7484"/>
    <w:rsid w:val="1002041D"/>
    <w:rsid w:val="10022517"/>
    <w:rsid w:val="10042CED"/>
    <w:rsid w:val="100449D5"/>
    <w:rsid w:val="100833DB"/>
    <w:rsid w:val="10087ED1"/>
    <w:rsid w:val="100920B1"/>
    <w:rsid w:val="100A34F2"/>
    <w:rsid w:val="100B3384"/>
    <w:rsid w:val="100D0AC0"/>
    <w:rsid w:val="100F0C3D"/>
    <w:rsid w:val="10124E80"/>
    <w:rsid w:val="10125438"/>
    <w:rsid w:val="101271B8"/>
    <w:rsid w:val="10141182"/>
    <w:rsid w:val="10150A56"/>
    <w:rsid w:val="10160210"/>
    <w:rsid w:val="101747CE"/>
    <w:rsid w:val="101A1671"/>
    <w:rsid w:val="101A606C"/>
    <w:rsid w:val="102139A6"/>
    <w:rsid w:val="102173FB"/>
    <w:rsid w:val="10226507"/>
    <w:rsid w:val="1023548A"/>
    <w:rsid w:val="10281712"/>
    <w:rsid w:val="10282537"/>
    <w:rsid w:val="102869DB"/>
    <w:rsid w:val="102A4EBE"/>
    <w:rsid w:val="102D2243"/>
    <w:rsid w:val="102E1B18"/>
    <w:rsid w:val="102E5FAA"/>
    <w:rsid w:val="102E7BFA"/>
    <w:rsid w:val="1030349B"/>
    <w:rsid w:val="10303AE2"/>
    <w:rsid w:val="1030763E"/>
    <w:rsid w:val="1034712E"/>
    <w:rsid w:val="10392996"/>
    <w:rsid w:val="103B4960"/>
    <w:rsid w:val="103E7FAD"/>
    <w:rsid w:val="104135F9"/>
    <w:rsid w:val="10437371"/>
    <w:rsid w:val="1045758D"/>
    <w:rsid w:val="10466E61"/>
    <w:rsid w:val="104A4BA3"/>
    <w:rsid w:val="104A6951"/>
    <w:rsid w:val="104D01F0"/>
    <w:rsid w:val="104F3F68"/>
    <w:rsid w:val="10501A8E"/>
    <w:rsid w:val="10563548"/>
    <w:rsid w:val="1057106E"/>
    <w:rsid w:val="105B0B5E"/>
    <w:rsid w:val="105B6243"/>
    <w:rsid w:val="105E5089"/>
    <w:rsid w:val="105F10EA"/>
    <w:rsid w:val="1060186C"/>
    <w:rsid w:val="106043C7"/>
    <w:rsid w:val="10606175"/>
    <w:rsid w:val="10610E39"/>
    <w:rsid w:val="10615FAB"/>
    <w:rsid w:val="1065378B"/>
    <w:rsid w:val="1068327B"/>
    <w:rsid w:val="106D2F64"/>
    <w:rsid w:val="106F0166"/>
    <w:rsid w:val="106F460A"/>
    <w:rsid w:val="10705428"/>
    <w:rsid w:val="10727C56"/>
    <w:rsid w:val="107439CE"/>
    <w:rsid w:val="107514F4"/>
    <w:rsid w:val="10757746"/>
    <w:rsid w:val="10771710"/>
    <w:rsid w:val="10776368"/>
    <w:rsid w:val="10780801"/>
    <w:rsid w:val="10783709"/>
    <w:rsid w:val="10790FE5"/>
    <w:rsid w:val="107B54C8"/>
    <w:rsid w:val="107E65FB"/>
    <w:rsid w:val="107F236E"/>
    <w:rsid w:val="108118B3"/>
    <w:rsid w:val="108160EB"/>
    <w:rsid w:val="10817E99"/>
    <w:rsid w:val="108230A5"/>
    <w:rsid w:val="10831E63"/>
    <w:rsid w:val="10853E2D"/>
    <w:rsid w:val="10872B54"/>
    <w:rsid w:val="1088747A"/>
    <w:rsid w:val="10897BD2"/>
    <w:rsid w:val="108A31F2"/>
    <w:rsid w:val="108C6F6A"/>
    <w:rsid w:val="108F6A5A"/>
    <w:rsid w:val="1092654A"/>
    <w:rsid w:val="10985249"/>
    <w:rsid w:val="10993435"/>
    <w:rsid w:val="109C7173"/>
    <w:rsid w:val="109D108C"/>
    <w:rsid w:val="109D1ACA"/>
    <w:rsid w:val="109F048E"/>
    <w:rsid w:val="109F6FE4"/>
    <w:rsid w:val="10A11BCB"/>
    <w:rsid w:val="10A122E9"/>
    <w:rsid w:val="10A5002C"/>
    <w:rsid w:val="10A73428"/>
    <w:rsid w:val="10A818CA"/>
    <w:rsid w:val="10A839CA"/>
    <w:rsid w:val="10AA5642"/>
    <w:rsid w:val="10AC24CC"/>
    <w:rsid w:val="10AD0C8E"/>
    <w:rsid w:val="10AF0EAA"/>
    <w:rsid w:val="10AF38A6"/>
    <w:rsid w:val="10AF4E6E"/>
    <w:rsid w:val="10B234E3"/>
    <w:rsid w:val="10B244F7"/>
    <w:rsid w:val="10B556B8"/>
    <w:rsid w:val="10B63710"/>
    <w:rsid w:val="10BB33AB"/>
    <w:rsid w:val="10BC7123"/>
    <w:rsid w:val="10BD6382"/>
    <w:rsid w:val="10BE733F"/>
    <w:rsid w:val="10BE7687"/>
    <w:rsid w:val="10C1060B"/>
    <w:rsid w:val="10C1473A"/>
    <w:rsid w:val="10C20BDE"/>
    <w:rsid w:val="10C21917"/>
    <w:rsid w:val="10C3028B"/>
    <w:rsid w:val="10C304B2"/>
    <w:rsid w:val="10C36704"/>
    <w:rsid w:val="10C50298"/>
    <w:rsid w:val="10C529A2"/>
    <w:rsid w:val="10C761F4"/>
    <w:rsid w:val="10C85AC8"/>
    <w:rsid w:val="10CA1840"/>
    <w:rsid w:val="10D10E21"/>
    <w:rsid w:val="10D27B32"/>
    <w:rsid w:val="10D34B99"/>
    <w:rsid w:val="10D75D0B"/>
    <w:rsid w:val="10D80401"/>
    <w:rsid w:val="10DF7048"/>
    <w:rsid w:val="10E87F18"/>
    <w:rsid w:val="10EB7251"/>
    <w:rsid w:val="10F10820"/>
    <w:rsid w:val="10F16DCD"/>
    <w:rsid w:val="10F20489"/>
    <w:rsid w:val="10F62635"/>
    <w:rsid w:val="10F77955"/>
    <w:rsid w:val="10F845FF"/>
    <w:rsid w:val="10F93FE9"/>
    <w:rsid w:val="10FB5E9E"/>
    <w:rsid w:val="10FB7C4C"/>
    <w:rsid w:val="10FC2F38"/>
    <w:rsid w:val="10FC50D0"/>
    <w:rsid w:val="10FC5772"/>
    <w:rsid w:val="10FD1C16"/>
    <w:rsid w:val="10FD39C4"/>
    <w:rsid w:val="10FF6CE8"/>
    <w:rsid w:val="110018B9"/>
    <w:rsid w:val="11005262"/>
    <w:rsid w:val="1102722C"/>
    <w:rsid w:val="11034D52"/>
    <w:rsid w:val="1106005F"/>
    <w:rsid w:val="11072A94"/>
    <w:rsid w:val="110E3C0C"/>
    <w:rsid w:val="110E3C53"/>
    <w:rsid w:val="110E3E23"/>
    <w:rsid w:val="110F1949"/>
    <w:rsid w:val="11113EA3"/>
    <w:rsid w:val="1111746F"/>
    <w:rsid w:val="11131439"/>
    <w:rsid w:val="11150F0E"/>
    <w:rsid w:val="11160F29"/>
    <w:rsid w:val="1118335A"/>
    <w:rsid w:val="111927C8"/>
    <w:rsid w:val="111A1AA3"/>
    <w:rsid w:val="111B365C"/>
    <w:rsid w:val="111C2F7A"/>
    <w:rsid w:val="111C6430"/>
    <w:rsid w:val="111D38A8"/>
    <w:rsid w:val="111D4066"/>
    <w:rsid w:val="111D5E14"/>
    <w:rsid w:val="111D7BC2"/>
    <w:rsid w:val="111E5A3E"/>
    <w:rsid w:val="111E768F"/>
    <w:rsid w:val="11220530"/>
    <w:rsid w:val="112278CE"/>
    <w:rsid w:val="11254CC9"/>
    <w:rsid w:val="112655D7"/>
    <w:rsid w:val="11274EE5"/>
    <w:rsid w:val="11276C93"/>
    <w:rsid w:val="11286567"/>
    <w:rsid w:val="112C42A9"/>
    <w:rsid w:val="112C7AF5"/>
    <w:rsid w:val="112E152D"/>
    <w:rsid w:val="112E6273"/>
    <w:rsid w:val="11303CFA"/>
    <w:rsid w:val="1132401F"/>
    <w:rsid w:val="11357601"/>
    <w:rsid w:val="11380EA0"/>
    <w:rsid w:val="11381971"/>
    <w:rsid w:val="113B44EC"/>
    <w:rsid w:val="113C0C99"/>
    <w:rsid w:val="113D0264"/>
    <w:rsid w:val="113F17F2"/>
    <w:rsid w:val="113F222E"/>
    <w:rsid w:val="11401B02"/>
    <w:rsid w:val="11424B3C"/>
    <w:rsid w:val="1142587A"/>
    <w:rsid w:val="11446B5C"/>
    <w:rsid w:val="11447845"/>
    <w:rsid w:val="1145536B"/>
    <w:rsid w:val="11457119"/>
    <w:rsid w:val="11477335"/>
    <w:rsid w:val="114809B7"/>
    <w:rsid w:val="114948FA"/>
    <w:rsid w:val="114A0BD3"/>
    <w:rsid w:val="114A472F"/>
    <w:rsid w:val="114B7350"/>
    <w:rsid w:val="114F7F97"/>
    <w:rsid w:val="11537A88"/>
    <w:rsid w:val="11551A52"/>
    <w:rsid w:val="11561326"/>
    <w:rsid w:val="115832F0"/>
    <w:rsid w:val="115846E1"/>
    <w:rsid w:val="11603F53"/>
    <w:rsid w:val="11621A79"/>
    <w:rsid w:val="11641C95"/>
    <w:rsid w:val="11665CA1"/>
    <w:rsid w:val="11667325"/>
    <w:rsid w:val="116752E1"/>
    <w:rsid w:val="11691059"/>
    <w:rsid w:val="11695CA6"/>
    <w:rsid w:val="11697680"/>
    <w:rsid w:val="116A6B7F"/>
    <w:rsid w:val="116E041E"/>
    <w:rsid w:val="116E2B13"/>
    <w:rsid w:val="116E7F05"/>
    <w:rsid w:val="1170203B"/>
    <w:rsid w:val="117143B2"/>
    <w:rsid w:val="11731ED8"/>
    <w:rsid w:val="117417AC"/>
    <w:rsid w:val="117444FA"/>
    <w:rsid w:val="11755C50"/>
    <w:rsid w:val="11765524"/>
    <w:rsid w:val="11797994"/>
    <w:rsid w:val="117A2F4F"/>
    <w:rsid w:val="117A5014"/>
    <w:rsid w:val="117B0D8C"/>
    <w:rsid w:val="117D2D56"/>
    <w:rsid w:val="117D4B05"/>
    <w:rsid w:val="117E2DB3"/>
    <w:rsid w:val="11803EC2"/>
    <w:rsid w:val="118045F5"/>
    <w:rsid w:val="1182036D"/>
    <w:rsid w:val="11843FEF"/>
    <w:rsid w:val="118934A9"/>
    <w:rsid w:val="118A0FD0"/>
    <w:rsid w:val="118C2F9A"/>
    <w:rsid w:val="118C4D48"/>
    <w:rsid w:val="118E6531"/>
    <w:rsid w:val="118E7C72"/>
    <w:rsid w:val="119079DF"/>
    <w:rsid w:val="11943BFC"/>
    <w:rsid w:val="11965BC6"/>
    <w:rsid w:val="1197432B"/>
    <w:rsid w:val="119836EC"/>
    <w:rsid w:val="11996748"/>
    <w:rsid w:val="119A56B6"/>
    <w:rsid w:val="119C142F"/>
    <w:rsid w:val="119F22D4"/>
    <w:rsid w:val="11A16A45"/>
    <w:rsid w:val="11A20D7E"/>
    <w:rsid w:val="11A2456B"/>
    <w:rsid w:val="11A402E3"/>
    <w:rsid w:val="11A55E09"/>
    <w:rsid w:val="11A93B4C"/>
    <w:rsid w:val="11A958FA"/>
    <w:rsid w:val="11A976A8"/>
    <w:rsid w:val="11AB78C4"/>
    <w:rsid w:val="11AE167B"/>
    <w:rsid w:val="11AE6F8F"/>
    <w:rsid w:val="11B00A36"/>
    <w:rsid w:val="11B03C20"/>
    <w:rsid w:val="11B04EDA"/>
    <w:rsid w:val="11B30526"/>
    <w:rsid w:val="11B3592C"/>
    <w:rsid w:val="11B52E1D"/>
    <w:rsid w:val="11B5429E"/>
    <w:rsid w:val="11B76E7E"/>
    <w:rsid w:val="11BA18B5"/>
    <w:rsid w:val="11BF6ECB"/>
    <w:rsid w:val="11BF7B52"/>
    <w:rsid w:val="11C269BB"/>
    <w:rsid w:val="11C444E1"/>
    <w:rsid w:val="11C4717C"/>
    <w:rsid w:val="11C6025A"/>
    <w:rsid w:val="11C646FD"/>
    <w:rsid w:val="11C664AC"/>
    <w:rsid w:val="11C95F9C"/>
    <w:rsid w:val="11C97D4A"/>
    <w:rsid w:val="11CB5043"/>
    <w:rsid w:val="11CC15E8"/>
    <w:rsid w:val="11CE5360"/>
    <w:rsid w:val="11CE710E"/>
    <w:rsid w:val="11D16BFE"/>
    <w:rsid w:val="11D31D5B"/>
    <w:rsid w:val="11D33E44"/>
    <w:rsid w:val="11D4369E"/>
    <w:rsid w:val="11D4566E"/>
    <w:rsid w:val="11D5049D"/>
    <w:rsid w:val="11D71B17"/>
    <w:rsid w:val="11D81D3B"/>
    <w:rsid w:val="11DA1F57"/>
    <w:rsid w:val="11DA6987"/>
    <w:rsid w:val="11DB0E46"/>
    <w:rsid w:val="11DF756D"/>
    <w:rsid w:val="11E132E5"/>
    <w:rsid w:val="11E3705D"/>
    <w:rsid w:val="11E44B84"/>
    <w:rsid w:val="11E46FC8"/>
    <w:rsid w:val="11E6338C"/>
    <w:rsid w:val="11E701D0"/>
    <w:rsid w:val="11E7481C"/>
    <w:rsid w:val="11E84674"/>
    <w:rsid w:val="11E903EC"/>
    <w:rsid w:val="11E9219A"/>
    <w:rsid w:val="11E93F48"/>
    <w:rsid w:val="11E95B1F"/>
    <w:rsid w:val="11EB5F12"/>
    <w:rsid w:val="11EC57E6"/>
    <w:rsid w:val="11ED692D"/>
    <w:rsid w:val="11ED6F4D"/>
    <w:rsid w:val="11EE09E7"/>
    <w:rsid w:val="11EE155E"/>
    <w:rsid w:val="11F12DFD"/>
    <w:rsid w:val="11F7046C"/>
    <w:rsid w:val="11F76665"/>
    <w:rsid w:val="11F93B8B"/>
    <w:rsid w:val="11FA43A7"/>
    <w:rsid w:val="11FA7F03"/>
    <w:rsid w:val="11FC3C7B"/>
    <w:rsid w:val="11FD79F3"/>
    <w:rsid w:val="11FF2F15"/>
    <w:rsid w:val="12015736"/>
    <w:rsid w:val="12062D4C"/>
    <w:rsid w:val="120636E8"/>
    <w:rsid w:val="12064AFA"/>
    <w:rsid w:val="120B2110"/>
    <w:rsid w:val="120E1C01"/>
    <w:rsid w:val="120E7E53"/>
    <w:rsid w:val="121073DE"/>
    <w:rsid w:val="1211524D"/>
    <w:rsid w:val="12125501"/>
    <w:rsid w:val="1215574E"/>
    <w:rsid w:val="12160ED2"/>
    <w:rsid w:val="1218482D"/>
    <w:rsid w:val="121A2353"/>
    <w:rsid w:val="121A40C0"/>
    <w:rsid w:val="121C60CC"/>
    <w:rsid w:val="121E0096"/>
    <w:rsid w:val="121E094C"/>
    <w:rsid w:val="121F796A"/>
    <w:rsid w:val="122038A7"/>
    <w:rsid w:val="12241424"/>
    <w:rsid w:val="12246685"/>
    <w:rsid w:val="12260CF8"/>
    <w:rsid w:val="12263756"/>
    <w:rsid w:val="1226748D"/>
    <w:rsid w:val="12271CAF"/>
    <w:rsid w:val="12274A70"/>
    <w:rsid w:val="12280E57"/>
    <w:rsid w:val="122907E8"/>
    <w:rsid w:val="12296A3A"/>
    <w:rsid w:val="122A4C8C"/>
    <w:rsid w:val="122D02D9"/>
    <w:rsid w:val="122D652B"/>
    <w:rsid w:val="122F07E2"/>
    <w:rsid w:val="12303925"/>
    <w:rsid w:val="1230601B"/>
    <w:rsid w:val="1232769D"/>
    <w:rsid w:val="12353631"/>
    <w:rsid w:val="123B5C73"/>
    <w:rsid w:val="123E7BB4"/>
    <w:rsid w:val="123F499D"/>
    <w:rsid w:val="12437AFC"/>
    <w:rsid w:val="12445B3A"/>
    <w:rsid w:val="124479FA"/>
    <w:rsid w:val="12463148"/>
    <w:rsid w:val="12477B58"/>
    <w:rsid w:val="12492C39"/>
    <w:rsid w:val="124A70DD"/>
    <w:rsid w:val="124D2729"/>
    <w:rsid w:val="124E5235"/>
    <w:rsid w:val="124F46F3"/>
    <w:rsid w:val="12525F91"/>
    <w:rsid w:val="12530A8A"/>
    <w:rsid w:val="125735A8"/>
    <w:rsid w:val="12583BA5"/>
    <w:rsid w:val="125A3098"/>
    <w:rsid w:val="125C0BBE"/>
    <w:rsid w:val="125D38B0"/>
    <w:rsid w:val="125E4936"/>
    <w:rsid w:val="125E66E4"/>
    <w:rsid w:val="125F420A"/>
    <w:rsid w:val="126006AE"/>
    <w:rsid w:val="126632CE"/>
    <w:rsid w:val="12681311"/>
    <w:rsid w:val="12687563"/>
    <w:rsid w:val="12693C2C"/>
    <w:rsid w:val="12696E37"/>
    <w:rsid w:val="126B0108"/>
    <w:rsid w:val="126B0E01"/>
    <w:rsid w:val="127001C5"/>
    <w:rsid w:val="12744159"/>
    <w:rsid w:val="12751495"/>
    <w:rsid w:val="12765E44"/>
    <w:rsid w:val="127736F8"/>
    <w:rsid w:val="12781557"/>
    <w:rsid w:val="1279000D"/>
    <w:rsid w:val="12791770"/>
    <w:rsid w:val="127B3AC4"/>
    <w:rsid w:val="127C6B6A"/>
    <w:rsid w:val="127D1368"/>
    <w:rsid w:val="127E6D86"/>
    <w:rsid w:val="12802AFE"/>
    <w:rsid w:val="12810624"/>
    <w:rsid w:val="128351DA"/>
    <w:rsid w:val="128422A5"/>
    <w:rsid w:val="12843C71"/>
    <w:rsid w:val="12865C3B"/>
    <w:rsid w:val="128679E9"/>
    <w:rsid w:val="12883761"/>
    <w:rsid w:val="12887C05"/>
    <w:rsid w:val="128A5ECC"/>
    <w:rsid w:val="128A65A2"/>
    <w:rsid w:val="128A74D9"/>
    <w:rsid w:val="128B14A3"/>
    <w:rsid w:val="128B71FD"/>
    <w:rsid w:val="128E689D"/>
    <w:rsid w:val="12953A0A"/>
    <w:rsid w:val="12957C2C"/>
    <w:rsid w:val="12971BF6"/>
    <w:rsid w:val="12977E48"/>
    <w:rsid w:val="12993BC0"/>
    <w:rsid w:val="129B1196"/>
    <w:rsid w:val="129B7938"/>
    <w:rsid w:val="129C720C"/>
    <w:rsid w:val="129F11AB"/>
    <w:rsid w:val="12A04F4F"/>
    <w:rsid w:val="12A13C64"/>
    <w:rsid w:val="12A20B21"/>
    <w:rsid w:val="12A3059B"/>
    <w:rsid w:val="12A32349"/>
    <w:rsid w:val="12A44512"/>
    <w:rsid w:val="12A5526C"/>
    <w:rsid w:val="12A559A2"/>
    <w:rsid w:val="12A63A7D"/>
    <w:rsid w:val="12A83E03"/>
    <w:rsid w:val="12AA7B7B"/>
    <w:rsid w:val="12AB56A1"/>
    <w:rsid w:val="12AD766B"/>
    <w:rsid w:val="12AF6F40"/>
    <w:rsid w:val="12B10F0A"/>
    <w:rsid w:val="12B16B16"/>
    <w:rsid w:val="12B216E7"/>
    <w:rsid w:val="12B32FBA"/>
    <w:rsid w:val="12B502CE"/>
    <w:rsid w:val="12B7593A"/>
    <w:rsid w:val="12B91E83"/>
    <w:rsid w:val="12B95ECA"/>
    <w:rsid w:val="12B97DBE"/>
    <w:rsid w:val="12BB03C6"/>
    <w:rsid w:val="12BB419F"/>
    <w:rsid w:val="12BC2D6B"/>
    <w:rsid w:val="12BC536A"/>
    <w:rsid w:val="12BE3627"/>
    <w:rsid w:val="12BE7183"/>
    <w:rsid w:val="12BE76D1"/>
    <w:rsid w:val="12C13A3A"/>
    <w:rsid w:val="12C549B5"/>
    <w:rsid w:val="12C5641C"/>
    <w:rsid w:val="12C60FED"/>
    <w:rsid w:val="12C64289"/>
    <w:rsid w:val="12C9796E"/>
    <w:rsid w:val="12CF313E"/>
    <w:rsid w:val="12D0549C"/>
    <w:rsid w:val="12D06EB6"/>
    <w:rsid w:val="12D1335A"/>
    <w:rsid w:val="12D13AA1"/>
    <w:rsid w:val="12D30A20"/>
    <w:rsid w:val="12D60970"/>
    <w:rsid w:val="12D70244"/>
    <w:rsid w:val="12D746E8"/>
    <w:rsid w:val="12DB5F87"/>
    <w:rsid w:val="12DC585B"/>
    <w:rsid w:val="12DE15D3"/>
    <w:rsid w:val="12DE681A"/>
    <w:rsid w:val="12DF6FC3"/>
    <w:rsid w:val="12E157D5"/>
    <w:rsid w:val="12E666D9"/>
    <w:rsid w:val="12E66E96"/>
    <w:rsid w:val="12E7492B"/>
    <w:rsid w:val="12E806A4"/>
    <w:rsid w:val="12E822AF"/>
    <w:rsid w:val="12E84200"/>
    <w:rsid w:val="12E96B81"/>
    <w:rsid w:val="12EB53B3"/>
    <w:rsid w:val="12EC1F42"/>
    <w:rsid w:val="12EE2E8A"/>
    <w:rsid w:val="12EE791C"/>
    <w:rsid w:val="12EF558E"/>
    <w:rsid w:val="12F26E2C"/>
    <w:rsid w:val="12F30E25"/>
    <w:rsid w:val="12F32620"/>
    <w:rsid w:val="12F47048"/>
    <w:rsid w:val="12F62DC0"/>
    <w:rsid w:val="12F74CC5"/>
    <w:rsid w:val="12FB7C2C"/>
    <w:rsid w:val="12FC7A39"/>
    <w:rsid w:val="12FD2134"/>
    <w:rsid w:val="12FD2A3C"/>
    <w:rsid w:val="12FE7EC7"/>
    <w:rsid w:val="13001549"/>
    <w:rsid w:val="130059ED"/>
    <w:rsid w:val="1303403E"/>
    <w:rsid w:val="13054DB2"/>
    <w:rsid w:val="13060E45"/>
    <w:rsid w:val="130628D8"/>
    <w:rsid w:val="13072302"/>
    <w:rsid w:val="13077C95"/>
    <w:rsid w:val="130848A2"/>
    <w:rsid w:val="130B12A4"/>
    <w:rsid w:val="130B4B50"/>
    <w:rsid w:val="130B5D77"/>
    <w:rsid w:val="130B7EEE"/>
    <w:rsid w:val="130C5FE0"/>
    <w:rsid w:val="130C6140"/>
    <w:rsid w:val="131119A8"/>
    <w:rsid w:val="13137464"/>
    <w:rsid w:val="13141F14"/>
    <w:rsid w:val="13176A48"/>
    <w:rsid w:val="13180F89"/>
    <w:rsid w:val="13191D25"/>
    <w:rsid w:val="1319260B"/>
    <w:rsid w:val="131B2827"/>
    <w:rsid w:val="131B45D5"/>
    <w:rsid w:val="131C20FB"/>
    <w:rsid w:val="131C7166"/>
    <w:rsid w:val="131D484C"/>
    <w:rsid w:val="131E1159"/>
    <w:rsid w:val="131E7C21"/>
    <w:rsid w:val="13217712"/>
    <w:rsid w:val="1324792E"/>
    <w:rsid w:val="13257202"/>
    <w:rsid w:val="132711CC"/>
    <w:rsid w:val="13286CF2"/>
    <w:rsid w:val="13290955"/>
    <w:rsid w:val="132966A1"/>
    <w:rsid w:val="132C233E"/>
    <w:rsid w:val="132C67E2"/>
    <w:rsid w:val="132F1E2E"/>
    <w:rsid w:val="1331204B"/>
    <w:rsid w:val="133236CD"/>
    <w:rsid w:val="133438E9"/>
    <w:rsid w:val="13347445"/>
    <w:rsid w:val="13353210"/>
    <w:rsid w:val="133833D9"/>
    <w:rsid w:val="13392385"/>
    <w:rsid w:val="13394A5B"/>
    <w:rsid w:val="133C50B1"/>
    <w:rsid w:val="133D279D"/>
    <w:rsid w:val="133E63BF"/>
    <w:rsid w:val="133E6515"/>
    <w:rsid w:val="13420660"/>
    <w:rsid w:val="13434E27"/>
    <w:rsid w:val="13446299"/>
    <w:rsid w:val="134578A4"/>
    <w:rsid w:val="13463021"/>
    <w:rsid w:val="134925B4"/>
    <w:rsid w:val="134A310C"/>
    <w:rsid w:val="134C0C32"/>
    <w:rsid w:val="134D114A"/>
    <w:rsid w:val="1350413D"/>
    <w:rsid w:val="135247DB"/>
    <w:rsid w:val="13525B1D"/>
    <w:rsid w:val="13530945"/>
    <w:rsid w:val="1356560D"/>
    <w:rsid w:val="135740C5"/>
    <w:rsid w:val="13575115"/>
    <w:rsid w:val="13580BCE"/>
    <w:rsid w:val="135A334F"/>
    <w:rsid w:val="135B0E75"/>
    <w:rsid w:val="135C5B39"/>
    <w:rsid w:val="135D4BEE"/>
    <w:rsid w:val="136044BA"/>
    <w:rsid w:val="13620456"/>
    <w:rsid w:val="13622204"/>
    <w:rsid w:val="1363203D"/>
    <w:rsid w:val="13637D2A"/>
    <w:rsid w:val="13641B1C"/>
    <w:rsid w:val="136442CB"/>
    <w:rsid w:val="13653AA2"/>
    <w:rsid w:val="13662F80"/>
    <w:rsid w:val="136917E4"/>
    <w:rsid w:val="136A2E67"/>
    <w:rsid w:val="136D14EF"/>
    <w:rsid w:val="136F66CF"/>
    <w:rsid w:val="13702B73"/>
    <w:rsid w:val="13710699"/>
    <w:rsid w:val="13734411"/>
    <w:rsid w:val="13746DA8"/>
    <w:rsid w:val="13750189"/>
    <w:rsid w:val="13765CAF"/>
    <w:rsid w:val="1379754E"/>
    <w:rsid w:val="137B0804"/>
    <w:rsid w:val="137B5074"/>
    <w:rsid w:val="137D0DEC"/>
    <w:rsid w:val="1380268A"/>
    <w:rsid w:val="13804361"/>
    <w:rsid w:val="13824654"/>
    <w:rsid w:val="138403CC"/>
    <w:rsid w:val="13857617"/>
    <w:rsid w:val="13877EBC"/>
    <w:rsid w:val="1389525F"/>
    <w:rsid w:val="138959E3"/>
    <w:rsid w:val="138A175B"/>
    <w:rsid w:val="138A52B7"/>
    <w:rsid w:val="138C2C9D"/>
    <w:rsid w:val="138F09C8"/>
    <w:rsid w:val="13911FAA"/>
    <w:rsid w:val="13912AE9"/>
    <w:rsid w:val="13916645"/>
    <w:rsid w:val="13936861"/>
    <w:rsid w:val="13946135"/>
    <w:rsid w:val="13951726"/>
    <w:rsid w:val="13954387"/>
    <w:rsid w:val="13964589"/>
    <w:rsid w:val="1396715A"/>
    <w:rsid w:val="139879D4"/>
    <w:rsid w:val="139A199E"/>
    <w:rsid w:val="139B3968"/>
    <w:rsid w:val="139B5716"/>
    <w:rsid w:val="139F6FB4"/>
    <w:rsid w:val="13A02D2C"/>
    <w:rsid w:val="13A35C89"/>
    <w:rsid w:val="13A66595"/>
    <w:rsid w:val="13A670CA"/>
    <w:rsid w:val="13A71DEB"/>
    <w:rsid w:val="13A91BE1"/>
    <w:rsid w:val="13AB6AFA"/>
    <w:rsid w:val="13AE0697"/>
    <w:rsid w:val="13AE2795"/>
    <w:rsid w:val="13AE53E1"/>
    <w:rsid w:val="13B10A95"/>
    <w:rsid w:val="13B567D8"/>
    <w:rsid w:val="13B642FE"/>
    <w:rsid w:val="13B660AC"/>
    <w:rsid w:val="13B80076"/>
    <w:rsid w:val="13B81E24"/>
    <w:rsid w:val="13BB1914"/>
    <w:rsid w:val="13BB36C2"/>
    <w:rsid w:val="13BD38DE"/>
    <w:rsid w:val="13BD568C"/>
    <w:rsid w:val="13C06F2A"/>
    <w:rsid w:val="13C22CA3"/>
    <w:rsid w:val="13C50F53"/>
    <w:rsid w:val="13C95DDF"/>
    <w:rsid w:val="13CA1B57"/>
    <w:rsid w:val="13CC3BAA"/>
    <w:rsid w:val="13CF716E"/>
    <w:rsid w:val="13D03611"/>
    <w:rsid w:val="13D12EE6"/>
    <w:rsid w:val="13D15990"/>
    <w:rsid w:val="13D1738A"/>
    <w:rsid w:val="13D3452B"/>
    <w:rsid w:val="13D36C5E"/>
    <w:rsid w:val="13D46914"/>
    <w:rsid w:val="13D50C28"/>
    <w:rsid w:val="13D604FC"/>
    <w:rsid w:val="13D61558"/>
    <w:rsid w:val="13D72E2E"/>
    <w:rsid w:val="13D83CF6"/>
    <w:rsid w:val="13DB5B12"/>
    <w:rsid w:val="13DC1FB6"/>
    <w:rsid w:val="13DD5D2E"/>
    <w:rsid w:val="13DD7ADC"/>
    <w:rsid w:val="13DE2AA7"/>
    <w:rsid w:val="13E477CD"/>
    <w:rsid w:val="13E62E35"/>
    <w:rsid w:val="13E6366A"/>
    <w:rsid w:val="13E7095B"/>
    <w:rsid w:val="13E744B7"/>
    <w:rsid w:val="13E76168"/>
    <w:rsid w:val="13E76BAD"/>
    <w:rsid w:val="13E9022F"/>
    <w:rsid w:val="13E96481"/>
    <w:rsid w:val="13EA1322"/>
    <w:rsid w:val="13EB044B"/>
    <w:rsid w:val="13EB607D"/>
    <w:rsid w:val="13EC5383"/>
    <w:rsid w:val="13ED1A3D"/>
    <w:rsid w:val="13F015BE"/>
    <w:rsid w:val="13F434BA"/>
    <w:rsid w:val="13F516F2"/>
    <w:rsid w:val="13F54E26"/>
    <w:rsid w:val="13F66BCE"/>
    <w:rsid w:val="13FA68E0"/>
    <w:rsid w:val="13FB7F63"/>
    <w:rsid w:val="13FC61B5"/>
    <w:rsid w:val="13FD017F"/>
    <w:rsid w:val="13FD3CDB"/>
    <w:rsid w:val="13FF7A53"/>
    <w:rsid w:val="140164DF"/>
    <w:rsid w:val="14025795"/>
    <w:rsid w:val="140432BB"/>
    <w:rsid w:val="14045069"/>
    <w:rsid w:val="14096B23"/>
    <w:rsid w:val="140B4870"/>
    <w:rsid w:val="140D6614"/>
    <w:rsid w:val="140E413A"/>
    <w:rsid w:val="140E7C96"/>
    <w:rsid w:val="140F32ED"/>
    <w:rsid w:val="14101C60"/>
    <w:rsid w:val="14103A0E"/>
    <w:rsid w:val="14107EB2"/>
    <w:rsid w:val="14123C2A"/>
    <w:rsid w:val="141334FE"/>
    <w:rsid w:val="14135229"/>
    <w:rsid w:val="14151126"/>
    <w:rsid w:val="14172FEE"/>
    <w:rsid w:val="14196F70"/>
    <w:rsid w:val="141A2ADF"/>
    <w:rsid w:val="141C2D20"/>
    <w:rsid w:val="141D437D"/>
    <w:rsid w:val="141F00F5"/>
    <w:rsid w:val="141F1EA3"/>
    <w:rsid w:val="141F3896"/>
    <w:rsid w:val="141F6AD0"/>
    <w:rsid w:val="14212297"/>
    <w:rsid w:val="14215C1B"/>
    <w:rsid w:val="14221993"/>
    <w:rsid w:val="14223741"/>
    <w:rsid w:val="1423579A"/>
    <w:rsid w:val="1424395D"/>
    <w:rsid w:val="1425577D"/>
    <w:rsid w:val="14264FE0"/>
    <w:rsid w:val="14282373"/>
    <w:rsid w:val="14292D22"/>
    <w:rsid w:val="14294AD0"/>
    <w:rsid w:val="142A3112"/>
    <w:rsid w:val="142B2BA6"/>
    <w:rsid w:val="142E20E6"/>
    <w:rsid w:val="14305E5E"/>
    <w:rsid w:val="14307B9A"/>
    <w:rsid w:val="14321BD6"/>
    <w:rsid w:val="14330A14"/>
    <w:rsid w:val="14382F65"/>
    <w:rsid w:val="14396509"/>
    <w:rsid w:val="143C4E2A"/>
    <w:rsid w:val="143C5C8D"/>
    <w:rsid w:val="143F0797"/>
    <w:rsid w:val="143F42F3"/>
    <w:rsid w:val="143F60A1"/>
    <w:rsid w:val="1441006B"/>
    <w:rsid w:val="14445DAD"/>
    <w:rsid w:val="144578B8"/>
    <w:rsid w:val="14465682"/>
    <w:rsid w:val="14467430"/>
    <w:rsid w:val="144733D0"/>
    <w:rsid w:val="14480E52"/>
    <w:rsid w:val="144D6A10"/>
    <w:rsid w:val="144E4536"/>
    <w:rsid w:val="144F0249"/>
    <w:rsid w:val="145002AE"/>
    <w:rsid w:val="14515DD5"/>
    <w:rsid w:val="14537D9F"/>
    <w:rsid w:val="14551D69"/>
    <w:rsid w:val="1457163D"/>
    <w:rsid w:val="145853B5"/>
    <w:rsid w:val="145A2EDB"/>
    <w:rsid w:val="145A7877"/>
    <w:rsid w:val="145E6E6F"/>
    <w:rsid w:val="145F3718"/>
    <w:rsid w:val="146124BC"/>
    <w:rsid w:val="1461426A"/>
    <w:rsid w:val="14657626"/>
    <w:rsid w:val="14667AD2"/>
    <w:rsid w:val="14694C0A"/>
    <w:rsid w:val="146975C2"/>
    <w:rsid w:val="146B50D7"/>
    <w:rsid w:val="146C3F15"/>
    <w:rsid w:val="146C638E"/>
    <w:rsid w:val="146E4BD8"/>
    <w:rsid w:val="14700951"/>
    <w:rsid w:val="1470445D"/>
    <w:rsid w:val="1473140B"/>
    <w:rsid w:val="147666E5"/>
    <w:rsid w:val="14773A8D"/>
    <w:rsid w:val="14780BF1"/>
    <w:rsid w:val="14787805"/>
    <w:rsid w:val="147C5E29"/>
    <w:rsid w:val="147E306D"/>
    <w:rsid w:val="147F49DD"/>
    <w:rsid w:val="1481490C"/>
    <w:rsid w:val="14830684"/>
    <w:rsid w:val="148443FC"/>
    <w:rsid w:val="14866E4C"/>
    <w:rsid w:val="14882BFE"/>
    <w:rsid w:val="148855E3"/>
    <w:rsid w:val="14887A48"/>
    <w:rsid w:val="14891DA1"/>
    <w:rsid w:val="148937C0"/>
    <w:rsid w:val="148A5358"/>
    <w:rsid w:val="148B578A"/>
    <w:rsid w:val="148E0DD7"/>
    <w:rsid w:val="148E3042"/>
    <w:rsid w:val="148F7029"/>
    <w:rsid w:val="14904B4F"/>
    <w:rsid w:val="149213D7"/>
    <w:rsid w:val="149312D1"/>
    <w:rsid w:val="149411FE"/>
    <w:rsid w:val="14950274"/>
    <w:rsid w:val="149503B7"/>
    <w:rsid w:val="1497412F"/>
    <w:rsid w:val="14975EDD"/>
    <w:rsid w:val="14997EA7"/>
    <w:rsid w:val="149A3C1F"/>
    <w:rsid w:val="149C7998"/>
    <w:rsid w:val="149D101A"/>
    <w:rsid w:val="149D20BA"/>
    <w:rsid w:val="14A30D26"/>
    <w:rsid w:val="14A32AD4"/>
    <w:rsid w:val="14A47EE9"/>
    <w:rsid w:val="14A979BF"/>
    <w:rsid w:val="14AB7030"/>
    <w:rsid w:val="14B13EF6"/>
    <w:rsid w:val="14B163DC"/>
    <w:rsid w:val="14B20F69"/>
    <w:rsid w:val="14B46A8F"/>
    <w:rsid w:val="14B561ED"/>
    <w:rsid w:val="14B720DC"/>
    <w:rsid w:val="14BC76F2"/>
    <w:rsid w:val="14BE696E"/>
    <w:rsid w:val="14BE6AE4"/>
    <w:rsid w:val="14BE7550"/>
    <w:rsid w:val="14BE790E"/>
    <w:rsid w:val="14C03686"/>
    <w:rsid w:val="14C06283"/>
    <w:rsid w:val="14C111AC"/>
    <w:rsid w:val="14C33176"/>
    <w:rsid w:val="14C34F24"/>
    <w:rsid w:val="14C64A14"/>
    <w:rsid w:val="14C760EC"/>
    <w:rsid w:val="14C8253B"/>
    <w:rsid w:val="14C831D3"/>
    <w:rsid w:val="14CA0061"/>
    <w:rsid w:val="14CC5FCE"/>
    <w:rsid w:val="14CE7001"/>
    <w:rsid w:val="14CF1B1B"/>
    <w:rsid w:val="14CF5677"/>
    <w:rsid w:val="14D013EF"/>
    <w:rsid w:val="14D02BF1"/>
    <w:rsid w:val="14D0319D"/>
    <w:rsid w:val="14D07641"/>
    <w:rsid w:val="14D20DB6"/>
    <w:rsid w:val="14D273DE"/>
    <w:rsid w:val="14D40957"/>
    <w:rsid w:val="14D507B4"/>
    <w:rsid w:val="14D64C58"/>
    <w:rsid w:val="14DB04C0"/>
    <w:rsid w:val="14DC1B42"/>
    <w:rsid w:val="14DC7969"/>
    <w:rsid w:val="14DD2C3C"/>
    <w:rsid w:val="14DD3F69"/>
    <w:rsid w:val="14DD6A07"/>
    <w:rsid w:val="14DF1632"/>
    <w:rsid w:val="14E01782"/>
    <w:rsid w:val="14E153AA"/>
    <w:rsid w:val="14E47DD6"/>
    <w:rsid w:val="14E632DA"/>
    <w:rsid w:val="14E77C28"/>
    <w:rsid w:val="14E86739"/>
    <w:rsid w:val="14EB1960"/>
    <w:rsid w:val="14EB6229"/>
    <w:rsid w:val="14EC0E8D"/>
    <w:rsid w:val="14EC447B"/>
    <w:rsid w:val="14ED1FA1"/>
    <w:rsid w:val="14F267F7"/>
    <w:rsid w:val="14F52BC9"/>
    <w:rsid w:val="14F52C04"/>
    <w:rsid w:val="14F6506F"/>
    <w:rsid w:val="14F926F4"/>
    <w:rsid w:val="14FA39C1"/>
    <w:rsid w:val="14FD3553"/>
    <w:rsid w:val="14FF1323"/>
    <w:rsid w:val="15001ED4"/>
    <w:rsid w:val="15015A4D"/>
    <w:rsid w:val="15022918"/>
    <w:rsid w:val="15035C84"/>
    <w:rsid w:val="150505A4"/>
    <w:rsid w:val="150A4901"/>
    <w:rsid w:val="150F3CC6"/>
    <w:rsid w:val="15116D85"/>
    <w:rsid w:val="151632A6"/>
    <w:rsid w:val="15194B44"/>
    <w:rsid w:val="151A266A"/>
    <w:rsid w:val="151B4D60"/>
    <w:rsid w:val="151D418A"/>
    <w:rsid w:val="151E65FF"/>
    <w:rsid w:val="15204125"/>
    <w:rsid w:val="15205ED3"/>
    <w:rsid w:val="152139F9"/>
    <w:rsid w:val="152143B8"/>
    <w:rsid w:val="15237771"/>
    <w:rsid w:val="15242859"/>
    <w:rsid w:val="15247E6E"/>
    <w:rsid w:val="152534E9"/>
    <w:rsid w:val="15254FBD"/>
    <w:rsid w:val="15263C6C"/>
    <w:rsid w:val="1528061B"/>
    <w:rsid w:val="15282FD9"/>
    <w:rsid w:val="152A4FA3"/>
    <w:rsid w:val="152D239E"/>
    <w:rsid w:val="152D6842"/>
    <w:rsid w:val="152F25BA"/>
    <w:rsid w:val="152F3C74"/>
    <w:rsid w:val="153100E0"/>
    <w:rsid w:val="15311E8E"/>
    <w:rsid w:val="15316332"/>
    <w:rsid w:val="15345415"/>
    <w:rsid w:val="15353059"/>
    <w:rsid w:val="153951E6"/>
    <w:rsid w:val="153A427C"/>
    <w:rsid w:val="153B4ABB"/>
    <w:rsid w:val="153E117F"/>
    <w:rsid w:val="153F3306"/>
    <w:rsid w:val="1540013C"/>
    <w:rsid w:val="15400323"/>
    <w:rsid w:val="15406E6B"/>
    <w:rsid w:val="15414268"/>
    <w:rsid w:val="15464C6D"/>
    <w:rsid w:val="1548367B"/>
    <w:rsid w:val="154A11A2"/>
    <w:rsid w:val="154A2F50"/>
    <w:rsid w:val="154C316C"/>
    <w:rsid w:val="154C6CC8"/>
    <w:rsid w:val="154E32C4"/>
    <w:rsid w:val="15512530"/>
    <w:rsid w:val="15520875"/>
    <w:rsid w:val="15525368"/>
    <w:rsid w:val="15532C0C"/>
    <w:rsid w:val="155913E5"/>
    <w:rsid w:val="15593193"/>
    <w:rsid w:val="15595889"/>
    <w:rsid w:val="155B33AF"/>
    <w:rsid w:val="155C2C83"/>
    <w:rsid w:val="155E4D63"/>
    <w:rsid w:val="155F39A2"/>
    <w:rsid w:val="1560191E"/>
    <w:rsid w:val="15603DFF"/>
    <w:rsid w:val="156264EB"/>
    <w:rsid w:val="15634011"/>
    <w:rsid w:val="15655FDB"/>
    <w:rsid w:val="15657D89"/>
    <w:rsid w:val="156A1844"/>
    <w:rsid w:val="156A222E"/>
    <w:rsid w:val="156A35F2"/>
    <w:rsid w:val="156A62C2"/>
    <w:rsid w:val="156B7CAF"/>
    <w:rsid w:val="156C736A"/>
    <w:rsid w:val="156F7D8D"/>
    <w:rsid w:val="15744470"/>
    <w:rsid w:val="157533D5"/>
    <w:rsid w:val="15760CCD"/>
    <w:rsid w:val="15761F97"/>
    <w:rsid w:val="15765350"/>
    <w:rsid w:val="15786FC5"/>
    <w:rsid w:val="15791A87"/>
    <w:rsid w:val="15795655"/>
    <w:rsid w:val="157A5D4B"/>
    <w:rsid w:val="157B5BDA"/>
    <w:rsid w:val="157C272D"/>
    <w:rsid w:val="157E709D"/>
    <w:rsid w:val="15802E15"/>
    <w:rsid w:val="1582093B"/>
    <w:rsid w:val="15826B8D"/>
    <w:rsid w:val="15836462"/>
    <w:rsid w:val="15842905"/>
    <w:rsid w:val="1585667E"/>
    <w:rsid w:val="158A5A42"/>
    <w:rsid w:val="158C17BA"/>
    <w:rsid w:val="158C3568"/>
    <w:rsid w:val="158C5316"/>
    <w:rsid w:val="15907944"/>
    <w:rsid w:val="15910B7E"/>
    <w:rsid w:val="1593009E"/>
    <w:rsid w:val="159348F7"/>
    <w:rsid w:val="159468C1"/>
    <w:rsid w:val="15992D7D"/>
    <w:rsid w:val="15997A33"/>
    <w:rsid w:val="159B3B44"/>
    <w:rsid w:val="159B421A"/>
    <w:rsid w:val="159B437C"/>
    <w:rsid w:val="159D39C7"/>
    <w:rsid w:val="159D6C30"/>
    <w:rsid w:val="159F6110"/>
    <w:rsid w:val="15A05265"/>
    <w:rsid w:val="15A06875"/>
    <w:rsid w:val="15A44A6F"/>
    <w:rsid w:val="15A4645F"/>
    <w:rsid w:val="15A5462A"/>
    <w:rsid w:val="15A62EDD"/>
    <w:rsid w:val="15A703A2"/>
    <w:rsid w:val="15A87015"/>
    <w:rsid w:val="15A93B93"/>
    <w:rsid w:val="15AA1C40"/>
    <w:rsid w:val="15AA7E92"/>
    <w:rsid w:val="15AB60E4"/>
    <w:rsid w:val="15AD3AF4"/>
    <w:rsid w:val="15AE34DE"/>
    <w:rsid w:val="15B36D47"/>
    <w:rsid w:val="15B4486D"/>
    <w:rsid w:val="15B50D11"/>
    <w:rsid w:val="15B71DCB"/>
    <w:rsid w:val="15B8610B"/>
    <w:rsid w:val="15B91E83"/>
    <w:rsid w:val="15BA5E1A"/>
    <w:rsid w:val="15BD5E17"/>
    <w:rsid w:val="15BF56EC"/>
    <w:rsid w:val="15C03212"/>
    <w:rsid w:val="15C52F2D"/>
    <w:rsid w:val="15C90547"/>
    <w:rsid w:val="15C9656A"/>
    <w:rsid w:val="15CA2D3E"/>
    <w:rsid w:val="15CA4090"/>
    <w:rsid w:val="15CB0717"/>
    <w:rsid w:val="15CC022F"/>
    <w:rsid w:val="15CC0A8F"/>
    <w:rsid w:val="15CD7A9E"/>
    <w:rsid w:val="15D078F9"/>
    <w:rsid w:val="15D1541F"/>
    <w:rsid w:val="15D32F45"/>
    <w:rsid w:val="15D54F0F"/>
    <w:rsid w:val="15DA0777"/>
    <w:rsid w:val="15DA2525"/>
    <w:rsid w:val="15DF5D8E"/>
    <w:rsid w:val="15DF6E90"/>
    <w:rsid w:val="15DF7B3C"/>
    <w:rsid w:val="15E038B4"/>
    <w:rsid w:val="15E05662"/>
    <w:rsid w:val="15E321B7"/>
    <w:rsid w:val="15E433A4"/>
    <w:rsid w:val="15E46F00"/>
    <w:rsid w:val="15E52CE0"/>
    <w:rsid w:val="15E72E94"/>
    <w:rsid w:val="15E77E4F"/>
    <w:rsid w:val="15E92769"/>
    <w:rsid w:val="15E93E01"/>
    <w:rsid w:val="15E96C0C"/>
    <w:rsid w:val="15EA64E1"/>
    <w:rsid w:val="15EB593E"/>
    <w:rsid w:val="15EC4007"/>
    <w:rsid w:val="15EE5FD1"/>
    <w:rsid w:val="15EE7D7F"/>
    <w:rsid w:val="15EF3AF7"/>
    <w:rsid w:val="15EF58A5"/>
    <w:rsid w:val="15F12DDD"/>
    <w:rsid w:val="15F4051B"/>
    <w:rsid w:val="15F4486A"/>
    <w:rsid w:val="15F44B71"/>
    <w:rsid w:val="15F70058"/>
    <w:rsid w:val="15F80BFE"/>
    <w:rsid w:val="15FA2BC8"/>
    <w:rsid w:val="15FA6724"/>
    <w:rsid w:val="15FD6214"/>
    <w:rsid w:val="15FF01DE"/>
    <w:rsid w:val="15FF3AD9"/>
    <w:rsid w:val="15FF4DC2"/>
    <w:rsid w:val="1602382A"/>
    <w:rsid w:val="160550C9"/>
    <w:rsid w:val="16077093"/>
    <w:rsid w:val="16087E1D"/>
    <w:rsid w:val="16092E0B"/>
    <w:rsid w:val="16094BB9"/>
    <w:rsid w:val="16096967"/>
    <w:rsid w:val="160A14B0"/>
    <w:rsid w:val="160A26DF"/>
    <w:rsid w:val="160A654A"/>
    <w:rsid w:val="160B0931"/>
    <w:rsid w:val="160C28FB"/>
    <w:rsid w:val="160C46A9"/>
    <w:rsid w:val="160C6457"/>
    <w:rsid w:val="16133C89"/>
    <w:rsid w:val="161517B0"/>
    <w:rsid w:val="1615355E"/>
    <w:rsid w:val="16161084"/>
    <w:rsid w:val="161B48EC"/>
    <w:rsid w:val="161B669A"/>
    <w:rsid w:val="161C3356"/>
    <w:rsid w:val="161D23BF"/>
    <w:rsid w:val="161D68B6"/>
    <w:rsid w:val="16202A4A"/>
    <w:rsid w:val="16236C31"/>
    <w:rsid w:val="162639BD"/>
    <w:rsid w:val="1626576B"/>
    <w:rsid w:val="1628310B"/>
    <w:rsid w:val="16297009"/>
    <w:rsid w:val="162B2D81"/>
    <w:rsid w:val="162C08A7"/>
    <w:rsid w:val="162C57E5"/>
    <w:rsid w:val="162D2B22"/>
    <w:rsid w:val="162E5E8B"/>
    <w:rsid w:val="162F731B"/>
    <w:rsid w:val="16300397"/>
    <w:rsid w:val="16314110"/>
    <w:rsid w:val="16333219"/>
    <w:rsid w:val="16351E52"/>
    <w:rsid w:val="1635775C"/>
    <w:rsid w:val="163634D4"/>
    <w:rsid w:val="16375D0B"/>
    <w:rsid w:val="16377978"/>
    <w:rsid w:val="163836F0"/>
    <w:rsid w:val="163A5B6F"/>
    <w:rsid w:val="163A7E23"/>
    <w:rsid w:val="163D4862"/>
    <w:rsid w:val="163F05DA"/>
    <w:rsid w:val="16421F11"/>
    <w:rsid w:val="16442095"/>
    <w:rsid w:val="16450E1D"/>
    <w:rsid w:val="16476399"/>
    <w:rsid w:val="16481B85"/>
    <w:rsid w:val="16491459"/>
    <w:rsid w:val="164C0282"/>
    <w:rsid w:val="164C2CF7"/>
    <w:rsid w:val="164F240A"/>
    <w:rsid w:val="164F7B40"/>
    <w:rsid w:val="16513DF6"/>
    <w:rsid w:val="16516194"/>
    <w:rsid w:val="165313A4"/>
    <w:rsid w:val="16554514"/>
    <w:rsid w:val="16556FCC"/>
    <w:rsid w:val="16557DFE"/>
    <w:rsid w:val="16560A20"/>
    <w:rsid w:val="16571DC8"/>
    <w:rsid w:val="16575097"/>
    <w:rsid w:val="165A18B8"/>
    <w:rsid w:val="165B5A0B"/>
    <w:rsid w:val="165C118C"/>
    <w:rsid w:val="165C73DE"/>
    <w:rsid w:val="165F72C3"/>
    <w:rsid w:val="16612BC4"/>
    <w:rsid w:val="1662167E"/>
    <w:rsid w:val="166444E5"/>
    <w:rsid w:val="166718DF"/>
    <w:rsid w:val="166802BF"/>
    <w:rsid w:val="16685D83"/>
    <w:rsid w:val="16695657"/>
    <w:rsid w:val="166A7A4C"/>
    <w:rsid w:val="166B30D5"/>
    <w:rsid w:val="166B7621"/>
    <w:rsid w:val="166D339A"/>
    <w:rsid w:val="1670755D"/>
    <w:rsid w:val="16730284"/>
    <w:rsid w:val="167364D6"/>
    <w:rsid w:val="167417E7"/>
    <w:rsid w:val="1674297A"/>
    <w:rsid w:val="16756F08"/>
    <w:rsid w:val="16774218"/>
    <w:rsid w:val="16781D3E"/>
    <w:rsid w:val="16783AEC"/>
    <w:rsid w:val="167B7F56"/>
    <w:rsid w:val="167C35DD"/>
    <w:rsid w:val="167D7355"/>
    <w:rsid w:val="167E55A7"/>
    <w:rsid w:val="16802D57"/>
    <w:rsid w:val="168035E6"/>
    <w:rsid w:val="16826719"/>
    <w:rsid w:val="16843855"/>
    <w:rsid w:val="16881F81"/>
    <w:rsid w:val="168A2EA6"/>
    <w:rsid w:val="168B5FC6"/>
    <w:rsid w:val="168C1346"/>
    <w:rsid w:val="168D57EA"/>
    <w:rsid w:val="168D68A7"/>
    <w:rsid w:val="168E1562"/>
    <w:rsid w:val="16917AAF"/>
    <w:rsid w:val="16926AC6"/>
    <w:rsid w:val="16933481"/>
    <w:rsid w:val="16963635"/>
    <w:rsid w:val="169923E1"/>
    <w:rsid w:val="16A158F3"/>
    <w:rsid w:val="16A3500D"/>
    <w:rsid w:val="16A42B33"/>
    <w:rsid w:val="16A56605"/>
    <w:rsid w:val="16A843D2"/>
    <w:rsid w:val="16A8493F"/>
    <w:rsid w:val="16A91EF8"/>
    <w:rsid w:val="16AA639C"/>
    <w:rsid w:val="16AB13CB"/>
    <w:rsid w:val="16AB3EC2"/>
    <w:rsid w:val="16AD3796"/>
    <w:rsid w:val="16AE5760"/>
    <w:rsid w:val="16B0772A"/>
    <w:rsid w:val="16B20DAC"/>
    <w:rsid w:val="16B234A2"/>
    <w:rsid w:val="16B5089D"/>
    <w:rsid w:val="16B5762E"/>
    <w:rsid w:val="16B74615"/>
    <w:rsid w:val="16BC7E7D"/>
    <w:rsid w:val="16BE59A3"/>
    <w:rsid w:val="16BE72DC"/>
    <w:rsid w:val="16C17241"/>
    <w:rsid w:val="16C32C88"/>
    <w:rsid w:val="16C32FBA"/>
    <w:rsid w:val="16C44F84"/>
    <w:rsid w:val="16C46D32"/>
    <w:rsid w:val="16C62AAA"/>
    <w:rsid w:val="16C805D0"/>
    <w:rsid w:val="16CB00C0"/>
    <w:rsid w:val="16CB1E6E"/>
    <w:rsid w:val="16CB4564"/>
    <w:rsid w:val="16D03928"/>
    <w:rsid w:val="16D056D6"/>
    <w:rsid w:val="16D50F3F"/>
    <w:rsid w:val="16D57191"/>
    <w:rsid w:val="16D62785"/>
    <w:rsid w:val="16DA0303"/>
    <w:rsid w:val="16DB10EF"/>
    <w:rsid w:val="16DC674F"/>
    <w:rsid w:val="16DC7F11"/>
    <w:rsid w:val="16E64EFA"/>
    <w:rsid w:val="16E6783A"/>
    <w:rsid w:val="16E92044"/>
    <w:rsid w:val="16EA49EA"/>
    <w:rsid w:val="16EB2510"/>
    <w:rsid w:val="16EC34F3"/>
    <w:rsid w:val="16EE5C44"/>
    <w:rsid w:val="16EF0253"/>
    <w:rsid w:val="16EF2001"/>
    <w:rsid w:val="16EF3DAF"/>
    <w:rsid w:val="16F05D79"/>
    <w:rsid w:val="16F229DA"/>
    <w:rsid w:val="16F251C6"/>
    <w:rsid w:val="16F413C5"/>
    <w:rsid w:val="16F45869"/>
    <w:rsid w:val="16F70EB5"/>
    <w:rsid w:val="16F72CB9"/>
    <w:rsid w:val="16F7653D"/>
    <w:rsid w:val="16F92D57"/>
    <w:rsid w:val="16FA09A5"/>
    <w:rsid w:val="16FA5928"/>
    <w:rsid w:val="16FC64CC"/>
    <w:rsid w:val="16FF7D6A"/>
    <w:rsid w:val="17004A3B"/>
    <w:rsid w:val="17013AE2"/>
    <w:rsid w:val="17017621"/>
    <w:rsid w:val="17036DEF"/>
    <w:rsid w:val="1703785A"/>
    <w:rsid w:val="17045380"/>
    <w:rsid w:val="1706559C"/>
    <w:rsid w:val="1706734A"/>
    <w:rsid w:val="170830C2"/>
    <w:rsid w:val="17084E70"/>
    <w:rsid w:val="170867EA"/>
    <w:rsid w:val="170B2BB3"/>
    <w:rsid w:val="170D06D9"/>
    <w:rsid w:val="170F4451"/>
    <w:rsid w:val="171001C9"/>
    <w:rsid w:val="17105BFE"/>
    <w:rsid w:val="171151D4"/>
    <w:rsid w:val="1711641B"/>
    <w:rsid w:val="17124B68"/>
    <w:rsid w:val="17140D42"/>
    <w:rsid w:val="17150DEE"/>
    <w:rsid w:val="17173305"/>
    <w:rsid w:val="17190E2C"/>
    <w:rsid w:val="171952CF"/>
    <w:rsid w:val="171C4DC0"/>
    <w:rsid w:val="171C6B6E"/>
    <w:rsid w:val="171E28E6"/>
    <w:rsid w:val="171E63FC"/>
    <w:rsid w:val="17263548"/>
    <w:rsid w:val="172A3039"/>
    <w:rsid w:val="172D2B29"/>
    <w:rsid w:val="172D48D7"/>
    <w:rsid w:val="172F3D6B"/>
    <w:rsid w:val="172F4AF3"/>
    <w:rsid w:val="17312619"/>
    <w:rsid w:val="17316E86"/>
    <w:rsid w:val="17321EED"/>
    <w:rsid w:val="17326391"/>
    <w:rsid w:val="173405A0"/>
    <w:rsid w:val="173914CE"/>
    <w:rsid w:val="17393D38"/>
    <w:rsid w:val="173A5EF5"/>
    <w:rsid w:val="173C4B1A"/>
    <w:rsid w:val="173E0EAF"/>
    <w:rsid w:val="1740078C"/>
    <w:rsid w:val="17400AAE"/>
    <w:rsid w:val="17410382"/>
    <w:rsid w:val="17433E6C"/>
    <w:rsid w:val="17435EA8"/>
    <w:rsid w:val="17451C21"/>
    <w:rsid w:val="17481711"/>
    <w:rsid w:val="17485042"/>
    <w:rsid w:val="174A36DB"/>
    <w:rsid w:val="174A7237"/>
    <w:rsid w:val="174C2B46"/>
    <w:rsid w:val="174D4F79"/>
    <w:rsid w:val="174D6D27"/>
    <w:rsid w:val="174F6F43"/>
    <w:rsid w:val="175043B1"/>
    <w:rsid w:val="17514A69"/>
    <w:rsid w:val="17516817"/>
    <w:rsid w:val="1752258F"/>
    <w:rsid w:val="17525FE4"/>
    <w:rsid w:val="17531C3B"/>
    <w:rsid w:val="175400B6"/>
    <w:rsid w:val="1755319D"/>
    <w:rsid w:val="17555BDC"/>
    <w:rsid w:val="17566556"/>
    <w:rsid w:val="17575DF8"/>
    <w:rsid w:val="17577BA6"/>
    <w:rsid w:val="1759391E"/>
    <w:rsid w:val="175A5732"/>
    <w:rsid w:val="175C51BC"/>
    <w:rsid w:val="175F2179"/>
    <w:rsid w:val="17602EFE"/>
    <w:rsid w:val="17604CAC"/>
    <w:rsid w:val="17606E66"/>
    <w:rsid w:val="176127D3"/>
    <w:rsid w:val="17650515"/>
    <w:rsid w:val="17654071"/>
    <w:rsid w:val="1767603B"/>
    <w:rsid w:val="17681DB3"/>
    <w:rsid w:val="17683B61"/>
    <w:rsid w:val="1768590F"/>
    <w:rsid w:val="176A4003"/>
    <w:rsid w:val="176A78D9"/>
    <w:rsid w:val="176D1177"/>
    <w:rsid w:val="17701D14"/>
    <w:rsid w:val="17702E89"/>
    <w:rsid w:val="17712A16"/>
    <w:rsid w:val="17714B81"/>
    <w:rsid w:val="17735226"/>
    <w:rsid w:val="1776002C"/>
    <w:rsid w:val="177929C6"/>
    <w:rsid w:val="177A1C19"/>
    <w:rsid w:val="177A1DCF"/>
    <w:rsid w:val="177B5642"/>
    <w:rsid w:val="177C13BA"/>
    <w:rsid w:val="177C760C"/>
    <w:rsid w:val="177E005E"/>
    <w:rsid w:val="17804894"/>
    <w:rsid w:val="178070FD"/>
    <w:rsid w:val="17807ED6"/>
    <w:rsid w:val="17822E75"/>
    <w:rsid w:val="1783099B"/>
    <w:rsid w:val="17884203"/>
    <w:rsid w:val="17885FB1"/>
    <w:rsid w:val="1789581B"/>
    <w:rsid w:val="178A1D29"/>
    <w:rsid w:val="178A3AD7"/>
    <w:rsid w:val="178C0F21"/>
    <w:rsid w:val="17920939"/>
    <w:rsid w:val="17936E30"/>
    <w:rsid w:val="17943A57"/>
    <w:rsid w:val="17946704"/>
    <w:rsid w:val="17966920"/>
    <w:rsid w:val="179761F4"/>
    <w:rsid w:val="179A37C7"/>
    <w:rsid w:val="179D7CAF"/>
    <w:rsid w:val="179E57D5"/>
    <w:rsid w:val="179E7583"/>
    <w:rsid w:val="17A56B63"/>
    <w:rsid w:val="17A76437"/>
    <w:rsid w:val="17AA23CB"/>
    <w:rsid w:val="17AA5F28"/>
    <w:rsid w:val="17AC14E3"/>
    <w:rsid w:val="17AC5C15"/>
    <w:rsid w:val="17AD5A18"/>
    <w:rsid w:val="17AF353E"/>
    <w:rsid w:val="17B03166"/>
    <w:rsid w:val="17B1375A"/>
    <w:rsid w:val="17B20AB6"/>
    <w:rsid w:val="17B31280"/>
    <w:rsid w:val="17B40B54"/>
    <w:rsid w:val="17B467F6"/>
    <w:rsid w:val="17B46DA6"/>
    <w:rsid w:val="17B603AC"/>
    <w:rsid w:val="17B80644"/>
    <w:rsid w:val="17B943BD"/>
    <w:rsid w:val="17BA14A1"/>
    <w:rsid w:val="17BB1EE3"/>
    <w:rsid w:val="17BD20FF"/>
    <w:rsid w:val="17BD4ADE"/>
    <w:rsid w:val="17BE19D3"/>
    <w:rsid w:val="17C1575E"/>
    <w:rsid w:val="17C214C3"/>
    <w:rsid w:val="17C23E72"/>
    <w:rsid w:val="17C3523B"/>
    <w:rsid w:val="17CA65CA"/>
    <w:rsid w:val="17CB0BAE"/>
    <w:rsid w:val="17CC05D9"/>
    <w:rsid w:val="17CC2342"/>
    <w:rsid w:val="17CC40F0"/>
    <w:rsid w:val="17CF598E"/>
    <w:rsid w:val="17D10106"/>
    <w:rsid w:val="17D11706"/>
    <w:rsid w:val="17D47448"/>
    <w:rsid w:val="17D66D1D"/>
    <w:rsid w:val="17D80CE7"/>
    <w:rsid w:val="17D86F39"/>
    <w:rsid w:val="17DB2585"/>
    <w:rsid w:val="17DB5C48"/>
    <w:rsid w:val="17DC7AB4"/>
    <w:rsid w:val="17DE3E23"/>
    <w:rsid w:val="17DE5267"/>
    <w:rsid w:val="17E27FC0"/>
    <w:rsid w:val="17E50123"/>
    <w:rsid w:val="17E70F2A"/>
    <w:rsid w:val="17E86A50"/>
    <w:rsid w:val="17E90F81"/>
    <w:rsid w:val="17EA484B"/>
    <w:rsid w:val="17EC4792"/>
    <w:rsid w:val="17EE4066"/>
    <w:rsid w:val="17F23996"/>
    <w:rsid w:val="17F4498A"/>
    <w:rsid w:val="17F65611"/>
    <w:rsid w:val="17F92A0B"/>
    <w:rsid w:val="17FD074D"/>
    <w:rsid w:val="17FF564B"/>
    <w:rsid w:val="17FF6273"/>
    <w:rsid w:val="17FF63AF"/>
    <w:rsid w:val="1800023D"/>
    <w:rsid w:val="18016378"/>
    <w:rsid w:val="1804388A"/>
    <w:rsid w:val="18057602"/>
    <w:rsid w:val="18075128"/>
    <w:rsid w:val="180B10BC"/>
    <w:rsid w:val="180C0990"/>
    <w:rsid w:val="180C273E"/>
    <w:rsid w:val="180C6BE2"/>
    <w:rsid w:val="180D6418"/>
    <w:rsid w:val="180D75BF"/>
    <w:rsid w:val="180E03D6"/>
    <w:rsid w:val="180E12C2"/>
    <w:rsid w:val="180E64B6"/>
    <w:rsid w:val="181013AB"/>
    <w:rsid w:val="181126B2"/>
    <w:rsid w:val="18115FA7"/>
    <w:rsid w:val="18137F71"/>
    <w:rsid w:val="181661BB"/>
    <w:rsid w:val="181674CA"/>
    <w:rsid w:val="18185587"/>
    <w:rsid w:val="181D0DEF"/>
    <w:rsid w:val="181E2472"/>
    <w:rsid w:val="18215D1E"/>
    <w:rsid w:val="1824372C"/>
    <w:rsid w:val="18262994"/>
    <w:rsid w:val="18267CA4"/>
    <w:rsid w:val="182746B0"/>
    <w:rsid w:val="18277578"/>
    <w:rsid w:val="182932F0"/>
    <w:rsid w:val="18297794"/>
    <w:rsid w:val="18297BB3"/>
    <w:rsid w:val="182A7068"/>
    <w:rsid w:val="182C0B38"/>
    <w:rsid w:val="182C2DE0"/>
    <w:rsid w:val="182C4B8E"/>
    <w:rsid w:val="182E78A7"/>
    <w:rsid w:val="18300B23"/>
    <w:rsid w:val="18303CBB"/>
    <w:rsid w:val="183121A5"/>
    <w:rsid w:val="18325562"/>
    <w:rsid w:val="183323C1"/>
    <w:rsid w:val="18340258"/>
    <w:rsid w:val="18387277"/>
    <w:rsid w:val="183879D7"/>
    <w:rsid w:val="1839615F"/>
    <w:rsid w:val="183A54FD"/>
    <w:rsid w:val="183B1275"/>
    <w:rsid w:val="183B3024"/>
    <w:rsid w:val="183C6545"/>
    <w:rsid w:val="183D6D9C"/>
    <w:rsid w:val="1841644A"/>
    <w:rsid w:val="184243B2"/>
    <w:rsid w:val="1844637C"/>
    <w:rsid w:val="18455C50"/>
    <w:rsid w:val="18491BE4"/>
    <w:rsid w:val="184B0FC9"/>
    <w:rsid w:val="184C57E9"/>
    <w:rsid w:val="184E2D57"/>
    <w:rsid w:val="184E71FB"/>
    <w:rsid w:val="18504D21"/>
    <w:rsid w:val="185145F5"/>
    <w:rsid w:val="18567E5D"/>
    <w:rsid w:val="18573B7A"/>
    <w:rsid w:val="18574301"/>
    <w:rsid w:val="18583BD5"/>
    <w:rsid w:val="1858727D"/>
    <w:rsid w:val="18591E4E"/>
    <w:rsid w:val="185A16FC"/>
    <w:rsid w:val="185C1918"/>
    <w:rsid w:val="185D743E"/>
    <w:rsid w:val="185F4BD8"/>
    <w:rsid w:val="185F6D12"/>
    <w:rsid w:val="18602A8A"/>
    <w:rsid w:val="18610CDC"/>
    <w:rsid w:val="18622F00"/>
    <w:rsid w:val="18626802"/>
    <w:rsid w:val="18654ABB"/>
    <w:rsid w:val="1867206B"/>
    <w:rsid w:val="18694035"/>
    <w:rsid w:val="186D58D3"/>
    <w:rsid w:val="186E164B"/>
    <w:rsid w:val="186E7023"/>
    <w:rsid w:val="18707171"/>
    <w:rsid w:val="18716A45"/>
    <w:rsid w:val="187327BD"/>
    <w:rsid w:val="18784278"/>
    <w:rsid w:val="18787DD4"/>
    <w:rsid w:val="187B51E7"/>
    <w:rsid w:val="187B6010"/>
    <w:rsid w:val="187F1162"/>
    <w:rsid w:val="18803812"/>
    <w:rsid w:val="18807A86"/>
    <w:rsid w:val="18842D05"/>
    <w:rsid w:val="188624F1"/>
    <w:rsid w:val="188B7B07"/>
    <w:rsid w:val="188D4054"/>
    <w:rsid w:val="1890511D"/>
    <w:rsid w:val="18910E95"/>
    <w:rsid w:val="189256A6"/>
    <w:rsid w:val="18950986"/>
    <w:rsid w:val="189646BC"/>
    <w:rsid w:val="189712A8"/>
    <w:rsid w:val="18982224"/>
    <w:rsid w:val="189C07CD"/>
    <w:rsid w:val="189C5C61"/>
    <w:rsid w:val="189D7BD5"/>
    <w:rsid w:val="189F624C"/>
    <w:rsid w:val="189F7A56"/>
    <w:rsid w:val="18A00EAC"/>
    <w:rsid w:val="18A16F02"/>
    <w:rsid w:val="18A46E1B"/>
    <w:rsid w:val="18A62B93"/>
    <w:rsid w:val="18A924F4"/>
    <w:rsid w:val="18AC4015"/>
    <w:rsid w:val="18AF5EEB"/>
    <w:rsid w:val="18B03A11"/>
    <w:rsid w:val="18B25F43"/>
    <w:rsid w:val="18B40D46"/>
    <w:rsid w:val="18B51996"/>
    <w:rsid w:val="18B613D9"/>
    <w:rsid w:val="18B708FC"/>
    <w:rsid w:val="18B76B4E"/>
    <w:rsid w:val="18B828C6"/>
    <w:rsid w:val="18B84674"/>
    <w:rsid w:val="18B95AF2"/>
    <w:rsid w:val="18B9693B"/>
    <w:rsid w:val="18BA5266"/>
    <w:rsid w:val="18BA663E"/>
    <w:rsid w:val="18BF3C55"/>
    <w:rsid w:val="18C164EC"/>
    <w:rsid w:val="18C24DAB"/>
    <w:rsid w:val="18C26AAD"/>
    <w:rsid w:val="18C33745"/>
    <w:rsid w:val="18C4126B"/>
    <w:rsid w:val="18C474BD"/>
    <w:rsid w:val="18D019BE"/>
    <w:rsid w:val="18D21BDA"/>
    <w:rsid w:val="18D248A0"/>
    <w:rsid w:val="18D314AE"/>
    <w:rsid w:val="18D432BA"/>
    <w:rsid w:val="18D45952"/>
    <w:rsid w:val="18D72D4C"/>
    <w:rsid w:val="18DC0363"/>
    <w:rsid w:val="18DC65B5"/>
    <w:rsid w:val="18E13BCB"/>
    <w:rsid w:val="18E24A74"/>
    <w:rsid w:val="18E45469"/>
    <w:rsid w:val="18E5190D"/>
    <w:rsid w:val="18E54BB3"/>
    <w:rsid w:val="18E70058"/>
    <w:rsid w:val="18E71F41"/>
    <w:rsid w:val="18E772F1"/>
    <w:rsid w:val="18E84F59"/>
    <w:rsid w:val="18E86D07"/>
    <w:rsid w:val="18E90CD1"/>
    <w:rsid w:val="18E92A80"/>
    <w:rsid w:val="18E94E00"/>
    <w:rsid w:val="18EA6F23"/>
    <w:rsid w:val="18EB4A4A"/>
    <w:rsid w:val="18EC78F1"/>
    <w:rsid w:val="18ED07C2"/>
    <w:rsid w:val="18ED6A14"/>
    <w:rsid w:val="18EE0096"/>
    <w:rsid w:val="18F03E0E"/>
    <w:rsid w:val="18F25DD8"/>
    <w:rsid w:val="18F356AC"/>
    <w:rsid w:val="18F41B50"/>
    <w:rsid w:val="18F44871"/>
    <w:rsid w:val="18F57676"/>
    <w:rsid w:val="18F71640"/>
    <w:rsid w:val="18F7519C"/>
    <w:rsid w:val="18F95331"/>
    <w:rsid w:val="18FC0A05"/>
    <w:rsid w:val="18FC75CC"/>
    <w:rsid w:val="18FE29CF"/>
    <w:rsid w:val="18FE477D"/>
    <w:rsid w:val="19024E0F"/>
    <w:rsid w:val="19031D93"/>
    <w:rsid w:val="190336CE"/>
    <w:rsid w:val="190478B9"/>
    <w:rsid w:val="190653E0"/>
    <w:rsid w:val="19066562"/>
    <w:rsid w:val="190A3EBD"/>
    <w:rsid w:val="190B0C48"/>
    <w:rsid w:val="190B50EC"/>
    <w:rsid w:val="190D49C0"/>
    <w:rsid w:val="190D7E26"/>
    <w:rsid w:val="19102702"/>
    <w:rsid w:val="1912797C"/>
    <w:rsid w:val="19137519"/>
    <w:rsid w:val="19137AFC"/>
    <w:rsid w:val="19150708"/>
    <w:rsid w:val="19153875"/>
    <w:rsid w:val="19167E2A"/>
    <w:rsid w:val="19173FB9"/>
    <w:rsid w:val="1917583F"/>
    <w:rsid w:val="191775ED"/>
    <w:rsid w:val="19197809"/>
    <w:rsid w:val="191A1955"/>
    <w:rsid w:val="191B532F"/>
    <w:rsid w:val="191C10A7"/>
    <w:rsid w:val="191D4747"/>
    <w:rsid w:val="191D52F9"/>
    <w:rsid w:val="191E4E1F"/>
    <w:rsid w:val="191E6BCD"/>
    <w:rsid w:val="1921046B"/>
    <w:rsid w:val="19221828"/>
    <w:rsid w:val="19257F5C"/>
    <w:rsid w:val="19274253"/>
    <w:rsid w:val="192817FA"/>
    <w:rsid w:val="192A37C4"/>
    <w:rsid w:val="192B3098"/>
    <w:rsid w:val="192B401B"/>
    <w:rsid w:val="192E18E2"/>
    <w:rsid w:val="192E7CCB"/>
    <w:rsid w:val="192F3E2C"/>
    <w:rsid w:val="193528E5"/>
    <w:rsid w:val="19371666"/>
    <w:rsid w:val="1937518F"/>
    <w:rsid w:val="193C34F7"/>
    <w:rsid w:val="193E2DCB"/>
    <w:rsid w:val="19404D95"/>
    <w:rsid w:val="19406B43"/>
    <w:rsid w:val="1941740B"/>
    <w:rsid w:val="19430300"/>
    <w:rsid w:val="194523AC"/>
    <w:rsid w:val="19457793"/>
    <w:rsid w:val="19466124"/>
    <w:rsid w:val="1948000B"/>
    <w:rsid w:val="19481E9C"/>
    <w:rsid w:val="194859F8"/>
    <w:rsid w:val="194A7C8B"/>
    <w:rsid w:val="194B54E8"/>
    <w:rsid w:val="194D300E"/>
    <w:rsid w:val="19510D51"/>
    <w:rsid w:val="19516FA3"/>
    <w:rsid w:val="19524AC9"/>
    <w:rsid w:val="1953210F"/>
    <w:rsid w:val="19540489"/>
    <w:rsid w:val="19540841"/>
    <w:rsid w:val="1954439D"/>
    <w:rsid w:val="19566367"/>
    <w:rsid w:val="19572765"/>
    <w:rsid w:val="19582824"/>
    <w:rsid w:val="19593B1A"/>
    <w:rsid w:val="19595E57"/>
    <w:rsid w:val="195A572B"/>
    <w:rsid w:val="195B397D"/>
    <w:rsid w:val="195C5A1A"/>
    <w:rsid w:val="195E521C"/>
    <w:rsid w:val="195E6FCA"/>
    <w:rsid w:val="196071E6"/>
    <w:rsid w:val="19632832"/>
    <w:rsid w:val="196842EC"/>
    <w:rsid w:val="1968609A"/>
    <w:rsid w:val="196B3A43"/>
    <w:rsid w:val="196B7938"/>
    <w:rsid w:val="196C7707"/>
    <w:rsid w:val="196D2E5D"/>
    <w:rsid w:val="196E66EE"/>
    <w:rsid w:val="19704F4F"/>
    <w:rsid w:val="19706CFD"/>
    <w:rsid w:val="197113F3"/>
    <w:rsid w:val="19726F19"/>
    <w:rsid w:val="197309DC"/>
    <w:rsid w:val="197539F0"/>
    <w:rsid w:val="197607B7"/>
    <w:rsid w:val="19766A09"/>
    <w:rsid w:val="19792055"/>
    <w:rsid w:val="197C38F4"/>
    <w:rsid w:val="197D7D98"/>
    <w:rsid w:val="197F0DB4"/>
    <w:rsid w:val="19805192"/>
    <w:rsid w:val="1981151B"/>
    <w:rsid w:val="19831126"/>
    <w:rsid w:val="19836A30"/>
    <w:rsid w:val="198729C4"/>
    <w:rsid w:val="1987641C"/>
    <w:rsid w:val="198B0CAC"/>
    <w:rsid w:val="198F041B"/>
    <w:rsid w:val="198F3627"/>
    <w:rsid w:val="1990114D"/>
    <w:rsid w:val="1991739F"/>
    <w:rsid w:val="19921369"/>
    <w:rsid w:val="19924EC5"/>
    <w:rsid w:val="19946E8F"/>
    <w:rsid w:val="19960E59"/>
    <w:rsid w:val="1997608E"/>
    <w:rsid w:val="1998697F"/>
    <w:rsid w:val="199944A6"/>
    <w:rsid w:val="199B021E"/>
    <w:rsid w:val="199D21E8"/>
    <w:rsid w:val="199D3F96"/>
    <w:rsid w:val="199E1ABC"/>
    <w:rsid w:val="199E6B0C"/>
    <w:rsid w:val="199E7D0E"/>
    <w:rsid w:val="19A05834"/>
    <w:rsid w:val="19A1335A"/>
    <w:rsid w:val="19A215AC"/>
    <w:rsid w:val="19A3296E"/>
    <w:rsid w:val="19A4161E"/>
    <w:rsid w:val="19A74E14"/>
    <w:rsid w:val="19A76BC3"/>
    <w:rsid w:val="19AB0160"/>
    <w:rsid w:val="19AC242B"/>
    <w:rsid w:val="19AC5F87"/>
    <w:rsid w:val="19AD1B94"/>
    <w:rsid w:val="19B11072"/>
    <w:rsid w:val="19B14161"/>
    <w:rsid w:val="19B14B70"/>
    <w:rsid w:val="19B25567"/>
    <w:rsid w:val="19B27315"/>
    <w:rsid w:val="19B4308D"/>
    <w:rsid w:val="19B8515E"/>
    <w:rsid w:val="19B9005B"/>
    <w:rsid w:val="19B9268B"/>
    <w:rsid w:val="19BB441C"/>
    <w:rsid w:val="19BC1F42"/>
    <w:rsid w:val="19BE3676"/>
    <w:rsid w:val="19BE3F0C"/>
    <w:rsid w:val="19C01A32"/>
    <w:rsid w:val="19C05ED6"/>
    <w:rsid w:val="19C169D0"/>
    <w:rsid w:val="19CB76F3"/>
    <w:rsid w:val="19CC487B"/>
    <w:rsid w:val="19CD27EC"/>
    <w:rsid w:val="19CD414F"/>
    <w:rsid w:val="19CE23A1"/>
    <w:rsid w:val="19CF6119"/>
    <w:rsid w:val="19D0048B"/>
    <w:rsid w:val="19D0792D"/>
    <w:rsid w:val="19D1065C"/>
    <w:rsid w:val="19D13C3F"/>
    <w:rsid w:val="19D674A8"/>
    <w:rsid w:val="19D67B51"/>
    <w:rsid w:val="19D86DEE"/>
    <w:rsid w:val="19DB2D10"/>
    <w:rsid w:val="19DC58EA"/>
    <w:rsid w:val="19DE010A"/>
    <w:rsid w:val="19DE635C"/>
    <w:rsid w:val="19DF45AE"/>
    <w:rsid w:val="19E152F6"/>
    <w:rsid w:val="19E24949"/>
    <w:rsid w:val="19E35721"/>
    <w:rsid w:val="19E41BC5"/>
    <w:rsid w:val="19E576EB"/>
    <w:rsid w:val="19E6489E"/>
    <w:rsid w:val="19EC2827"/>
    <w:rsid w:val="19ED16E8"/>
    <w:rsid w:val="19ED659F"/>
    <w:rsid w:val="19EF2318"/>
    <w:rsid w:val="19EF779C"/>
    <w:rsid w:val="19F33BB6"/>
    <w:rsid w:val="19F4792E"/>
    <w:rsid w:val="19F642EE"/>
    <w:rsid w:val="19F65454"/>
    <w:rsid w:val="19F677A5"/>
    <w:rsid w:val="19F93196"/>
    <w:rsid w:val="19FA13E8"/>
    <w:rsid w:val="19FD67E3"/>
    <w:rsid w:val="19FE07AD"/>
    <w:rsid w:val="1A002777"/>
    <w:rsid w:val="1A004B69"/>
    <w:rsid w:val="1A023DF9"/>
    <w:rsid w:val="1A051B3B"/>
    <w:rsid w:val="1A07140F"/>
    <w:rsid w:val="1A073B05"/>
    <w:rsid w:val="1A0918A1"/>
    <w:rsid w:val="1A0C111B"/>
    <w:rsid w:val="1A0C4C78"/>
    <w:rsid w:val="1A0D279E"/>
    <w:rsid w:val="1A0E6C42"/>
    <w:rsid w:val="1A0F6516"/>
    <w:rsid w:val="1A116732"/>
    <w:rsid w:val="1A121F48"/>
    <w:rsid w:val="1A163D48"/>
    <w:rsid w:val="1A1678A4"/>
    <w:rsid w:val="1A172451"/>
    <w:rsid w:val="1A18361C"/>
    <w:rsid w:val="1A1B4EBB"/>
    <w:rsid w:val="1A1C66C0"/>
    <w:rsid w:val="1A1D0C33"/>
    <w:rsid w:val="1A1F2BFD"/>
    <w:rsid w:val="1A2024D1"/>
    <w:rsid w:val="1A206975"/>
    <w:rsid w:val="1A2226ED"/>
    <w:rsid w:val="1A226249"/>
    <w:rsid w:val="1A27385F"/>
    <w:rsid w:val="1A293A7B"/>
    <w:rsid w:val="1A2C144A"/>
    <w:rsid w:val="1A2C356C"/>
    <w:rsid w:val="1A2D13C0"/>
    <w:rsid w:val="1A2E4BEE"/>
    <w:rsid w:val="1A302507"/>
    <w:rsid w:val="1A310B82"/>
    <w:rsid w:val="1A312930"/>
    <w:rsid w:val="1A314705"/>
    <w:rsid w:val="1A3366A8"/>
    <w:rsid w:val="1A361CF4"/>
    <w:rsid w:val="1A37709D"/>
    <w:rsid w:val="1A377809"/>
    <w:rsid w:val="1A385A6D"/>
    <w:rsid w:val="1A392129"/>
    <w:rsid w:val="1A3A17E5"/>
    <w:rsid w:val="1A3B6575"/>
    <w:rsid w:val="1A3B761A"/>
    <w:rsid w:val="1A3C5C8F"/>
    <w:rsid w:val="1A3F504D"/>
    <w:rsid w:val="1A420699"/>
    <w:rsid w:val="1A42081B"/>
    <w:rsid w:val="1A42393B"/>
    <w:rsid w:val="1A425E29"/>
    <w:rsid w:val="1A4268EB"/>
    <w:rsid w:val="1A4408B5"/>
    <w:rsid w:val="1A442663"/>
    <w:rsid w:val="1A450189"/>
    <w:rsid w:val="1A45375D"/>
    <w:rsid w:val="1A4563DB"/>
    <w:rsid w:val="1A465481"/>
    <w:rsid w:val="1A472952"/>
    <w:rsid w:val="1A475BBD"/>
    <w:rsid w:val="1A4768A9"/>
    <w:rsid w:val="1A487BAE"/>
    <w:rsid w:val="1A4A2E09"/>
    <w:rsid w:val="1A4A39F2"/>
    <w:rsid w:val="1A4C32C6"/>
    <w:rsid w:val="1A4C59BC"/>
    <w:rsid w:val="1A4C776A"/>
    <w:rsid w:val="1A4D1A2F"/>
    <w:rsid w:val="1A530AF8"/>
    <w:rsid w:val="1A5403CD"/>
    <w:rsid w:val="1A543293"/>
    <w:rsid w:val="1A545B40"/>
    <w:rsid w:val="1A55661F"/>
    <w:rsid w:val="1A5605E9"/>
    <w:rsid w:val="1A574341"/>
    <w:rsid w:val="1A584361"/>
    <w:rsid w:val="1A5E5E82"/>
    <w:rsid w:val="1A5F56EF"/>
    <w:rsid w:val="1A616974"/>
    <w:rsid w:val="1A620D3B"/>
    <w:rsid w:val="1A642D06"/>
    <w:rsid w:val="1A646862"/>
    <w:rsid w:val="1A654388"/>
    <w:rsid w:val="1A676352"/>
    <w:rsid w:val="1A686A28"/>
    <w:rsid w:val="1A6B4094"/>
    <w:rsid w:val="1A6E148E"/>
    <w:rsid w:val="1A6F02EB"/>
    <w:rsid w:val="1A6F650A"/>
    <w:rsid w:val="1A6F6907"/>
    <w:rsid w:val="1A7016AA"/>
    <w:rsid w:val="1A703458"/>
    <w:rsid w:val="1A710F7F"/>
    <w:rsid w:val="1A736AA5"/>
    <w:rsid w:val="1A750A6F"/>
    <w:rsid w:val="1A7647E7"/>
    <w:rsid w:val="1A764C91"/>
    <w:rsid w:val="1A7975BC"/>
    <w:rsid w:val="1A7A6E38"/>
    <w:rsid w:val="1A7D6D83"/>
    <w:rsid w:val="1A7E3DE6"/>
    <w:rsid w:val="1A832E85"/>
    <w:rsid w:val="1A840CB2"/>
    <w:rsid w:val="1A85418F"/>
    <w:rsid w:val="1A8701C0"/>
    <w:rsid w:val="1A89451A"/>
    <w:rsid w:val="1A8A3DEE"/>
    <w:rsid w:val="1A8B64E4"/>
    <w:rsid w:val="1A8B7370"/>
    <w:rsid w:val="1A8C7B66"/>
    <w:rsid w:val="1A8E1B30"/>
    <w:rsid w:val="1A8E7D82"/>
    <w:rsid w:val="1A907657"/>
    <w:rsid w:val="1A951111"/>
    <w:rsid w:val="1A952EBF"/>
    <w:rsid w:val="1A976C37"/>
    <w:rsid w:val="1A98475D"/>
    <w:rsid w:val="1A98650B"/>
    <w:rsid w:val="1A9A6727"/>
    <w:rsid w:val="1A9D19E9"/>
    <w:rsid w:val="1AA027BB"/>
    <w:rsid w:val="1AA25997"/>
    <w:rsid w:val="1AA3658C"/>
    <w:rsid w:val="1AA50C28"/>
    <w:rsid w:val="1AA66D1C"/>
    <w:rsid w:val="1AA72BF2"/>
    <w:rsid w:val="1AA749A0"/>
    <w:rsid w:val="1AA930CA"/>
    <w:rsid w:val="1AA9696A"/>
    <w:rsid w:val="1AAB26E2"/>
    <w:rsid w:val="1AAB4490"/>
    <w:rsid w:val="1AAB5DE3"/>
    <w:rsid w:val="1AAB623F"/>
    <w:rsid w:val="1AAD45DE"/>
    <w:rsid w:val="1AB07CF9"/>
    <w:rsid w:val="1AB31597"/>
    <w:rsid w:val="1AB33345"/>
    <w:rsid w:val="1AB375E2"/>
    <w:rsid w:val="1AB4140B"/>
    <w:rsid w:val="1AB428A4"/>
    <w:rsid w:val="1AB52760"/>
    <w:rsid w:val="1AB66B07"/>
    <w:rsid w:val="1AB67028"/>
    <w:rsid w:val="1ABD41C4"/>
    <w:rsid w:val="1ABD608E"/>
    <w:rsid w:val="1AC217DA"/>
    <w:rsid w:val="1AC3534D"/>
    <w:rsid w:val="1AC75042"/>
    <w:rsid w:val="1AC77CB7"/>
    <w:rsid w:val="1AC82188"/>
    <w:rsid w:val="1ACB068F"/>
    <w:rsid w:val="1ACC49A3"/>
    <w:rsid w:val="1ACD08AB"/>
    <w:rsid w:val="1ACE017F"/>
    <w:rsid w:val="1ACF03B6"/>
    <w:rsid w:val="1AD0039B"/>
    <w:rsid w:val="1AD35795"/>
    <w:rsid w:val="1AD5775F"/>
    <w:rsid w:val="1AD60E50"/>
    <w:rsid w:val="1AD64A2E"/>
    <w:rsid w:val="1AD75285"/>
    <w:rsid w:val="1AD82DAC"/>
    <w:rsid w:val="1AD94039"/>
    <w:rsid w:val="1ADD6614"/>
    <w:rsid w:val="1AE6196C"/>
    <w:rsid w:val="1AE70150"/>
    <w:rsid w:val="1AE71241"/>
    <w:rsid w:val="1AE80F5D"/>
    <w:rsid w:val="1AE856E5"/>
    <w:rsid w:val="1AE9320B"/>
    <w:rsid w:val="1AEB6F83"/>
    <w:rsid w:val="1AEC1954"/>
    <w:rsid w:val="1AED393F"/>
    <w:rsid w:val="1AEE25CF"/>
    <w:rsid w:val="1AF000F5"/>
    <w:rsid w:val="1AF20311"/>
    <w:rsid w:val="1AF220BF"/>
    <w:rsid w:val="1AF22EF0"/>
    <w:rsid w:val="1AF23E6D"/>
    <w:rsid w:val="1AF37BE5"/>
    <w:rsid w:val="1AF57E02"/>
    <w:rsid w:val="1AF75928"/>
    <w:rsid w:val="1AF916A0"/>
    <w:rsid w:val="1AFA0F74"/>
    <w:rsid w:val="1AFA71C6"/>
    <w:rsid w:val="1AFC2F3E"/>
    <w:rsid w:val="1AFE1D64"/>
    <w:rsid w:val="1AFF02A3"/>
    <w:rsid w:val="1B0012E6"/>
    <w:rsid w:val="1B001394"/>
    <w:rsid w:val="1B010554"/>
    <w:rsid w:val="1B0167A6"/>
    <w:rsid w:val="1B027E29"/>
    <w:rsid w:val="1B0302E1"/>
    <w:rsid w:val="1B046F80"/>
    <w:rsid w:val="1B075EE8"/>
    <w:rsid w:val="1B09565B"/>
    <w:rsid w:val="1B0B13D3"/>
    <w:rsid w:val="1B0D0CA7"/>
    <w:rsid w:val="1B0E2C71"/>
    <w:rsid w:val="1B0E67CD"/>
    <w:rsid w:val="1B100797"/>
    <w:rsid w:val="1B105598"/>
    <w:rsid w:val="1B124510"/>
    <w:rsid w:val="1B1262BE"/>
    <w:rsid w:val="1B133F19"/>
    <w:rsid w:val="1B140288"/>
    <w:rsid w:val="1B1464DA"/>
    <w:rsid w:val="1B171B26"/>
    <w:rsid w:val="1B1736FE"/>
    <w:rsid w:val="1B19589E"/>
    <w:rsid w:val="1B1A33C4"/>
    <w:rsid w:val="1B1A668B"/>
    <w:rsid w:val="1B1C0EEA"/>
    <w:rsid w:val="1B1C713C"/>
    <w:rsid w:val="1B1D4C62"/>
    <w:rsid w:val="1B1E16D2"/>
    <w:rsid w:val="1B1F4E7E"/>
    <w:rsid w:val="1B2129A5"/>
    <w:rsid w:val="1B2304CB"/>
    <w:rsid w:val="1B2317B4"/>
    <w:rsid w:val="1B23671D"/>
    <w:rsid w:val="1B245FF1"/>
    <w:rsid w:val="1B252495"/>
    <w:rsid w:val="1B263D19"/>
    <w:rsid w:val="1B26620D"/>
    <w:rsid w:val="1B28788F"/>
    <w:rsid w:val="1B2968E1"/>
    <w:rsid w:val="1B2A7AAB"/>
    <w:rsid w:val="1B2B3823"/>
    <w:rsid w:val="1B2B737F"/>
    <w:rsid w:val="1B2D1349"/>
    <w:rsid w:val="1B302BE8"/>
    <w:rsid w:val="1B313E95"/>
    <w:rsid w:val="1B3204DF"/>
    <w:rsid w:val="1B324BB2"/>
    <w:rsid w:val="1B3267B5"/>
    <w:rsid w:val="1B326960"/>
    <w:rsid w:val="1B34092A"/>
    <w:rsid w:val="1B356450"/>
    <w:rsid w:val="1B366C3A"/>
    <w:rsid w:val="1B3864D2"/>
    <w:rsid w:val="1B391A9C"/>
    <w:rsid w:val="1B3E4FE8"/>
    <w:rsid w:val="1B40161D"/>
    <w:rsid w:val="1B404A0D"/>
    <w:rsid w:val="1B430B6D"/>
    <w:rsid w:val="1B440441"/>
    <w:rsid w:val="1B441859"/>
    <w:rsid w:val="1B46065D"/>
    <w:rsid w:val="1B46240B"/>
    <w:rsid w:val="1B463DD5"/>
    <w:rsid w:val="1B470518"/>
    <w:rsid w:val="1B490BB9"/>
    <w:rsid w:val="1B49619E"/>
    <w:rsid w:val="1B4A3CA9"/>
    <w:rsid w:val="1B4B17D0"/>
    <w:rsid w:val="1B4B5130"/>
    <w:rsid w:val="1B4B7A22"/>
    <w:rsid w:val="1B4D19EC"/>
    <w:rsid w:val="1B4E65BE"/>
    <w:rsid w:val="1B516D3B"/>
    <w:rsid w:val="1B535AE1"/>
    <w:rsid w:val="1B544B28"/>
    <w:rsid w:val="1B5623CB"/>
    <w:rsid w:val="1B583D8E"/>
    <w:rsid w:val="1B5948E5"/>
    <w:rsid w:val="1B5C4B89"/>
    <w:rsid w:val="1B5E4043"/>
    <w:rsid w:val="1B5E59A7"/>
    <w:rsid w:val="1B5E7755"/>
    <w:rsid w:val="1B6034CD"/>
    <w:rsid w:val="1B612F80"/>
    <w:rsid w:val="1B642891"/>
    <w:rsid w:val="1B652E0B"/>
    <w:rsid w:val="1B6534E8"/>
    <w:rsid w:val="1B6606B1"/>
    <w:rsid w:val="1B677821"/>
    <w:rsid w:val="1B6805D3"/>
    <w:rsid w:val="1B697EA8"/>
    <w:rsid w:val="1B6B3C20"/>
    <w:rsid w:val="1B6D7998"/>
    <w:rsid w:val="1B707488"/>
    <w:rsid w:val="1B721452"/>
    <w:rsid w:val="1B723200"/>
    <w:rsid w:val="1B735DC4"/>
    <w:rsid w:val="1B742AD4"/>
    <w:rsid w:val="1B753C44"/>
    <w:rsid w:val="1B754A9E"/>
    <w:rsid w:val="1B776A68"/>
    <w:rsid w:val="1B7B36A5"/>
    <w:rsid w:val="1B7D7315"/>
    <w:rsid w:val="1B7E1BA5"/>
    <w:rsid w:val="1B7E3953"/>
    <w:rsid w:val="1B7F0679"/>
    <w:rsid w:val="1B8076CB"/>
    <w:rsid w:val="1B8151F1"/>
    <w:rsid w:val="1B852F33"/>
    <w:rsid w:val="1B872AB8"/>
    <w:rsid w:val="1B882A24"/>
    <w:rsid w:val="1B8A054A"/>
    <w:rsid w:val="1B8D003A"/>
    <w:rsid w:val="1B8D3B96"/>
    <w:rsid w:val="1B901A09"/>
    <w:rsid w:val="1B903686"/>
    <w:rsid w:val="1B9118D8"/>
    <w:rsid w:val="1B920B7E"/>
    <w:rsid w:val="1B9510AD"/>
    <w:rsid w:val="1B9531A1"/>
    <w:rsid w:val="1B963ADC"/>
    <w:rsid w:val="1B966EEF"/>
    <w:rsid w:val="1B99253B"/>
    <w:rsid w:val="1B9B2757"/>
    <w:rsid w:val="1B9C027D"/>
    <w:rsid w:val="1B9F38C9"/>
    <w:rsid w:val="1BA5110F"/>
    <w:rsid w:val="1BA620E3"/>
    <w:rsid w:val="1BA962C5"/>
    <w:rsid w:val="1BAA299A"/>
    <w:rsid w:val="1BAF6202"/>
    <w:rsid w:val="1BAF7FB0"/>
    <w:rsid w:val="1BB13D28"/>
    <w:rsid w:val="1BB409C6"/>
    <w:rsid w:val="1BB455C7"/>
    <w:rsid w:val="1BB6133F"/>
    <w:rsid w:val="1BB67591"/>
    <w:rsid w:val="1BB750B7"/>
    <w:rsid w:val="1BB76E65"/>
    <w:rsid w:val="1BBC3DE7"/>
    <w:rsid w:val="1BBE4697"/>
    <w:rsid w:val="1BBE6445"/>
    <w:rsid w:val="1BBF2C12"/>
    <w:rsid w:val="1BC25F36"/>
    <w:rsid w:val="1BC62263"/>
    <w:rsid w:val="1BCA303C"/>
    <w:rsid w:val="1BCC0B62"/>
    <w:rsid w:val="1BCC2910"/>
    <w:rsid w:val="1BCD48DA"/>
    <w:rsid w:val="1BCD79A9"/>
    <w:rsid w:val="1BCF41AF"/>
    <w:rsid w:val="1BD16179"/>
    <w:rsid w:val="1BD17F27"/>
    <w:rsid w:val="1BD23C9F"/>
    <w:rsid w:val="1BD25246"/>
    <w:rsid w:val="1BD45C69"/>
    <w:rsid w:val="1BD712B5"/>
    <w:rsid w:val="1BDA65CB"/>
    <w:rsid w:val="1BDD2D6F"/>
    <w:rsid w:val="1BDE2644"/>
    <w:rsid w:val="1BE20386"/>
    <w:rsid w:val="1BE55780"/>
    <w:rsid w:val="1BE560E6"/>
    <w:rsid w:val="1BE74FC1"/>
    <w:rsid w:val="1BEA5591"/>
    <w:rsid w:val="1BEB0238"/>
    <w:rsid w:val="1BEF2AA3"/>
    <w:rsid w:val="1BF25A3C"/>
    <w:rsid w:val="1BF41E67"/>
    <w:rsid w:val="1BF530EC"/>
    <w:rsid w:val="1BF65BDF"/>
    <w:rsid w:val="1BF6798D"/>
    <w:rsid w:val="1BF71C3C"/>
    <w:rsid w:val="1BF81D2F"/>
    <w:rsid w:val="1BF83268"/>
    <w:rsid w:val="1BF9122C"/>
    <w:rsid w:val="1BF9747E"/>
    <w:rsid w:val="1BFC2ACA"/>
    <w:rsid w:val="1BFC2EDD"/>
    <w:rsid w:val="1C00147D"/>
    <w:rsid w:val="1C0302FC"/>
    <w:rsid w:val="1C0320AA"/>
    <w:rsid w:val="1C054074"/>
    <w:rsid w:val="1C085539"/>
    <w:rsid w:val="1C097C53"/>
    <w:rsid w:val="1C0C71B1"/>
    <w:rsid w:val="1C0E117B"/>
    <w:rsid w:val="1C0F2CE1"/>
    <w:rsid w:val="1C1147C7"/>
    <w:rsid w:val="1C126844"/>
    <w:rsid w:val="1C132598"/>
    <w:rsid w:val="1C145AD5"/>
    <w:rsid w:val="1C16002F"/>
    <w:rsid w:val="1C163167"/>
    <w:rsid w:val="1C163B37"/>
    <w:rsid w:val="1C166281"/>
    <w:rsid w:val="1C183DA8"/>
    <w:rsid w:val="1C18510E"/>
    <w:rsid w:val="1C1B6040"/>
    <w:rsid w:val="1C1C4F1A"/>
    <w:rsid w:val="1C1D13BE"/>
    <w:rsid w:val="1C1F5136"/>
    <w:rsid w:val="1C211AFF"/>
    <w:rsid w:val="1C215282"/>
    <w:rsid w:val="1C217434"/>
    <w:rsid w:val="1C220782"/>
    <w:rsid w:val="1C224C26"/>
    <w:rsid w:val="1C27223D"/>
    <w:rsid w:val="1C2838BF"/>
    <w:rsid w:val="1C2A2603"/>
    <w:rsid w:val="1C2A3ADB"/>
    <w:rsid w:val="1C2C7853"/>
    <w:rsid w:val="1C2D6AC9"/>
    <w:rsid w:val="1C2E454B"/>
    <w:rsid w:val="1C2F2E9F"/>
    <w:rsid w:val="1C33473D"/>
    <w:rsid w:val="1C3404B6"/>
    <w:rsid w:val="1C381D54"/>
    <w:rsid w:val="1C38550B"/>
    <w:rsid w:val="1C395ACC"/>
    <w:rsid w:val="1C3B1844"/>
    <w:rsid w:val="1C3B5CE8"/>
    <w:rsid w:val="1C3E30E2"/>
    <w:rsid w:val="1C3F55D8"/>
    <w:rsid w:val="1C3F7586"/>
    <w:rsid w:val="1C4032FE"/>
    <w:rsid w:val="1C413212"/>
    <w:rsid w:val="1C420E24"/>
    <w:rsid w:val="1C422BD3"/>
    <w:rsid w:val="1C427076"/>
    <w:rsid w:val="1C444B9D"/>
    <w:rsid w:val="1C4466EF"/>
    <w:rsid w:val="1C457F9A"/>
    <w:rsid w:val="1C461390"/>
    <w:rsid w:val="1C4C57FF"/>
    <w:rsid w:val="1C4D1232"/>
    <w:rsid w:val="1C512E16"/>
    <w:rsid w:val="1C523486"/>
    <w:rsid w:val="1C56042C"/>
    <w:rsid w:val="1C5648D0"/>
    <w:rsid w:val="1C5841A4"/>
    <w:rsid w:val="1C597F1C"/>
    <w:rsid w:val="1C5A43C0"/>
    <w:rsid w:val="1C5A616E"/>
    <w:rsid w:val="1C5B1EE6"/>
    <w:rsid w:val="1C5B5A42"/>
    <w:rsid w:val="1C5D3A88"/>
    <w:rsid w:val="1C5E2B0B"/>
    <w:rsid w:val="1C5E7925"/>
    <w:rsid w:val="1C5F19D6"/>
    <w:rsid w:val="1C5F3784"/>
    <w:rsid w:val="1C5F4B9A"/>
    <w:rsid w:val="1C6568C1"/>
    <w:rsid w:val="1C662D65"/>
    <w:rsid w:val="1C664295"/>
    <w:rsid w:val="1C6646A5"/>
    <w:rsid w:val="1C67088B"/>
    <w:rsid w:val="1C673348"/>
    <w:rsid w:val="1C677FB4"/>
    <w:rsid w:val="1C694A85"/>
    <w:rsid w:val="1C696620"/>
    <w:rsid w:val="1C6A1CAD"/>
    <w:rsid w:val="1C6B037B"/>
    <w:rsid w:val="1C6C6B9D"/>
    <w:rsid w:val="1C6C7C4F"/>
    <w:rsid w:val="1C6F7740"/>
    <w:rsid w:val="1C705992"/>
    <w:rsid w:val="1C7075DC"/>
    <w:rsid w:val="1C7162B9"/>
    <w:rsid w:val="1C72619A"/>
    <w:rsid w:val="1C730FDE"/>
    <w:rsid w:val="1C7368E7"/>
    <w:rsid w:val="1C7558BE"/>
    <w:rsid w:val="1C784846"/>
    <w:rsid w:val="1C7A17A2"/>
    <w:rsid w:val="1C7A583D"/>
    <w:rsid w:val="1C7B60E4"/>
    <w:rsid w:val="1C80233F"/>
    <w:rsid w:val="1C817B9F"/>
    <w:rsid w:val="1C82504F"/>
    <w:rsid w:val="1C84143D"/>
    <w:rsid w:val="1C850D11"/>
    <w:rsid w:val="1C8651B5"/>
    <w:rsid w:val="1C896A53"/>
    <w:rsid w:val="1C8D4564"/>
    <w:rsid w:val="1C8E406A"/>
    <w:rsid w:val="1C902538"/>
    <w:rsid w:val="1C9123A9"/>
    <w:rsid w:val="1C913B5A"/>
    <w:rsid w:val="1C915908"/>
    <w:rsid w:val="1C9209EC"/>
    <w:rsid w:val="1C931680"/>
    <w:rsid w:val="1C9443CE"/>
    <w:rsid w:val="1C9571A6"/>
    <w:rsid w:val="1C962F1E"/>
    <w:rsid w:val="1C986C96"/>
    <w:rsid w:val="1C990E53"/>
    <w:rsid w:val="1C9C6787"/>
    <w:rsid w:val="1C9F1DD3"/>
    <w:rsid w:val="1CA05B4B"/>
    <w:rsid w:val="1CA473E9"/>
    <w:rsid w:val="1CA47A0D"/>
    <w:rsid w:val="1CA52087"/>
    <w:rsid w:val="1CA613B3"/>
    <w:rsid w:val="1CA643DD"/>
    <w:rsid w:val="1CA76EDA"/>
    <w:rsid w:val="1CA92C52"/>
    <w:rsid w:val="1CA93E95"/>
    <w:rsid w:val="1CB03FE0"/>
    <w:rsid w:val="1CB17D58"/>
    <w:rsid w:val="1CB25D01"/>
    <w:rsid w:val="1CB810E7"/>
    <w:rsid w:val="1CB87339"/>
    <w:rsid w:val="1CBA57A6"/>
    <w:rsid w:val="1CBB0921"/>
    <w:rsid w:val="1CBB2985"/>
    <w:rsid w:val="1CBC0BD7"/>
    <w:rsid w:val="1CC1153B"/>
    <w:rsid w:val="1CC161ED"/>
    <w:rsid w:val="1CC25AC1"/>
    <w:rsid w:val="1CC57F42"/>
    <w:rsid w:val="1CC655B2"/>
    <w:rsid w:val="1CC932F4"/>
    <w:rsid w:val="1CC950A2"/>
    <w:rsid w:val="1CCB706C"/>
    <w:rsid w:val="1CCE090A"/>
    <w:rsid w:val="1CCE4466"/>
    <w:rsid w:val="1CD001DE"/>
    <w:rsid w:val="1CD06430"/>
    <w:rsid w:val="1CD13F56"/>
    <w:rsid w:val="1CD37CCF"/>
    <w:rsid w:val="1CD51C99"/>
    <w:rsid w:val="1CD53A47"/>
    <w:rsid w:val="1CD7789E"/>
    <w:rsid w:val="1CD81789"/>
    <w:rsid w:val="1CD83537"/>
    <w:rsid w:val="1CDF0421"/>
    <w:rsid w:val="1CDF1D67"/>
    <w:rsid w:val="1CDF6673"/>
    <w:rsid w:val="1CE005AE"/>
    <w:rsid w:val="1CE26164"/>
    <w:rsid w:val="1CE343B6"/>
    <w:rsid w:val="1CE43C8A"/>
    <w:rsid w:val="1CE912A0"/>
    <w:rsid w:val="1CE95744"/>
    <w:rsid w:val="1CE974F2"/>
    <w:rsid w:val="1CEB14BC"/>
    <w:rsid w:val="1CEB3300"/>
    <w:rsid w:val="1CEC0D90"/>
    <w:rsid w:val="1CEC2B3E"/>
    <w:rsid w:val="1CEE4B08"/>
    <w:rsid w:val="1CF21D0A"/>
    <w:rsid w:val="1CF30371"/>
    <w:rsid w:val="1CF540E9"/>
    <w:rsid w:val="1CF71C0F"/>
    <w:rsid w:val="1CF85987"/>
    <w:rsid w:val="1CFD070F"/>
    <w:rsid w:val="1D0165EA"/>
    <w:rsid w:val="1D0205B4"/>
    <w:rsid w:val="1D022362"/>
    <w:rsid w:val="1D023F9A"/>
    <w:rsid w:val="1D05291B"/>
    <w:rsid w:val="1D0600A4"/>
    <w:rsid w:val="1D066E2A"/>
    <w:rsid w:val="1D091942"/>
    <w:rsid w:val="1D0936F0"/>
    <w:rsid w:val="1D0A4CC0"/>
    <w:rsid w:val="1D0B5C9E"/>
    <w:rsid w:val="1D0B7468"/>
    <w:rsid w:val="1D0D1432"/>
    <w:rsid w:val="1D0E3204"/>
    <w:rsid w:val="1D0E6F59"/>
    <w:rsid w:val="1D0F39CD"/>
    <w:rsid w:val="1D100F23"/>
    <w:rsid w:val="1D11016F"/>
    <w:rsid w:val="1D126A49"/>
    <w:rsid w:val="1D13456F"/>
    <w:rsid w:val="1D1548FF"/>
    <w:rsid w:val="1D1560FE"/>
    <w:rsid w:val="1D1722B1"/>
    <w:rsid w:val="1D1744C9"/>
    <w:rsid w:val="1D187DD7"/>
    <w:rsid w:val="1D1A58FD"/>
    <w:rsid w:val="1D1C78C7"/>
    <w:rsid w:val="1D1D0F4A"/>
    <w:rsid w:val="1D1D719C"/>
    <w:rsid w:val="1D1E2032"/>
    <w:rsid w:val="1D216C8C"/>
    <w:rsid w:val="1D2610E3"/>
    <w:rsid w:val="1D273E76"/>
    <w:rsid w:val="1D277CE8"/>
    <w:rsid w:val="1D28626C"/>
    <w:rsid w:val="1D291034"/>
    <w:rsid w:val="1D295B40"/>
    <w:rsid w:val="1D2B1A65"/>
    <w:rsid w:val="1D2E13A9"/>
    <w:rsid w:val="1D2E3157"/>
    <w:rsid w:val="1D330575"/>
    <w:rsid w:val="1D33076D"/>
    <w:rsid w:val="1D332DC8"/>
    <w:rsid w:val="1D3369BF"/>
    <w:rsid w:val="1D352737"/>
    <w:rsid w:val="1D383559"/>
    <w:rsid w:val="1D383FD6"/>
    <w:rsid w:val="1D3C1D18"/>
    <w:rsid w:val="1D3C3AC6"/>
    <w:rsid w:val="1D3E15EC"/>
    <w:rsid w:val="1D3F3149"/>
    <w:rsid w:val="1D4110DC"/>
    <w:rsid w:val="1D412E8A"/>
    <w:rsid w:val="1D41732E"/>
    <w:rsid w:val="1D4330A6"/>
    <w:rsid w:val="1D440BCC"/>
    <w:rsid w:val="1D446291"/>
    <w:rsid w:val="1D456AFB"/>
    <w:rsid w:val="1D464944"/>
    <w:rsid w:val="1D484219"/>
    <w:rsid w:val="1D484C98"/>
    <w:rsid w:val="1D4A104F"/>
    <w:rsid w:val="1D4F52F9"/>
    <w:rsid w:val="1D50131F"/>
    <w:rsid w:val="1D536B88"/>
    <w:rsid w:val="1D572C73"/>
    <w:rsid w:val="1D5801D4"/>
    <w:rsid w:val="1D580462"/>
    <w:rsid w:val="1D596426"/>
    <w:rsid w:val="1D5C71BB"/>
    <w:rsid w:val="1D5F6196"/>
    <w:rsid w:val="1D5F77B4"/>
    <w:rsid w:val="1D600ECF"/>
    <w:rsid w:val="1D6132A5"/>
    <w:rsid w:val="1D61352C"/>
    <w:rsid w:val="1D620C25"/>
    <w:rsid w:val="1D641885"/>
    <w:rsid w:val="1D644DCB"/>
    <w:rsid w:val="1D653D09"/>
    <w:rsid w:val="1D656883"/>
    <w:rsid w:val="1D686669"/>
    <w:rsid w:val="1D6A0633"/>
    <w:rsid w:val="1D6D1ED1"/>
    <w:rsid w:val="1D6F6D09"/>
    <w:rsid w:val="1D7003DA"/>
    <w:rsid w:val="1D70376F"/>
    <w:rsid w:val="1D70551D"/>
    <w:rsid w:val="1D741997"/>
    <w:rsid w:val="1D743260"/>
    <w:rsid w:val="1D7768AC"/>
    <w:rsid w:val="1D787B4E"/>
    <w:rsid w:val="1D7B69ED"/>
    <w:rsid w:val="1D7C2114"/>
    <w:rsid w:val="1D7C3EC2"/>
    <w:rsid w:val="1D7E40DE"/>
    <w:rsid w:val="1D7E5E8C"/>
    <w:rsid w:val="1D7F39B2"/>
    <w:rsid w:val="1D807E56"/>
    <w:rsid w:val="1D81772B"/>
    <w:rsid w:val="1D84721B"/>
    <w:rsid w:val="1D85546D"/>
    <w:rsid w:val="1D85612A"/>
    <w:rsid w:val="1D864D41"/>
    <w:rsid w:val="1D880AB9"/>
    <w:rsid w:val="1D884F5D"/>
    <w:rsid w:val="1D8D4321"/>
    <w:rsid w:val="1D8D60CF"/>
    <w:rsid w:val="1D8E56D5"/>
    <w:rsid w:val="1D8E79AE"/>
    <w:rsid w:val="1D9016C2"/>
    <w:rsid w:val="1D905BC0"/>
    <w:rsid w:val="1D927B8A"/>
    <w:rsid w:val="1D943902"/>
    <w:rsid w:val="1D9456B0"/>
    <w:rsid w:val="1D94745E"/>
    <w:rsid w:val="1D962329"/>
    <w:rsid w:val="1D964A85"/>
    <w:rsid w:val="1D992CC6"/>
    <w:rsid w:val="1D9B353D"/>
    <w:rsid w:val="1D9C4564"/>
    <w:rsid w:val="1D9C4C7C"/>
    <w:rsid w:val="1D9E02DC"/>
    <w:rsid w:val="1D9E066F"/>
    <w:rsid w:val="1D9E6974"/>
    <w:rsid w:val="1DA11B7B"/>
    <w:rsid w:val="1DA12787"/>
    <w:rsid w:val="1DA33B45"/>
    <w:rsid w:val="1DA37930"/>
    <w:rsid w:val="1DAA6C81"/>
    <w:rsid w:val="1DAB06A6"/>
    <w:rsid w:val="1DAC2BE5"/>
    <w:rsid w:val="1DAD5595"/>
    <w:rsid w:val="1DAF076E"/>
    <w:rsid w:val="1DAF4298"/>
    <w:rsid w:val="1DB16262"/>
    <w:rsid w:val="1DB4365C"/>
    <w:rsid w:val="1DB45D52"/>
    <w:rsid w:val="1DB55626"/>
    <w:rsid w:val="1DBA49EB"/>
    <w:rsid w:val="1DBB0E8E"/>
    <w:rsid w:val="1DBC4C07"/>
    <w:rsid w:val="1DBC69B5"/>
    <w:rsid w:val="1DC046F7"/>
    <w:rsid w:val="1DC064A5"/>
    <w:rsid w:val="1DC110DE"/>
    <w:rsid w:val="1DC15D79"/>
    <w:rsid w:val="1DC53ABB"/>
    <w:rsid w:val="1DC57AE4"/>
    <w:rsid w:val="1DC615E1"/>
    <w:rsid w:val="1DC75A85"/>
    <w:rsid w:val="1DCA7323"/>
    <w:rsid w:val="1DCB2234"/>
    <w:rsid w:val="1DCB4E4A"/>
    <w:rsid w:val="1DCB6BF8"/>
    <w:rsid w:val="1DCF4116"/>
    <w:rsid w:val="1DD12460"/>
    <w:rsid w:val="1DD27F86"/>
    <w:rsid w:val="1DD72298"/>
    <w:rsid w:val="1DD97567"/>
    <w:rsid w:val="1DDC5D8A"/>
    <w:rsid w:val="1DDD518B"/>
    <w:rsid w:val="1DDD721A"/>
    <w:rsid w:val="1DDF4451"/>
    <w:rsid w:val="1DE303E5"/>
    <w:rsid w:val="1DE43C6F"/>
    <w:rsid w:val="1DE55F0B"/>
    <w:rsid w:val="1DE94821"/>
    <w:rsid w:val="1DE957BD"/>
    <w:rsid w:val="1DEA4C33"/>
    <w:rsid w:val="1DED3227"/>
    <w:rsid w:val="1DEF28E6"/>
    <w:rsid w:val="1DF04AA7"/>
    <w:rsid w:val="1DF12B02"/>
    <w:rsid w:val="1DF47EFC"/>
    <w:rsid w:val="1DF61EC7"/>
    <w:rsid w:val="1DF648C1"/>
    <w:rsid w:val="1DF75C3F"/>
    <w:rsid w:val="1DF955F9"/>
    <w:rsid w:val="1DFB128B"/>
    <w:rsid w:val="1DFC5003"/>
    <w:rsid w:val="1DFD6643"/>
    <w:rsid w:val="1DFE46A3"/>
    <w:rsid w:val="1DFE6FCD"/>
    <w:rsid w:val="1E0345E3"/>
    <w:rsid w:val="1E081BFA"/>
    <w:rsid w:val="1E0B2298"/>
    <w:rsid w:val="1E0D7210"/>
    <w:rsid w:val="1E0E7789"/>
    <w:rsid w:val="1E0F11DA"/>
    <w:rsid w:val="1E1265D5"/>
    <w:rsid w:val="1E135E59"/>
    <w:rsid w:val="1E162569"/>
    <w:rsid w:val="1E1660C5"/>
    <w:rsid w:val="1E1862E1"/>
    <w:rsid w:val="1E197963"/>
    <w:rsid w:val="1E1B44E3"/>
    <w:rsid w:val="1E1C7453"/>
    <w:rsid w:val="1E1D56A5"/>
    <w:rsid w:val="1E214BB5"/>
    <w:rsid w:val="1E23727D"/>
    <w:rsid w:val="1E256308"/>
    <w:rsid w:val="1E272107"/>
    <w:rsid w:val="1E274306"/>
    <w:rsid w:val="1E285DF8"/>
    <w:rsid w:val="1E2A6014"/>
    <w:rsid w:val="1E2D340E"/>
    <w:rsid w:val="1E2F10AD"/>
    <w:rsid w:val="1E322697"/>
    <w:rsid w:val="1E34141D"/>
    <w:rsid w:val="1E3511F3"/>
    <w:rsid w:val="1E3649B9"/>
    <w:rsid w:val="1E366767"/>
    <w:rsid w:val="1E396257"/>
    <w:rsid w:val="1E3B1FCF"/>
    <w:rsid w:val="1E3C6829"/>
    <w:rsid w:val="1E401394"/>
    <w:rsid w:val="1E405230"/>
    <w:rsid w:val="1E450758"/>
    <w:rsid w:val="1E47311E"/>
    <w:rsid w:val="1E4946EC"/>
    <w:rsid w:val="1E4B4B5A"/>
    <w:rsid w:val="1E4C5F8A"/>
    <w:rsid w:val="1E4D585F"/>
    <w:rsid w:val="1E4E1D03"/>
    <w:rsid w:val="1E4F5A7B"/>
    <w:rsid w:val="1E4F7A48"/>
    <w:rsid w:val="1E51534F"/>
    <w:rsid w:val="1E531879"/>
    <w:rsid w:val="1E535EBD"/>
    <w:rsid w:val="1E544E3F"/>
    <w:rsid w:val="1E5462CF"/>
    <w:rsid w:val="1E5633AE"/>
    <w:rsid w:val="1E5866DD"/>
    <w:rsid w:val="1E5B441F"/>
    <w:rsid w:val="1E5D3CF4"/>
    <w:rsid w:val="1E5D655D"/>
    <w:rsid w:val="1E5E2E50"/>
    <w:rsid w:val="1E6037E4"/>
    <w:rsid w:val="1E650DFA"/>
    <w:rsid w:val="1E661761"/>
    <w:rsid w:val="1E682698"/>
    <w:rsid w:val="1E696B3C"/>
    <w:rsid w:val="1E6C03DB"/>
    <w:rsid w:val="1E6E5F01"/>
    <w:rsid w:val="1E730C3D"/>
    <w:rsid w:val="1E731769"/>
    <w:rsid w:val="1E733517"/>
    <w:rsid w:val="1E74103D"/>
    <w:rsid w:val="1E74728F"/>
    <w:rsid w:val="1E763007"/>
    <w:rsid w:val="1E79724B"/>
    <w:rsid w:val="1E7A43DA"/>
    <w:rsid w:val="1E7E3C6A"/>
    <w:rsid w:val="1E82619E"/>
    <w:rsid w:val="1E8474D2"/>
    <w:rsid w:val="1E85324A"/>
    <w:rsid w:val="1E854FF8"/>
    <w:rsid w:val="1E876FC3"/>
    <w:rsid w:val="1E890F8D"/>
    <w:rsid w:val="1E8A0861"/>
    <w:rsid w:val="1E911BEF"/>
    <w:rsid w:val="1E91399D"/>
    <w:rsid w:val="1E917E41"/>
    <w:rsid w:val="1E9217B7"/>
    <w:rsid w:val="1E921C94"/>
    <w:rsid w:val="1E921EBF"/>
    <w:rsid w:val="1E936DC7"/>
    <w:rsid w:val="1E956402"/>
    <w:rsid w:val="1E961C3D"/>
    <w:rsid w:val="1E965458"/>
    <w:rsid w:val="1E9845F0"/>
    <w:rsid w:val="1E9A4645"/>
    <w:rsid w:val="1E9A4F48"/>
    <w:rsid w:val="1E9B0CC0"/>
    <w:rsid w:val="1E9D0594"/>
    <w:rsid w:val="1E9E304B"/>
    <w:rsid w:val="1EA02D82"/>
    <w:rsid w:val="1EA062D6"/>
    <w:rsid w:val="1EA164D8"/>
    <w:rsid w:val="1EA26876"/>
    <w:rsid w:val="1EA42B93"/>
    <w:rsid w:val="1EA47B74"/>
    <w:rsid w:val="1EA638ED"/>
    <w:rsid w:val="1EA70084"/>
    <w:rsid w:val="1EA75ED9"/>
    <w:rsid w:val="1EA90CE7"/>
    <w:rsid w:val="1EAF2075"/>
    <w:rsid w:val="1EB15DEE"/>
    <w:rsid w:val="1EB27BD0"/>
    <w:rsid w:val="1EB311F8"/>
    <w:rsid w:val="1EB4196B"/>
    <w:rsid w:val="1EB7618D"/>
    <w:rsid w:val="1EBA1146"/>
    <w:rsid w:val="1EBB6C6C"/>
    <w:rsid w:val="1EBC3110"/>
    <w:rsid w:val="1EBD0C36"/>
    <w:rsid w:val="1EBF50DB"/>
    <w:rsid w:val="1EC0236C"/>
    <w:rsid w:val="1EC024D4"/>
    <w:rsid w:val="1EC32152"/>
    <w:rsid w:val="1EC51899"/>
    <w:rsid w:val="1EC73863"/>
    <w:rsid w:val="1ECB5698"/>
    <w:rsid w:val="1ECC0E79"/>
    <w:rsid w:val="1ECC70CB"/>
    <w:rsid w:val="1ECE5781"/>
    <w:rsid w:val="1ED038BC"/>
    <w:rsid w:val="1ED146E2"/>
    <w:rsid w:val="1ED55F80"/>
    <w:rsid w:val="1ED63AA6"/>
    <w:rsid w:val="1ED815CC"/>
    <w:rsid w:val="1EDA5344"/>
    <w:rsid w:val="1EDB10BC"/>
    <w:rsid w:val="1EDB5833"/>
    <w:rsid w:val="1EDC6788"/>
    <w:rsid w:val="1EDD4E34"/>
    <w:rsid w:val="1EE066D3"/>
    <w:rsid w:val="1EE14925"/>
    <w:rsid w:val="1EE35706"/>
    <w:rsid w:val="1EE73F05"/>
    <w:rsid w:val="1EE75146"/>
    <w:rsid w:val="1EE81578"/>
    <w:rsid w:val="1EE833D9"/>
    <w:rsid w:val="1EEA1E45"/>
    <w:rsid w:val="1EEC67B8"/>
    <w:rsid w:val="1EF04B68"/>
    <w:rsid w:val="1EF65C58"/>
    <w:rsid w:val="1EF65EF6"/>
    <w:rsid w:val="1EF81C6E"/>
    <w:rsid w:val="1EFA0440"/>
    <w:rsid w:val="1EFC175F"/>
    <w:rsid w:val="1EFD1033"/>
    <w:rsid w:val="1EFD3064"/>
    <w:rsid w:val="1F00466F"/>
    <w:rsid w:val="1F02489B"/>
    <w:rsid w:val="1F047610"/>
    <w:rsid w:val="1F066139"/>
    <w:rsid w:val="1F070103"/>
    <w:rsid w:val="1F071EB1"/>
    <w:rsid w:val="1F0979D8"/>
    <w:rsid w:val="1F0A5310"/>
    <w:rsid w:val="1F0C74C8"/>
    <w:rsid w:val="1F0F7F9A"/>
    <w:rsid w:val="1F120F82"/>
    <w:rsid w:val="1F125588"/>
    <w:rsid w:val="1F144125"/>
    <w:rsid w:val="1F170346"/>
    <w:rsid w:val="1F17379D"/>
    <w:rsid w:val="1F195CE1"/>
    <w:rsid w:val="1F1A1BE5"/>
    <w:rsid w:val="1F1B03F8"/>
    <w:rsid w:val="1F1F544D"/>
    <w:rsid w:val="1F2056A8"/>
    <w:rsid w:val="1F2111C5"/>
    <w:rsid w:val="1F234F3D"/>
    <w:rsid w:val="1F240D25"/>
    <w:rsid w:val="1F244811"/>
    <w:rsid w:val="1F253E23"/>
    <w:rsid w:val="1F2667DB"/>
    <w:rsid w:val="1F282554"/>
    <w:rsid w:val="1F2965E7"/>
    <w:rsid w:val="1F2B27BB"/>
    <w:rsid w:val="1F2B3DF2"/>
    <w:rsid w:val="1F2C36C6"/>
    <w:rsid w:val="1F2F3D0D"/>
    <w:rsid w:val="1F301408"/>
    <w:rsid w:val="1F3031B6"/>
    <w:rsid w:val="1F33268E"/>
    <w:rsid w:val="1F3507CD"/>
    <w:rsid w:val="1F354C71"/>
    <w:rsid w:val="1F3709E9"/>
    <w:rsid w:val="1F374545"/>
    <w:rsid w:val="1F3C5FFF"/>
    <w:rsid w:val="1F3D4BD0"/>
    <w:rsid w:val="1F3D58D3"/>
    <w:rsid w:val="1F3E18CF"/>
    <w:rsid w:val="1F3E1D77"/>
    <w:rsid w:val="1F3F33F9"/>
    <w:rsid w:val="1F3F5AEF"/>
    <w:rsid w:val="1F437CC6"/>
    <w:rsid w:val="1F443106"/>
    <w:rsid w:val="1F470500"/>
    <w:rsid w:val="1F481D86"/>
    <w:rsid w:val="1F486752"/>
    <w:rsid w:val="1F4D759D"/>
    <w:rsid w:val="1F4E188E"/>
    <w:rsid w:val="1F4E5FB5"/>
    <w:rsid w:val="1F5008F0"/>
    <w:rsid w:val="1F511C17"/>
    <w:rsid w:val="1F51312D"/>
    <w:rsid w:val="1F533349"/>
    <w:rsid w:val="1F536EA5"/>
    <w:rsid w:val="1F552C1D"/>
    <w:rsid w:val="1F555A28"/>
    <w:rsid w:val="1F57027B"/>
    <w:rsid w:val="1F5A5839"/>
    <w:rsid w:val="1F5A6485"/>
    <w:rsid w:val="1F5B20EC"/>
    <w:rsid w:val="1F5C15E9"/>
    <w:rsid w:val="1F5C1E2E"/>
    <w:rsid w:val="1F5D5785"/>
    <w:rsid w:val="1F5E41C7"/>
    <w:rsid w:val="1F60301D"/>
    <w:rsid w:val="1F6115C2"/>
    <w:rsid w:val="1F615A66"/>
    <w:rsid w:val="1F617094"/>
    <w:rsid w:val="1F62533A"/>
    <w:rsid w:val="1F62655F"/>
    <w:rsid w:val="1F63408D"/>
    <w:rsid w:val="1F635CD3"/>
    <w:rsid w:val="1F646AD2"/>
    <w:rsid w:val="1F66307C"/>
    <w:rsid w:val="1F672A94"/>
    <w:rsid w:val="1F6C0CCA"/>
    <w:rsid w:val="1F6D7F66"/>
    <w:rsid w:val="1F6E513F"/>
    <w:rsid w:val="1F707A57"/>
    <w:rsid w:val="1F71586D"/>
    <w:rsid w:val="1F7237CF"/>
    <w:rsid w:val="1F72557D"/>
    <w:rsid w:val="1F747257"/>
    <w:rsid w:val="1F7532BF"/>
    <w:rsid w:val="1F754607"/>
    <w:rsid w:val="1F7F7C9A"/>
    <w:rsid w:val="1F813A12"/>
    <w:rsid w:val="1F817EB6"/>
    <w:rsid w:val="1F833C2E"/>
    <w:rsid w:val="1F8359DC"/>
    <w:rsid w:val="1F842044"/>
    <w:rsid w:val="1F880941"/>
    <w:rsid w:val="1F8B4890"/>
    <w:rsid w:val="1F8C0D61"/>
    <w:rsid w:val="1F8C5E74"/>
    <w:rsid w:val="1F8D2690"/>
    <w:rsid w:val="1F8F4381"/>
    <w:rsid w:val="1F930BDA"/>
    <w:rsid w:val="1F9A2D26"/>
    <w:rsid w:val="1F9C084C"/>
    <w:rsid w:val="1F9C6A9E"/>
    <w:rsid w:val="1F9E2816"/>
    <w:rsid w:val="1FA0658E"/>
    <w:rsid w:val="1FA33D7E"/>
    <w:rsid w:val="1FA52578"/>
    <w:rsid w:val="1FA616CA"/>
    <w:rsid w:val="1FA83694"/>
    <w:rsid w:val="1FAD2D92"/>
    <w:rsid w:val="1FAD7985"/>
    <w:rsid w:val="1FB45B95"/>
    <w:rsid w:val="1FB65DB1"/>
    <w:rsid w:val="1FB66096"/>
    <w:rsid w:val="1FB73434"/>
    <w:rsid w:val="1FBA251E"/>
    <w:rsid w:val="1FBB33C8"/>
    <w:rsid w:val="1FBB607B"/>
    <w:rsid w:val="1FBC4A4A"/>
    <w:rsid w:val="1FBC7140"/>
    <w:rsid w:val="1FBF453A"/>
    <w:rsid w:val="1FC102B2"/>
    <w:rsid w:val="1FC16504"/>
    <w:rsid w:val="1FC3227C"/>
    <w:rsid w:val="1FC41B50"/>
    <w:rsid w:val="1FC4505B"/>
    <w:rsid w:val="1FC508AF"/>
    <w:rsid w:val="1FC50FA2"/>
    <w:rsid w:val="1FC54543"/>
    <w:rsid w:val="1FC55C88"/>
    <w:rsid w:val="1FC658C9"/>
    <w:rsid w:val="1FC730E4"/>
    <w:rsid w:val="1FC86C36"/>
    <w:rsid w:val="1FC87893"/>
    <w:rsid w:val="1FC90EF8"/>
    <w:rsid w:val="1FC97167"/>
    <w:rsid w:val="1FC972B5"/>
    <w:rsid w:val="1FCD0175"/>
    <w:rsid w:val="1FCF29CF"/>
    <w:rsid w:val="1FCF4ADF"/>
    <w:rsid w:val="1FD34686"/>
    <w:rsid w:val="1FD47844"/>
    <w:rsid w:val="1FD47FE6"/>
    <w:rsid w:val="1FD5059D"/>
    <w:rsid w:val="1FD61FB0"/>
    <w:rsid w:val="1FDB2A52"/>
    <w:rsid w:val="1FDC50EC"/>
    <w:rsid w:val="1FDE0154"/>
    <w:rsid w:val="1FDE70B6"/>
    <w:rsid w:val="1FE16BA6"/>
    <w:rsid w:val="1FE43FA1"/>
    <w:rsid w:val="1FE553C2"/>
    <w:rsid w:val="1FE7539E"/>
    <w:rsid w:val="1FE81CE3"/>
    <w:rsid w:val="1FE86261"/>
    <w:rsid w:val="1FEA74BE"/>
    <w:rsid w:val="1FEA7809"/>
    <w:rsid w:val="1FEB3581"/>
    <w:rsid w:val="1FEF6BCD"/>
    <w:rsid w:val="1FF42436"/>
    <w:rsid w:val="1FF561AE"/>
    <w:rsid w:val="1FF57F5C"/>
    <w:rsid w:val="1FF8773E"/>
    <w:rsid w:val="1FFE32B4"/>
    <w:rsid w:val="20016901"/>
    <w:rsid w:val="20054643"/>
    <w:rsid w:val="20062169"/>
    <w:rsid w:val="20085EE1"/>
    <w:rsid w:val="200B169A"/>
    <w:rsid w:val="200C2FED"/>
    <w:rsid w:val="200D61B7"/>
    <w:rsid w:val="200E0542"/>
    <w:rsid w:val="200F101E"/>
    <w:rsid w:val="200F70A9"/>
    <w:rsid w:val="2011123A"/>
    <w:rsid w:val="20124FB2"/>
    <w:rsid w:val="201523AC"/>
    <w:rsid w:val="201605FE"/>
    <w:rsid w:val="20166850"/>
    <w:rsid w:val="20174376"/>
    <w:rsid w:val="201E6FC3"/>
    <w:rsid w:val="20230F6D"/>
    <w:rsid w:val="20234AC9"/>
    <w:rsid w:val="20286583"/>
    <w:rsid w:val="202A5BD2"/>
    <w:rsid w:val="202C6073"/>
    <w:rsid w:val="202D3B9A"/>
    <w:rsid w:val="202D5948"/>
    <w:rsid w:val="20303324"/>
    <w:rsid w:val="20307817"/>
    <w:rsid w:val="203171E6"/>
    <w:rsid w:val="203211B0"/>
    <w:rsid w:val="20344F28"/>
    <w:rsid w:val="20350E73"/>
    <w:rsid w:val="20362A4E"/>
    <w:rsid w:val="203767C6"/>
    <w:rsid w:val="203821AD"/>
    <w:rsid w:val="203942EC"/>
    <w:rsid w:val="203B0065"/>
    <w:rsid w:val="203B1E13"/>
    <w:rsid w:val="203C3DDD"/>
    <w:rsid w:val="203D583D"/>
    <w:rsid w:val="203E5DA7"/>
    <w:rsid w:val="2040567B"/>
    <w:rsid w:val="204131A1"/>
    <w:rsid w:val="20427645"/>
    <w:rsid w:val="2043516B"/>
    <w:rsid w:val="20442FE5"/>
    <w:rsid w:val="2048266C"/>
    <w:rsid w:val="20482782"/>
    <w:rsid w:val="20484530"/>
    <w:rsid w:val="204A64FA"/>
    <w:rsid w:val="204D1B46"/>
    <w:rsid w:val="204E2151"/>
    <w:rsid w:val="204F3B10"/>
    <w:rsid w:val="204F58BE"/>
    <w:rsid w:val="20504C0F"/>
    <w:rsid w:val="20524DA8"/>
    <w:rsid w:val="20547378"/>
    <w:rsid w:val="205630F0"/>
    <w:rsid w:val="20567872"/>
    <w:rsid w:val="20586E69"/>
    <w:rsid w:val="205B0707"/>
    <w:rsid w:val="205D447F"/>
    <w:rsid w:val="20601879"/>
    <w:rsid w:val="20605D1D"/>
    <w:rsid w:val="206155F1"/>
    <w:rsid w:val="20653333"/>
    <w:rsid w:val="20670E5A"/>
    <w:rsid w:val="20671BE0"/>
    <w:rsid w:val="206A0777"/>
    <w:rsid w:val="206A0C3C"/>
    <w:rsid w:val="206A6B9C"/>
    <w:rsid w:val="206C021E"/>
    <w:rsid w:val="206D21E8"/>
    <w:rsid w:val="207109C7"/>
    <w:rsid w:val="207215AC"/>
    <w:rsid w:val="20735512"/>
    <w:rsid w:val="2076109D"/>
    <w:rsid w:val="20765541"/>
    <w:rsid w:val="2077343C"/>
    <w:rsid w:val="2079293B"/>
    <w:rsid w:val="207E43F5"/>
    <w:rsid w:val="20801F1B"/>
    <w:rsid w:val="20825C93"/>
    <w:rsid w:val="208337BA"/>
    <w:rsid w:val="20835CCB"/>
    <w:rsid w:val="20841E8F"/>
    <w:rsid w:val="20855784"/>
    <w:rsid w:val="208714FC"/>
    <w:rsid w:val="208E5AB1"/>
    <w:rsid w:val="208F6602"/>
    <w:rsid w:val="2091237A"/>
    <w:rsid w:val="20915ED7"/>
    <w:rsid w:val="209239FD"/>
    <w:rsid w:val="20937EA1"/>
    <w:rsid w:val="20963CB8"/>
    <w:rsid w:val="209669C5"/>
    <w:rsid w:val="209854B7"/>
    <w:rsid w:val="20987265"/>
    <w:rsid w:val="209A142B"/>
    <w:rsid w:val="209D2ACD"/>
    <w:rsid w:val="209D487B"/>
    <w:rsid w:val="209E05F3"/>
    <w:rsid w:val="20A16252"/>
    <w:rsid w:val="20A16408"/>
    <w:rsid w:val="20A3249B"/>
    <w:rsid w:val="20A42459"/>
    <w:rsid w:val="20A774A8"/>
    <w:rsid w:val="20A81A1B"/>
    <w:rsid w:val="20A91472"/>
    <w:rsid w:val="20AB232C"/>
    <w:rsid w:val="20AC0F62"/>
    <w:rsid w:val="20AC4ABE"/>
    <w:rsid w:val="20AD0878"/>
    <w:rsid w:val="20B03D2F"/>
    <w:rsid w:val="20B07FB6"/>
    <w:rsid w:val="20B112FE"/>
    <w:rsid w:val="20B135CD"/>
    <w:rsid w:val="20B322F1"/>
    <w:rsid w:val="20B3409F"/>
    <w:rsid w:val="20B646FB"/>
    <w:rsid w:val="20B65D0B"/>
    <w:rsid w:val="20B816B5"/>
    <w:rsid w:val="20BB11A5"/>
    <w:rsid w:val="20BC55C4"/>
    <w:rsid w:val="20BE2A44"/>
    <w:rsid w:val="20CA48D9"/>
    <w:rsid w:val="20CC5161"/>
    <w:rsid w:val="20CC5834"/>
    <w:rsid w:val="20CE02EB"/>
    <w:rsid w:val="20CE2C87"/>
    <w:rsid w:val="20D64231"/>
    <w:rsid w:val="20DC38FA"/>
    <w:rsid w:val="20DD2ECA"/>
    <w:rsid w:val="20DD55C0"/>
    <w:rsid w:val="20DF30E6"/>
    <w:rsid w:val="20DF4EBD"/>
    <w:rsid w:val="20E24984"/>
    <w:rsid w:val="20E6394D"/>
    <w:rsid w:val="20EE157B"/>
    <w:rsid w:val="20EE3329"/>
    <w:rsid w:val="20EF2BFD"/>
    <w:rsid w:val="20F052F3"/>
    <w:rsid w:val="20F12E19"/>
    <w:rsid w:val="20F14BC7"/>
    <w:rsid w:val="20F16975"/>
    <w:rsid w:val="20F2221A"/>
    <w:rsid w:val="20F3093F"/>
    <w:rsid w:val="20F52909"/>
    <w:rsid w:val="20F5319F"/>
    <w:rsid w:val="20F621DE"/>
    <w:rsid w:val="20F748D2"/>
    <w:rsid w:val="20F841A8"/>
    <w:rsid w:val="20F87D04"/>
    <w:rsid w:val="20F94B3B"/>
    <w:rsid w:val="20FC3C98"/>
    <w:rsid w:val="20FD17BE"/>
    <w:rsid w:val="20FD356C"/>
    <w:rsid w:val="21022930"/>
    <w:rsid w:val="210448FA"/>
    <w:rsid w:val="210B3EDB"/>
    <w:rsid w:val="210C7C53"/>
    <w:rsid w:val="210F6433"/>
    <w:rsid w:val="21110DC5"/>
    <w:rsid w:val="2111387D"/>
    <w:rsid w:val="21124CCD"/>
    <w:rsid w:val="21141A65"/>
    <w:rsid w:val="2114232A"/>
    <w:rsid w:val="211508B6"/>
    <w:rsid w:val="21157E5B"/>
    <w:rsid w:val="2116462E"/>
    <w:rsid w:val="2117534C"/>
    <w:rsid w:val="211C55DD"/>
    <w:rsid w:val="211C7E96"/>
    <w:rsid w:val="211F1734"/>
    <w:rsid w:val="21242CAC"/>
    <w:rsid w:val="21244D7F"/>
    <w:rsid w:val="212705E9"/>
    <w:rsid w:val="21271BF9"/>
    <w:rsid w:val="212B00D9"/>
    <w:rsid w:val="212C5C64"/>
    <w:rsid w:val="212D20A3"/>
    <w:rsid w:val="212E5E1B"/>
    <w:rsid w:val="212E7BC9"/>
    <w:rsid w:val="21303941"/>
    <w:rsid w:val="21311468"/>
    <w:rsid w:val="21315EF3"/>
    <w:rsid w:val="213230B3"/>
    <w:rsid w:val="21380A48"/>
    <w:rsid w:val="213827F6"/>
    <w:rsid w:val="21383383"/>
    <w:rsid w:val="213A47C0"/>
    <w:rsid w:val="213B74B1"/>
    <w:rsid w:val="213C3352"/>
    <w:rsid w:val="213D1BBA"/>
    <w:rsid w:val="213E7CB3"/>
    <w:rsid w:val="213F1DD6"/>
    <w:rsid w:val="213F6A3F"/>
    <w:rsid w:val="21450107"/>
    <w:rsid w:val="21464F13"/>
    <w:rsid w:val="21486EDD"/>
    <w:rsid w:val="214B42D7"/>
    <w:rsid w:val="214C004F"/>
    <w:rsid w:val="214D1730"/>
    <w:rsid w:val="214D44F3"/>
    <w:rsid w:val="214E3DC8"/>
    <w:rsid w:val="21506A8D"/>
    <w:rsid w:val="215154DC"/>
    <w:rsid w:val="21551FEB"/>
    <w:rsid w:val="21562C7C"/>
    <w:rsid w:val="21570ECE"/>
    <w:rsid w:val="21584C46"/>
    <w:rsid w:val="215A2310"/>
    <w:rsid w:val="215D04AF"/>
    <w:rsid w:val="215F2E23"/>
    <w:rsid w:val="215F4227"/>
    <w:rsid w:val="21602400"/>
    <w:rsid w:val="21621621"/>
    <w:rsid w:val="21645399"/>
    <w:rsid w:val="21647C06"/>
    <w:rsid w:val="21657C15"/>
    <w:rsid w:val="216655B5"/>
    <w:rsid w:val="21667363"/>
    <w:rsid w:val="21672CBE"/>
    <w:rsid w:val="216740BA"/>
    <w:rsid w:val="21682FD8"/>
    <w:rsid w:val="216A30E1"/>
    <w:rsid w:val="216B7424"/>
    <w:rsid w:val="216C266A"/>
    <w:rsid w:val="216D7C60"/>
    <w:rsid w:val="216E7FC6"/>
    <w:rsid w:val="21751354"/>
    <w:rsid w:val="21787096"/>
    <w:rsid w:val="21787EF5"/>
    <w:rsid w:val="217A696B"/>
    <w:rsid w:val="217D46AD"/>
    <w:rsid w:val="217D645B"/>
    <w:rsid w:val="218002A9"/>
    <w:rsid w:val="21817CF9"/>
    <w:rsid w:val="21845A3B"/>
    <w:rsid w:val="218477E9"/>
    <w:rsid w:val="21863561"/>
    <w:rsid w:val="2187050F"/>
    <w:rsid w:val="218814FF"/>
    <w:rsid w:val="218912A4"/>
    <w:rsid w:val="218A325D"/>
    <w:rsid w:val="218A33B2"/>
    <w:rsid w:val="218B501C"/>
    <w:rsid w:val="218B7932"/>
    <w:rsid w:val="218C499A"/>
    <w:rsid w:val="218D48F0"/>
    <w:rsid w:val="21902632"/>
    <w:rsid w:val="219043E0"/>
    <w:rsid w:val="21917E66"/>
    <w:rsid w:val="21924322"/>
    <w:rsid w:val="21937A2C"/>
    <w:rsid w:val="219723DC"/>
    <w:rsid w:val="21983295"/>
    <w:rsid w:val="219B4EB1"/>
    <w:rsid w:val="219D08AB"/>
    <w:rsid w:val="219E23A2"/>
    <w:rsid w:val="219E6AFD"/>
    <w:rsid w:val="219F0AC7"/>
    <w:rsid w:val="21A165ED"/>
    <w:rsid w:val="21A34113"/>
    <w:rsid w:val="21A41C3A"/>
    <w:rsid w:val="21A460DD"/>
    <w:rsid w:val="21A60522"/>
    <w:rsid w:val="21A62A98"/>
    <w:rsid w:val="21A97F58"/>
    <w:rsid w:val="21AB746C"/>
    <w:rsid w:val="21AC0622"/>
    <w:rsid w:val="21AE4866"/>
    <w:rsid w:val="21AF0D0A"/>
    <w:rsid w:val="21B372C8"/>
    <w:rsid w:val="21B46321"/>
    <w:rsid w:val="21B52099"/>
    <w:rsid w:val="21B75E11"/>
    <w:rsid w:val="21B921AC"/>
    <w:rsid w:val="21BA76AF"/>
    <w:rsid w:val="21BC51D5"/>
    <w:rsid w:val="21BD2522"/>
    <w:rsid w:val="21BE5ADD"/>
    <w:rsid w:val="21BE719F"/>
    <w:rsid w:val="21BF4CC5"/>
    <w:rsid w:val="21C1035B"/>
    <w:rsid w:val="21C172B9"/>
    <w:rsid w:val="21C23786"/>
    <w:rsid w:val="21C3032A"/>
    <w:rsid w:val="21C347B6"/>
    <w:rsid w:val="21C4472F"/>
    <w:rsid w:val="21C85928"/>
    <w:rsid w:val="21C969FA"/>
    <w:rsid w:val="21CB5418"/>
    <w:rsid w:val="21CB7C5D"/>
    <w:rsid w:val="21D02A2F"/>
    <w:rsid w:val="21D267A7"/>
    <w:rsid w:val="21D27B04"/>
    <w:rsid w:val="21D40771"/>
    <w:rsid w:val="21D7200F"/>
    <w:rsid w:val="21D95D87"/>
    <w:rsid w:val="21DC7625"/>
    <w:rsid w:val="21DD349D"/>
    <w:rsid w:val="21DE318A"/>
    <w:rsid w:val="21DF17AC"/>
    <w:rsid w:val="21DF2C72"/>
    <w:rsid w:val="21E12E8E"/>
    <w:rsid w:val="21E14C3C"/>
    <w:rsid w:val="21E309B4"/>
    <w:rsid w:val="21E40288"/>
    <w:rsid w:val="21E40D7C"/>
    <w:rsid w:val="21E6673E"/>
    <w:rsid w:val="21E93AF0"/>
    <w:rsid w:val="21ED35E0"/>
    <w:rsid w:val="21EE1107"/>
    <w:rsid w:val="21EE3C77"/>
    <w:rsid w:val="21EF5B80"/>
    <w:rsid w:val="21EF7359"/>
    <w:rsid w:val="21F11323"/>
    <w:rsid w:val="21F229A5"/>
    <w:rsid w:val="21F41A5B"/>
    <w:rsid w:val="21F4671D"/>
    <w:rsid w:val="21F52495"/>
    <w:rsid w:val="21F7445F"/>
    <w:rsid w:val="21F901D7"/>
    <w:rsid w:val="21FA5CFD"/>
    <w:rsid w:val="21FB60D3"/>
    <w:rsid w:val="21FD44F5"/>
    <w:rsid w:val="21FE134A"/>
    <w:rsid w:val="21FE759C"/>
    <w:rsid w:val="22001566"/>
    <w:rsid w:val="2203697F"/>
    <w:rsid w:val="22056B7C"/>
    <w:rsid w:val="220A4192"/>
    <w:rsid w:val="220B3A67"/>
    <w:rsid w:val="220D77DF"/>
    <w:rsid w:val="2210107D"/>
    <w:rsid w:val="22105521"/>
    <w:rsid w:val="2217065D"/>
    <w:rsid w:val="221A521B"/>
    <w:rsid w:val="221B6805"/>
    <w:rsid w:val="221C5C74"/>
    <w:rsid w:val="2221328A"/>
    <w:rsid w:val="2222290C"/>
    <w:rsid w:val="22245E0F"/>
    <w:rsid w:val="22252D7A"/>
    <w:rsid w:val="222A0391"/>
    <w:rsid w:val="222B72CC"/>
    <w:rsid w:val="222D7E81"/>
    <w:rsid w:val="222F1E4B"/>
    <w:rsid w:val="222F2143"/>
    <w:rsid w:val="223631D9"/>
    <w:rsid w:val="22364F87"/>
    <w:rsid w:val="22366077"/>
    <w:rsid w:val="22370D00"/>
    <w:rsid w:val="22382B76"/>
    <w:rsid w:val="223B07F0"/>
    <w:rsid w:val="223B259E"/>
    <w:rsid w:val="22405E06"/>
    <w:rsid w:val="2240757D"/>
    <w:rsid w:val="22421B7E"/>
    <w:rsid w:val="22431452"/>
    <w:rsid w:val="22437026"/>
    <w:rsid w:val="224551CB"/>
    <w:rsid w:val="22471CDD"/>
    <w:rsid w:val="22482B79"/>
    <w:rsid w:val="22484CBB"/>
    <w:rsid w:val="22486A69"/>
    <w:rsid w:val="224A0A33"/>
    <w:rsid w:val="224B759E"/>
    <w:rsid w:val="224C3DF6"/>
    <w:rsid w:val="224D0523"/>
    <w:rsid w:val="22536718"/>
    <w:rsid w:val="225638D6"/>
    <w:rsid w:val="22572153"/>
    <w:rsid w:val="22573150"/>
    <w:rsid w:val="225742BF"/>
    <w:rsid w:val="22576990"/>
    <w:rsid w:val="22590C76"/>
    <w:rsid w:val="225D0CCB"/>
    <w:rsid w:val="225D758A"/>
    <w:rsid w:val="225F2771"/>
    <w:rsid w:val="22603DB2"/>
    <w:rsid w:val="226539C8"/>
    <w:rsid w:val="226715E5"/>
    <w:rsid w:val="226C5ABC"/>
    <w:rsid w:val="226D4721"/>
    <w:rsid w:val="226D64CF"/>
    <w:rsid w:val="226E4DC2"/>
    <w:rsid w:val="22747619"/>
    <w:rsid w:val="2274785E"/>
    <w:rsid w:val="227855A0"/>
    <w:rsid w:val="227930C6"/>
    <w:rsid w:val="227D021A"/>
    <w:rsid w:val="227E248B"/>
    <w:rsid w:val="227E27AB"/>
    <w:rsid w:val="227E57E5"/>
    <w:rsid w:val="228026A7"/>
    <w:rsid w:val="228201CD"/>
    <w:rsid w:val="22843E91"/>
    <w:rsid w:val="22877591"/>
    <w:rsid w:val="228A0E2F"/>
    <w:rsid w:val="228B32BB"/>
    <w:rsid w:val="228C4BA7"/>
    <w:rsid w:val="228C7DBD"/>
    <w:rsid w:val="228E4DC3"/>
    <w:rsid w:val="228F28EA"/>
    <w:rsid w:val="228F4698"/>
    <w:rsid w:val="228F6446"/>
    <w:rsid w:val="228F7EA9"/>
    <w:rsid w:val="22995516"/>
    <w:rsid w:val="229B128E"/>
    <w:rsid w:val="229D08A0"/>
    <w:rsid w:val="229E0D7F"/>
    <w:rsid w:val="229E48DB"/>
    <w:rsid w:val="22A15F6F"/>
    <w:rsid w:val="22A75E85"/>
    <w:rsid w:val="22A77C33"/>
    <w:rsid w:val="22A83E6A"/>
    <w:rsid w:val="22AA3280"/>
    <w:rsid w:val="22AB1BF2"/>
    <w:rsid w:val="22AD2D70"/>
    <w:rsid w:val="22AE0FC2"/>
    <w:rsid w:val="22B002C2"/>
    <w:rsid w:val="22B365D8"/>
    <w:rsid w:val="22B53328"/>
    <w:rsid w:val="22B660C8"/>
    <w:rsid w:val="22BB3D01"/>
    <w:rsid w:val="22BB7D0D"/>
    <w:rsid w:val="22BD4D30"/>
    <w:rsid w:val="22BF31CF"/>
    <w:rsid w:val="22C00CF5"/>
    <w:rsid w:val="22C205C9"/>
    <w:rsid w:val="22C34341"/>
    <w:rsid w:val="22C5455D"/>
    <w:rsid w:val="22C63C15"/>
    <w:rsid w:val="22C745EF"/>
    <w:rsid w:val="22C845EB"/>
    <w:rsid w:val="22C9572A"/>
    <w:rsid w:val="22CB70E1"/>
    <w:rsid w:val="22CC58EC"/>
    <w:rsid w:val="22CC769A"/>
    <w:rsid w:val="22CD6F6E"/>
    <w:rsid w:val="22CF0F38"/>
    <w:rsid w:val="22CF2CE6"/>
    <w:rsid w:val="22CF3D89"/>
    <w:rsid w:val="22CF718A"/>
    <w:rsid w:val="22D327D6"/>
    <w:rsid w:val="22D4654E"/>
    <w:rsid w:val="22D61E2F"/>
    <w:rsid w:val="22D7777E"/>
    <w:rsid w:val="22D87DED"/>
    <w:rsid w:val="22DB5B2F"/>
    <w:rsid w:val="22E471B1"/>
    <w:rsid w:val="22E569AE"/>
    <w:rsid w:val="22E74B9C"/>
    <w:rsid w:val="22E80703"/>
    <w:rsid w:val="22E91FFA"/>
    <w:rsid w:val="22EA05C1"/>
    <w:rsid w:val="22EB3FC4"/>
    <w:rsid w:val="22EC4B34"/>
    <w:rsid w:val="22EC5646"/>
    <w:rsid w:val="22EE13BE"/>
    <w:rsid w:val="22F015DA"/>
    <w:rsid w:val="22F17100"/>
    <w:rsid w:val="22F31C41"/>
    <w:rsid w:val="22F4099F"/>
    <w:rsid w:val="22F4274D"/>
    <w:rsid w:val="22F47480"/>
    <w:rsid w:val="22F56BF1"/>
    <w:rsid w:val="22F745CD"/>
    <w:rsid w:val="22F8048F"/>
    <w:rsid w:val="22F917D2"/>
    <w:rsid w:val="22FB7F7F"/>
    <w:rsid w:val="22FC5AF3"/>
    <w:rsid w:val="22FD42C4"/>
    <w:rsid w:val="230010F2"/>
    <w:rsid w:val="23045086"/>
    <w:rsid w:val="23052BAC"/>
    <w:rsid w:val="23065F21"/>
    <w:rsid w:val="23072480"/>
    <w:rsid w:val="2309269C"/>
    <w:rsid w:val="23097387"/>
    <w:rsid w:val="230C3F3A"/>
    <w:rsid w:val="230C7A96"/>
    <w:rsid w:val="230D7AA3"/>
    <w:rsid w:val="231132FF"/>
    <w:rsid w:val="231A0405"/>
    <w:rsid w:val="231B1C48"/>
    <w:rsid w:val="231B23CF"/>
    <w:rsid w:val="231B417D"/>
    <w:rsid w:val="231D6147"/>
    <w:rsid w:val="231F24D6"/>
    <w:rsid w:val="23201794"/>
    <w:rsid w:val="232079E6"/>
    <w:rsid w:val="2322375E"/>
    <w:rsid w:val="232272BA"/>
    <w:rsid w:val="232748D0"/>
    <w:rsid w:val="23290CD7"/>
    <w:rsid w:val="232B5778"/>
    <w:rsid w:val="232C0139"/>
    <w:rsid w:val="232E2103"/>
    <w:rsid w:val="232E5C5F"/>
    <w:rsid w:val="232F1757"/>
    <w:rsid w:val="232F7A34"/>
    <w:rsid w:val="2330691C"/>
    <w:rsid w:val="2331574F"/>
    <w:rsid w:val="23333275"/>
    <w:rsid w:val="23341448"/>
    <w:rsid w:val="23360FB7"/>
    <w:rsid w:val="2336162A"/>
    <w:rsid w:val="233649D3"/>
    <w:rsid w:val="23377209"/>
    <w:rsid w:val="23384D2F"/>
    <w:rsid w:val="2338762A"/>
    <w:rsid w:val="23393759"/>
    <w:rsid w:val="233E1464"/>
    <w:rsid w:val="233F4233"/>
    <w:rsid w:val="23411E36"/>
    <w:rsid w:val="23445482"/>
    <w:rsid w:val="23464A4E"/>
    <w:rsid w:val="2346744C"/>
    <w:rsid w:val="23474F72"/>
    <w:rsid w:val="23476D20"/>
    <w:rsid w:val="234B506B"/>
    <w:rsid w:val="235002CB"/>
    <w:rsid w:val="23515DF1"/>
    <w:rsid w:val="23521AD3"/>
    <w:rsid w:val="235356C5"/>
    <w:rsid w:val="2355768F"/>
    <w:rsid w:val="23563407"/>
    <w:rsid w:val="23576273"/>
    <w:rsid w:val="235A1178"/>
    <w:rsid w:val="235A693F"/>
    <w:rsid w:val="235C6C70"/>
    <w:rsid w:val="235F406A"/>
    <w:rsid w:val="235F5B97"/>
    <w:rsid w:val="23601CC6"/>
    <w:rsid w:val="23615928"/>
    <w:rsid w:val="23621DAC"/>
    <w:rsid w:val="23627FFE"/>
    <w:rsid w:val="23632CE5"/>
    <w:rsid w:val="236553F8"/>
    <w:rsid w:val="2369138D"/>
    <w:rsid w:val="23700025"/>
    <w:rsid w:val="23713D9D"/>
    <w:rsid w:val="23737B15"/>
    <w:rsid w:val="23751ADF"/>
    <w:rsid w:val="23766ABD"/>
    <w:rsid w:val="23767606"/>
    <w:rsid w:val="23775858"/>
    <w:rsid w:val="23782976"/>
    <w:rsid w:val="237B69CA"/>
    <w:rsid w:val="237C2438"/>
    <w:rsid w:val="237D2742"/>
    <w:rsid w:val="237D6BE6"/>
    <w:rsid w:val="23810484"/>
    <w:rsid w:val="238241FC"/>
    <w:rsid w:val="238803A7"/>
    <w:rsid w:val="23880ED2"/>
    <w:rsid w:val="2389558B"/>
    <w:rsid w:val="238A092E"/>
    <w:rsid w:val="238B1303"/>
    <w:rsid w:val="238B2FAB"/>
    <w:rsid w:val="238C6E29"/>
    <w:rsid w:val="239006C7"/>
    <w:rsid w:val="2393640A"/>
    <w:rsid w:val="23952182"/>
    <w:rsid w:val="23955CDE"/>
    <w:rsid w:val="239634D6"/>
    <w:rsid w:val="23963804"/>
    <w:rsid w:val="23965D2A"/>
    <w:rsid w:val="239A1546"/>
    <w:rsid w:val="239A32F4"/>
    <w:rsid w:val="239A6C76"/>
    <w:rsid w:val="239A7798"/>
    <w:rsid w:val="239B0E1A"/>
    <w:rsid w:val="239C0E40"/>
    <w:rsid w:val="239D3A89"/>
    <w:rsid w:val="239E0EFF"/>
    <w:rsid w:val="239F6B5C"/>
    <w:rsid w:val="23A203FB"/>
    <w:rsid w:val="23A25897"/>
    <w:rsid w:val="23A423C5"/>
    <w:rsid w:val="23A81EB5"/>
    <w:rsid w:val="23A83C63"/>
    <w:rsid w:val="23A91789"/>
    <w:rsid w:val="23A979DB"/>
    <w:rsid w:val="23AB7DC9"/>
    <w:rsid w:val="23AD65F8"/>
    <w:rsid w:val="23AE6D9F"/>
    <w:rsid w:val="23B048C6"/>
    <w:rsid w:val="23B1063E"/>
    <w:rsid w:val="23B13FB3"/>
    <w:rsid w:val="23B35621"/>
    <w:rsid w:val="23B4085A"/>
    <w:rsid w:val="23B600F5"/>
    <w:rsid w:val="23B82FFE"/>
    <w:rsid w:val="23BC14BC"/>
    <w:rsid w:val="23BD5235"/>
    <w:rsid w:val="23BE3486"/>
    <w:rsid w:val="23BE7B11"/>
    <w:rsid w:val="23BF0FAD"/>
    <w:rsid w:val="23BF43F4"/>
    <w:rsid w:val="23C10881"/>
    <w:rsid w:val="23C15745"/>
    <w:rsid w:val="23C401FC"/>
    <w:rsid w:val="23C44815"/>
    <w:rsid w:val="23C640E9"/>
    <w:rsid w:val="23C70504"/>
    <w:rsid w:val="23C977C5"/>
    <w:rsid w:val="23CB7951"/>
    <w:rsid w:val="23CF16CE"/>
    <w:rsid w:val="23D031BA"/>
    <w:rsid w:val="23D10252"/>
    <w:rsid w:val="23D22A8E"/>
    <w:rsid w:val="23D41AC5"/>
    <w:rsid w:val="23D71A69"/>
    <w:rsid w:val="23D7254A"/>
    <w:rsid w:val="23D91EB3"/>
    <w:rsid w:val="23DC4779"/>
    <w:rsid w:val="23DE1C48"/>
    <w:rsid w:val="23DE28B4"/>
    <w:rsid w:val="23DE3EE7"/>
    <w:rsid w:val="23DE58D7"/>
    <w:rsid w:val="23DF33FD"/>
    <w:rsid w:val="23E10EE3"/>
    <w:rsid w:val="23E40A13"/>
    <w:rsid w:val="23E56F43"/>
    <w:rsid w:val="23E66539"/>
    <w:rsid w:val="23E746D1"/>
    <w:rsid w:val="23E870C3"/>
    <w:rsid w:val="23EA2B11"/>
    <w:rsid w:val="23ED1676"/>
    <w:rsid w:val="23ED6BF0"/>
    <w:rsid w:val="23EE53EE"/>
    <w:rsid w:val="23EF0C7B"/>
    <w:rsid w:val="23F01166"/>
    <w:rsid w:val="23F15571"/>
    <w:rsid w:val="23F43EF2"/>
    <w:rsid w:val="23F5050A"/>
    <w:rsid w:val="23F81670"/>
    <w:rsid w:val="23F8626D"/>
    <w:rsid w:val="23FA43C5"/>
    <w:rsid w:val="23FB6FE3"/>
    <w:rsid w:val="23FC3FAF"/>
    <w:rsid w:val="23FE4FA4"/>
    <w:rsid w:val="23FF75FB"/>
    <w:rsid w:val="240115C5"/>
    <w:rsid w:val="240210CD"/>
    <w:rsid w:val="24042E63"/>
    <w:rsid w:val="24083164"/>
    <w:rsid w:val="24092228"/>
    <w:rsid w:val="240D1D18"/>
    <w:rsid w:val="240D3AC6"/>
    <w:rsid w:val="240D46A2"/>
    <w:rsid w:val="240F5A90"/>
    <w:rsid w:val="241035B6"/>
    <w:rsid w:val="24134E54"/>
    <w:rsid w:val="241442DF"/>
    <w:rsid w:val="24150BCD"/>
    <w:rsid w:val="24155071"/>
    <w:rsid w:val="24172B97"/>
    <w:rsid w:val="241906BD"/>
    <w:rsid w:val="24191BAC"/>
    <w:rsid w:val="241A44CC"/>
    <w:rsid w:val="241B1988"/>
    <w:rsid w:val="241F1A7A"/>
    <w:rsid w:val="24213A15"/>
    <w:rsid w:val="242157C3"/>
    <w:rsid w:val="242279F0"/>
    <w:rsid w:val="242341FB"/>
    <w:rsid w:val="24236BDA"/>
    <w:rsid w:val="24241890"/>
    <w:rsid w:val="242552B4"/>
    <w:rsid w:val="24272FE3"/>
    <w:rsid w:val="24276EB2"/>
    <w:rsid w:val="24294DA2"/>
    <w:rsid w:val="242B4894"/>
    <w:rsid w:val="242C203C"/>
    <w:rsid w:val="242D23BA"/>
    <w:rsid w:val="242E1C8E"/>
    <w:rsid w:val="242F6132"/>
    <w:rsid w:val="242F7EE0"/>
    <w:rsid w:val="24303C58"/>
    <w:rsid w:val="24305A06"/>
    <w:rsid w:val="24307E33"/>
    <w:rsid w:val="243231D7"/>
    <w:rsid w:val="243323DA"/>
    <w:rsid w:val="24373239"/>
    <w:rsid w:val="24377DF9"/>
    <w:rsid w:val="243A0633"/>
    <w:rsid w:val="243C25FD"/>
    <w:rsid w:val="243C6E92"/>
    <w:rsid w:val="24485B15"/>
    <w:rsid w:val="244A2F6C"/>
    <w:rsid w:val="244A6AC8"/>
    <w:rsid w:val="244B0A92"/>
    <w:rsid w:val="244B45EE"/>
    <w:rsid w:val="244D0A9B"/>
    <w:rsid w:val="244D65B8"/>
    <w:rsid w:val="245072D4"/>
    <w:rsid w:val="24525D5B"/>
    <w:rsid w:val="24546D6F"/>
    <w:rsid w:val="2455546D"/>
    <w:rsid w:val="245711E5"/>
    <w:rsid w:val="24575689"/>
    <w:rsid w:val="24577437"/>
    <w:rsid w:val="24594F5D"/>
    <w:rsid w:val="245A195E"/>
    <w:rsid w:val="245C4A4D"/>
    <w:rsid w:val="245C5490"/>
    <w:rsid w:val="245D2237"/>
    <w:rsid w:val="246102B6"/>
    <w:rsid w:val="246324B2"/>
    <w:rsid w:val="24661428"/>
    <w:rsid w:val="24677510"/>
    <w:rsid w:val="24687838"/>
    <w:rsid w:val="246928CA"/>
    <w:rsid w:val="24696049"/>
    <w:rsid w:val="246D0A09"/>
    <w:rsid w:val="246D27B7"/>
    <w:rsid w:val="246F29D3"/>
    <w:rsid w:val="246F652F"/>
    <w:rsid w:val="2472601F"/>
    <w:rsid w:val="24747FE9"/>
    <w:rsid w:val="247578BD"/>
    <w:rsid w:val="24764035"/>
    <w:rsid w:val="24782529"/>
    <w:rsid w:val="24793672"/>
    <w:rsid w:val="247A1A0A"/>
    <w:rsid w:val="247E2C16"/>
    <w:rsid w:val="247E6FEE"/>
    <w:rsid w:val="2480073C"/>
    <w:rsid w:val="2480698E"/>
    <w:rsid w:val="24810BFD"/>
    <w:rsid w:val="2481372D"/>
    <w:rsid w:val="24817645"/>
    <w:rsid w:val="24833D88"/>
    <w:rsid w:val="24841AC6"/>
    <w:rsid w:val="24853FA4"/>
    <w:rsid w:val="24861ACA"/>
    <w:rsid w:val="248674EB"/>
    <w:rsid w:val="24877D1C"/>
    <w:rsid w:val="248875F1"/>
    <w:rsid w:val="248A3369"/>
    <w:rsid w:val="248B0E8F"/>
    <w:rsid w:val="248D10AB"/>
    <w:rsid w:val="248F4E23"/>
    <w:rsid w:val="248F6BD1"/>
    <w:rsid w:val="24912949"/>
    <w:rsid w:val="2491398A"/>
    <w:rsid w:val="2492046F"/>
    <w:rsid w:val="2493065F"/>
    <w:rsid w:val="24945F95"/>
    <w:rsid w:val="24973CD7"/>
    <w:rsid w:val="249935AC"/>
    <w:rsid w:val="24997A50"/>
    <w:rsid w:val="249B37C8"/>
    <w:rsid w:val="249B5750"/>
    <w:rsid w:val="249D12EE"/>
    <w:rsid w:val="24A140F3"/>
    <w:rsid w:val="24A2340C"/>
    <w:rsid w:val="24A257C2"/>
    <w:rsid w:val="24A26904"/>
    <w:rsid w:val="24A63930"/>
    <w:rsid w:val="24A92885"/>
    <w:rsid w:val="24A95456"/>
    <w:rsid w:val="24AA3A0B"/>
    <w:rsid w:val="24AA3D15"/>
    <w:rsid w:val="24AA57B9"/>
    <w:rsid w:val="24AD7057"/>
    <w:rsid w:val="24AE1DE6"/>
    <w:rsid w:val="24AF2DCF"/>
    <w:rsid w:val="24AF7273"/>
    <w:rsid w:val="24B60624"/>
    <w:rsid w:val="24B85FE4"/>
    <w:rsid w:val="24B92A1D"/>
    <w:rsid w:val="24B93C4E"/>
    <w:rsid w:val="24BA4F50"/>
    <w:rsid w:val="24BB5C18"/>
    <w:rsid w:val="24BC5170"/>
    <w:rsid w:val="24BE1264"/>
    <w:rsid w:val="24BF09F7"/>
    <w:rsid w:val="24C04FDC"/>
    <w:rsid w:val="24C148B0"/>
    <w:rsid w:val="24C20D54"/>
    <w:rsid w:val="24C50845"/>
    <w:rsid w:val="24C70119"/>
    <w:rsid w:val="24C745BD"/>
    <w:rsid w:val="24C820E3"/>
    <w:rsid w:val="24CC07F0"/>
    <w:rsid w:val="24CC3981"/>
    <w:rsid w:val="24CF521F"/>
    <w:rsid w:val="24D041F6"/>
    <w:rsid w:val="24D35AF2"/>
    <w:rsid w:val="24D40A88"/>
    <w:rsid w:val="24D434BF"/>
    <w:rsid w:val="24D4382A"/>
    <w:rsid w:val="24D46CDA"/>
    <w:rsid w:val="24D55652"/>
    <w:rsid w:val="24D740D4"/>
    <w:rsid w:val="24D80578"/>
    <w:rsid w:val="24D84792"/>
    <w:rsid w:val="24DC16EA"/>
    <w:rsid w:val="24DC6388"/>
    <w:rsid w:val="24DD56B0"/>
    <w:rsid w:val="24DD5B8E"/>
    <w:rsid w:val="24DE1906"/>
    <w:rsid w:val="24DE36B4"/>
    <w:rsid w:val="24DF4095"/>
    <w:rsid w:val="24E011DB"/>
    <w:rsid w:val="24E044B6"/>
    <w:rsid w:val="24E16D01"/>
    <w:rsid w:val="24E30CCB"/>
    <w:rsid w:val="24E46F1D"/>
    <w:rsid w:val="24E862E1"/>
    <w:rsid w:val="24EA2059"/>
    <w:rsid w:val="24EA3E07"/>
    <w:rsid w:val="24EC4023"/>
    <w:rsid w:val="24EC5DD1"/>
    <w:rsid w:val="24EC7B7F"/>
    <w:rsid w:val="24ED3CCF"/>
    <w:rsid w:val="24ED56A6"/>
    <w:rsid w:val="24EF71D2"/>
    <w:rsid w:val="24F1107B"/>
    <w:rsid w:val="24F15196"/>
    <w:rsid w:val="24F414B1"/>
    <w:rsid w:val="24F5167D"/>
    <w:rsid w:val="24F737AC"/>
    <w:rsid w:val="24F911FE"/>
    <w:rsid w:val="24F9229C"/>
    <w:rsid w:val="24FB7DC2"/>
    <w:rsid w:val="24FD7FDE"/>
    <w:rsid w:val="25050C41"/>
    <w:rsid w:val="25070289"/>
    <w:rsid w:val="250749B9"/>
    <w:rsid w:val="25096A53"/>
    <w:rsid w:val="250B01C6"/>
    <w:rsid w:val="250C0222"/>
    <w:rsid w:val="250C5C83"/>
    <w:rsid w:val="250C6316"/>
    <w:rsid w:val="250F1CF5"/>
    <w:rsid w:val="2511119F"/>
    <w:rsid w:val="251175E6"/>
    <w:rsid w:val="25121BFE"/>
    <w:rsid w:val="251364E2"/>
    <w:rsid w:val="2514390B"/>
    <w:rsid w:val="25164BFC"/>
    <w:rsid w:val="251A293E"/>
    <w:rsid w:val="251D41DD"/>
    <w:rsid w:val="25205A7B"/>
    <w:rsid w:val="25237319"/>
    <w:rsid w:val="2524556B"/>
    <w:rsid w:val="25290686"/>
    <w:rsid w:val="25290DD6"/>
    <w:rsid w:val="252A7D7C"/>
    <w:rsid w:val="252C4420"/>
    <w:rsid w:val="252D53FE"/>
    <w:rsid w:val="252E63EA"/>
    <w:rsid w:val="252F5CBE"/>
    <w:rsid w:val="25306C4E"/>
    <w:rsid w:val="25311A36"/>
    <w:rsid w:val="25331C52"/>
    <w:rsid w:val="253357AE"/>
    <w:rsid w:val="25357778"/>
    <w:rsid w:val="25382DC5"/>
    <w:rsid w:val="253B1C25"/>
    <w:rsid w:val="253B2D06"/>
    <w:rsid w:val="253D509A"/>
    <w:rsid w:val="25416003"/>
    <w:rsid w:val="2547203A"/>
    <w:rsid w:val="25483D12"/>
    <w:rsid w:val="254D1C1D"/>
    <w:rsid w:val="254D45A6"/>
    <w:rsid w:val="254E0526"/>
    <w:rsid w:val="255045B2"/>
    <w:rsid w:val="25513E86"/>
    <w:rsid w:val="25553977"/>
    <w:rsid w:val="25560F8D"/>
    <w:rsid w:val="2557180C"/>
    <w:rsid w:val="25572CB0"/>
    <w:rsid w:val="255D282B"/>
    <w:rsid w:val="255D6CCF"/>
    <w:rsid w:val="255E6C8B"/>
    <w:rsid w:val="255F3793"/>
    <w:rsid w:val="25626093"/>
    <w:rsid w:val="25627E42"/>
    <w:rsid w:val="2564005E"/>
    <w:rsid w:val="25641E0C"/>
    <w:rsid w:val="25652B73"/>
    <w:rsid w:val="256A520F"/>
    <w:rsid w:val="256A6EF1"/>
    <w:rsid w:val="256C2A6E"/>
    <w:rsid w:val="256E4A38"/>
    <w:rsid w:val="25702511"/>
    <w:rsid w:val="25702FF9"/>
    <w:rsid w:val="25710085"/>
    <w:rsid w:val="25711DDF"/>
    <w:rsid w:val="257162D7"/>
    <w:rsid w:val="2573204F"/>
    <w:rsid w:val="25733DFD"/>
    <w:rsid w:val="25755DC7"/>
    <w:rsid w:val="25772983"/>
    <w:rsid w:val="257858B7"/>
    <w:rsid w:val="25787665"/>
    <w:rsid w:val="257A6921"/>
    <w:rsid w:val="257B0F03"/>
    <w:rsid w:val="257B4A53"/>
    <w:rsid w:val="257C6E0B"/>
    <w:rsid w:val="257E0B6C"/>
    <w:rsid w:val="25807B05"/>
    <w:rsid w:val="258318D8"/>
    <w:rsid w:val="25851E17"/>
    <w:rsid w:val="25873D4C"/>
    <w:rsid w:val="25891C28"/>
    <w:rsid w:val="258B383C"/>
    <w:rsid w:val="258C6FE1"/>
    <w:rsid w:val="258E0C37"/>
    <w:rsid w:val="258E6E89"/>
    <w:rsid w:val="25900E53"/>
    <w:rsid w:val="25916C79"/>
    <w:rsid w:val="25937F25"/>
    <w:rsid w:val="25950217"/>
    <w:rsid w:val="25952D9C"/>
    <w:rsid w:val="25965D3D"/>
    <w:rsid w:val="259A582D"/>
    <w:rsid w:val="259C77F7"/>
    <w:rsid w:val="259D531E"/>
    <w:rsid w:val="259E35AA"/>
    <w:rsid w:val="25A04315"/>
    <w:rsid w:val="25A14E0E"/>
    <w:rsid w:val="25A246E2"/>
    <w:rsid w:val="25A42208"/>
    <w:rsid w:val="25A95A70"/>
    <w:rsid w:val="25AA51CE"/>
    <w:rsid w:val="25AB7A3A"/>
    <w:rsid w:val="25AC3281"/>
    <w:rsid w:val="25AC730F"/>
    <w:rsid w:val="25AD37B3"/>
    <w:rsid w:val="25AD434B"/>
    <w:rsid w:val="25B06DFF"/>
    <w:rsid w:val="25B14925"/>
    <w:rsid w:val="25B54415"/>
    <w:rsid w:val="25B631A2"/>
    <w:rsid w:val="25B74631"/>
    <w:rsid w:val="25B83F05"/>
    <w:rsid w:val="25B85CB3"/>
    <w:rsid w:val="25BC1216"/>
    <w:rsid w:val="25BD061F"/>
    <w:rsid w:val="25BD32CA"/>
    <w:rsid w:val="25BF3561"/>
    <w:rsid w:val="25C12DBA"/>
    <w:rsid w:val="25C24D84"/>
    <w:rsid w:val="25C32FD6"/>
    <w:rsid w:val="25C428AA"/>
    <w:rsid w:val="25C57F76"/>
    <w:rsid w:val="25C66622"/>
    <w:rsid w:val="25C92E20"/>
    <w:rsid w:val="25CB3C39"/>
    <w:rsid w:val="25CC175F"/>
    <w:rsid w:val="25CD79B1"/>
    <w:rsid w:val="25CE3729"/>
    <w:rsid w:val="25CF0E14"/>
    <w:rsid w:val="25CF23DC"/>
    <w:rsid w:val="25D074A1"/>
    <w:rsid w:val="25D22886"/>
    <w:rsid w:val="25D52D1D"/>
    <w:rsid w:val="25D54AB7"/>
    <w:rsid w:val="25D6438C"/>
    <w:rsid w:val="25D8140D"/>
    <w:rsid w:val="25D845A8"/>
    <w:rsid w:val="25DA00E4"/>
    <w:rsid w:val="25DA4CBA"/>
    <w:rsid w:val="25DB226E"/>
    <w:rsid w:val="25DB38CA"/>
    <w:rsid w:val="25DF7546"/>
    <w:rsid w:val="25E1345C"/>
    <w:rsid w:val="25E1520A"/>
    <w:rsid w:val="25E22D30"/>
    <w:rsid w:val="25E35426"/>
    <w:rsid w:val="25E44CFA"/>
    <w:rsid w:val="25E62821"/>
    <w:rsid w:val="25E70F64"/>
    <w:rsid w:val="25E76599"/>
    <w:rsid w:val="25E83AD3"/>
    <w:rsid w:val="25EB65A4"/>
    <w:rsid w:val="25EC2D81"/>
    <w:rsid w:val="25F018F1"/>
    <w:rsid w:val="25FC0296"/>
    <w:rsid w:val="25FE211B"/>
    <w:rsid w:val="25FF7D86"/>
    <w:rsid w:val="260016A2"/>
    <w:rsid w:val="260131EA"/>
    <w:rsid w:val="26025181"/>
    <w:rsid w:val="260333D3"/>
    <w:rsid w:val="26055378"/>
    <w:rsid w:val="260704EC"/>
    <w:rsid w:val="260809E9"/>
    <w:rsid w:val="260929B3"/>
    <w:rsid w:val="260B2287"/>
    <w:rsid w:val="260C44CD"/>
    <w:rsid w:val="260C44FC"/>
    <w:rsid w:val="260D24A3"/>
    <w:rsid w:val="260E7FC9"/>
    <w:rsid w:val="2610010E"/>
    <w:rsid w:val="2610789E"/>
    <w:rsid w:val="261168A1"/>
    <w:rsid w:val="26154EB4"/>
    <w:rsid w:val="261920E3"/>
    <w:rsid w:val="261C4494"/>
    <w:rsid w:val="261C6242"/>
    <w:rsid w:val="261D1FBA"/>
    <w:rsid w:val="261E020C"/>
    <w:rsid w:val="261F21D6"/>
    <w:rsid w:val="26211AAB"/>
    <w:rsid w:val="26213859"/>
    <w:rsid w:val="26215525"/>
    <w:rsid w:val="26217CFD"/>
    <w:rsid w:val="262275D1"/>
    <w:rsid w:val="26243349"/>
    <w:rsid w:val="262A2812"/>
    <w:rsid w:val="262B0B7B"/>
    <w:rsid w:val="262B2929"/>
    <w:rsid w:val="262B59AA"/>
    <w:rsid w:val="262D3BE6"/>
    <w:rsid w:val="262D4A11"/>
    <w:rsid w:val="262D66A1"/>
    <w:rsid w:val="262E41C8"/>
    <w:rsid w:val="26311FE0"/>
    <w:rsid w:val="26355556"/>
    <w:rsid w:val="263741ED"/>
    <w:rsid w:val="26377520"/>
    <w:rsid w:val="26393298"/>
    <w:rsid w:val="26395046"/>
    <w:rsid w:val="263B7010"/>
    <w:rsid w:val="263C68E5"/>
    <w:rsid w:val="263E440B"/>
    <w:rsid w:val="263F0183"/>
    <w:rsid w:val="263F63D5"/>
    <w:rsid w:val="26404627"/>
    <w:rsid w:val="26437C73"/>
    <w:rsid w:val="26461511"/>
    <w:rsid w:val="26467763"/>
    <w:rsid w:val="264B4D7A"/>
    <w:rsid w:val="264F486A"/>
    <w:rsid w:val="2650413E"/>
    <w:rsid w:val="265359DC"/>
    <w:rsid w:val="26544D7D"/>
    <w:rsid w:val="26592BC0"/>
    <w:rsid w:val="26597496"/>
    <w:rsid w:val="265A320F"/>
    <w:rsid w:val="265B427B"/>
    <w:rsid w:val="265C1789"/>
    <w:rsid w:val="265C3B44"/>
    <w:rsid w:val="265E1035"/>
    <w:rsid w:val="265E2CFF"/>
    <w:rsid w:val="26601608"/>
    <w:rsid w:val="2660294A"/>
    <w:rsid w:val="266100F9"/>
    <w:rsid w:val="2661459D"/>
    <w:rsid w:val="266206C6"/>
    <w:rsid w:val="26641C22"/>
    <w:rsid w:val="2665408D"/>
    <w:rsid w:val="26655552"/>
    <w:rsid w:val="26655E3B"/>
    <w:rsid w:val="266677C7"/>
    <w:rsid w:val="266813A1"/>
    <w:rsid w:val="266B0F78"/>
    <w:rsid w:val="266F2816"/>
    <w:rsid w:val="26712A32"/>
    <w:rsid w:val="267442D0"/>
    <w:rsid w:val="2674607E"/>
    <w:rsid w:val="2677791D"/>
    <w:rsid w:val="267918E7"/>
    <w:rsid w:val="26804A23"/>
    <w:rsid w:val="26846E94"/>
    <w:rsid w:val="26867B60"/>
    <w:rsid w:val="26887D7C"/>
    <w:rsid w:val="26893AC5"/>
    <w:rsid w:val="268A0303"/>
    <w:rsid w:val="268A7650"/>
    <w:rsid w:val="268B33C8"/>
    <w:rsid w:val="268D0EEE"/>
    <w:rsid w:val="268D24CB"/>
    <w:rsid w:val="268D5D4F"/>
    <w:rsid w:val="268D7140"/>
    <w:rsid w:val="26926505"/>
    <w:rsid w:val="269404CF"/>
    <w:rsid w:val="2694227D"/>
    <w:rsid w:val="26971D6D"/>
    <w:rsid w:val="26976211"/>
    <w:rsid w:val="26977D36"/>
    <w:rsid w:val="26995AE5"/>
    <w:rsid w:val="269C3827"/>
    <w:rsid w:val="269C55D5"/>
    <w:rsid w:val="26A02529"/>
    <w:rsid w:val="26A050C5"/>
    <w:rsid w:val="26A06E73"/>
    <w:rsid w:val="26A2658A"/>
    <w:rsid w:val="26A30712"/>
    <w:rsid w:val="26A54E2B"/>
    <w:rsid w:val="26A56238"/>
    <w:rsid w:val="26A61FB0"/>
    <w:rsid w:val="26A64C5A"/>
    <w:rsid w:val="26A85D28"/>
    <w:rsid w:val="26AA7CF2"/>
    <w:rsid w:val="26AB5818"/>
    <w:rsid w:val="26B15C64"/>
    <w:rsid w:val="26B20955"/>
    <w:rsid w:val="26B4047C"/>
    <w:rsid w:val="26B446CD"/>
    <w:rsid w:val="26B50445"/>
    <w:rsid w:val="26B612F4"/>
    <w:rsid w:val="26B7240F"/>
    <w:rsid w:val="26B741BD"/>
    <w:rsid w:val="26B91C40"/>
    <w:rsid w:val="26B97C1E"/>
    <w:rsid w:val="26B97F35"/>
    <w:rsid w:val="26BB3CAD"/>
    <w:rsid w:val="26BB66FE"/>
    <w:rsid w:val="26BE4929"/>
    <w:rsid w:val="26C01ECC"/>
    <w:rsid w:val="26C27E20"/>
    <w:rsid w:val="26C30DB4"/>
    <w:rsid w:val="26C708A4"/>
    <w:rsid w:val="26CC5EBA"/>
    <w:rsid w:val="26CC7C68"/>
    <w:rsid w:val="26CE68E1"/>
    <w:rsid w:val="26CF1507"/>
    <w:rsid w:val="26CF3B03"/>
    <w:rsid w:val="26D1431F"/>
    <w:rsid w:val="26D1507C"/>
    <w:rsid w:val="26D22DA5"/>
    <w:rsid w:val="26D46848"/>
    <w:rsid w:val="26D528A9"/>
    <w:rsid w:val="26D62895"/>
    <w:rsid w:val="26D92385"/>
    <w:rsid w:val="26DB2738"/>
    <w:rsid w:val="26DD354F"/>
    <w:rsid w:val="26DE799C"/>
    <w:rsid w:val="26E21545"/>
    <w:rsid w:val="26E31456"/>
    <w:rsid w:val="26E34FB2"/>
    <w:rsid w:val="26E52AD8"/>
    <w:rsid w:val="26E641FB"/>
    <w:rsid w:val="26E825C8"/>
    <w:rsid w:val="26EA00EF"/>
    <w:rsid w:val="26EA4592"/>
    <w:rsid w:val="26EB74FE"/>
    <w:rsid w:val="26ED428F"/>
    <w:rsid w:val="26EF3957"/>
    <w:rsid w:val="26EF7DFB"/>
    <w:rsid w:val="26F21DD1"/>
    <w:rsid w:val="26F251F5"/>
    <w:rsid w:val="26F31817"/>
    <w:rsid w:val="26F85C43"/>
    <w:rsid w:val="26F947D6"/>
    <w:rsid w:val="26FB0F39"/>
    <w:rsid w:val="26FC3D7D"/>
    <w:rsid w:val="26FC6074"/>
    <w:rsid w:val="26FD3074"/>
    <w:rsid w:val="26FE1DEC"/>
    <w:rsid w:val="27005B64"/>
    <w:rsid w:val="270219A4"/>
    <w:rsid w:val="270311B0"/>
    <w:rsid w:val="27032260"/>
    <w:rsid w:val="2703598D"/>
    <w:rsid w:val="2705317A"/>
    <w:rsid w:val="27061C16"/>
    <w:rsid w:val="27075144"/>
    <w:rsid w:val="27076EF2"/>
    <w:rsid w:val="27084A19"/>
    <w:rsid w:val="270A0791"/>
    <w:rsid w:val="270A5318"/>
    <w:rsid w:val="270A6E8A"/>
    <w:rsid w:val="270B21E2"/>
    <w:rsid w:val="270C275B"/>
    <w:rsid w:val="270D202F"/>
    <w:rsid w:val="270E64D3"/>
    <w:rsid w:val="270F3FF9"/>
    <w:rsid w:val="27105618"/>
    <w:rsid w:val="271138CD"/>
    <w:rsid w:val="27127C7A"/>
    <w:rsid w:val="27133AE9"/>
    <w:rsid w:val="27135D4E"/>
    <w:rsid w:val="27147861"/>
    <w:rsid w:val="27160EE4"/>
    <w:rsid w:val="271B0BF0"/>
    <w:rsid w:val="271B474C"/>
    <w:rsid w:val="271D6716"/>
    <w:rsid w:val="27207FB4"/>
    <w:rsid w:val="27214B9E"/>
    <w:rsid w:val="272A0E33"/>
    <w:rsid w:val="272A2BE1"/>
    <w:rsid w:val="272A364F"/>
    <w:rsid w:val="272C4BAB"/>
    <w:rsid w:val="272E0923"/>
    <w:rsid w:val="272E2055"/>
    <w:rsid w:val="272F01F7"/>
    <w:rsid w:val="272F0A09"/>
    <w:rsid w:val="272F6449"/>
    <w:rsid w:val="2734580E"/>
    <w:rsid w:val="27351CB2"/>
    <w:rsid w:val="27366FDB"/>
    <w:rsid w:val="27384086"/>
    <w:rsid w:val="27391076"/>
    <w:rsid w:val="273A72C8"/>
    <w:rsid w:val="273D0B66"/>
    <w:rsid w:val="273E668C"/>
    <w:rsid w:val="27427F2B"/>
    <w:rsid w:val="27441630"/>
    <w:rsid w:val="27452B08"/>
    <w:rsid w:val="27457E9C"/>
    <w:rsid w:val="27475541"/>
    <w:rsid w:val="274A5031"/>
    <w:rsid w:val="274B6DD8"/>
    <w:rsid w:val="274C4C38"/>
    <w:rsid w:val="274F0899"/>
    <w:rsid w:val="274F43F6"/>
    <w:rsid w:val="274F678B"/>
    <w:rsid w:val="2752510C"/>
    <w:rsid w:val="27541A0C"/>
    <w:rsid w:val="27545EB0"/>
    <w:rsid w:val="275859A0"/>
    <w:rsid w:val="275B2D9A"/>
    <w:rsid w:val="275B3FDD"/>
    <w:rsid w:val="27644345"/>
    <w:rsid w:val="27653582"/>
    <w:rsid w:val="2769195B"/>
    <w:rsid w:val="2769199A"/>
    <w:rsid w:val="276A2EDF"/>
    <w:rsid w:val="276C0884"/>
    <w:rsid w:val="276E542A"/>
    <w:rsid w:val="276F0EA7"/>
    <w:rsid w:val="277057A2"/>
    <w:rsid w:val="277450D6"/>
    <w:rsid w:val="27765E26"/>
    <w:rsid w:val="27767BD4"/>
    <w:rsid w:val="277976C4"/>
    <w:rsid w:val="277A14C9"/>
    <w:rsid w:val="277B168E"/>
    <w:rsid w:val="277D0F63"/>
    <w:rsid w:val="277D1809"/>
    <w:rsid w:val="27806CA5"/>
    <w:rsid w:val="27814EF7"/>
    <w:rsid w:val="2781719F"/>
    <w:rsid w:val="27822A1D"/>
    <w:rsid w:val="278247CB"/>
    <w:rsid w:val="278542BB"/>
    <w:rsid w:val="27860FED"/>
    <w:rsid w:val="2786250D"/>
    <w:rsid w:val="278B6531"/>
    <w:rsid w:val="278D33ED"/>
    <w:rsid w:val="278F67EF"/>
    <w:rsid w:val="2790513A"/>
    <w:rsid w:val="27910EB2"/>
    <w:rsid w:val="279369D8"/>
    <w:rsid w:val="2794090B"/>
    <w:rsid w:val="279739E5"/>
    <w:rsid w:val="279A1B15"/>
    <w:rsid w:val="279B21C1"/>
    <w:rsid w:val="279B3ADF"/>
    <w:rsid w:val="279B763B"/>
    <w:rsid w:val="279F35CF"/>
    <w:rsid w:val="279F712B"/>
    <w:rsid w:val="27A04C51"/>
    <w:rsid w:val="27A209C9"/>
    <w:rsid w:val="27A36081"/>
    <w:rsid w:val="27A504B9"/>
    <w:rsid w:val="27A6670B"/>
    <w:rsid w:val="27A72484"/>
    <w:rsid w:val="27A72C93"/>
    <w:rsid w:val="27AA5AD0"/>
    <w:rsid w:val="27AC7A9A"/>
    <w:rsid w:val="27AD5EF5"/>
    <w:rsid w:val="27AF30E6"/>
    <w:rsid w:val="27B01338"/>
    <w:rsid w:val="27B04698"/>
    <w:rsid w:val="27B150B0"/>
    <w:rsid w:val="27B30E28"/>
    <w:rsid w:val="27B34984"/>
    <w:rsid w:val="27B4466B"/>
    <w:rsid w:val="27B474DB"/>
    <w:rsid w:val="27B5050A"/>
    <w:rsid w:val="27B84691"/>
    <w:rsid w:val="27B8643F"/>
    <w:rsid w:val="27BA0DC6"/>
    <w:rsid w:val="27BD04EF"/>
    <w:rsid w:val="27BF3329"/>
    <w:rsid w:val="27BF77CD"/>
    <w:rsid w:val="27C43035"/>
    <w:rsid w:val="27C46B92"/>
    <w:rsid w:val="27C70430"/>
    <w:rsid w:val="27C74C88"/>
    <w:rsid w:val="27C74DF7"/>
    <w:rsid w:val="27C9064C"/>
    <w:rsid w:val="27CA2CF9"/>
    <w:rsid w:val="27CC1EEA"/>
    <w:rsid w:val="27CD08D9"/>
    <w:rsid w:val="27CE7A10"/>
    <w:rsid w:val="27D33279"/>
    <w:rsid w:val="27D56FF1"/>
    <w:rsid w:val="27D76283"/>
    <w:rsid w:val="27D81EB3"/>
    <w:rsid w:val="27DA0163"/>
    <w:rsid w:val="27DA15AB"/>
    <w:rsid w:val="27DA63B5"/>
    <w:rsid w:val="27DA7E77"/>
    <w:rsid w:val="27DC212D"/>
    <w:rsid w:val="27DD40F7"/>
    <w:rsid w:val="27DD5EA5"/>
    <w:rsid w:val="27DF1C1D"/>
    <w:rsid w:val="27DF3EE1"/>
    <w:rsid w:val="27E014F2"/>
    <w:rsid w:val="27E026C6"/>
    <w:rsid w:val="27E2526A"/>
    <w:rsid w:val="27E47234"/>
    <w:rsid w:val="27E901D9"/>
    <w:rsid w:val="27E959AF"/>
    <w:rsid w:val="27E965F8"/>
    <w:rsid w:val="27EB6814"/>
    <w:rsid w:val="27ED433A"/>
    <w:rsid w:val="27EE3C0E"/>
    <w:rsid w:val="27F03E2A"/>
    <w:rsid w:val="27F21951"/>
    <w:rsid w:val="27F24574"/>
    <w:rsid w:val="27F6152E"/>
    <w:rsid w:val="27F82CDF"/>
    <w:rsid w:val="27FE6856"/>
    <w:rsid w:val="27FF1CED"/>
    <w:rsid w:val="280255D6"/>
    <w:rsid w:val="2804422C"/>
    <w:rsid w:val="28046B4F"/>
    <w:rsid w:val="28056427"/>
    <w:rsid w:val="280653FC"/>
    <w:rsid w:val="28090A48"/>
    <w:rsid w:val="280C0B44"/>
    <w:rsid w:val="280D7B4E"/>
    <w:rsid w:val="280E4BFA"/>
    <w:rsid w:val="28100A83"/>
    <w:rsid w:val="28120E46"/>
    <w:rsid w:val="28123DA1"/>
    <w:rsid w:val="28125B4F"/>
    <w:rsid w:val="28137B19"/>
    <w:rsid w:val="28153891"/>
    <w:rsid w:val="281D7DBD"/>
    <w:rsid w:val="282079FB"/>
    <w:rsid w:val="28211030"/>
    <w:rsid w:val="28232EC5"/>
    <w:rsid w:val="28237D5C"/>
    <w:rsid w:val="28245882"/>
    <w:rsid w:val="2826333B"/>
    <w:rsid w:val="2826784C"/>
    <w:rsid w:val="28274C6A"/>
    <w:rsid w:val="28290DB7"/>
    <w:rsid w:val="282910EA"/>
    <w:rsid w:val="2829733C"/>
    <w:rsid w:val="282B09BF"/>
    <w:rsid w:val="282B4E63"/>
    <w:rsid w:val="282D6EFC"/>
    <w:rsid w:val="282E6701"/>
    <w:rsid w:val="283006CB"/>
    <w:rsid w:val="283303E8"/>
    <w:rsid w:val="28335AC5"/>
    <w:rsid w:val="2835183D"/>
    <w:rsid w:val="2835703A"/>
    <w:rsid w:val="283755B5"/>
    <w:rsid w:val="283A32F8"/>
    <w:rsid w:val="283A3E5D"/>
    <w:rsid w:val="283B0F0D"/>
    <w:rsid w:val="283C798F"/>
    <w:rsid w:val="283D6877"/>
    <w:rsid w:val="283E4B96"/>
    <w:rsid w:val="284101E2"/>
    <w:rsid w:val="28441A80"/>
    <w:rsid w:val="28457D54"/>
    <w:rsid w:val="284657F9"/>
    <w:rsid w:val="28485A15"/>
    <w:rsid w:val="28497097"/>
    <w:rsid w:val="284B2E0F"/>
    <w:rsid w:val="284B72B3"/>
    <w:rsid w:val="284D6B87"/>
    <w:rsid w:val="284D7A1B"/>
    <w:rsid w:val="284E0B51"/>
    <w:rsid w:val="284F7CC0"/>
    <w:rsid w:val="28520641"/>
    <w:rsid w:val="28537F15"/>
    <w:rsid w:val="28546167"/>
    <w:rsid w:val="285A2162"/>
    <w:rsid w:val="285A69A0"/>
    <w:rsid w:val="285B2563"/>
    <w:rsid w:val="285C5FDB"/>
    <w:rsid w:val="28620159"/>
    <w:rsid w:val="2862727C"/>
    <w:rsid w:val="286347BB"/>
    <w:rsid w:val="28643ED1"/>
    <w:rsid w:val="28681C13"/>
    <w:rsid w:val="286A4E74"/>
    <w:rsid w:val="286B1703"/>
    <w:rsid w:val="286B1BCB"/>
    <w:rsid w:val="286B2E69"/>
    <w:rsid w:val="28702875"/>
    <w:rsid w:val="28706D19"/>
    <w:rsid w:val="287265EE"/>
    <w:rsid w:val="28732366"/>
    <w:rsid w:val="28773C04"/>
    <w:rsid w:val="28795BCE"/>
    <w:rsid w:val="2879797C"/>
    <w:rsid w:val="287B1CF7"/>
    <w:rsid w:val="287C56BE"/>
    <w:rsid w:val="287D0A7D"/>
    <w:rsid w:val="287E1436"/>
    <w:rsid w:val="287F0D0A"/>
    <w:rsid w:val="28824F05"/>
    <w:rsid w:val="288307FB"/>
    <w:rsid w:val="288325A9"/>
    <w:rsid w:val="28846321"/>
    <w:rsid w:val="288B3B53"/>
    <w:rsid w:val="288B6CD2"/>
    <w:rsid w:val="288B74EB"/>
    <w:rsid w:val="288B76AF"/>
    <w:rsid w:val="288D78CB"/>
    <w:rsid w:val="28927979"/>
    <w:rsid w:val="28942A08"/>
    <w:rsid w:val="289724F8"/>
    <w:rsid w:val="28976054"/>
    <w:rsid w:val="28991DCC"/>
    <w:rsid w:val="289A78F2"/>
    <w:rsid w:val="289C7C46"/>
    <w:rsid w:val="28A10C81"/>
    <w:rsid w:val="28A15C44"/>
    <w:rsid w:val="28A644E9"/>
    <w:rsid w:val="28A92EBD"/>
    <w:rsid w:val="28AC5FA3"/>
    <w:rsid w:val="28AD43F2"/>
    <w:rsid w:val="28B03DAB"/>
    <w:rsid w:val="28B135BA"/>
    <w:rsid w:val="28B210E0"/>
    <w:rsid w:val="28B4457F"/>
    <w:rsid w:val="28B60BD0"/>
    <w:rsid w:val="28B906C0"/>
    <w:rsid w:val="28BA1D43"/>
    <w:rsid w:val="28BA7F95"/>
    <w:rsid w:val="28BB0D54"/>
    <w:rsid w:val="28BB61E6"/>
    <w:rsid w:val="28BC3D0D"/>
    <w:rsid w:val="28BE7A85"/>
    <w:rsid w:val="28C01A4F"/>
    <w:rsid w:val="28C037FD"/>
    <w:rsid w:val="28C332ED"/>
    <w:rsid w:val="28C419F6"/>
    <w:rsid w:val="28C50E13"/>
    <w:rsid w:val="28C52679"/>
    <w:rsid w:val="28C606E7"/>
    <w:rsid w:val="28C66939"/>
    <w:rsid w:val="28C8445F"/>
    <w:rsid w:val="28CA391A"/>
    <w:rsid w:val="28CF3A40"/>
    <w:rsid w:val="28D252DE"/>
    <w:rsid w:val="28D3610D"/>
    <w:rsid w:val="28D42E04"/>
    <w:rsid w:val="28D472A8"/>
    <w:rsid w:val="28D56F0D"/>
    <w:rsid w:val="28D73C73"/>
    <w:rsid w:val="28D76D98"/>
    <w:rsid w:val="28D92B11"/>
    <w:rsid w:val="28DA4193"/>
    <w:rsid w:val="28DC43AF"/>
    <w:rsid w:val="28DC615D"/>
    <w:rsid w:val="28DC63DD"/>
    <w:rsid w:val="28DC7F0B"/>
    <w:rsid w:val="28DE0127"/>
    <w:rsid w:val="28DF751B"/>
    <w:rsid w:val="28E03E9F"/>
    <w:rsid w:val="28E05C4D"/>
    <w:rsid w:val="28E079FB"/>
    <w:rsid w:val="28E14DAB"/>
    <w:rsid w:val="28E3573D"/>
    <w:rsid w:val="28E53925"/>
    <w:rsid w:val="28E62B38"/>
    <w:rsid w:val="28E76FDC"/>
    <w:rsid w:val="28E868B0"/>
    <w:rsid w:val="28EA3250"/>
    <w:rsid w:val="28EB0C2F"/>
    <w:rsid w:val="28EC1C18"/>
    <w:rsid w:val="28EC2844"/>
    <w:rsid w:val="28EC45F2"/>
    <w:rsid w:val="28EF15D4"/>
    <w:rsid w:val="28EF7C3E"/>
    <w:rsid w:val="28F039B6"/>
    <w:rsid w:val="28F214DC"/>
    <w:rsid w:val="28F21696"/>
    <w:rsid w:val="28F416F8"/>
    <w:rsid w:val="28F434A6"/>
    <w:rsid w:val="28F7519E"/>
    <w:rsid w:val="28FB0124"/>
    <w:rsid w:val="28FB0838"/>
    <w:rsid w:val="28FB2A87"/>
    <w:rsid w:val="28FB65E3"/>
    <w:rsid w:val="28FD67FF"/>
    <w:rsid w:val="28FE60D3"/>
    <w:rsid w:val="290179D1"/>
    <w:rsid w:val="29023E15"/>
    <w:rsid w:val="2903193C"/>
    <w:rsid w:val="29037B8D"/>
    <w:rsid w:val="2905064E"/>
    <w:rsid w:val="29051210"/>
    <w:rsid w:val="29096867"/>
    <w:rsid w:val="290A5ABA"/>
    <w:rsid w:val="290A60E3"/>
    <w:rsid w:val="290B259E"/>
    <w:rsid w:val="290C6A42"/>
    <w:rsid w:val="290D4568"/>
    <w:rsid w:val="290F02E0"/>
    <w:rsid w:val="290F208E"/>
    <w:rsid w:val="2912392D"/>
    <w:rsid w:val="291369F2"/>
    <w:rsid w:val="291853E7"/>
    <w:rsid w:val="29194CBB"/>
    <w:rsid w:val="291A18A1"/>
    <w:rsid w:val="291B4ED7"/>
    <w:rsid w:val="291B6C85"/>
    <w:rsid w:val="291C47AB"/>
    <w:rsid w:val="291D29FD"/>
    <w:rsid w:val="291E6775"/>
    <w:rsid w:val="2920429C"/>
    <w:rsid w:val="29206EB8"/>
    <w:rsid w:val="29231FDE"/>
    <w:rsid w:val="29235B3A"/>
    <w:rsid w:val="2925470E"/>
    <w:rsid w:val="2927387C"/>
    <w:rsid w:val="292827B1"/>
    <w:rsid w:val="292A6EC8"/>
    <w:rsid w:val="292D0766"/>
    <w:rsid w:val="292F0982"/>
    <w:rsid w:val="292F44DF"/>
    <w:rsid w:val="29325D7D"/>
    <w:rsid w:val="29326B29"/>
    <w:rsid w:val="29332221"/>
    <w:rsid w:val="29336DAB"/>
    <w:rsid w:val="29361D11"/>
    <w:rsid w:val="29373393"/>
    <w:rsid w:val="2938592D"/>
    <w:rsid w:val="293935AF"/>
    <w:rsid w:val="293B0151"/>
    <w:rsid w:val="293B2E83"/>
    <w:rsid w:val="293D1DB5"/>
    <w:rsid w:val="2940049A"/>
    <w:rsid w:val="2940493E"/>
    <w:rsid w:val="294206B6"/>
    <w:rsid w:val="29421AC0"/>
    <w:rsid w:val="29427C8D"/>
    <w:rsid w:val="29437F8A"/>
    <w:rsid w:val="294465CA"/>
    <w:rsid w:val="29477A7A"/>
    <w:rsid w:val="29494952"/>
    <w:rsid w:val="294A30C6"/>
    <w:rsid w:val="294A494E"/>
    <w:rsid w:val="294C6E3F"/>
    <w:rsid w:val="294D1FF0"/>
    <w:rsid w:val="294E6051"/>
    <w:rsid w:val="29565F0F"/>
    <w:rsid w:val="29591CD4"/>
    <w:rsid w:val="29595666"/>
    <w:rsid w:val="295959FF"/>
    <w:rsid w:val="295B3526"/>
    <w:rsid w:val="295B52D4"/>
    <w:rsid w:val="295D729E"/>
    <w:rsid w:val="295E6B72"/>
    <w:rsid w:val="29610989"/>
    <w:rsid w:val="29622B06"/>
    <w:rsid w:val="29626662"/>
    <w:rsid w:val="29637A76"/>
    <w:rsid w:val="296543A4"/>
    <w:rsid w:val="296879F1"/>
    <w:rsid w:val="296A3769"/>
    <w:rsid w:val="296C6A09"/>
    <w:rsid w:val="296F6FD1"/>
    <w:rsid w:val="297139CB"/>
    <w:rsid w:val="29714AF7"/>
    <w:rsid w:val="29715ED4"/>
    <w:rsid w:val="297168A5"/>
    <w:rsid w:val="2973086F"/>
    <w:rsid w:val="2973261D"/>
    <w:rsid w:val="297414A2"/>
    <w:rsid w:val="29751BBB"/>
    <w:rsid w:val="29763DCD"/>
    <w:rsid w:val="29763EBB"/>
    <w:rsid w:val="29785E86"/>
    <w:rsid w:val="29787C34"/>
    <w:rsid w:val="297939AC"/>
    <w:rsid w:val="297A7E50"/>
    <w:rsid w:val="297B5976"/>
    <w:rsid w:val="297D1637"/>
    <w:rsid w:val="297D16EE"/>
    <w:rsid w:val="297D349C"/>
    <w:rsid w:val="297E0FC2"/>
    <w:rsid w:val="297E3A52"/>
    <w:rsid w:val="297E7214"/>
    <w:rsid w:val="2980630F"/>
    <w:rsid w:val="29817026"/>
    <w:rsid w:val="29832529"/>
    <w:rsid w:val="298365D8"/>
    <w:rsid w:val="29851F68"/>
    <w:rsid w:val="29852351"/>
    <w:rsid w:val="298567F4"/>
    <w:rsid w:val="29874881"/>
    <w:rsid w:val="29891EA7"/>
    <w:rsid w:val="298962E5"/>
    <w:rsid w:val="298A36D3"/>
    <w:rsid w:val="298F31CF"/>
    <w:rsid w:val="299126CD"/>
    <w:rsid w:val="29923B03"/>
    <w:rsid w:val="29956314"/>
    <w:rsid w:val="29982084"/>
    <w:rsid w:val="29986528"/>
    <w:rsid w:val="299B1B74"/>
    <w:rsid w:val="299B688C"/>
    <w:rsid w:val="299B7DC6"/>
    <w:rsid w:val="299E4777"/>
    <w:rsid w:val="299F007F"/>
    <w:rsid w:val="29A21154"/>
    <w:rsid w:val="29A22F02"/>
    <w:rsid w:val="29A30A29"/>
    <w:rsid w:val="29A641A3"/>
    <w:rsid w:val="29A749BD"/>
    <w:rsid w:val="29A924E3"/>
    <w:rsid w:val="29AB625B"/>
    <w:rsid w:val="29AC3D81"/>
    <w:rsid w:val="29AF73CD"/>
    <w:rsid w:val="29B145C6"/>
    <w:rsid w:val="29B175E9"/>
    <w:rsid w:val="29B24960"/>
    <w:rsid w:val="29B25CE4"/>
    <w:rsid w:val="29B3119E"/>
    <w:rsid w:val="29B33362"/>
    <w:rsid w:val="29B35110"/>
    <w:rsid w:val="29B570DA"/>
    <w:rsid w:val="29B64C00"/>
    <w:rsid w:val="29B82726"/>
    <w:rsid w:val="29B91531"/>
    <w:rsid w:val="29BA3CE5"/>
    <w:rsid w:val="29BA46F0"/>
    <w:rsid w:val="29BA649E"/>
    <w:rsid w:val="29BB3FC4"/>
    <w:rsid w:val="29BE48F3"/>
    <w:rsid w:val="29BF5862"/>
    <w:rsid w:val="29C27101"/>
    <w:rsid w:val="29C42E79"/>
    <w:rsid w:val="29CC163C"/>
    <w:rsid w:val="29CC61D1"/>
    <w:rsid w:val="29CC7F7F"/>
    <w:rsid w:val="29CE5AA6"/>
    <w:rsid w:val="29CE7125"/>
    <w:rsid w:val="29CF181E"/>
    <w:rsid w:val="29D05CC2"/>
    <w:rsid w:val="29D06DA5"/>
    <w:rsid w:val="29D3130E"/>
    <w:rsid w:val="29D423DD"/>
    <w:rsid w:val="29D46E34"/>
    <w:rsid w:val="29D532D8"/>
    <w:rsid w:val="29D63D26"/>
    <w:rsid w:val="29D67109"/>
    <w:rsid w:val="29D92EB9"/>
    <w:rsid w:val="29DA269C"/>
    <w:rsid w:val="29DC2F31"/>
    <w:rsid w:val="29DD3F3B"/>
    <w:rsid w:val="29DF5F05"/>
    <w:rsid w:val="29E001BB"/>
    <w:rsid w:val="29E277A3"/>
    <w:rsid w:val="29E325E0"/>
    <w:rsid w:val="29EB48A9"/>
    <w:rsid w:val="29EC6874"/>
    <w:rsid w:val="29EE7EF6"/>
    <w:rsid w:val="29F01EC0"/>
    <w:rsid w:val="29F076F1"/>
    <w:rsid w:val="29F14ADE"/>
    <w:rsid w:val="29F15C38"/>
    <w:rsid w:val="29F234A6"/>
    <w:rsid w:val="29F32C1A"/>
    <w:rsid w:val="29F3375E"/>
    <w:rsid w:val="29F43AE2"/>
    <w:rsid w:val="29F5394C"/>
    <w:rsid w:val="29FA07F7"/>
    <w:rsid w:val="29FD638B"/>
    <w:rsid w:val="2A007C29"/>
    <w:rsid w:val="2A014ED6"/>
    <w:rsid w:val="2A032EE3"/>
    <w:rsid w:val="2A06209F"/>
    <w:rsid w:val="2A0708A5"/>
    <w:rsid w:val="2A077209"/>
    <w:rsid w:val="2A094D30"/>
    <w:rsid w:val="2A0A5C85"/>
    <w:rsid w:val="2A0B6CFA"/>
    <w:rsid w:val="2A0C2A72"/>
    <w:rsid w:val="2A0D6C0A"/>
    <w:rsid w:val="2A0F46C9"/>
    <w:rsid w:val="2A0F5E0A"/>
    <w:rsid w:val="2A1262DA"/>
    <w:rsid w:val="2A1536D4"/>
    <w:rsid w:val="2A16744D"/>
    <w:rsid w:val="2A17569E"/>
    <w:rsid w:val="2A18755E"/>
    <w:rsid w:val="2A1A518F"/>
    <w:rsid w:val="2A1A6F3D"/>
    <w:rsid w:val="2A1C2BC3"/>
    <w:rsid w:val="2A1D6A2D"/>
    <w:rsid w:val="2A1E1EC7"/>
    <w:rsid w:val="2A1F4553"/>
    <w:rsid w:val="2A20021E"/>
    <w:rsid w:val="2A2049DE"/>
    <w:rsid w:val="2A225DF1"/>
    <w:rsid w:val="2A24600D"/>
    <w:rsid w:val="2A293624"/>
    <w:rsid w:val="2A2B5785"/>
    <w:rsid w:val="2A2C0A1E"/>
    <w:rsid w:val="2A2E29C2"/>
    <w:rsid w:val="2A2E29E8"/>
    <w:rsid w:val="2A306A11"/>
    <w:rsid w:val="2A3224D8"/>
    <w:rsid w:val="2A351FC9"/>
    <w:rsid w:val="2A375D41"/>
    <w:rsid w:val="2A3A75DF"/>
    <w:rsid w:val="2A3C3357"/>
    <w:rsid w:val="2A3D2C2B"/>
    <w:rsid w:val="2A404C37"/>
    <w:rsid w:val="2A44220C"/>
    <w:rsid w:val="2A452503"/>
    <w:rsid w:val="2A470F63"/>
    <w:rsid w:val="2A4915D0"/>
    <w:rsid w:val="2A495A74"/>
    <w:rsid w:val="2A4A348B"/>
    <w:rsid w:val="2A4A36B6"/>
    <w:rsid w:val="2A4C2E6E"/>
    <w:rsid w:val="2A4D10C0"/>
    <w:rsid w:val="2A4E4E38"/>
    <w:rsid w:val="2A500BB0"/>
    <w:rsid w:val="2A500CAE"/>
    <w:rsid w:val="2A5306A1"/>
    <w:rsid w:val="2A554419"/>
    <w:rsid w:val="2A573CED"/>
    <w:rsid w:val="2A573D05"/>
    <w:rsid w:val="2A5A558B"/>
    <w:rsid w:val="2A5C071E"/>
    <w:rsid w:val="2A617B17"/>
    <w:rsid w:val="2A617D97"/>
    <w:rsid w:val="2A622692"/>
    <w:rsid w:val="2A627FD1"/>
    <w:rsid w:val="2A6308E4"/>
    <w:rsid w:val="2A657544"/>
    <w:rsid w:val="2A661523"/>
    <w:rsid w:val="2A6818A2"/>
    <w:rsid w:val="2A685EFA"/>
    <w:rsid w:val="2A6C52BE"/>
    <w:rsid w:val="2A6F57B4"/>
    <w:rsid w:val="2A704DAF"/>
    <w:rsid w:val="2A726D79"/>
    <w:rsid w:val="2A73664D"/>
    <w:rsid w:val="2A743136"/>
    <w:rsid w:val="2A7478B3"/>
    <w:rsid w:val="2A77438F"/>
    <w:rsid w:val="2A796727"/>
    <w:rsid w:val="2A7B272E"/>
    <w:rsid w:val="2A7F3244"/>
    <w:rsid w:val="2A7F4DDA"/>
    <w:rsid w:val="2A8354A3"/>
    <w:rsid w:val="2A864D34"/>
    <w:rsid w:val="2A866380"/>
    <w:rsid w:val="2A88034A"/>
    <w:rsid w:val="2A88368F"/>
    <w:rsid w:val="2A8940C2"/>
    <w:rsid w:val="2A8B1BE9"/>
    <w:rsid w:val="2A8D1AFD"/>
    <w:rsid w:val="2A8D5961"/>
    <w:rsid w:val="2A8F072F"/>
    <w:rsid w:val="2A8F1490"/>
    <w:rsid w:val="2A900FAD"/>
    <w:rsid w:val="2A9036A3"/>
    <w:rsid w:val="2A930A9D"/>
    <w:rsid w:val="2A944F41"/>
    <w:rsid w:val="2A9860B3"/>
    <w:rsid w:val="2A9A699B"/>
    <w:rsid w:val="2A9B7773"/>
    <w:rsid w:val="2A9F5694"/>
    <w:rsid w:val="2AA07B14"/>
    <w:rsid w:val="2AA13FD4"/>
    <w:rsid w:val="2AA30402"/>
    <w:rsid w:val="2AA36F32"/>
    <w:rsid w:val="2AA57CEE"/>
    <w:rsid w:val="2AA64C74"/>
    <w:rsid w:val="2AA669D3"/>
    <w:rsid w:val="2AAA2228"/>
    <w:rsid w:val="2AAA4765"/>
    <w:rsid w:val="2AAB5DE7"/>
    <w:rsid w:val="2AAC3290"/>
    <w:rsid w:val="2AAD6003"/>
    <w:rsid w:val="2AAE24A7"/>
    <w:rsid w:val="2AAF2DCA"/>
    <w:rsid w:val="2AB253C7"/>
    <w:rsid w:val="2AB363E9"/>
    <w:rsid w:val="2AB54EB7"/>
    <w:rsid w:val="2AB925D2"/>
    <w:rsid w:val="2ABB6396"/>
    <w:rsid w:val="2ABC5BE6"/>
    <w:rsid w:val="2AC11AAE"/>
    <w:rsid w:val="2AC13EE6"/>
    <w:rsid w:val="2AC51F3F"/>
    <w:rsid w:val="2AC66B4F"/>
    <w:rsid w:val="2AC84BEB"/>
    <w:rsid w:val="2AC86999"/>
    <w:rsid w:val="2AC944BF"/>
    <w:rsid w:val="2ACA0963"/>
    <w:rsid w:val="2ACB0237"/>
    <w:rsid w:val="2ACD6BF6"/>
    <w:rsid w:val="2ACD6F90"/>
    <w:rsid w:val="2AD25A69"/>
    <w:rsid w:val="2AD369D3"/>
    <w:rsid w:val="2AD4533E"/>
    <w:rsid w:val="2AD64354"/>
    <w:rsid w:val="2AD6555A"/>
    <w:rsid w:val="2AD73018"/>
    <w:rsid w:val="2AD74E2E"/>
    <w:rsid w:val="2AD90BA6"/>
    <w:rsid w:val="2AD91845"/>
    <w:rsid w:val="2ADA1047"/>
    <w:rsid w:val="2ADB0606"/>
    <w:rsid w:val="2ADC0696"/>
    <w:rsid w:val="2ADE61BC"/>
    <w:rsid w:val="2ADF07C0"/>
    <w:rsid w:val="2ADF3CE2"/>
    <w:rsid w:val="2AE13ED8"/>
    <w:rsid w:val="2AE337D3"/>
    <w:rsid w:val="2AE37E6F"/>
    <w:rsid w:val="2AE65071"/>
    <w:rsid w:val="2AE75DCE"/>
    <w:rsid w:val="2AE9690F"/>
    <w:rsid w:val="2AEA2DB3"/>
    <w:rsid w:val="2AEB2687"/>
    <w:rsid w:val="2AEC08CB"/>
    <w:rsid w:val="2AEC6B2B"/>
    <w:rsid w:val="2AED28A3"/>
    <w:rsid w:val="2AEF2177"/>
    <w:rsid w:val="2AF23A16"/>
    <w:rsid w:val="2AF552B4"/>
    <w:rsid w:val="2AF754D0"/>
    <w:rsid w:val="2AF8368D"/>
    <w:rsid w:val="2AF9465D"/>
    <w:rsid w:val="2AFC2AE6"/>
    <w:rsid w:val="2AFC349E"/>
    <w:rsid w:val="2AFC4894"/>
    <w:rsid w:val="2AFF3A4C"/>
    <w:rsid w:val="2B0025D7"/>
    <w:rsid w:val="2B004385"/>
    <w:rsid w:val="2B0100FD"/>
    <w:rsid w:val="2B011EAB"/>
    <w:rsid w:val="2B0307A0"/>
    <w:rsid w:val="2B04305A"/>
    <w:rsid w:val="2B083239"/>
    <w:rsid w:val="2B084601"/>
    <w:rsid w:val="2B084FE7"/>
    <w:rsid w:val="2B0A6FB1"/>
    <w:rsid w:val="2B0C5B64"/>
    <w:rsid w:val="2B0F71D5"/>
    <w:rsid w:val="2B104BD8"/>
    <w:rsid w:val="2B133BB3"/>
    <w:rsid w:val="2B142A9B"/>
    <w:rsid w:val="2B1500AA"/>
    <w:rsid w:val="2B166C16"/>
    <w:rsid w:val="2B1E480B"/>
    <w:rsid w:val="2B1F3431"/>
    <w:rsid w:val="2B2067D5"/>
    <w:rsid w:val="2B21546A"/>
    <w:rsid w:val="2B25092E"/>
    <w:rsid w:val="2B25203D"/>
    <w:rsid w:val="2B260516"/>
    <w:rsid w:val="2B2838DB"/>
    <w:rsid w:val="2B2A7653"/>
    <w:rsid w:val="2B2A7FEE"/>
    <w:rsid w:val="2B2B10ED"/>
    <w:rsid w:val="2B2B6F28"/>
    <w:rsid w:val="2B2C144D"/>
    <w:rsid w:val="2B2C257D"/>
    <w:rsid w:val="2B2D2CA0"/>
    <w:rsid w:val="2B2D4A4E"/>
    <w:rsid w:val="2B2E632D"/>
    <w:rsid w:val="2B3012EB"/>
    <w:rsid w:val="2B330D0F"/>
    <w:rsid w:val="2B335F40"/>
    <w:rsid w:val="2B34402E"/>
    <w:rsid w:val="2B345DDC"/>
    <w:rsid w:val="2B3475E1"/>
    <w:rsid w:val="2B361B54"/>
    <w:rsid w:val="2B391645"/>
    <w:rsid w:val="2B393440"/>
    <w:rsid w:val="2B3B3423"/>
    <w:rsid w:val="2B3C1135"/>
    <w:rsid w:val="2B3D697C"/>
    <w:rsid w:val="2B3E6C5B"/>
    <w:rsid w:val="2B401E83"/>
    <w:rsid w:val="2B4A5600"/>
    <w:rsid w:val="2B4A5B06"/>
    <w:rsid w:val="2B4D3342"/>
    <w:rsid w:val="2B4D6E9E"/>
    <w:rsid w:val="2B534AAC"/>
    <w:rsid w:val="2B5446D0"/>
    <w:rsid w:val="2B560448"/>
    <w:rsid w:val="2B5706F9"/>
    <w:rsid w:val="2B585F6F"/>
    <w:rsid w:val="2B592A2A"/>
    <w:rsid w:val="2B5B15BB"/>
    <w:rsid w:val="2B5B18B6"/>
    <w:rsid w:val="2B5C164F"/>
    <w:rsid w:val="2B5C4F27"/>
    <w:rsid w:val="2B5D3585"/>
    <w:rsid w:val="2B5E072C"/>
    <w:rsid w:val="2B5E554F"/>
    <w:rsid w:val="2B5E72FD"/>
    <w:rsid w:val="2B601C4C"/>
    <w:rsid w:val="2B604E23"/>
    <w:rsid w:val="2B60562A"/>
    <w:rsid w:val="2B632B65"/>
    <w:rsid w:val="2B633ADC"/>
    <w:rsid w:val="2B6366C1"/>
    <w:rsid w:val="2B660140"/>
    <w:rsid w:val="2B6739C3"/>
    <w:rsid w:val="2B674404"/>
    <w:rsid w:val="2B6C37C8"/>
    <w:rsid w:val="2B6E0DD0"/>
    <w:rsid w:val="2B6E5792"/>
    <w:rsid w:val="2B702655"/>
    <w:rsid w:val="2B715282"/>
    <w:rsid w:val="2B732DA8"/>
    <w:rsid w:val="2B762899"/>
    <w:rsid w:val="2B7663F5"/>
    <w:rsid w:val="2B77216D"/>
    <w:rsid w:val="2B797C93"/>
    <w:rsid w:val="2B7C076B"/>
    <w:rsid w:val="2B7D3C27"/>
    <w:rsid w:val="2B7E7144"/>
    <w:rsid w:val="2B830B12"/>
    <w:rsid w:val="2B835C97"/>
    <w:rsid w:val="2B836D64"/>
    <w:rsid w:val="2B85488A"/>
    <w:rsid w:val="2B8925CC"/>
    <w:rsid w:val="2B8C5C18"/>
    <w:rsid w:val="2B8F395A"/>
    <w:rsid w:val="2B911481"/>
    <w:rsid w:val="2B9176D3"/>
    <w:rsid w:val="2B920D55"/>
    <w:rsid w:val="2B944ACD"/>
    <w:rsid w:val="2B960845"/>
    <w:rsid w:val="2B974A9B"/>
    <w:rsid w:val="2B97636B"/>
    <w:rsid w:val="2B9920E3"/>
    <w:rsid w:val="2B9B22FF"/>
    <w:rsid w:val="2B9E7CCD"/>
    <w:rsid w:val="2BA016C4"/>
    <w:rsid w:val="2BA07916"/>
    <w:rsid w:val="2BA243E6"/>
    <w:rsid w:val="2BA534A8"/>
    <w:rsid w:val="2BA57BA0"/>
    <w:rsid w:val="2BA70CA4"/>
    <w:rsid w:val="2BA90F35"/>
    <w:rsid w:val="2BA936A8"/>
    <w:rsid w:val="2BAB22D1"/>
    <w:rsid w:val="2BAE1609"/>
    <w:rsid w:val="2BAE3DE1"/>
    <w:rsid w:val="2BAE7C93"/>
    <w:rsid w:val="2BAF5FE1"/>
    <w:rsid w:val="2BB1567F"/>
    <w:rsid w:val="2BB62C95"/>
    <w:rsid w:val="2BB807BB"/>
    <w:rsid w:val="2BB84C5F"/>
    <w:rsid w:val="2BB92785"/>
    <w:rsid w:val="2BB93430"/>
    <w:rsid w:val="2BBA538B"/>
    <w:rsid w:val="2BBB02AC"/>
    <w:rsid w:val="2BC01D66"/>
    <w:rsid w:val="2BC03B14"/>
    <w:rsid w:val="2BC2163A"/>
    <w:rsid w:val="2BC37160"/>
    <w:rsid w:val="2BC41856"/>
    <w:rsid w:val="2BC43604"/>
    <w:rsid w:val="2BC55F5B"/>
    <w:rsid w:val="2BC730F4"/>
    <w:rsid w:val="2BCA04EF"/>
    <w:rsid w:val="2BCC070B"/>
    <w:rsid w:val="2BCE6231"/>
    <w:rsid w:val="2BCE7FDF"/>
    <w:rsid w:val="2BCF3D57"/>
    <w:rsid w:val="2BD13FEC"/>
    <w:rsid w:val="2BD31A99"/>
    <w:rsid w:val="2BD33847"/>
    <w:rsid w:val="2BD439A3"/>
    <w:rsid w:val="2BD55811"/>
    <w:rsid w:val="2BD61589"/>
    <w:rsid w:val="2BD650E5"/>
    <w:rsid w:val="2BD66E93"/>
    <w:rsid w:val="2BD8066A"/>
    <w:rsid w:val="2BD80E5D"/>
    <w:rsid w:val="2BD82C0B"/>
    <w:rsid w:val="2BDB094E"/>
    <w:rsid w:val="2BDB26FC"/>
    <w:rsid w:val="2BDB6BA0"/>
    <w:rsid w:val="2BDD6474"/>
    <w:rsid w:val="2BDE6718"/>
    <w:rsid w:val="2BE05C4E"/>
    <w:rsid w:val="2BE21CDC"/>
    <w:rsid w:val="2BE40904"/>
    <w:rsid w:val="2BE46810"/>
    <w:rsid w:val="2BE617CC"/>
    <w:rsid w:val="2BE94A4C"/>
    <w:rsid w:val="2BEA293F"/>
    <w:rsid w:val="2BEB6DE3"/>
    <w:rsid w:val="2BEE0681"/>
    <w:rsid w:val="2BEE242F"/>
    <w:rsid w:val="2BEF61A7"/>
    <w:rsid w:val="2BF13CCD"/>
    <w:rsid w:val="2BF41F57"/>
    <w:rsid w:val="2BF51A0F"/>
    <w:rsid w:val="2BF533E7"/>
    <w:rsid w:val="2BF95EC5"/>
    <w:rsid w:val="2BFE2FE9"/>
    <w:rsid w:val="2C02455B"/>
    <w:rsid w:val="2C025EDA"/>
    <w:rsid w:val="2C043A01"/>
    <w:rsid w:val="2C072318"/>
    <w:rsid w:val="2C0C0A3B"/>
    <w:rsid w:val="2C0C0B07"/>
    <w:rsid w:val="2C0C6D59"/>
    <w:rsid w:val="2C0E2AD1"/>
    <w:rsid w:val="2C1005F7"/>
    <w:rsid w:val="2C107FEF"/>
    <w:rsid w:val="2C11611D"/>
    <w:rsid w:val="2C1300E8"/>
    <w:rsid w:val="2C157E00"/>
    <w:rsid w:val="2C161986"/>
    <w:rsid w:val="2C1874AC"/>
    <w:rsid w:val="2C195961"/>
    <w:rsid w:val="2C1A1476"/>
    <w:rsid w:val="2C1A3467"/>
    <w:rsid w:val="2C1B476C"/>
    <w:rsid w:val="2C1D1163"/>
    <w:rsid w:val="2C1F083A"/>
    <w:rsid w:val="2C1F6A8C"/>
    <w:rsid w:val="2C210A56"/>
    <w:rsid w:val="2C2263B4"/>
    <w:rsid w:val="2C22657D"/>
    <w:rsid w:val="2C2372FA"/>
    <w:rsid w:val="2C2440A3"/>
    <w:rsid w:val="2C245E51"/>
    <w:rsid w:val="2C256683"/>
    <w:rsid w:val="2C2916B9"/>
    <w:rsid w:val="2C293467"/>
    <w:rsid w:val="2C2A71DF"/>
    <w:rsid w:val="2C2B3488"/>
    <w:rsid w:val="2C2C11A9"/>
    <w:rsid w:val="2C2C73FB"/>
    <w:rsid w:val="2C2E3173"/>
    <w:rsid w:val="2C2E4F21"/>
    <w:rsid w:val="2C300C99"/>
    <w:rsid w:val="2C302A48"/>
    <w:rsid w:val="2C315A5A"/>
    <w:rsid w:val="2C3167C0"/>
    <w:rsid w:val="2C317328"/>
    <w:rsid w:val="2C32277E"/>
    <w:rsid w:val="2C3342E6"/>
    <w:rsid w:val="2C363DD6"/>
    <w:rsid w:val="2C365B84"/>
    <w:rsid w:val="2C387B4E"/>
    <w:rsid w:val="2C390CB5"/>
    <w:rsid w:val="2C3979F2"/>
    <w:rsid w:val="2C3D700C"/>
    <w:rsid w:val="2C416A03"/>
    <w:rsid w:val="2C42277B"/>
    <w:rsid w:val="2C4402A1"/>
    <w:rsid w:val="2C441F88"/>
    <w:rsid w:val="2C446EDF"/>
    <w:rsid w:val="2C46158D"/>
    <w:rsid w:val="2C46226B"/>
    <w:rsid w:val="2C4677AE"/>
    <w:rsid w:val="2C4717EC"/>
    <w:rsid w:val="2C475FE3"/>
    <w:rsid w:val="2C491D5B"/>
    <w:rsid w:val="2C4A407F"/>
    <w:rsid w:val="2C4B1C25"/>
    <w:rsid w:val="2C4B2AA0"/>
    <w:rsid w:val="2C4D184B"/>
    <w:rsid w:val="2C4E1120"/>
    <w:rsid w:val="2C5129BE"/>
    <w:rsid w:val="2C526E62"/>
    <w:rsid w:val="2C527DA2"/>
    <w:rsid w:val="2C5454F0"/>
    <w:rsid w:val="2C5524AE"/>
    <w:rsid w:val="2C5801F0"/>
    <w:rsid w:val="2C583D4C"/>
    <w:rsid w:val="2C5A5D16"/>
    <w:rsid w:val="2C5D1363"/>
    <w:rsid w:val="2C5F332D"/>
    <w:rsid w:val="2C624BCB"/>
    <w:rsid w:val="2C66290D"/>
    <w:rsid w:val="2C6646BB"/>
    <w:rsid w:val="2C673F8F"/>
    <w:rsid w:val="2C680433"/>
    <w:rsid w:val="2C697D08"/>
    <w:rsid w:val="2C6A37EC"/>
    <w:rsid w:val="2C6D614E"/>
    <w:rsid w:val="2C6E17C2"/>
    <w:rsid w:val="2C6E531E"/>
    <w:rsid w:val="2C701E9B"/>
    <w:rsid w:val="2C703D10"/>
    <w:rsid w:val="2C7072E8"/>
    <w:rsid w:val="2C714328"/>
    <w:rsid w:val="2C723060"/>
    <w:rsid w:val="2C752B50"/>
    <w:rsid w:val="2C7566AC"/>
    <w:rsid w:val="2C772424"/>
    <w:rsid w:val="2C7768C8"/>
    <w:rsid w:val="2C7843EE"/>
    <w:rsid w:val="2C78619D"/>
    <w:rsid w:val="2C7A3CC3"/>
    <w:rsid w:val="2C7C7A3B"/>
    <w:rsid w:val="2C7F39CF"/>
    <w:rsid w:val="2C7F4FF3"/>
    <w:rsid w:val="2C7F752B"/>
    <w:rsid w:val="2C800AFF"/>
    <w:rsid w:val="2C8114F5"/>
    <w:rsid w:val="2C8142B0"/>
    <w:rsid w:val="2C840FE5"/>
    <w:rsid w:val="2C864D5D"/>
    <w:rsid w:val="2C86621C"/>
    <w:rsid w:val="2C882884"/>
    <w:rsid w:val="2C88731E"/>
    <w:rsid w:val="2C8903AA"/>
    <w:rsid w:val="2C8D005C"/>
    <w:rsid w:val="2C8F15EE"/>
    <w:rsid w:val="2C90798A"/>
    <w:rsid w:val="2C907D44"/>
    <w:rsid w:val="2C9254B0"/>
    <w:rsid w:val="2C931228"/>
    <w:rsid w:val="2C944A5D"/>
    <w:rsid w:val="2C974875"/>
    <w:rsid w:val="2C9764D6"/>
    <w:rsid w:val="2C9D13B6"/>
    <w:rsid w:val="2C9F197B"/>
    <w:rsid w:val="2C9F3729"/>
    <w:rsid w:val="2CA14645"/>
    <w:rsid w:val="2CA174A1"/>
    <w:rsid w:val="2CA376BD"/>
    <w:rsid w:val="2CA451E4"/>
    <w:rsid w:val="2CA46F92"/>
    <w:rsid w:val="2CA70830"/>
    <w:rsid w:val="2CA927FA"/>
    <w:rsid w:val="2CAD4098"/>
    <w:rsid w:val="2CB01DDA"/>
    <w:rsid w:val="2CB05936"/>
    <w:rsid w:val="2CB20162"/>
    <w:rsid w:val="2CB73169"/>
    <w:rsid w:val="2CBB1A53"/>
    <w:rsid w:val="2CBE44F7"/>
    <w:rsid w:val="2CC118F2"/>
    <w:rsid w:val="2CC24314"/>
    <w:rsid w:val="2CC3523C"/>
    <w:rsid w:val="2CC413E2"/>
    <w:rsid w:val="2CC80ED2"/>
    <w:rsid w:val="2CCB09C2"/>
    <w:rsid w:val="2CCF04B2"/>
    <w:rsid w:val="2CCF379C"/>
    <w:rsid w:val="2CD07D87"/>
    <w:rsid w:val="2CD71115"/>
    <w:rsid w:val="2CD7381C"/>
    <w:rsid w:val="2CD73969"/>
    <w:rsid w:val="2CD75496"/>
    <w:rsid w:val="2CDA6697"/>
    <w:rsid w:val="2CDB22EA"/>
    <w:rsid w:val="2CDC672B"/>
    <w:rsid w:val="2CDE674B"/>
    <w:rsid w:val="2CE25F87"/>
    <w:rsid w:val="2CE455E0"/>
    <w:rsid w:val="2CE576B8"/>
    <w:rsid w:val="2CE657FC"/>
    <w:rsid w:val="2CE7345E"/>
    <w:rsid w:val="2CED0939"/>
    <w:rsid w:val="2CED26E7"/>
    <w:rsid w:val="2CEF46B1"/>
    <w:rsid w:val="2CF241A1"/>
    <w:rsid w:val="2CF25F4F"/>
    <w:rsid w:val="2CF31A01"/>
    <w:rsid w:val="2CF41CC7"/>
    <w:rsid w:val="2CFE66A2"/>
    <w:rsid w:val="2D016BD6"/>
    <w:rsid w:val="2D0312D3"/>
    <w:rsid w:val="2D045C82"/>
    <w:rsid w:val="2D0619FA"/>
    <w:rsid w:val="2D067BEC"/>
    <w:rsid w:val="2D0A773C"/>
    <w:rsid w:val="2D0B5263"/>
    <w:rsid w:val="2D0D2D89"/>
    <w:rsid w:val="2D0D4B37"/>
    <w:rsid w:val="2D104627"/>
    <w:rsid w:val="2D104BC8"/>
    <w:rsid w:val="2D142369"/>
    <w:rsid w:val="2D151C3D"/>
    <w:rsid w:val="2D167E87"/>
    <w:rsid w:val="2D192671"/>
    <w:rsid w:val="2D197980"/>
    <w:rsid w:val="2D1B30FE"/>
    <w:rsid w:val="2D1B36F8"/>
    <w:rsid w:val="2D1B54A6"/>
    <w:rsid w:val="2D202ABC"/>
    <w:rsid w:val="2D2105E2"/>
    <w:rsid w:val="2D2325AC"/>
    <w:rsid w:val="2D25232D"/>
    <w:rsid w:val="2D263E4A"/>
    <w:rsid w:val="2D273B30"/>
    <w:rsid w:val="2D2B1461"/>
    <w:rsid w:val="2D2B7523"/>
    <w:rsid w:val="2D2C76B3"/>
    <w:rsid w:val="2D2D6F87"/>
    <w:rsid w:val="2D314573"/>
    <w:rsid w:val="2D320A41"/>
    <w:rsid w:val="2D326B52"/>
    <w:rsid w:val="2D355E3C"/>
    <w:rsid w:val="2D360EFF"/>
    <w:rsid w:val="2D376058"/>
    <w:rsid w:val="2D391DD0"/>
    <w:rsid w:val="2D3A16A4"/>
    <w:rsid w:val="2D3D572C"/>
    <w:rsid w:val="2D3E14B2"/>
    <w:rsid w:val="2D3E56E7"/>
    <w:rsid w:val="2D3E7D46"/>
    <w:rsid w:val="2D401748"/>
    <w:rsid w:val="2D4300C9"/>
    <w:rsid w:val="2D4542D1"/>
    <w:rsid w:val="2D46629B"/>
    <w:rsid w:val="2D4744ED"/>
    <w:rsid w:val="2D4A0B33"/>
    <w:rsid w:val="2D4A18E7"/>
    <w:rsid w:val="2D4A5D8B"/>
    <w:rsid w:val="2D4D7629"/>
    <w:rsid w:val="2D517119"/>
    <w:rsid w:val="2D524C40"/>
    <w:rsid w:val="2D524FED"/>
    <w:rsid w:val="2D5631AD"/>
    <w:rsid w:val="2D5704A8"/>
    <w:rsid w:val="2D5B4C0F"/>
    <w:rsid w:val="2D5C161A"/>
    <w:rsid w:val="2D5E5392"/>
    <w:rsid w:val="2D60735C"/>
    <w:rsid w:val="2D643EE1"/>
    <w:rsid w:val="2D662499"/>
    <w:rsid w:val="2D684463"/>
    <w:rsid w:val="2D6973AD"/>
    <w:rsid w:val="2D6D5012"/>
    <w:rsid w:val="2D6F57F1"/>
    <w:rsid w:val="2D7050C6"/>
    <w:rsid w:val="2D755CA2"/>
    <w:rsid w:val="2D773EEE"/>
    <w:rsid w:val="2D793060"/>
    <w:rsid w:val="2D7A2D69"/>
    <w:rsid w:val="2D7C1CBC"/>
    <w:rsid w:val="2D7C30AE"/>
    <w:rsid w:val="2D7D5C5C"/>
    <w:rsid w:val="2D7E5A35"/>
    <w:rsid w:val="2D8079FF"/>
    <w:rsid w:val="2D855015"/>
    <w:rsid w:val="2D88240F"/>
    <w:rsid w:val="2D885DEC"/>
    <w:rsid w:val="2D8A262B"/>
    <w:rsid w:val="2D8D5C78"/>
    <w:rsid w:val="2D8E211C"/>
    <w:rsid w:val="2D903F7E"/>
    <w:rsid w:val="2D915768"/>
    <w:rsid w:val="2D930D3F"/>
    <w:rsid w:val="2D937732"/>
    <w:rsid w:val="2D940DB4"/>
    <w:rsid w:val="2D945258"/>
    <w:rsid w:val="2D962D7E"/>
    <w:rsid w:val="2D970351"/>
    <w:rsid w:val="2D981A52"/>
    <w:rsid w:val="2D990AC0"/>
    <w:rsid w:val="2D9A3018"/>
    <w:rsid w:val="2D9B549B"/>
    <w:rsid w:val="2D9D235F"/>
    <w:rsid w:val="2D9E53E7"/>
    <w:rsid w:val="2D9E56F5"/>
    <w:rsid w:val="2D9E60D7"/>
    <w:rsid w:val="2D9F39BB"/>
    <w:rsid w:val="2DA23CCE"/>
    <w:rsid w:val="2DA52FC1"/>
    <w:rsid w:val="2DA60FDE"/>
    <w:rsid w:val="2DA90D03"/>
    <w:rsid w:val="2DAC4350"/>
    <w:rsid w:val="2DAD00C8"/>
    <w:rsid w:val="2DB24B9D"/>
    <w:rsid w:val="2DB31A09"/>
    <w:rsid w:val="2DB32EFA"/>
    <w:rsid w:val="2DB41456"/>
    <w:rsid w:val="2DB43E82"/>
    <w:rsid w:val="2DB50C8A"/>
    <w:rsid w:val="2DB55018"/>
    <w:rsid w:val="2DB87198"/>
    <w:rsid w:val="2DB96A6D"/>
    <w:rsid w:val="2DBA2F11"/>
    <w:rsid w:val="2DBB0A37"/>
    <w:rsid w:val="2DBF7DB3"/>
    <w:rsid w:val="2DC0604D"/>
    <w:rsid w:val="2DC1569D"/>
    <w:rsid w:val="2DC20777"/>
    <w:rsid w:val="2DC25921"/>
    <w:rsid w:val="2DC312AE"/>
    <w:rsid w:val="2DC4165E"/>
    <w:rsid w:val="2DCB2C0F"/>
    <w:rsid w:val="2DCB66B1"/>
    <w:rsid w:val="2DCC49F2"/>
    <w:rsid w:val="2DCD2AB1"/>
    <w:rsid w:val="2DCF003E"/>
    <w:rsid w:val="2DCF1834"/>
    <w:rsid w:val="2DD12008"/>
    <w:rsid w:val="2DD14D37"/>
    <w:rsid w:val="2DD45655"/>
    <w:rsid w:val="2DD65871"/>
    <w:rsid w:val="2DD6761F"/>
    <w:rsid w:val="2DD90EBD"/>
    <w:rsid w:val="2DDB69E3"/>
    <w:rsid w:val="2DDC6EB0"/>
    <w:rsid w:val="2DDD09AD"/>
    <w:rsid w:val="2DDE33CA"/>
    <w:rsid w:val="2DDE509E"/>
    <w:rsid w:val="2DDE64D3"/>
    <w:rsid w:val="2DE020CC"/>
    <w:rsid w:val="2DE24215"/>
    <w:rsid w:val="2DE33AEA"/>
    <w:rsid w:val="2DE47F8D"/>
    <w:rsid w:val="2DE57862"/>
    <w:rsid w:val="2DE64EBA"/>
    <w:rsid w:val="2DE72F4C"/>
    <w:rsid w:val="2DE955A4"/>
    <w:rsid w:val="2DEA131C"/>
    <w:rsid w:val="2DEA1D78"/>
    <w:rsid w:val="2DEE4968"/>
    <w:rsid w:val="2DEF248E"/>
    <w:rsid w:val="2DF06932"/>
    <w:rsid w:val="2DF16206"/>
    <w:rsid w:val="2DF36A0D"/>
    <w:rsid w:val="2DF6381D"/>
    <w:rsid w:val="2DF65CCA"/>
    <w:rsid w:val="2DFB52D7"/>
    <w:rsid w:val="2E00469C"/>
    <w:rsid w:val="2E011274"/>
    <w:rsid w:val="2E04418C"/>
    <w:rsid w:val="2E045F3A"/>
    <w:rsid w:val="2E057F04"/>
    <w:rsid w:val="2E075A2A"/>
    <w:rsid w:val="2E075CA1"/>
    <w:rsid w:val="2E0777D8"/>
    <w:rsid w:val="2E0954B4"/>
    <w:rsid w:val="2E0C3040"/>
    <w:rsid w:val="2E0E6DB8"/>
    <w:rsid w:val="2E0E7061"/>
    <w:rsid w:val="2E112405"/>
    <w:rsid w:val="2E13617D"/>
    <w:rsid w:val="2E141EF5"/>
    <w:rsid w:val="2E1548EF"/>
    <w:rsid w:val="2E156B48"/>
    <w:rsid w:val="2E162111"/>
    <w:rsid w:val="2E184591"/>
    <w:rsid w:val="2E19379E"/>
    <w:rsid w:val="2E1B2F36"/>
    <w:rsid w:val="2E1B49C8"/>
    <w:rsid w:val="2E1D349F"/>
    <w:rsid w:val="2E1D524D"/>
    <w:rsid w:val="2E1E4B22"/>
    <w:rsid w:val="2E1F0FC6"/>
    <w:rsid w:val="2E20089A"/>
    <w:rsid w:val="2E216228"/>
    <w:rsid w:val="2E231C4F"/>
    <w:rsid w:val="2E232138"/>
    <w:rsid w:val="2E24482E"/>
    <w:rsid w:val="2E26637E"/>
    <w:rsid w:val="2E271C28"/>
    <w:rsid w:val="2E293BF2"/>
    <w:rsid w:val="2E311FD3"/>
    <w:rsid w:val="2E3507E9"/>
    <w:rsid w:val="2E350F8D"/>
    <w:rsid w:val="2E3530AC"/>
    <w:rsid w:val="2E355705"/>
    <w:rsid w:val="2E383E35"/>
    <w:rsid w:val="2E394DF0"/>
    <w:rsid w:val="2E395380"/>
    <w:rsid w:val="2E3B0CA9"/>
    <w:rsid w:val="2E3F51C4"/>
    <w:rsid w:val="2E400F3C"/>
    <w:rsid w:val="2E405189"/>
    <w:rsid w:val="2E415B63"/>
    <w:rsid w:val="2E415BED"/>
    <w:rsid w:val="2E422F06"/>
    <w:rsid w:val="2E424CB4"/>
    <w:rsid w:val="2E433D29"/>
    <w:rsid w:val="2E440A2C"/>
    <w:rsid w:val="2E457F1A"/>
    <w:rsid w:val="2E4722CA"/>
    <w:rsid w:val="2E474078"/>
    <w:rsid w:val="2E496043"/>
    <w:rsid w:val="2E4A5917"/>
    <w:rsid w:val="2E4C5B33"/>
    <w:rsid w:val="2E4F7F14"/>
    <w:rsid w:val="2E516CA5"/>
    <w:rsid w:val="2E5642BC"/>
    <w:rsid w:val="2E580034"/>
    <w:rsid w:val="2E5844D8"/>
    <w:rsid w:val="2E586286"/>
    <w:rsid w:val="2E5B7B24"/>
    <w:rsid w:val="2E5C3FC8"/>
    <w:rsid w:val="2E5D564A"/>
    <w:rsid w:val="2E5E3B19"/>
    <w:rsid w:val="2E620EB2"/>
    <w:rsid w:val="2E625356"/>
    <w:rsid w:val="2E642E7C"/>
    <w:rsid w:val="2E667F96"/>
    <w:rsid w:val="2E67471B"/>
    <w:rsid w:val="2E681C88"/>
    <w:rsid w:val="2E6A7D67"/>
    <w:rsid w:val="2E6B420B"/>
    <w:rsid w:val="2E6B4C06"/>
    <w:rsid w:val="2E6B5FB9"/>
    <w:rsid w:val="2E6E3081"/>
    <w:rsid w:val="2E6E5AA9"/>
    <w:rsid w:val="2E6E76B6"/>
    <w:rsid w:val="2E6F412D"/>
    <w:rsid w:val="2E6F5877"/>
    <w:rsid w:val="2E701821"/>
    <w:rsid w:val="2E7035CF"/>
    <w:rsid w:val="2E717347"/>
    <w:rsid w:val="2E7867C9"/>
    <w:rsid w:val="2E7A3899"/>
    <w:rsid w:val="2E7B1F74"/>
    <w:rsid w:val="2E7F2332"/>
    <w:rsid w:val="2E7F3812"/>
    <w:rsid w:val="2E813A2E"/>
    <w:rsid w:val="2E815832"/>
    <w:rsid w:val="2E8226AB"/>
    <w:rsid w:val="2E823302"/>
    <w:rsid w:val="2E8550C8"/>
    <w:rsid w:val="2E874603"/>
    <w:rsid w:val="2E8944E5"/>
    <w:rsid w:val="2E894691"/>
    <w:rsid w:val="2E8B665B"/>
    <w:rsid w:val="2E8D2118"/>
    <w:rsid w:val="2E8E04A3"/>
    <w:rsid w:val="2E8F1C72"/>
    <w:rsid w:val="2E9077CD"/>
    <w:rsid w:val="2E954DE4"/>
    <w:rsid w:val="2E9D464D"/>
    <w:rsid w:val="2E9E448B"/>
    <w:rsid w:val="2EA03B36"/>
    <w:rsid w:val="2EA119DB"/>
    <w:rsid w:val="2EA15E7F"/>
    <w:rsid w:val="2EA37B6E"/>
    <w:rsid w:val="2EA37FAE"/>
    <w:rsid w:val="2EA54F98"/>
    <w:rsid w:val="2EA65243"/>
    <w:rsid w:val="2EA84BA8"/>
    <w:rsid w:val="2EA918F1"/>
    <w:rsid w:val="2EAB0AAB"/>
    <w:rsid w:val="2EAC69E5"/>
    <w:rsid w:val="2EAD4823"/>
    <w:rsid w:val="2EAF4725"/>
    <w:rsid w:val="2EB01C1E"/>
    <w:rsid w:val="2EB07E70"/>
    <w:rsid w:val="2EB10B9E"/>
    <w:rsid w:val="2EB42CB5"/>
    <w:rsid w:val="2EB45BB2"/>
    <w:rsid w:val="2EB601AA"/>
    <w:rsid w:val="2EB77450"/>
    <w:rsid w:val="2EBC6814"/>
    <w:rsid w:val="2EBD433B"/>
    <w:rsid w:val="2EBF00B3"/>
    <w:rsid w:val="2EC4290F"/>
    <w:rsid w:val="2EC456C9"/>
    <w:rsid w:val="2EC61441"/>
    <w:rsid w:val="2EC639EA"/>
    <w:rsid w:val="2EC64592"/>
    <w:rsid w:val="2EC67693"/>
    <w:rsid w:val="2EC76F67"/>
    <w:rsid w:val="2ECA07D2"/>
    <w:rsid w:val="2ECB4CA9"/>
    <w:rsid w:val="2ECD0A22"/>
    <w:rsid w:val="2ECD27D0"/>
    <w:rsid w:val="2ECD6C74"/>
    <w:rsid w:val="2ECE6548"/>
    <w:rsid w:val="2ED33B5E"/>
    <w:rsid w:val="2ED3590C"/>
    <w:rsid w:val="2ED35C12"/>
    <w:rsid w:val="2ED4025B"/>
    <w:rsid w:val="2ED5299B"/>
    <w:rsid w:val="2ED55B28"/>
    <w:rsid w:val="2ED743AA"/>
    <w:rsid w:val="2EDA2FEB"/>
    <w:rsid w:val="2EDD0ADC"/>
    <w:rsid w:val="2EDE2C2F"/>
    <w:rsid w:val="2EDF2503"/>
    <w:rsid w:val="2EE13983"/>
    <w:rsid w:val="2EE144CD"/>
    <w:rsid w:val="2EE21B01"/>
    <w:rsid w:val="2EE23DA1"/>
    <w:rsid w:val="2EE272C5"/>
    <w:rsid w:val="2EE43FBD"/>
    <w:rsid w:val="2EE4478D"/>
    <w:rsid w:val="2EE46F90"/>
    <w:rsid w:val="2EE47B19"/>
    <w:rsid w:val="2EE66CC2"/>
    <w:rsid w:val="2EE67E99"/>
    <w:rsid w:val="2EE93382"/>
    <w:rsid w:val="2EEC6788"/>
    <w:rsid w:val="2EEE2746"/>
    <w:rsid w:val="2EF04710"/>
    <w:rsid w:val="2EF064BE"/>
    <w:rsid w:val="2EF22236"/>
    <w:rsid w:val="2EF75A9F"/>
    <w:rsid w:val="2EF958DA"/>
    <w:rsid w:val="2EF97A69"/>
    <w:rsid w:val="2EFA733D"/>
    <w:rsid w:val="2EFD4F49"/>
    <w:rsid w:val="2EFF2BA5"/>
    <w:rsid w:val="2F0026A8"/>
    <w:rsid w:val="2F0106CB"/>
    <w:rsid w:val="2F030E61"/>
    <w:rsid w:val="2F0401BB"/>
    <w:rsid w:val="2F0436F7"/>
    <w:rsid w:val="2F060E7D"/>
    <w:rsid w:val="2F063F34"/>
    <w:rsid w:val="2F083808"/>
    <w:rsid w:val="2F091204"/>
    <w:rsid w:val="2F097580"/>
    <w:rsid w:val="2F0D52C2"/>
    <w:rsid w:val="2F0F43EF"/>
    <w:rsid w:val="2F10090E"/>
    <w:rsid w:val="2F106B60"/>
    <w:rsid w:val="2F126434"/>
    <w:rsid w:val="2F155F25"/>
    <w:rsid w:val="2F176141"/>
    <w:rsid w:val="2F1C3757"/>
    <w:rsid w:val="2F1E127D"/>
    <w:rsid w:val="2F1F230A"/>
    <w:rsid w:val="2F234AE5"/>
    <w:rsid w:val="2F2443BA"/>
    <w:rsid w:val="2F25085E"/>
    <w:rsid w:val="2F277E16"/>
    <w:rsid w:val="2F2B5F23"/>
    <w:rsid w:val="2F2B6B37"/>
    <w:rsid w:val="2F2C1321"/>
    <w:rsid w:val="2F2D326E"/>
    <w:rsid w:val="2F300FB0"/>
    <w:rsid w:val="2F302D5E"/>
    <w:rsid w:val="2F324D29"/>
    <w:rsid w:val="2F370591"/>
    <w:rsid w:val="2F37233F"/>
    <w:rsid w:val="2F395375"/>
    <w:rsid w:val="2F3A3BDD"/>
    <w:rsid w:val="2F3B63E8"/>
    <w:rsid w:val="2F3C5BA7"/>
    <w:rsid w:val="2F3F2FA2"/>
    <w:rsid w:val="2F407763"/>
    <w:rsid w:val="2F413C94"/>
    <w:rsid w:val="2F422728"/>
    <w:rsid w:val="2F436F36"/>
    <w:rsid w:val="2F4607D4"/>
    <w:rsid w:val="2F464330"/>
    <w:rsid w:val="2F4955B7"/>
    <w:rsid w:val="2F4A3E20"/>
    <w:rsid w:val="2F4B45A3"/>
    <w:rsid w:val="2F4B7B98"/>
    <w:rsid w:val="2F4D1B62"/>
    <w:rsid w:val="2F4D3910"/>
    <w:rsid w:val="2F4F1437"/>
    <w:rsid w:val="2F5051AF"/>
    <w:rsid w:val="2F5527C5"/>
    <w:rsid w:val="2F566C69"/>
    <w:rsid w:val="2F587A28"/>
    <w:rsid w:val="2F5922B5"/>
    <w:rsid w:val="2F5D19C6"/>
    <w:rsid w:val="2F5F3244"/>
    <w:rsid w:val="2F601896"/>
    <w:rsid w:val="2F6117D7"/>
    <w:rsid w:val="2F631386"/>
    <w:rsid w:val="2F635B17"/>
    <w:rsid w:val="2F644435"/>
    <w:rsid w:val="2F6641B9"/>
    <w:rsid w:val="2F6B3D97"/>
    <w:rsid w:val="2F6C023B"/>
    <w:rsid w:val="2F6D5D61"/>
    <w:rsid w:val="2F6E5A5D"/>
    <w:rsid w:val="2F6F373D"/>
    <w:rsid w:val="2F6F7D2B"/>
    <w:rsid w:val="2F713AA3"/>
    <w:rsid w:val="2F725125"/>
    <w:rsid w:val="2F731EE4"/>
    <w:rsid w:val="2F776BDF"/>
    <w:rsid w:val="2F794705"/>
    <w:rsid w:val="2F7B222C"/>
    <w:rsid w:val="2F7B4FA2"/>
    <w:rsid w:val="2F7D2448"/>
    <w:rsid w:val="2F7E7F6E"/>
    <w:rsid w:val="2F81180C"/>
    <w:rsid w:val="2F82048D"/>
    <w:rsid w:val="2F843AFF"/>
    <w:rsid w:val="2F844A2F"/>
    <w:rsid w:val="2F8530AA"/>
    <w:rsid w:val="2F854E58"/>
    <w:rsid w:val="2F875074"/>
    <w:rsid w:val="2F880DEC"/>
    <w:rsid w:val="2F881E8A"/>
    <w:rsid w:val="2F8A6913"/>
    <w:rsid w:val="2F9130C3"/>
    <w:rsid w:val="2F9217E7"/>
    <w:rsid w:val="2F947791"/>
    <w:rsid w:val="2F950E14"/>
    <w:rsid w:val="2F972DDE"/>
    <w:rsid w:val="2F9B6BBA"/>
    <w:rsid w:val="2F9C03F4"/>
    <w:rsid w:val="2F9C21A2"/>
    <w:rsid w:val="2F9E7071"/>
    <w:rsid w:val="2FA15A0A"/>
    <w:rsid w:val="2FA31782"/>
    <w:rsid w:val="2FA8323D"/>
    <w:rsid w:val="2FAF1ED5"/>
    <w:rsid w:val="2FB13E9F"/>
    <w:rsid w:val="2FB27C17"/>
    <w:rsid w:val="2FB614B6"/>
    <w:rsid w:val="2FB76FDC"/>
    <w:rsid w:val="2FB77A00"/>
    <w:rsid w:val="2FB83480"/>
    <w:rsid w:val="2FBB2F70"/>
    <w:rsid w:val="2FBB5B5C"/>
    <w:rsid w:val="2FBC1406"/>
    <w:rsid w:val="2FBC2844"/>
    <w:rsid w:val="2FBC4F11"/>
    <w:rsid w:val="2FBE65BC"/>
    <w:rsid w:val="2FBF3598"/>
    <w:rsid w:val="2FC00586"/>
    <w:rsid w:val="2FC040E2"/>
    <w:rsid w:val="2FC11140"/>
    <w:rsid w:val="2FC811E9"/>
    <w:rsid w:val="2FC8743B"/>
    <w:rsid w:val="2FCE2B17"/>
    <w:rsid w:val="2FCE2CA3"/>
    <w:rsid w:val="2FCF2577"/>
    <w:rsid w:val="2FD005A7"/>
    <w:rsid w:val="2FD065E6"/>
    <w:rsid w:val="2FD201CE"/>
    <w:rsid w:val="2FD24826"/>
    <w:rsid w:val="2FD45DE0"/>
    <w:rsid w:val="2FD47B8E"/>
    <w:rsid w:val="2FD63906"/>
    <w:rsid w:val="2FD7142C"/>
    <w:rsid w:val="2FD71C09"/>
    <w:rsid w:val="2FD8154A"/>
    <w:rsid w:val="2FD82F0E"/>
    <w:rsid w:val="2FD962A4"/>
    <w:rsid w:val="2FD96870"/>
    <w:rsid w:val="2FDB2CCA"/>
    <w:rsid w:val="2FDB3950"/>
    <w:rsid w:val="2FDB53C0"/>
    <w:rsid w:val="2FDC6A42"/>
    <w:rsid w:val="2FDE6C5E"/>
    <w:rsid w:val="2FE015AC"/>
    <w:rsid w:val="2FE017DD"/>
    <w:rsid w:val="2FE1071D"/>
    <w:rsid w:val="2FE2381D"/>
    <w:rsid w:val="2FE245F0"/>
    <w:rsid w:val="2FE36023"/>
    <w:rsid w:val="2FE51D9B"/>
    <w:rsid w:val="2FEC4A36"/>
    <w:rsid w:val="2FEC6226"/>
    <w:rsid w:val="2FED26A0"/>
    <w:rsid w:val="2FEE6EA1"/>
    <w:rsid w:val="2FEF1F17"/>
    <w:rsid w:val="2FEF2C1A"/>
    <w:rsid w:val="2FF11021"/>
    <w:rsid w:val="2FF40230"/>
    <w:rsid w:val="2FF635C9"/>
    <w:rsid w:val="2FF67B04"/>
    <w:rsid w:val="2FFB336C"/>
    <w:rsid w:val="2FFD70E5"/>
    <w:rsid w:val="2FFF10AF"/>
    <w:rsid w:val="30006BD5"/>
    <w:rsid w:val="30054CD6"/>
    <w:rsid w:val="3008511A"/>
    <w:rsid w:val="30087837"/>
    <w:rsid w:val="300C37CC"/>
    <w:rsid w:val="300F0BC6"/>
    <w:rsid w:val="30112B90"/>
    <w:rsid w:val="30134B5A"/>
    <w:rsid w:val="301461DC"/>
    <w:rsid w:val="30146F8B"/>
    <w:rsid w:val="301663F8"/>
    <w:rsid w:val="30182170"/>
    <w:rsid w:val="301937F3"/>
    <w:rsid w:val="301B57BD"/>
    <w:rsid w:val="301D09BF"/>
    <w:rsid w:val="301D32E3"/>
    <w:rsid w:val="301E705B"/>
    <w:rsid w:val="30201025"/>
    <w:rsid w:val="30230CE6"/>
    <w:rsid w:val="3024533F"/>
    <w:rsid w:val="30247D84"/>
    <w:rsid w:val="30263342"/>
    <w:rsid w:val="30281C88"/>
    <w:rsid w:val="302A1EA4"/>
    <w:rsid w:val="30313232"/>
    <w:rsid w:val="30330D58"/>
    <w:rsid w:val="303348B4"/>
    <w:rsid w:val="30355826"/>
    <w:rsid w:val="30360848"/>
    <w:rsid w:val="303643A5"/>
    <w:rsid w:val="3039642A"/>
    <w:rsid w:val="303F76FD"/>
    <w:rsid w:val="304033D7"/>
    <w:rsid w:val="30420971"/>
    <w:rsid w:val="30430644"/>
    <w:rsid w:val="3044101E"/>
    <w:rsid w:val="30444D13"/>
    <w:rsid w:val="30446AC1"/>
    <w:rsid w:val="30450A8C"/>
    <w:rsid w:val="304545E8"/>
    <w:rsid w:val="30466970"/>
    <w:rsid w:val="30473135"/>
    <w:rsid w:val="304765B2"/>
    <w:rsid w:val="30487B1A"/>
    <w:rsid w:val="304A7E50"/>
    <w:rsid w:val="304B42F4"/>
    <w:rsid w:val="304D122A"/>
    <w:rsid w:val="304E16EE"/>
    <w:rsid w:val="304F1A3C"/>
    <w:rsid w:val="304F7365"/>
    <w:rsid w:val="30515682"/>
    <w:rsid w:val="30534DD6"/>
    <w:rsid w:val="30556F21"/>
    <w:rsid w:val="30564A47"/>
    <w:rsid w:val="30580BC9"/>
    <w:rsid w:val="305A0290"/>
    <w:rsid w:val="305A1716"/>
    <w:rsid w:val="305C2E10"/>
    <w:rsid w:val="305D7597"/>
    <w:rsid w:val="305D7B83"/>
    <w:rsid w:val="305E51CA"/>
    <w:rsid w:val="305F38FB"/>
    <w:rsid w:val="30605B09"/>
    <w:rsid w:val="306732B1"/>
    <w:rsid w:val="306B283F"/>
    <w:rsid w:val="306B6744"/>
    <w:rsid w:val="306D4FC5"/>
    <w:rsid w:val="307024B6"/>
    <w:rsid w:val="30703D5A"/>
    <w:rsid w:val="30736266"/>
    <w:rsid w:val="30744ECD"/>
    <w:rsid w:val="30754E98"/>
    <w:rsid w:val="30761A27"/>
    <w:rsid w:val="30776DA0"/>
    <w:rsid w:val="30790154"/>
    <w:rsid w:val="30801AC4"/>
    <w:rsid w:val="30817D16"/>
    <w:rsid w:val="3082583C"/>
    <w:rsid w:val="308259C3"/>
    <w:rsid w:val="30841DBC"/>
    <w:rsid w:val="30847806"/>
    <w:rsid w:val="308570DA"/>
    <w:rsid w:val="3086532C"/>
    <w:rsid w:val="30874C00"/>
    <w:rsid w:val="308B2942"/>
    <w:rsid w:val="308C311F"/>
    <w:rsid w:val="308D68F9"/>
    <w:rsid w:val="308E2433"/>
    <w:rsid w:val="30913CD1"/>
    <w:rsid w:val="30924FF7"/>
    <w:rsid w:val="309317F7"/>
    <w:rsid w:val="3095556F"/>
    <w:rsid w:val="3095731D"/>
    <w:rsid w:val="30973596"/>
    <w:rsid w:val="30973FD8"/>
    <w:rsid w:val="3098505F"/>
    <w:rsid w:val="309A4933"/>
    <w:rsid w:val="309A7748"/>
    <w:rsid w:val="309D08C8"/>
    <w:rsid w:val="309D61D2"/>
    <w:rsid w:val="309E19D2"/>
    <w:rsid w:val="30A21A3A"/>
    <w:rsid w:val="30A25EDE"/>
    <w:rsid w:val="30A61108"/>
    <w:rsid w:val="30A6152A"/>
    <w:rsid w:val="30A9101A"/>
    <w:rsid w:val="30A9726C"/>
    <w:rsid w:val="30AA08EF"/>
    <w:rsid w:val="30AC4667"/>
    <w:rsid w:val="30AD0B0B"/>
    <w:rsid w:val="30AE6631"/>
    <w:rsid w:val="30B33C47"/>
    <w:rsid w:val="30B5232B"/>
    <w:rsid w:val="30B6207A"/>
    <w:rsid w:val="30B654E5"/>
    <w:rsid w:val="30B71989"/>
    <w:rsid w:val="30B860DB"/>
    <w:rsid w:val="30BF439A"/>
    <w:rsid w:val="30C108CE"/>
    <w:rsid w:val="30C23ADA"/>
    <w:rsid w:val="30C31AC9"/>
    <w:rsid w:val="30C4716D"/>
    <w:rsid w:val="30C65728"/>
    <w:rsid w:val="30C70618"/>
    <w:rsid w:val="30C82639"/>
    <w:rsid w:val="30C916BD"/>
    <w:rsid w:val="30CB5A1E"/>
    <w:rsid w:val="30D02849"/>
    <w:rsid w:val="30D37E45"/>
    <w:rsid w:val="30D53BBD"/>
    <w:rsid w:val="30D616E4"/>
    <w:rsid w:val="30D61B2C"/>
    <w:rsid w:val="30D653AF"/>
    <w:rsid w:val="30D81900"/>
    <w:rsid w:val="30D836AE"/>
    <w:rsid w:val="30D96CC6"/>
    <w:rsid w:val="30DA11D4"/>
    <w:rsid w:val="30DA1BE6"/>
    <w:rsid w:val="30DE023D"/>
    <w:rsid w:val="30DF2C8E"/>
    <w:rsid w:val="30E12562"/>
    <w:rsid w:val="30E20088"/>
    <w:rsid w:val="30E208C5"/>
    <w:rsid w:val="30E233C0"/>
    <w:rsid w:val="30E23757"/>
    <w:rsid w:val="30E262DA"/>
    <w:rsid w:val="30E81DDA"/>
    <w:rsid w:val="30E91417"/>
    <w:rsid w:val="30E958BB"/>
    <w:rsid w:val="30EB1633"/>
    <w:rsid w:val="30EB33E1"/>
    <w:rsid w:val="30ED53AB"/>
    <w:rsid w:val="30ED5CF7"/>
    <w:rsid w:val="30ED7159"/>
    <w:rsid w:val="30EE2ED1"/>
    <w:rsid w:val="30EE78EB"/>
    <w:rsid w:val="30F06C49"/>
    <w:rsid w:val="30F15537"/>
    <w:rsid w:val="30F1651D"/>
    <w:rsid w:val="30F229C1"/>
    <w:rsid w:val="30F304E8"/>
    <w:rsid w:val="30F51E20"/>
    <w:rsid w:val="30F524B2"/>
    <w:rsid w:val="30F54260"/>
    <w:rsid w:val="30F54904"/>
    <w:rsid w:val="30F71D86"/>
    <w:rsid w:val="30F74B66"/>
    <w:rsid w:val="30F85AFE"/>
    <w:rsid w:val="30F93D50"/>
    <w:rsid w:val="30FD4EC2"/>
    <w:rsid w:val="30FF50DE"/>
    <w:rsid w:val="31012C04"/>
    <w:rsid w:val="310149B3"/>
    <w:rsid w:val="31015D61"/>
    <w:rsid w:val="31046251"/>
    <w:rsid w:val="3106021B"/>
    <w:rsid w:val="310821E5"/>
    <w:rsid w:val="31083F93"/>
    <w:rsid w:val="31093867"/>
    <w:rsid w:val="310B75DF"/>
    <w:rsid w:val="310D4304"/>
    <w:rsid w:val="310E0E7D"/>
    <w:rsid w:val="310E2F8A"/>
    <w:rsid w:val="310E5321"/>
    <w:rsid w:val="310E70CF"/>
    <w:rsid w:val="31101099"/>
    <w:rsid w:val="31102E48"/>
    <w:rsid w:val="31175F84"/>
    <w:rsid w:val="311E2ED7"/>
    <w:rsid w:val="311F308B"/>
    <w:rsid w:val="311F752F"/>
    <w:rsid w:val="31210BB1"/>
    <w:rsid w:val="31213140"/>
    <w:rsid w:val="31215055"/>
    <w:rsid w:val="31216E03"/>
    <w:rsid w:val="31224929"/>
    <w:rsid w:val="3122509A"/>
    <w:rsid w:val="31264419"/>
    <w:rsid w:val="31267C32"/>
    <w:rsid w:val="31271F3F"/>
    <w:rsid w:val="31277A7C"/>
    <w:rsid w:val="3128368C"/>
    <w:rsid w:val="31283BAD"/>
    <w:rsid w:val="31295CB7"/>
    <w:rsid w:val="312B7C81"/>
    <w:rsid w:val="312E32CE"/>
    <w:rsid w:val="312F0DDF"/>
    <w:rsid w:val="312F7772"/>
    <w:rsid w:val="313308E4"/>
    <w:rsid w:val="31342FDA"/>
    <w:rsid w:val="313528AE"/>
    <w:rsid w:val="3135465C"/>
    <w:rsid w:val="313660E1"/>
    <w:rsid w:val="31374878"/>
    <w:rsid w:val="31376626"/>
    <w:rsid w:val="313905F0"/>
    <w:rsid w:val="313A50D3"/>
    <w:rsid w:val="313A7EC4"/>
    <w:rsid w:val="313C1E8F"/>
    <w:rsid w:val="313C3C3D"/>
    <w:rsid w:val="3143321D"/>
    <w:rsid w:val="31440DC5"/>
    <w:rsid w:val="31444F1F"/>
    <w:rsid w:val="314A45AB"/>
    <w:rsid w:val="314D5D30"/>
    <w:rsid w:val="315216B2"/>
    <w:rsid w:val="31523460"/>
    <w:rsid w:val="31532D34"/>
    <w:rsid w:val="315512CA"/>
    <w:rsid w:val="31552F50"/>
    <w:rsid w:val="315619EE"/>
    <w:rsid w:val="31562CFE"/>
    <w:rsid w:val="31570A76"/>
    <w:rsid w:val="31592A40"/>
    <w:rsid w:val="31594CC6"/>
    <w:rsid w:val="315A40C3"/>
    <w:rsid w:val="315C449C"/>
    <w:rsid w:val="315C608D"/>
    <w:rsid w:val="315E0057"/>
    <w:rsid w:val="315E3BB3"/>
    <w:rsid w:val="31624D74"/>
    <w:rsid w:val="316311C9"/>
    <w:rsid w:val="3163566D"/>
    <w:rsid w:val="31660CB9"/>
    <w:rsid w:val="31682C84"/>
    <w:rsid w:val="316D3DF6"/>
    <w:rsid w:val="316F42A9"/>
    <w:rsid w:val="31715CC6"/>
    <w:rsid w:val="31723B02"/>
    <w:rsid w:val="31736083"/>
    <w:rsid w:val="31740B9D"/>
    <w:rsid w:val="31741628"/>
    <w:rsid w:val="317433D6"/>
    <w:rsid w:val="31745184"/>
    <w:rsid w:val="3176461F"/>
    <w:rsid w:val="31772EC7"/>
    <w:rsid w:val="31794E91"/>
    <w:rsid w:val="317B4E41"/>
    <w:rsid w:val="317E4255"/>
    <w:rsid w:val="317E6003"/>
    <w:rsid w:val="31813D45"/>
    <w:rsid w:val="31844D10"/>
    <w:rsid w:val="318555E4"/>
    <w:rsid w:val="318D26EA"/>
    <w:rsid w:val="318D3E35"/>
    <w:rsid w:val="318E5320"/>
    <w:rsid w:val="31903F88"/>
    <w:rsid w:val="319173AA"/>
    <w:rsid w:val="31940E5C"/>
    <w:rsid w:val="319475D5"/>
    <w:rsid w:val="319677F1"/>
    <w:rsid w:val="31987057"/>
    <w:rsid w:val="3199108F"/>
    <w:rsid w:val="31991B31"/>
    <w:rsid w:val="319A0963"/>
    <w:rsid w:val="319A122D"/>
    <w:rsid w:val="319D6E9C"/>
    <w:rsid w:val="31A039C7"/>
    <w:rsid w:val="31A35A6A"/>
    <w:rsid w:val="31A4347E"/>
    <w:rsid w:val="31A55C86"/>
    <w:rsid w:val="31A6555A"/>
    <w:rsid w:val="31A66981"/>
    <w:rsid w:val="31A677D0"/>
    <w:rsid w:val="31AA329C"/>
    <w:rsid w:val="31AF440F"/>
    <w:rsid w:val="31AF5092"/>
    <w:rsid w:val="31B22151"/>
    <w:rsid w:val="31B41A25"/>
    <w:rsid w:val="31B50B0C"/>
    <w:rsid w:val="31B66622"/>
    <w:rsid w:val="31B732C3"/>
    <w:rsid w:val="31B82709"/>
    <w:rsid w:val="31B83326"/>
    <w:rsid w:val="31B934DF"/>
    <w:rsid w:val="31B9528D"/>
    <w:rsid w:val="31BA1C29"/>
    <w:rsid w:val="31BB1382"/>
    <w:rsid w:val="31BB1CA7"/>
    <w:rsid w:val="31BE0AF5"/>
    <w:rsid w:val="31BE4652"/>
    <w:rsid w:val="31BF03CC"/>
    <w:rsid w:val="31C14142"/>
    <w:rsid w:val="31C3610C"/>
    <w:rsid w:val="31C559E0"/>
    <w:rsid w:val="31C75BFC"/>
    <w:rsid w:val="31CD0D39"/>
    <w:rsid w:val="31CF685F"/>
    <w:rsid w:val="31D04385"/>
    <w:rsid w:val="31D05482"/>
    <w:rsid w:val="31D43E75"/>
    <w:rsid w:val="31D64091"/>
    <w:rsid w:val="31D765FE"/>
    <w:rsid w:val="31DB16A7"/>
    <w:rsid w:val="31DB3455"/>
    <w:rsid w:val="31DB5204"/>
    <w:rsid w:val="31E06CBE"/>
    <w:rsid w:val="31E13CDB"/>
    <w:rsid w:val="31E71DFA"/>
    <w:rsid w:val="31E87920"/>
    <w:rsid w:val="31EF5153"/>
    <w:rsid w:val="31EF6F01"/>
    <w:rsid w:val="31F05AFB"/>
    <w:rsid w:val="31F12C79"/>
    <w:rsid w:val="31F167D5"/>
    <w:rsid w:val="31F22BF3"/>
    <w:rsid w:val="31F247BE"/>
    <w:rsid w:val="31F56E59"/>
    <w:rsid w:val="31F6028F"/>
    <w:rsid w:val="31F60A7B"/>
    <w:rsid w:val="31F6203D"/>
    <w:rsid w:val="31F90D42"/>
    <w:rsid w:val="31FA1C8E"/>
    <w:rsid w:val="3200110E"/>
    <w:rsid w:val="320209E2"/>
    <w:rsid w:val="32021299"/>
    <w:rsid w:val="320513B4"/>
    <w:rsid w:val="32052280"/>
    <w:rsid w:val="32056724"/>
    <w:rsid w:val="32081D71"/>
    <w:rsid w:val="32086B6D"/>
    <w:rsid w:val="32096215"/>
    <w:rsid w:val="320C1861"/>
    <w:rsid w:val="320D0C24"/>
    <w:rsid w:val="320D55D9"/>
    <w:rsid w:val="320D7387"/>
    <w:rsid w:val="320E4CD1"/>
    <w:rsid w:val="320F30FF"/>
    <w:rsid w:val="321150C9"/>
    <w:rsid w:val="3212499D"/>
    <w:rsid w:val="32140715"/>
    <w:rsid w:val="32142CB8"/>
    <w:rsid w:val="32195D2C"/>
    <w:rsid w:val="321B36E9"/>
    <w:rsid w:val="321D3148"/>
    <w:rsid w:val="321D3A6E"/>
    <w:rsid w:val="321E1594"/>
    <w:rsid w:val="32201157"/>
    <w:rsid w:val="32214A3C"/>
    <w:rsid w:val="32221084"/>
    <w:rsid w:val="32290665"/>
    <w:rsid w:val="322B245D"/>
    <w:rsid w:val="322D33C3"/>
    <w:rsid w:val="322D73F8"/>
    <w:rsid w:val="322E7C1A"/>
    <w:rsid w:val="32330746"/>
    <w:rsid w:val="32335040"/>
    <w:rsid w:val="32342B66"/>
    <w:rsid w:val="3234700A"/>
    <w:rsid w:val="3236068C"/>
    <w:rsid w:val="3239599B"/>
    <w:rsid w:val="323963CE"/>
    <w:rsid w:val="323A13F3"/>
    <w:rsid w:val="323C2E8C"/>
    <w:rsid w:val="323C7DCD"/>
    <w:rsid w:val="323F10FE"/>
    <w:rsid w:val="32400B34"/>
    <w:rsid w:val="32410D7E"/>
    <w:rsid w:val="32477518"/>
    <w:rsid w:val="32484000"/>
    <w:rsid w:val="324A05DB"/>
    <w:rsid w:val="324A2389"/>
    <w:rsid w:val="324B19B3"/>
    <w:rsid w:val="324D54CA"/>
    <w:rsid w:val="32513718"/>
    <w:rsid w:val="32520DFB"/>
    <w:rsid w:val="32531113"/>
    <w:rsid w:val="32537490"/>
    <w:rsid w:val="32552AE0"/>
    <w:rsid w:val="32555EB0"/>
    <w:rsid w:val="32584AA6"/>
    <w:rsid w:val="325A0B8E"/>
    <w:rsid w:val="32607DFF"/>
    <w:rsid w:val="32612937"/>
    <w:rsid w:val="32614B36"/>
    <w:rsid w:val="3261624E"/>
    <w:rsid w:val="326276D3"/>
    <w:rsid w:val="326571C3"/>
    <w:rsid w:val="3268280F"/>
    <w:rsid w:val="32685A55"/>
    <w:rsid w:val="32696CB3"/>
    <w:rsid w:val="326A020A"/>
    <w:rsid w:val="326B676C"/>
    <w:rsid w:val="326D7CE5"/>
    <w:rsid w:val="326E6078"/>
    <w:rsid w:val="326F1DF0"/>
    <w:rsid w:val="3270063B"/>
    <w:rsid w:val="32713DBA"/>
    <w:rsid w:val="32717916"/>
    <w:rsid w:val="327318E0"/>
    <w:rsid w:val="32737B32"/>
    <w:rsid w:val="32753851"/>
    <w:rsid w:val="3277050E"/>
    <w:rsid w:val="32780CA4"/>
    <w:rsid w:val="327B2543"/>
    <w:rsid w:val="327D275F"/>
    <w:rsid w:val="327D450D"/>
    <w:rsid w:val="327D62BB"/>
    <w:rsid w:val="327F0285"/>
    <w:rsid w:val="327F2033"/>
    <w:rsid w:val="32803FFD"/>
    <w:rsid w:val="32814AEC"/>
    <w:rsid w:val="32822EF7"/>
    <w:rsid w:val="328238D1"/>
    <w:rsid w:val="32833910"/>
    <w:rsid w:val="328419C3"/>
    <w:rsid w:val="32843AED"/>
    <w:rsid w:val="32851613"/>
    <w:rsid w:val="32866829"/>
    <w:rsid w:val="32874D75"/>
    <w:rsid w:val="32877139"/>
    <w:rsid w:val="32883C32"/>
    <w:rsid w:val="32892EB1"/>
    <w:rsid w:val="32894C60"/>
    <w:rsid w:val="328A6C2A"/>
    <w:rsid w:val="328C0BF4"/>
    <w:rsid w:val="32901F78"/>
    <w:rsid w:val="329110B5"/>
    <w:rsid w:val="32911D66"/>
    <w:rsid w:val="3293788C"/>
    <w:rsid w:val="329448A6"/>
    <w:rsid w:val="329830F5"/>
    <w:rsid w:val="3298720E"/>
    <w:rsid w:val="329A50BF"/>
    <w:rsid w:val="329B2BE5"/>
    <w:rsid w:val="329D070B"/>
    <w:rsid w:val="329E1117"/>
    <w:rsid w:val="329E6876"/>
    <w:rsid w:val="32A1627D"/>
    <w:rsid w:val="32A221C5"/>
    <w:rsid w:val="32A23F73"/>
    <w:rsid w:val="32A3404A"/>
    <w:rsid w:val="32A3690E"/>
    <w:rsid w:val="32A47CEB"/>
    <w:rsid w:val="32A77828"/>
    <w:rsid w:val="32AA2E28"/>
    <w:rsid w:val="32AC3CB0"/>
    <w:rsid w:val="32B05ACE"/>
    <w:rsid w:val="32B22ACE"/>
    <w:rsid w:val="32B51EF8"/>
    <w:rsid w:val="32B617CD"/>
    <w:rsid w:val="32B8116A"/>
    <w:rsid w:val="32BA12BD"/>
    <w:rsid w:val="32BA750F"/>
    <w:rsid w:val="32BD0BEB"/>
    <w:rsid w:val="32C04CBB"/>
    <w:rsid w:val="32C20171"/>
    <w:rsid w:val="32C24615"/>
    <w:rsid w:val="32C263C3"/>
    <w:rsid w:val="32C31E85"/>
    <w:rsid w:val="32C51A10"/>
    <w:rsid w:val="32C600DD"/>
    <w:rsid w:val="32C75788"/>
    <w:rsid w:val="32CC0FF0"/>
    <w:rsid w:val="32CC3B66"/>
    <w:rsid w:val="32CC5CB8"/>
    <w:rsid w:val="32CC7242"/>
    <w:rsid w:val="32CE54EA"/>
    <w:rsid w:val="32CF3C28"/>
    <w:rsid w:val="32D00AE0"/>
    <w:rsid w:val="32D305D1"/>
    <w:rsid w:val="32D63C1D"/>
    <w:rsid w:val="32D94CDA"/>
    <w:rsid w:val="32D97FEF"/>
    <w:rsid w:val="32DA195F"/>
    <w:rsid w:val="32DB1233"/>
    <w:rsid w:val="32DC69FE"/>
    <w:rsid w:val="32DC7485"/>
    <w:rsid w:val="32DF3241"/>
    <w:rsid w:val="32DF6F75"/>
    <w:rsid w:val="32E00C87"/>
    <w:rsid w:val="32E14A9C"/>
    <w:rsid w:val="32E1603D"/>
    <w:rsid w:val="32E41DED"/>
    <w:rsid w:val="32E4458C"/>
    <w:rsid w:val="32E53E60"/>
    <w:rsid w:val="32E620B2"/>
    <w:rsid w:val="32E77BD8"/>
    <w:rsid w:val="32E91BA2"/>
    <w:rsid w:val="32E95C5F"/>
    <w:rsid w:val="32EC3440"/>
    <w:rsid w:val="32F01183"/>
    <w:rsid w:val="32F04CDF"/>
    <w:rsid w:val="32F15B31"/>
    <w:rsid w:val="32F26CA9"/>
    <w:rsid w:val="32F347CF"/>
    <w:rsid w:val="32F50547"/>
    <w:rsid w:val="32F522F5"/>
    <w:rsid w:val="32F56799"/>
    <w:rsid w:val="32F6606D"/>
    <w:rsid w:val="32F70D2A"/>
    <w:rsid w:val="32F80037"/>
    <w:rsid w:val="32F81DE5"/>
    <w:rsid w:val="32FA790B"/>
    <w:rsid w:val="32FC7B27"/>
    <w:rsid w:val="32FD564D"/>
    <w:rsid w:val="3301513E"/>
    <w:rsid w:val="33015626"/>
    <w:rsid w:val="33025919"/>
    <w:rsid w:val="33026AB6"/>
    <w:rsid w:val="3304078A"/>
    <w:rsid w:val="33072028"/>
    <w:rsid w:val="33081909"/>
    <w:rsid w:val="33100082"/>
    <w:rsid w:val="331362FA"/>
    <w:rsid w:val="33136C1F"/>
    <w:rsid w:val="33164C7B"/>
    <w:rsid w:val="331704BD"/>
    <w:rsid w:val="33182487"/>
    <w:rsid w:val="331F7372"/>
    <w:rsid w:val="331F746E"/>
    <w:rsid w:val="33271199"/>
    <w:rsid w:val="33274478"/>
    <w:rsid w:val="332826CA"/>
    <w:rsid w:val="3329169B"/>
    <w:rsid w:val="332B21BB"/>
    <w:rsid w:val="332C1A8F"/>
    <w:rsid w:val="332C6A1F"/>
    <w:rsid w:val="332D5F33"/>
    <w:rsid w:val="332E1CAB"/>
    <w:rsid w:val="332E3A59"/>
    <w:rsid w:val="332F3B7E"/>
    <w:rsid w:val="333015F2"/>
    <w:rsid w:val="33332E1D"/>
    <w:rsid w:val="333467A8"/>
    <w:rsid w:val="33354858"/>
    <w:rsid w:val="33365E13"/>
    <w:rsid w:val="333861BF"/>
    <w:rsid w:val="333C7F24"/>
    <w:rsid w:val="333F1A9A"/>
    <w:rsid w:val="334039A9"/>
    <w:rsid w:val="3341378C"/>
    <w:rsid w:val="33430C1A"/>
    <w:rsid w:val="33435756"/>
    <w:rsid w:val="3344502A"/>
    <w:rsid w:val="33453D1E"/>
    <w:rsid w:val="33457B5A"/>
    <w:rsid w:val="3346584E"/>
    <w:rsid w:val="334926DB"/>
    <w:rsid w:val="334A6DDC"/>
    <w:rsid w:val="334B0167"/>
    <w:rsid w:val="334B460B"/>
    <w:rsid w:val="334B6320"/>
    <w:rsid w:val="334B63B9"/>
    <w:rsid w:val="334D06C6"/>
    <w:rsid w:val="334E17B8"/>
    <w:rsid w:val="334F4237"/>
    <w:rsid w:val="334F5B84"/>
    <w:rsid w:val="335039CF"/>
    <w:rsid w:val="33512ED6"/>
    <w:rsid w:val="335608C6"/>
    <w:rsid w:val="33580D40"/>
    <w:rsid w:val="335921D0"/>
    <w:rsid w:val="335C05C6"/>
    <w:rsid w:val="335E60EC"/>
    <w:rsid w:val="336244FF"/>
    <w:rsid w:val="33631954"/>
    <w:rsid w:val="336458B3"/>
    <w:rsid w:val="33666962"/>
    <w:rsid w:val="33673093"/>
    <w:rsid w:val="33680D19"/>
    <w:rsid w:val="336B25B7"/>
    <w:rsid w:val="336D632F"/>
    <w:rsid w:val="336E0395"/>
    <w:rsid w:val="336F1825"/>
    <w:rsid w:val="336F654B"/>
    <w:rsid w:val="33705E1F"/>
    <w:rsid w:val="33707BCD"/>
    <w:rsid w:val="33721B98"/>
    <w:rsid w:val="33723946"/>
    <w:rsid w:val="33730803"/>
    <w:rsid w:val="33745910"/>
    <w:rsid w:val="33750268"/>
    <w:rsid w:val="33791178"/>
    <w:rsid w:val="337B4EF0"/>
    <w:rsid w:val="337C2A16"/>
    <w:rsid w:val="337C6572"/>
    <w:rsid w:val="337E053C"/>
    <w:rsid w:val="33802506"/>
    <w:rsid w:val="338319FA"/>
    <w:rsid w:val="33841F9D"/>
    <w:rsid w:val="33843679"/>
    <w:rsid w:val="33844661"/>
    <w:rsid w:val="33855724"/>
    <w:rsid w:val="33857B1D"/>
    <w:rsid w:val="338813BB"/>
    <w:rsid w:val="33896EE1"/>
    <w:rsid w:val="338A5133"/>
    <w:rsid w:val="338B4A07"/>
    <w:rsid w:val="338D4C23"/>
    <w:rsid w:val="33941B0E"/>
    <w:rsid w:val="33944C81"/>
    <w:rsid w:val="33953AD8"/>
    <w:rsid w:val="339A2E9C"/>
    <w:rsid w:val="339B6EDE"/>
    <w:rsid w:val="339B7340"/>
    <w:rsid w:val="339C09C3"/>
    <w:rsid w:val="339C4E66"/>
    <w:rsid w:val="339C6C14"/>
    <w:rsid w:val="339D5AEC"/>
    <w:rsid w:val="339F1D94"/>
    <w:rsid w:val="33A1247D"/>
    <w:rsid w:val="33A361F5"/>
    <w:rsid w:val="33A51F6D"/>
    <w:rsid w:val="33A53D1B"/>
    <w:rsid w:val="33A60565"/>
    <w:rsid w:val="33A61841"/>
    <w:rsid w:val="33A67A93"/>
    <w:rsid w:val="33A75E1C"/>
    <w:rsid w:val="33AA0541"/>
    <w:rsid w:val="33AC1B75"/>
    <w:rsid w:val="33B927A7"/>
    <w:rsid w:val="33BA52ED"/>
    <w:rsid w:val="33BB2870"/>
    <w:rsid w:val="33BC1065"/>
    <w:rsid w:val="33BC6AA3"/>
    <w:rsid w:val="33BF2903"/>
    <w:rsid w:val="33C10429"/>
    <w:rsid w:val="33C30645"/>
    <w:rsid w:val="33C65A3F"/>
    <w:rsid w:val="33C87A09"/>
    <w:rsid w:val="33C94B08"/>
    <w:rsid w:val="33C96D31"/>
    <w:rsid w:val="33CA19D4"/>
    <w:rsid w:val="33CE7B7C"/>
    <w:rsid w:val="33D01B1A"/>
    <w:rsid w:val="33D068BE"/>
    <w:rsid w:val="33D12D62"/>
    <w:rsid w:val="33D20888"/>
    <w:rsid w:val="33D22636"/>
    <w:rsid w:val="33D343FB"/>
    <w:rsid w:val="33D740F0"/>
    <w:rsid w:val="33D75E9F"/>
    <w:rsid w:val="33D77C4D"/>
    <w:rsid w:val="33D87354"/>
    <w:rsid w:val="33D91C17"/>
    <w:rsid w:val="33D934D4"/>
    <w:rsid w:val="33D95773"/>
    <w:rsid w:val="33DC34B5"/>
    <w:rsid w:val="33DE722D"/>
    <w:rsid w:val="33E505BB"/>
    <w:rsid w:val="33E52369"/>
    <w:rsid w:val="33E67E90"/>
    <w:rsid w:val="33E70E4F"/>
    <w:rsid w:val="33E74334"/>
    <w:rsid w:val="33E83C08"/>
    <w:rsid w:val="33EA7980"/>
    <w:rsid w:val="33ED121E"/>
    <w:rsid w:val="33EF4F96"/>
    <w:rsid w:val="33F00D0E"/>
    <w:rsid w:val="33F10683"/>
    <w:rsid w:val="33F20F2A"/>
    <w:rsid w:val="33F267D5"/>
    <w:rsid w:val="33F46A50"/>
    <w:rsid w:val="33F46B2D"/>
    <w:rsid w:val="33F64577"/>
    <w:rsid w:val="33F97DCE"/>
    <w:rsid w:val="33FB0FD2"/>
    <w:rsid w:val="33FB393B"/>
    <w:rsid w:val="33FC206B"/>
    <w:rsid w:val="33FE2F6A"/>
    <w:rsid w:val="33FE342B"/>
    <w:rsid w:val="34014CC9"/>
    <w:rsid w:val="34030A42"/>
    <w:rsid w:val="34052A0C"/>
    <w:rsid w:val="34057AB2"/>
    <w:rsid w:val="340C15FB"/>
    <w:rsid w:val="340C3D9A"/>
    <w:rsid w:val="340E07E5"/>
    <w:rsid w:val="34107865"/>
    <w:rsid w:val="341113B0"/>
    <w:rsid w:val="34142707"/>
    <w:rsid w:val="341475A7"/>
    <w:rsid w:val="34150A37"/>
    <w:rsid w:val="34164C19"/>
    <w:rsid w:val="341C1B03"/>
    <w:rsid w:val="341D7D55"/>
    <w:rsid w:val="341E1D1F"/>
    <w:rsid w:val="342015F4"/>
    <w:rsid w:val="3421711A"/>
    <w:rsid w:val="34235BF7"/>
    <w:rsid w:val="342509B8"/>
    <w:rsid w:val="34257CAC"/>
    <w:rsid w:val="34272982"/>
    <w:rsid w:val="34273047"/>
    <w:rsid w:val="342866FA"/>
    <w:rsid w:val="342A033D"/>
    <w:rsid w:val="342A06C4"/>
    <w:rsid w:val="342C61EA"/>
    <w:rsid w:val="342E1F62"/>
    <w:rsid w:val="342F1837"/>
    <w:rsid w:val="34325184"/>
    <w:rsid w:val="343468C1"/>
    <w:rsid w:val="343713B3"/>
    <w:rsid w:val="343819DA"/>
    <w:rsid w:val="343B01DB"/>
    <w:rsid w:val="343E7CCC"/>
    <w:rsid w:val="34425A0E"/>
    <w:rsid w:val="344413EF"/>
    <w:rsid w:val="34441786"/>
    <w:rsid w:val="3445105A"/>
    <w:rsid w:val="34474DD2"/>
    <w:rsid w:val="344774F1"/>
    <w:rsid w:val="344828F8"/>
    <w:rsid w:val="3449265E"/>
    <w:rsid w:val="344A1390"/>
    <w:rsid w:val="344A6670"/>
    <w:rsid w:val="344C063B"/>
    <w:rsid w:val="344C23E9"/>
    <w:rsid w:val="344E3B07"/>
    <w:rsid w:val="344E43B3"/>
    <w:rsid w:val="34502058"/>
    <w:rsid w:val="34563267"/>
    <w:rsid w:val="34572B3B"/>
    <w:rsid w:val="34580D6D"/>
    <w:rsid w:val="345D63A4"/>
    <w:rsid w:val="345E036E"/>
    <w:rsid w:val="345E3ECA"/>
    <w:rsid w:val="34607C42"/>
    <w:rsid w:val="34677222"/>
    <w:rsid w:val="3469433F"/>
    <w:rsid w:val="346A0AC1"/>
    <w:rsid w:val="346A57CF"/>
    <w:rsid w:val="346A6D13"/>
    <w:rsid w:val="346E05B1"/>
    <w:rsid w:val="346E6803"/>
    <w:rsid w:val="346F27C6"/>
    <w:rsid w:val="346F4329"/>
    <w:rsid w:val="34737FC2"/>
    <w:rsid w:val="34763909"/>
    <w:rsid w:val="347656B7"/>
    <w:rsid w:val="347831DE"/>
    <w:rsid w:val="347B0F20"/>
    <w:rsid w:val="347E27EF"/>
    <w:rsid w:val="34806536"/>
    <w:rsid w:val="34815013"/>
    <w:rsid w:val="34856DB9"/>
    <w:rsid w:val="348A1163"/>
    <w:rsid w:val="348A4CBF"/>
    <w:rsid w:val="348A6249"/>
    <w:rsid w:val="348B6A40"/>
    <w:rsid w:val="348B7602"/>
    <w:rsid w:val="348C5F98"/>
    <w:rsid w:val="348D003D"/>
    <w:rsid w:val="348E0C53"/>
    <w:rsid w:val="348E47AF"/>
    <w:rsid w:val="349124F1"/>
    <w:rsid w:val="34912E3A"/>
    <w:rsid w:val="34945B3E"/>
    <w:rsid w:val="34953C25"/>
    <w:rsid w:val="34963664"/>
    <w:rsid w:val="349B2BDB"/>
    <w:rsid w:val="349B511E"/>
    <w:rsid w:val="34A00986"/>
    <w:rsid w:val="34A264AC"/>
    <w:rsid w:val="34A57D4B"/>
    <w:rsid w:val="34A64D70"/>
    <w:rsid w:val="34A90093"/>
    <w:rsid w:val="34A915E9"/>
    <w:rsid w:val="34AB11F7"/>
    <w:rsid w:val="34B34216"/>
    <w:rsid w:val="34B3484C"/>
    <w:rsid w:val="34B41D3C"/>
    <w:rsid w:val="34B55802"/>
    <w:rsid w:val="34B63D06"/>
    <w:rsid w:val="34B8139C"/>
    <w:rsid w:val="34B87A7E"/>
    <w:rsid w:val="34BA1A48"/>
    <w:rsid w:val="34BB21B8"/>
    <w:rsid w:val="34BE4161"/>
    <w:rsid w:val="34BF5849"/>
    <w:rsid w:val="34C14C9F"/>
    <w:rsid w:val="34C208FD"/>
    <w:rsid w:val="34C71A6F"/>
    <w:rsid w:val="34C7361A"/>
    <w:rsid w:val="34C82D26"/>
    <w:rsid w:val="34C8603C"/>
    <w:rsid w:val="34C91C8B"/>
    <w:rsid w:val="34C957E7"/>
    <w:rsid w:val="34CC3529"/>
    <w:rsid w:val="34CC6EE0"/>
    <w:rsid w:val="34CF6EAD"/>
    <w:rsid w:val="34D0301A"/>
    <w:rsid w:val="34D0497D"/>
    <w:rsid w:val="34D050A1"/>
    <w:rsid w:val="34D15E0D"/>
    <w:rsid w:val="34D2794F"/>
    <w:rsid w:val="34D36666"/>
    <w:rsid w:val="34D4418C"/>
    <w:rsid w:val="34D523DE"/>
    <w:rsid w:val="34D54443"/>
    <w:rsid w:val="34D81ECE"/>
    <w:rsid w:val="34D8459F"/>
    <w:rsid w:val="34D86FCE"/>
    <w:rsid w:val="34DA3E98"/>
    <w:rsid w:val="34DA79F4"/>
    <w:rsid w:val="34DD1293"/>
    <w:rsid w:val="34DD670D"/>
    <w:rsid w:val="34DE22FF"/>
    <w:rsid w:val="34DF14AF"/>
    <w:rsid w:val="34E02B31"/>
    <w:rsid w:val="34E141C1"/>
    <w:rsid w:val="34E42621"/>
    <w:rsid w:val="34E62C45"/>
    <w:rsid w:val="34E933D7"/>
    <w:rsid w:val="34EC2211"/>
    <w:rsid w:val="34F0618B"/>
    <w:rsid w:val="34F12F90"/>
    <w:rsid w:val="34F767F8"/>
    <w:rsid w:val="34F76B21"/>
    <w:rsid w:val="34F77FF2"/>
    <w:rsid w:val="34FC3E0F"/>
    <w:rsid w:val="34FD7B87"/>
    <w:rsid w:val="34FF745B"/>
    <w:rsid w:val="35004F81"/>
    <w:rsid w:val="350177DE"/>
    <w:rsid w:val="3502519D"/>
    <w:rsid w:val="350514A9"/>
    <w:rsid w:val="35064C8D"/>
    <w:rsid w:val="350727B3"/>
    <w:rsid w:val="35084D10"/>
    <w:rsid w:val="350902DA"/>
    <w:rsid w:val="350A3B0B"/>
    <w:rsid w:val="350C2516"/>
    <w:rsid w:val="350E3B42"/>
    <w:rsid w:val="35101668"/>
    <w:rsid w:val="351078BA"/>
    <w:rsid w:val="3511718E"/>
    <w:rsid w:val="3514528F"/>
    <w:rsid w:val="351647A5"/>
    <w:rsid w:val="351849C1"/>
    <w:rsid w:val="351A6043"/>
    <w:rsid w:val="351B1938"/>
    <w:rsid w:val="351C000D"/>
    <w:rsid w:val="351D3D85"/>
    <w:rsid w:val="351E0FBF"/>
    <w:rsid w:val="351F3659"/>
    <w:rsid w:val="35200F38"/>
    <w:rsid w:val="35245113"/>
    <w:rsid w:val="3525563E"/>
    <w:rsid w:val="3529097C"/>
    <w:rsid w:val="3529272A"/>
    <w:rsid w:val="352C3FC8"/>
    <w:rsid w:val="352D221A"/>
    <w:rsid w:val="352E7D40"/>
    <w:rsid w:val="352F39CF"/>
    <w:rsid w:val="352F7B20"/>
    <w:rsid w:val="35305866"/>
    <w:rsid w:val="353115DE"/>
    <w:rsid w:val="35317973"/>
    <w:rsid w:val="35353F14"/>
    <w:rsid w:val="353752C8"/>
    <w:rsid w:val="35376B06"/>
    <w:rsid w:val="353C420B"/>
    <w:rsid w:val="353D7F83"/>
    <w:rsid w:val="353F24BB"/>
    <w:rsid w:val="354016EB"/>
    <w:rsid w:val="35417A73"/>
    <w:rsid w:val="354219F4"/>
    <w:rsid w:val="3546508A"/>
    <w:rsid w:val="35472BB0"/>
    <w:rsid w:val="354B08F2"/>
    <w:rsid w:val="354C01C6"/>
    <w:rsid w:val="354D1DB2"/>
    <w:rsid w:val="354E3F3E"/>
    <w:rsid w:val="3551083B"/>
    <w:rsid w:val="35523A2F"/>
    <w:rsid w:val="35531555"/>
    <w:rsid w:val="355359F9"/>
    <w:rsid w:val="35575A35"/>
    <w:rsid w:val="355C665B"/>
    <w:rsid w:val="355C710A"/>
    <w:rsid w:val="355E6877"/>
    <w:rsid w:val="356814A4"/>
    <w:rsid w:val="35690D78"/>
    <w:rsid w:val="356A24DE"/>
    <w:rsid w:val="356B2D42"/>
    <w:rsid w:val="356E638F"/>
    <w:rsid w:val="3570223A"/>
    <w:rsid w:val="3572573D"/>
    <w:rsid w:val="35725E7F"/>
    <w:rsid w:val="35740C40"/>
    <w:rsid w:val="3575771D"/>
    <w:rsid w:val="35773495"/>
    <w:rsid w:val="35793D59"/>
    <w:rsid w:val="357A11D7"/>
    <w:rsid w:val="357A34CD"/>
    <w:rsid w:val="357C4F4F"/>
    <w:rsid w:val="358259D7"/>
    <w:rsid w:val="35867B7C"/>
    <w:rsid w:val="35891A89"/>
    <w:rsid w:val="358B6F41"/>
    <w:rsid w:val="358C5FA8"/>
    <w:rsid w:val="3592207D"/>
    <w:rsid w:val="35942E06"/>
    <w:rsid w:val="35944047"/>
    <w:rsid w:val="35951B6D"/>
    <w:rsid w:val="35973B37"/>
    <w:rsid w:val="35975A2F"/>
    <w:rsid w:val="359A22CB"/>
    <w:rsid w:val="359A53D6"/>
    <w:rsid w:val="359B5D55"/>
    <w:rsid w:val="359C73A0"/>
    <w:rsid w:val="359D0A22"/>
    <w:rsid w:val="359E6C74"/>
    <w:rsid w:val="359F0C3E"/>
    <w:rsid w:val="359F6A89"/>
    <w:rsid w:val="35A23D0E"/>
    <w:rsid w:val="35A3072E"/>
    <w:rsid w:val="35A65B28"/>
    <w:rsid w:val="35AD5109"/>
    <w:rsid w:val="35AD6EB7"/>
    <w:rsid w:val="35AF114F"/>
    <w:rsid w:val="35B069A7"/>
    <w:rsid w:val="35B24EFF"/>
    <w:rsid w:val="35B50461"/>
    <w:rsid w:val="35B5220F"/>
    <w:rsid w:val="35B54FC1"/>
    <w:rsid w:val="35B65978"/>
    <w:rsid w:val="35B75F88"/>
    <w:rsid w:val="35BA15D4"/>
    <w:rsid w:val="35BA4736"/>
    <w:rsid w:val="35BA7826"/>
    <w:rsid w:val="35BB5A78"/>
    <w:rsid w:val="35BE10C4"/>
    <w:rsid w:val="35BF4E3C"/>
    <w:rsid w:val="35C020D4"/>
    <w:rsid w:val="35C13290"/>
    <w:rsid w:val="35C15DF1"/>
    <w:rsid w:val="35C42453"/>
    <w:rsid w:val="35C56367"/>
    <w:rsid w:val="35D00DF7"/>
    <w:rsid w:val="35D01BC9"/>
    <w:rsid w:val="35D02246"/>
    <w:rsid w:val="35D05A62"/>
    <w:rsid w:val="35D07049"/>
    <w:rsid w:val="35D2691D"/>
    <w:rsid w:val="35D40299"/>
    <w:rsid w:val="35D42696"/>
    <w:rsid w:val="35D51C91"/>
    <w:rsid w:val="35D5640E"/>
    <w:rsid w:val="35D703D8"/>
    <w:rsid w:val="35D9305A"/>
    <w:rsid w:val="35D95EFE"/>
    <w:rsid w:val="35DA3A24"/>
    <w:rsid w:val="35DB6085"/>
    <w:rsid w:val="35DB7EC8"/>
    <w:rsid w:val="35DC154A"/>
    <w:rsid w:val="35DF4197"/>
    <w:rsid w:val="35E07FAD"/>
    <w:rsid w:val="35E46651"/>
    <w:rsid w:val="35E52AF5"/>
    <w:rsid w:val="35E87230"/>
    <w:rsid w:val="35EB3E83"/>
    <w:rsid w:val="35EB5C31"/>
    <w:rsid w:val="35ED19A9"/>
    <w:rsid w:val="35F03248"/>
    <w:rsid w:val="35F04FF6"/>
    <w:rsid w:val="35F26E7D"/>
    <w:rsid w:val="35F40F8A"/>
    <w:rsid w:val="35F44AE6"/>
    <w:rsid w:val="35F5085E"/>
    <w:rsid w:val="35F638E3"/>
    <w:rsid w:val="35F86203"/>
    <w:rsid w:val="35F9034E"/>
    <w:rsid w:val="35F920FC"/>
    <w:rsid w:val="35FA36F4"/>
    <w:rsid w:val="35FD75B5"/>
    <w:rsid w:val="35FF348B"/>
    <w:rsid w:val="36017203"/>
    <w:rsid w:val="360311CD"/>
    <w:rsid w:val="36034D29"/>
    <w:rsid w:val="36050AA1"/>
    <w:rsid w:val="36054F45"/>
    <w:rsid w:val="36056CF3"/>
    <w:rsid w:val="36064819"/>
    <w:rsid w:val="36074A7F"/>
    <w:rsid w:val="36080591"/>
    <w:rsid w:val="360867E3"/>
    <w:rsid w:val="36090618"/>
    <w:rsid w:val="360A60B7"/>
    <w:rsid w:val="360B1E2F"/>
    <w:rsid w:val="360D0379"/>
    <w:rsid w:val="360D3DFA"/>
    <w:rsid w:val="360D5BA8"/>
    <w:rsid w:val="361138EA"/>
    <w:rsid w:val="36154A5C"/>
    <w:rsid w:val="3616178C"/>
    <w:rsid w:val="36177321"/>
    <w:rsid w:val="361A417D"/>
    <w:rsid w:val="361B3EDC"/>
    <w:rsid w:val="361C5DEB"/>
    <w:rsid w:val="362012D7"/>
    <w:rsid w:val="3620283E"/>
    <w:rsid w:val="36203B2D"/>
    <w:rsid w:val="362058DB"/>
    <w:rsid w:val="3623361D"/>
    <w:rsid w:val="36260A17"/>
    <w:rsid w:val="36262B88"/>
    <w:rsid w:val="362708E9"/>
    <w:rsid w:val="36284148"/>
    <w:rsid w:val="362A0508"/>
    <w:rsid w:val="362B4280"/>
    <w:rsid w:val="362C24D2"/>
    <w:rsid w:val="362D0932"/>
    <w:rsid w:val="363037C3"/>
    <w:rsid w:val="363244F6"/>
    <w:rsid w:val="3632641D"/>
    <w:rsid w:val="36341386"/>
    <w:rsid w:val="36356EAC"/>
    <w:rsid w:val="36361BCB"/>
    <w:rsid w:val="363650FE"/>
    <w:rsid w:val="36394BEF"/>
    <w:rsid w:val="363C0975"/>
    <w:rsid w:val="363D28C0"/>
    <w:rsid w:val="363D2A3D"/>
    <w:rsid w:val="363F332D"/>
    <w:rsid w:val="363F46D0"/>
    <w:rsid w:val="36407D2B"/>
    <w:rsid w:val="36435A6D"/>
    <w:rsid w:val="36444E61"/>
    <w:rsid w:val="364530C9"/>
    <w:rsid w:val="364729C7"/>
    <w:rsid w:val="36484E32"/>
    <w:rsid w:val="364D6FFD"/>
    <w:rsid w:val="364F7F6E"/>
    <w:rsid w:val="36502DAD"/>
    <w:rsid w:val="36511F38"/>
    <w:rsid w:val="36532A90"/>
    <w:rsid w:val="36533F02"/>
    <w:rsid w:val="365A28BC"/>
    <w:rsid w:val="365C5755"/>
    <w:rsid w:val="365D4441"/>
    <w:rsid w:val="365D5F63"/>
    <w:rsid w:val="365E28A7"/>
    <w:rsid w:val="365F322C"/>
    <w:rsid w:val="36617CA1"/>
    <w:rsid w:val="36620998"/>
    <w:rsid w:val="366351D0"/>
    <w:rsid w:val="36657FCA"/>
    <w:rsid w:val="366A124C"/>
    <w:rsid w:val="366B28CE"/>
    <w:rsid w:val="366D6646"/>
    <w:rsid w:val="367125DA"/>
    <w:rsid w:val="36721CF2"/>
    <w:rsid w:val="36721EAF"/>
    <w:rsid w:val="36723C5D"/>
    <w:rsid w:val="367253A6"/>
    <w:rsid w:val="3674345C"/>
    <w:rsid w:val="36745D52"/>
    <w:rsid w:val="36753CE8"/>
    <w:rsid w:val="36767BF1"/>
    <w:rsid w:val="367774C5"/>
    <w:rsid w:val="36783350"/>
    <w:rsid w:val="36785717"/>
    <w:rsid w:val="367A3449"/>
    <w:rsid w:val="367B6FB5"/>
    <w:rsid w:val="367C12AF"/>
    <w:rsid w:val="367D350B"/>
    <w:rsid w:val="367F6C7D"/>
    <w:rsid w:val="3680281D"/>
    <w:rsid w:val="368158FA"/>
    <w:rsid w:val="36826596"/>
    <w:rsid w:val="36853990"/>
    <w:rsid w:val="36873BAC"/>
    <w:rsid w:val="368A71F8"/>
    <w:rsid w:val="368B3C8B"/>
    <w:rsid w:val="368B585E"/>
    <w:rsid w:val="368F10CE"/>
    <w:rsid w:val="368F2A60"/>
    <w:rsid w:val="36923549"/>
    <w:rsid w:val="36923616"/>
    <w:rsid w:val="369260AD"/>
    <w:rsid w:val="369342FF"/>
    <w:rsid w:val="36941E25"/>
    <w:rsid w:val="36965B9D"/>
    <w:rsid w:val="369A2F9E"/>
    <w:rsid w:val="369B06A2"/>
    <w:rsid w:val="369B5353"/>
    <w:rsid w:val="369C0BF4"/>
    <w:rsid w:val="369C6124"/>
    <w:rsid w:val="369D6F2B"/>
    <w:rsid w:val="369E3CCF"/>
    <w:rsid w:val="369F2D94"/>
    <w:rsid w:val="36A04C6E"/>
    <w:rsid w:val="36A22794"/>
    <w:rsid w:val="36A302BA"/>
    <w:rsid w:val="36A311EF"/>
    <w:rsid w:val="36A505CD"/>
    <w:rsid w:val="36A858D0"/>
    <w:rsid w:val="36AA1648"/>
    <w:rsid w:val="36AA5AEC"/>
    <w:rsid w:val="36AA789A"/>
    <w:rsid w:val="36AD2EE7"/>
    <w:rsid w:val="36AD6BBF"/>
    <w:rsid w:val="36AF5145"/>
    <w:rsid w:val="36B012BF"/>
    <w:rsid w:val="36B07021"/>
    <w:rsid w:val="36B349A1"/>
    <w:rsid w:val="36B61F5B"/>
    <w:rsid w:val="36B75FBF"/>
    <w:rsid w:val="36B9188B"/>
    <w:rsid w:val="36BB5BB8"/>
    <w:rsid w:val="36BD0C45"/>
    <w:rsid w:val="36BD75CE"/>
    <w:rsid w:val="36BF1BC9"/>
    <w:rsid w:val="36C00E6C"/>
    <w:rsid w:val="36C4095C"/>
    <w:rsid w:val="36C546D4"/>
    <w:rsid w:val="36C56482"/>
    <w:rsid w:val="36C7044C"/>
    <w:rsid w:val="36C721FA"/>
    <w:rsid w:val="36C73FA8"/>
    <w:rsid w:val="36C85AB1"/>
    <w:rsid w:val="36C90395"/>
    <w:rsid w:val="36C91572"/>
    <w:rsid w:val="36CA1CEB"/>
    <w:rsid w:val="36CB6C73"/>
    <w:rsid w:val="36CD0A70"/>
    <w:rsid w:val="36CF7301"/>
    <w:rsid w:val="36D00EFD"/>
    <w:rsid w:val="36D05553"/>
    <w:rsid w:val="36D36DF1"/>
    <w:rsid w:val="36D641EB"/>
    <w:rsid w:val="36D861B6"/>
    <w:rsid w:val="36D93CDC"/>
    <w:rsid w:val="36DC327D"/>
    <w:rsid w:val="36DC53B7"/>
    <w:rsid w:val="36DE62AD"/>
    <w:rsid w:val="36DF7E92"/>
    <w:rsid w:val="36E0150E"/>
    <w:rsid w:val="36E032BC"/>
    <w:rsid w:val="36E0506A"/>
    <w:rsid w:val="36E36908"/>
    <w:rsid w:val="36E54FD9"/>
    <w:rsid w:val="36E65199"/>
    <w:rsid w:val="36E8395A"/>
    <w:rsid w:val="36E903C3"/>
    <w:rsid w:val="36EC1C61"/>
    <w:rsid w:val="36EC3A0F"/>
    <w:rsid w:val="36EE3C2B"/>
    <w:rsid w:val="36EF0C5C"/>
    <w:rsid w:val="36EF34FF"/>
    <w:rsid w:val="36F32FEF"/>
    <w:rsid w:val="36F47456"/>
    <w:rsid w:val="36FB1EA4"/>
    <w:rsid w:val="36FC1B28"/>
    <w:rsid w:val="36FC6348"/>
    <w:rsid w:val="36FF1994"/>
    <w:rsid w:val="3700273C"/>
    <w:rsid w:val="3701395E"/>
    <w:rsid w:val="37016B5B"/>
    <w:rsid w:val="37030298"/>
    <w:rsid w:val="37035B21"/>
    <w:rsid w:val="37052E82"/>
    <w:rsid w:val="370A0339"/>
    <w:rsid w:val="370B658B"/>
    <w:rsid w:val="370C40B1"/>
    <w:rsid w:val="370F6B05"/>
    <w:rsid w:val="3710594F"/>
    <w:rsid w:val="37114AE6"/>
    <w:rsid w:val="37123819"/>
    <w:rsid w:val="37130057"/>
    <w:rsid w:val="37133202"/>
    <w:rsid w:val="37133692"/>
    <w:rsid w:val="37135440"/>
    <w:rsid w:val="371371EE"/>
    <w:rsid w:val="371A4A20"/>
    <w:rsid w:val="371B42F4"/>
    <w:rsid w:val="371C0798"/>
    <w:rsid w:val="371D006C"/>
    <w:rsid w:val="371D62BE"/>
    <w:rsid w:val="371F2036"/>
    <w:rsid w:val="3720265B"/>
    <w:rsid w:val="37217B5C"/>
    <w:rsid w:val="37226B12"/>
    <w:rsid w:val="37262080"/>
    <w:rsid w:val="372638FC"/>
    <w:rsid w:val="37272C99"/>
    <w:rsid w:val="3727713D"/>
    <w:rsid w:val="37294C63"/>
    <w:rsid w:val="372A4537"/>
    <w:rsid w:val="372B09DB"/>
    <w:rsid w:val="372C4753"/>
    <w:rsid w:val="372E0B3E"/>
    <w:rsid w:val="372F7BDC"/>
    <w:rsid w:val="37313B18"/>
    <w:rsid w:val="373158C6"/>
    <w:rsid w:val="37321D6A"/>
    <w:rsid w:val="37337890"/>
    <w:rsid w:val="37357164"/>
    <w:rsid w:val="373650F3"/>
    <w:rsid w:val="37366323"/>
    <w:rsid w:val="37372470"/>
    <w:rsid w:val="37377380"/>
    <w:rsid w:val="37384EA6"/>
    <w:rsid w:val="37397DA9"/>
    <w:rsid w:val="373B4B09"/>
    <w:rsid w:val="373B7263"/>
    <w:rsid w:val="373D070E"/>
    <w:rsid w:val="373E7E7C"/>
    <w:rsid w:val="37423454"/>
    <w:rsid w:val="3747215A"/>
    <w:rsid w:val="3748158D"/>
    <w:rsid w:val="374B1A5B"/>
    <w:rsid w:val="374C71CA"/>
    <w:rsid w:val="374E0226"/>
    <w:rsid w:val="374E46CA"/>
    <w:rsid w:val="374F38A2"/>
    <w:rsid w:val="37500442"/>
    <w:rsid w:val="37522429"/>
    <w:rsid w:val="37531CE0"/>
    <w:rsid w:val="37533DA9"/>
    <w:rsid w:val="37555A58"/>
    <w:rsid w:val="375717D0"/>
    <w:rsid w:val="375813ED"/>
    <w:rsid w:val="37585548"/>
    <w:rsid w:val="375A12C0"/>
    <w:rsid w:val="375B7008"/>
    <w:rsid w:val="375D2B5F"/>
    <w:rsid w:val="375D490D"/>
    <w:rsid w:val="375F041E"/>
    <w:rsid w:val="375F2433"/>
    <w:rsid w:val="37623F05"/>
    <w:rsid w:val="37647A49"/>
    <w:rsid w:val="37656B53"/>
    <w:rsid w:val="37684573"/>
    <w:rsid w:val="37691503"/>
    <w:rsid w:val="376C68FE"/>
    <w:rsid w:val="376E2676"/>
    <w:rsid w:val="37702892"/>
    <w:rsid w:val="37704640"/>
    <w:rsid w:val="377203B8"/>
    <w:rsid w:val="37733392"/>
    <w:rsid w:val="37767142"/>
    <w:rsid w:val="3776777C"/>
    <w:rsid w:val="3779679F"/>
    <w:rsid w:val="377B368D"/>
    <w:rsid w:val="377C4D93"/>
    <w:rsid w:val="3781549D"/>
    <w:rsid w:val="37825AA6"/>
    <w:rsid w:val="378400EB"/>
    <w:rsid w:val="37840664"/>
    <w:rsid w:val="3784633D"/>
    <w:rsid w:val="37854AF1"/>
    <w:rsid w:val="37857812"/>
    <w:rsid w:val="37860176"/>
    <w:rsid w:val="37865C12"/>
    <w:rsid w:val="378679C0"/>
    <w:rsid w:val="3787198A"/>
    <w:rsid w:val="37895702"/>
    <w:rsid w:val="37896CF9"/>
    <w:rsid w:val="378C0A4F"/>
    <w:rsid w:val="378D51F2"/>
    <w:rsid w:val="3790083E"/>
    <w:rsid w:val="37920A5A"/>
    <w:rsid w:val="37943E0C"/>
    <w:rsid w:val="379522F8"/>
    <w:rsid w:val="37971BCD"/>
    <w:rsid w:val="3797445D"/>
    <w:rsid w:val="37985945"/>
    <w:rsid w:val="37992B44"/>
    <w:rsid w:val="379A16BD"/>
    <w:rsid w:val="379C3687"/>
    <w:rsid w:val="379C71E3"/>
    <w:rsid w:val="379D29F3"/>
    <w:rsid w:val="379E73FF"/>
    <w:rsid w:val="379F0A81"/>
    <w:rsid w:val="379F6CD3"/>
    <w:rsid w:val="37A20571"/>
    <w:rsid w:val="37A24CCF"/>
    <w:rsid w:val="37A34A15"/>
    <w:rsid w:val="37A83DDA"/>
    <w:rsid w:val="37A91EAD"/>
    <w:rsid w:val="37A939F6"/>
    <w:rsid w:val="37AB05F1"/>
    <w:rsid w:val="37AD7642"/>
    <w:rsid w:val="37B00EE0"/>
    <w:rsid w:val="37B035DE"/>
    <w:rsid w:val="37B07132"/>
    <w:rsid w:val="37B13FAF"/>
    <w:rsid w:val="37B24C58"/>
    <w:rsid w:val="37B27227"/>
    <w:rsid w:val="37B564F7"/>
    <w:rsid w:val="37B65A46"/>
    <w:rsid w:val="37B704C1"/>
    <w:rsid w:val="37B72B4D"/>
    <w:rsid w:val="37B833F9"/>
    <w:rsid w:val="37BC1633"/>
    <w:rsid w:val="37BE35FD"/>
    <w:rsid w:val="37BF2ED1"/>
    <w:rsid w:val="37BF7375"/>
    <w:rsid w:val="37C11E1C"/>
    <w:rsid w:val="37C14651"/>
    <w:rsid w:val="37C826B0"/>
    <w:rsid w:val="37C91FA2"/>
    <w:rsid w:val="37C95891"/>
    <w:rsid w:val="37CA01F4"/>
    <w:rsid w:val="37CD55EE"/>
    <w:rsid w:val="37CF2348"/>
    <w:rsid w:val="37D050DF"/>
    <w:rsid w:val="37D150FC"/>
    <w:rsid w:val="37D9363F"/>
    <w:rsid w:val="37DC1CD5"/>
    <w:rsid w:val="37DC7F27"/>
    <w:rsid w:val="37DD15AA"/>
    <w:rsid w:val="37DE3C9F"/>
    <w:rsid w:val="37DE5A4E"/>
    <w:rsid w:val="37DF17C6"/>
    <w:rsid w:val="37E00298"/>
    <w:rsid w:val="37E1109A"/>
    <w:rsid w:val="37E20A3E"/>
    <w:rsid w:val="37E33064"/>
    <w:rsid w:val="37E455AA"/>
    <w:rsid w:val="37E62B54"/>
    <w:rsid w:val="37EB016A"/>
    <w:rsid w:val="37EB1F18"/>
    <w:rsid w:val="37ED3EE3"/>
    <w:rsid w:val="37EE37B7"/>
    <w:rsid w:val="37EF1A09"/>
    <w:rsid w:val="37EF3553"/>
    <w:rsid w:val="37F039D3"/>
    <w:rsid w:val="37F16F81"/>
    <w:rsid w:val="37F21986"/>
    <w:rsid w:val="37F2750D"/>
    <w:rsid w:val="37F708BD"/>
    <w:rsid w:val="37F91B2A"/>
    <w:rsid w:val="37F92887"/>
    <w:rsid w:val="37FA18E4"/>
    <w:rsid w:val="37FB65FF"/>
    <w:rsid w:val="37FC5ED4"/>
    <w:rsid w:val="37FE39FA"/>
    <w:rsid w:val="37FF59C4"/>
    <w:rsid w:val="38007B4A"/>
    <w:rsid w:val="3801173C"/>
    <w:rsid w:val="38022BDC"/>
    <w:rsid w:val="38082ACA"/>
    <w:rsid w:val="3808478E"/>
    <w:rsid w:val="380B1527"/>
    <w:rsid w:val="380B4369"/>
    <w:rsid w:val="380E6B49"/>
    <w:rsid w:val="380F5C07"/>
    <w:rsid w:val="381274A5"/>
    <w:rsid w:val="3814321D"/>
    <w:rsid w:val="381577F7"/>
    <w:rsid w:val="38196A86"/>
    <w:rsid w:val="381A45AC"/>
    <w:rsid w:val="381B0A50"/>
    <w:rsid w:val="381D2D9D"/>
    <w:rsid w:val="381E22EE"/>
    <w:rsid w:val="381F1BC2"/>
    <w:rsid w:val="3821593A"/>
    <w:rsid w:val="382316B2"/>
    <w:rsid w:val="3825761D"/>
    <w:rsid w:val="38264B93"/>
    <w:rsid w:val="382673F4"/>
    <w:rsid w:val="38286CC9"/>
    <w:rsid w:val="382947EF"/>
    <w:rsid w:val="382D2531"/>
    <w:rsid w:val="38315C5A"/>
    <w:rsid w:val="38327B47"/>
    <w:rsid w:val="38342FC3"/>
    <w:rsid w:val="383445DB"/>
    <w:rsid w:val="3834566E"/>
    <w:rsid w:val="3835442F"/>
    <w:rsid w:val="3836588A"/>
    <w:rsid w:val="383733B0"/>
    <w:rsid w:val="38394C4C"/>
    <w:rsid w:val="383A69FC"/>
    <w:rsid w:val="383D3652"/>
    <w:rsid w:val="383E029A"/>
    <w:rsid w:val="383F0A8C"/>
    <w:rsid w:val="384004B6"/>
    <w:rsid w:val="3840605A"/>
    <w:rsid w:val="38414C9C"/>
    <w:rsid w:val="38431D54"/>
    <w:rsid w:val="38451629"/>
    <w:rsid w:val="384635F3"/>
    <w:rsid w:val="38474189"/>
    <w:rsid w:val="38477E80"/>
    <w:rsid w:val="384B29B7"/>
    <w:rsid w:val="38504F55"/>
    <w:rsid w:val="385201EA"/>
    <w:rsid w:val="38535EB1"/>
    <w:rsid w:val="38547ABE"/>
    <w:rsid w:val="38590705"/>
    <w:rsid w:val="38591578"/>
    <w:rsid w:val="385B51EE"/>
    <w:rsid w:val="386115E2"/>
    <w:rsid w:val="386121DB"/>
    <w:rsid w:val="3862667F"/>
    <w:rsid w:val="38627659"/>
    <w:rsid w:val="386817BB"/>
    <w:rsid w:val="38682D6E"/>
    <w:rsid w:val="38685317"/>
    <w:rsid w:val="386A72E1"/>
    <w:rsid w:val="386B2E9C"/>
    <w:rsid w:val="386F48F8"/>
    <w:rsid w:val="38714956"/>
    <w:rsid w:val="38735D2A"/>
    <w:rsid w:val="38741F0E"/>
    <w:rsid w:val="38767A34"/>
    <w:rsid w:val="38797524"/>
    <w:rsid w:val="387C0200"/>
    <w:rsid w:val="387C6B1D"/>
    <w:rsid w:val="388008B3"/>
    <w:rsid w:val="38806B05"/>
    <w:rsid w:val="38812BE2"/>
    <w:rsid w:val="388163D9"/>
    <w:rsid w:val="3885236D"/>
    <w:rsid w:val="38883C0B"/>
    <w:rsid w:val="38887767"/>
    <w:rsid w:val="38891CA9"/>
    <w:rsid w:val="388A7983"/>
    <w:rsid w:val="388B0DDA"/>
    <w:rsid w:val="388D2FD0"/>
    <w:rsid w:val="388E7474"/>
    <w:rsid w:val="388F6D48"/>
    <w:rsid w:val="38904CD7"/>
    <w:rsid w:val="38912AC0"/>
    <w:rsid w:val="38926838"/>
    <w:rsid w:val="389425B0"/>
    <w:rsid w:val="38950DA7"/>
    <w:rsid w:val="389820A0"/>
    <w:rsid w:val="38982B7E"/>
    <w:rsid w:val="38983E4E"/>
    <w:rsid w:val="389A0BB8"/>
    <w:rsid w:val="389B16D7"/>
    <w:rsid w:val="389B393F"/>
    <w:rsid w:val="389C3213"/>
    <w:rsid w:val="389C6EEF"/>
    <w:rsid w:val="389E51DD"/>
    <w:rsid w:val="38A0052B"/>
    <w:rsid w:val="38A22FF6"/>
    <w:rsid w:val="38A327F3"/>
    <w:rsid w:val="38A36879"/>
    <w:rsid w:val="38A50319"/>
    <w:rsid w:val="38A67194"/>
    <w:rsid w:val="38AA5930"/>
    <w:rsid w:val="38AC70DB"/>
    <w:rsid w:val="38AD5420"/>
    <w:rsid w:val="38B302F9"/>
    <w:rsid w:val="38B36EDA"/>
    <w:rsid w:val="38B45B48"/>
    <w:rsid w:val="38B60683"/>
    <w:rsid w:val="38B642D4"/>
    <w:rsid w:val="38B870EE"/>
    <w:rsid w:val="38B95B73"/>
    <w:rsid w:val="38BB7B3D"/>
    <w:rsid w:val="38BC19A2"/>
    <w:rsid w:val="38BD38B5"/>
    <w:rsid w:val="38BD5663"/>
    <w:rsid w:val="38BE762D"/>
    <w:rsid w:val="38C02AD1"/>
    <w:rsid w:val="38C05153"/>
    <w:rsid w:val="38C075B5"/>
    <w:rsid w:val="38C31508"/>
    <w:rsid w:val="38C369F1"/>
    <w:rsid w:val="38C42F04"/>
    <w:rsid w:val="38C618CB"/>
    <w:rsid w:val="38CA3484"/>
    <w:rsid w:val="38CA4224"/>
    <w:rsid w:val="38CA5FD2"/>
    <w:rsid w:val="38CC03EE"/>
    <w:rsid w:val="38CC5188"/>
    <w:rsid w:val="38CE7AA8"/>
    <w:rsid w:val="38CF183A"/>
    <w:rsid w:val="38CF35E8"/>
    <w:rsid w:val="38D17360"/>
    <w:rsid w:val="38D34E86"/>
    <w:rsid w:val="38D351C0"/>
    <w:rsid w:val="38D429AD"/>
    <w:rsid w:val="38D459D1"/>
    <w:rsid w:val="38D94BBA"/>
    <w:rsid w:val="38DD7958"/>
    <w:rsid w:val="38E075A3"/>
    <w:rsid w:val="38E154F2"/>
    <w:rsid w:val="38E2156D"/>
    <w:rsid w:val="38E21DBF"/>
    <w:rsid w:val="38E350E4"/>
    <w:rsid w:val="38E35C8E"/>
    <w:rsid w:val="38E5105E"/>
    <w:rsid w:val="38E52E0C"/>
    <w:rsid w:val="38E726E0"/>
    <w:rsid w:val="38E928FC"/>
    <w:rsid w:val="38EA0710"/>
    <w:rsid w:val="38EC419A"/>
    <w:rsid w:val="38EC46EF"/>
    <w:rsid w:val="38EE5992"/>
    <w:rsid w:val="38EE7F12"/>
    <w:rsid w:val="38EF5A38"/>
    <w:rsid w:val="38F12CD3"/>
    <w:rsid w:val="38F31085"/>
    <w:rsid w:val="38F31873"/>
    <w:rsid w:val="38F90665"/>
    <w:rsid w:val="38F94775"/>
    <w:rsid w:val="38FB1F4B"/>
    <w:rsid w:val="38FB618B"/>
    <w:rsid w:val="38FD1F03"/>
    <w:rsid w:val="39006985"/>
    <w:rsid w:val="390239BE"/>
    <w:rsid w:val="39050DB8"/>
    <w:rsid w:val="3907659E"/>
    <w:rsid w:val="390A2872"/>
    <w:rsid w:val="390C65EA"/>
    <w:rsid w:val="390E5EBF"/>
    <w:rsid w:val="390F63CA"/>
    <w:rsid w:val="390F7E89"/>
    <w:rsid w:val="39180AEB"/>
    <w:rsid w:val="39186D3D"/>
    <w:rsid w:val="391A0D07"/>
    <w:rsid w:val="391B682D"/>
    <w:rsid w:val="391D359F"/>
    <w:rsid w:val="3922196A"/>
    <w:rsid w:val="39237490"/>
    <w:rsid w:val="392400CC"/>
    <w:rsid w:val="3924229F"/>
    <w:rsid w:val="39272B6C"/>
    <w:rsid w:val="392971ED"/>
    <w:rsid w:val="39297DD7"/>
    <w:rsid w:val="392A6A70"/>
    <w:rsid w:val="392B4CC2"/>
    <w:rsid w:val="392C4597"/>
    <w:rsid w:val="392E1474"/>
    <w:rsid w:val="393029A2"/>
    <w:rsid w:val="393125F0"/>
    <w:rsid w:val="39316051"/>
    <w:rsid w:val="39325651"/>
    <w:rsid w:val="39331DC9"/>
    <w:rsid w:val="39396CB4"/>
    <w:rsid w:val="393C01D5"/>
    <w:rsid w:val="393D49F6"/>
    <w:rsid w:val="393F42CA"/>
    <w:rsid w:val="39406294"/>
    <w:rsid w:val="394079FC"/>
    <w:rsid w:val="394515AA"/>
    <w:rsid w:val="394624FA"/>
    <w:rsid w:val="39475874"/>
    <w:rsid w:val="39482879"/>
    <w:rsid w:val="3949339B"/>
    <w:rsid w:val="394A0E7B"/>
    <w:rsid w:val="394A2C6F"/>
    <w:rsid w:val="394A5BAB"/>
    <w:rsid w:val="394C2E8B"/>
    <w:rsid w:val="394E23CD"/>
    <w:rsid w:val="394E470F"/>
    <w:rsid w:val="394F51A8"/>
    <w:rsid w:val="395104A1"/>
    <w:rsid w:val="3951224F"/>
    <w:rsid w:val="39537D75"/>
    <w:rsid w:val="39553AED"/>
    <w:rsid w:val="39573D9E"/>
    <w:rsid w:val="395A05A6"/>
    <w:rsid w:val="395D6E46"/>
    <w:rsid w:val="395F671A"/>
    <w:rsid w:val="39602492"/>
    <w:rsid w:val="39616936"/>
    <w:rsid w:val="396226AE"/>
    <w:rsid w:val="39643D30"/>
    <w:rsid w:val="39662D1B"/>
    <w:rsid w:val="396635A7"/>
    <w:rsid w:val="39673821"/>
    <w:rsid w:val="39685B45"/>
    <w:rsid w:val="396957EB"/>
    <w:rsid w:val="39697599"/>
    <w:rsid w:val="396B3311"/>
    <w:rsid w:val="396C52DB"/>
    <w:rsid w:val="396E4BAF"/>
    <w:rsid w:val="396F26D5"/>
    <w:rsid w:val="39706B79"/>
    <w:rsid w:val="397330FD"/>
    <w:rsid w:val="39736669"/>
    <w:rsid w:val="397460EF"/>
    <w:rsid w:val="39763A64"/>
    <w:rsid w:val="39783C80"/>
    <w:rsid w:val="397855D8"/>
    <w:rsid w:val="397C3770"/>
    <w:rsid w:val="39802BEE"/>
    <w:rsid w:val="398166EC"/>
    <w:rsid w:val="39850165"/>
    <w:rsid w:val="3986639D"/>
    <w:rsid w:val="3986798D"/>
    <w:rsid w:val="398839EE"/>
    <w:rsid w:val="39897C3B"/>
    <w:rsid w:val="398C14D9"/>
    <w:rsid w:val="398C3287"/>
    <w:rsid w:val="398D772B"/>
    <w:rsid w:val="398E0DAD"/>
    <w:rsid w:val="398E34A3"/>
    <w:rsid w:val="398E5251"/>
    <w:rsid w:val="39904B26"/>
    <w:rsid w:val="39972358"/>
    <w:rsid w:val="39986745"/>
    <w:rsid w:val="399A1E48"/>
    <w:rsid w:val="399C2315"/>
    <w:rsid w:val="399D36E6"/>
    <w:rsid w:val="39A405D1"/>
    <w:rsid w:val="39A44A75"/>
    <w:rsid w:val="39A93E39"/>
    <w:rsid w:val="39A95BE7"/>
    <w:rsid w:val="39AA1E5C"/>
    <w:rsid w:val="39AA2F21"/>
    <w:rsid w:val="39AE31FE"/>
    <w:rsid w:val="39B27192"/>
    <w:rsid w:val="39B300EB"/>
    <w:rsid w:val="39B324CD"/>
    <w:rsid w:val="39B32F0A"/>
    <w:rsid w:val="39B518B3"/>
    <w:rsid w:val="39B51BBA"/>
    <w:rsid w:val="39B527DE"/>
    <w:rsid w:val="39B52A0B"/>
    <w:rsid w:val="39B867BB"/>
    <w:rsid w:val="39B90520"/>
    <w:rsid w:val="39BB78B6"/>
    <w:rsid w:val="39BB7D0D"/>
    <w:rsid w:val="39BC3B6C"/>
    <w:rsid w:val="39BD7D4E"/>
    <w:rsid w:val="39BE07C6"/>
    <w:rsid w:val="39BE4EA4"/>
    <w:rsid w:val="39BE5B37"/>
    <w:rsid w:val="39BE5DF2"/>
    <w:rsid w:val="39C173D5"/>
    <w:rsid w:val="39C24A30"/>
    <w:rsid w:val="39C26CA9"/>
    <w:rsid w:val="39C3314D"/>
    <w:rsid w:val="39C40C73"/>
    <w:rsid w:val="39C42A21"/>
    <w:rsid w:val="39C742BF"/>
    <w:rsid w:val="39C90037"/>
    <w:rsid w:val="39CB0253"/>
    <w:rsid w:val="39CB3DB0"/>
    <w:rsid w:val="39CD16E5"/>
    <w:rsid w:val="39CD59D6"/>
    <w:rsid w:val="39CD5D7A"/>
    <w:rsid w:val="39CE38A0"/>
    <w:rsid w:val="39CF6DF4"/>
    <w:rsid w:val="39D37108"/>
    <w:rsid w:val="39D42485"/>
    <w:rsid w:val="39D43DF0"/>
    <w:rsid w:val="39D508B4"/>
    <w:rsid w:val="39D52E80"/>
    <w:rsid w:val="39D569DC"/>
    <w:rsid w:val="39D709A6"/>
    <w:rsid w:val="39D877FB"/>
    <w:rsid w:val="39DB1A3F"/>
    <w:rsid w:val="39DC7D6B"/>
    <w:rsid w:val="39E15381"/>
    <w:rsid w:val="39E35A89"/>
    <w:rsid w:val="39E44E71"/>
    <w:rsid w:val="39E62997"/>
    <w:rsid w:val="39E6508D"/>
    <w:rsid w:val="39E66E3B"/>
    <w:rsid w:val="39E70C2A"/>
    <w:rsid w:val="39E772A0"/>
    <w:rsid w:val="39E9692C"/>
    <w:rsid w:val="39E97A2F"/>
    <w:rsid w:val="39EC3D26"/>
    <w:rsid w:val="39ED1F78"/>
    <w:rsid w:val="39EE7A9E"/>
    <w:rsid w:val="39F01A68"/>
    <w:rsid w:val="39F52080"/>
    <w:rsid w:val="39F5707E"/>
    <w:rsid w:val="39F7026F"/>
    <w:rsid w:val="39F72DF7"/>
    <w:rsid w:val="39F8091D"/>
    <w:rsid w:val="39F94DC1"/>
    <w:rsid w:val="39F96B6F"/>
    <w:rsid w:val="39FA3CEA"/>
    <w:rsid w:val="39FD5F33"/>
    <w:rsid w:val="39FE4185"/>
    <w:rsid w:val="3A00614F"/>
    <w:rsid w:val="3A015A23"/>
    <w:rsid w:val="3A035551"/>
    <w:rsid w:val="3A045513"/>
    <w:rsid w:val="3A046503"/>
    <w:rsid w:val="3A055438"/>
    <w:rsid w:val="3A0A70C5"/>
    <w:rsid w:val="3A0B68A2"/>
    <w:rsid w:val="3A0D6176"/>
    <w:rsid w:val="3A0E0140"/>
    <w:rsid w:val="3A10210A"/>
    <w:rsid w:val="3A103EB8"/>
    <w:rsid w:val="3A1062C8"/>
    <w:rsid w:val="3A122018"/>
    <w:rsid w:val="3A127C30"/>
    <w:rsid w:val="3A130856"/>
    <w:rsid w:val="3A157721"/>
    <w:rsid w:val="3A18450B"/>
    <w:rsid w:val="3A190FBF"/>
    <w:rsid w:val="3A1A0893"/>
    <w:rsid w:val="3A1A4D37"/>
    <w:rsid w:val="3A1A6AE5"/>
    <w:rsid w:val="3A1D22DF"/>
    <w:rsid w:val="3A1D44D9"/>
    <w:rsid w:val="3A1E3A53"/>
    <w:rsid w:val="3A2123DC"/>
    <w:rsid w:val="3A2160C5"/>
    <w:rsid w:val="3A217E73"/>
    <w:rsid w:val="3A22034B"/>
    <w:rsid w:val="3A232F1C"/>
    <w:rsid w:val="3A255BB6"/>
    <w:rsid w:val="3A2636DC"/>
    <w:rsid w:val="3A263C5D"/>
    <w:rsid w:val="3A266C45"/>
    <w:rsid w:val="3A2940F7"/>
    <w:rsid w:val="3A2A31CC"/>
    <w:rsid w:val="3A2B484E"/>
    <w:rsid w:val="3A2D4A6A"/>
    <w:rsid w:val="3A2F2A82"/>
    <w:rsid w:val="3A305520"/>
    <w:rsid w:val="3A316F85"/>
    <w:rsid w:val="3A324470"/>
    <w:rsid w:val="3A347BA7"/>
    <w:rsid w:val="3A361FA4"/>
    <w:rsid w:val="3A3810E1"/>
    <w:rsid w:val="3A3951BD"/>
    <w:rsid w:val="3A3A2CE3"/>
    <w:rsid w:val="3A3C2633"/>
    <w:rsid w:val="3A3C4CAD"/>
    <w:rsid w:val="3A407CD2"/>
    <w:rsid w:val="3A414072"/>
    <w:rsid w:val="3A424723"/>
    <w:rsid w:val="3A43603C"/>
    <w:rsid w:val="3A443B62"/>
    <w:rsid w:val="3A4536E5"/>
    <w:rsid w:val="3A461688"/>
    <w:rsid w:val="3A483652"/>
    <w:rsid w:val="3A4A1178"/>
    <w:rsid w:val="3A4B6C9E"/>
    <w:rsid w:val="3A4F2C33"/>
    <w:rsid w:val="3A571AE7"/>
    <w:rsid w:val="3A57630A"/>
    <w:rsid w:val="3A5C534F"/>
    <w:rsid w:val="3A5C70FE"/>
    <w:rsid w:val="3A5F59D9"/>
    <w:rsid w:val="3A60121D"/>
    <w:rsid w:val="3A612966"/>
    <w:rsid w:val="3A63048C"/>
    <w:rsid w:val="3A6366DE"/>
    <w:rsid w:val="3A660099"/>
    <w:rsid w:val="3A6619DD"/>
    <w:rsid w:val="3A666D2F"/>
    <w:rsid w:val="3A685AA2"/>
    <w:rsid w:val="3A687753"/>
    <w:rsid w:val="3A6A181A"/>
    <w:rsid w:val="3A6C20DC"/>
    <w:rsid w:val="3A6D130B"/>
    <w:rsid w:val="3A6D4BEB"/>
    <w:rsid w:val="3A6D4E67"/>
    <w:rsid w:val="3A6F0BDF"/>
    <w:rsid w:val="3A6F6E31"/>
    <w:rsid w:val="3A704B3D"/>
    <w:rsid w:val="3A706705"/>
    <w:rsid w:val="3A721073"/>
    <w:rsid w:val="3A767A79"/>
    <w:rsid w:val="3A777C4C"/>
    <w:rsid w:val="3A797CAF"/>
    <w:rsid w:val="3A7C226B"/>
    <w:rsid w:val="3A7E1AF7"/>
    <w:rsid w:val="3A7F4D05"/>
    <w:rsid w:val="3A802DEC"/>
    <w:rsid w:val="3A8078D6"/>
    <w:rsid w:val="3A8141BA"/>
    <w:rsid w:val="3A8328DC"/>
    <w:rsid w:val="3A83468A"/>
    <w:rsid w:val="3A8476E7"/>
    <w:rsid w:val="3A85005C"/>
    <w:rsid w:val="3A8521B0"/>
    <w:rsid w:val="3A86542E"/>
    <w:rsid w:val="3A865F28"/>
    <w:rsid w:val="3A872856"/>
    <w:rsid w:val="3A881CA1"/>
    <w:rsid w:val="3A8874F8"/>
    <w:rsid w:val="3A8A3C6B"/>
    <w:rsid w:val="3A8D375B"/>
    <w:rsid w:val="3A8F1281"/>
    <w:rsid w:val="3A904DA0"/>
    <w:rsid w:val="3A9073CB"/>
    <w:rsid w:val="3A916DA7"/>
    <w:rsid w:val="3A920D71"/>
    <w:rsid w:val="3A946897"/>
    <w:rsid w:val="3A95616C"/>
    <w:rsid w:val="3A960861"/>
    <w:rsid w:val="3A9610E1"/>
    <w:rsid w:val="3A9836E6"/>
    <w:rsid w:val="3A9A4772"/>
    <w:rsid w:val="3A9C74FA"/>
    <w:rsid w:val="3A9E14C4"/>
    <w:rsid w:val="3AA16C0F"/>
    <w:rsid w:val="3AA52853"/>
    <w:rsid w:val="3AA765CB"/>
    <w:rsid w:val="3AA83F11"/>
    <w:rsid w:val="3AA86CE8"/>
    <w:rsid w:val="3AAA7E69"/>
    <w:rsid w:val="3AAB2C02"/>
    <w:rsid w:val="3AAB598F"/>
    <w:rsid w:val="3AAD1707"/>
    <w:rsid w:val="3AAF36D1"/>
    <w:rsid w:val="3AB04C16"/>
    <w:rsid w:val="3AB111F7"/>
    <w:rsid w:val="3AB138C6"/>
    <w:rsid w:val="3AB33BF5"/>
    <w:rsid w:val="3AB40CE8"/>
    <w:rsid w:val="3AB42A96"/>
    <w:rsid w:val="3AB605BC"/>
    <w:rsid w:val="3AB75C0A"/>
    <w:rsid w:val="3ABB02C8"/>
    <w:rsid w:val="3ABB3E24"/>
    <w:rsid w:val="3ABE19A7"/>
    <w:rsid w:val="3ABE3914"/>
    <w:rsid w:val="3AC0768C"/>
    <w:rsid w:val="3AC14B10"/>
    <w:rsid w:val="3AC2324C"/>
    <w:rsid w:val="3AC3717D"/>
    <w:rsid w:val="3AC54CA3"/>
    <w:rsid w:val="3AC56A51"/>
    <w:rsid w:val="3AC70A1B"/>
    <w:rsid w:val="3AC727C9"/>
    <w:rsid w:val="3AC74C58"/>
    <w:rsid w:val="3AC76C6D"/>
    <w:rsid w:val="3AC84793"/>
    <w:rsid w:val="3AC96ADB"/>
    <w:rsid w:val="3ACC6031"/>
    <w:rsid w:val="3ACE2BAB"/>
    <w:rsid w:val="3ACE7FFB"/>
    <w:rsid w:val="3AD1189A"/>
    <w:rsid w:val="3AD16E8E"/>
    <w:rsid w:val="3AD273C0"/>
    <w:rsid w:val="3AD60C5E"/>
    <w:rsid w:val="3AD62A0C"/>
    <w:rsid w:val="3AD76022"/>
    <w:rsid w:val="3AD81BEF"/>
    <w:rsid w:val="3AD849D6"/>
    <w:rsid w:val="3AD86892"/>
    <w:rsid w:val="3ADB0022"/>
    <w:rsid w:val="3ADB2718"/>
    <w:rsid w:val="3ADC26C3"/>
    <w:rsid w:val="3ADC4400"/>
    <w:rsid w:val="3AE01ADD"/>
    <w:rsid w:val="3AE04682"/>
    <w:rsid w:val="3AE16E49"/>
    <w:rsid w:val="3AE1783B"/>
    <w:rsid w:val="3AE25855"/>
    <w:rsid w:val="3AE570F3"/>
    <w:rsid w:val="3AE635B0"/>
    <w:rsid w:val="3AE71032"/>
    <w:rsid w:val="3AE8273F"/>
    <w:rsid w:val="3AEA295B"/>
    <w:rsid w:val="3AED7B0A"/>
    <w:rsid w:val="3AED7D56"/>
    <w:rsid w:val="3AEF031F"/>
    <w:rsid w:val="3AEF66A6"/>
    <w:rsid w:val="3AF235BE"/>
    <w:rsid w:val="3AF410E4"/>
    <w:rsid w:val="3AF45588"/>
    <w:rsid w:val="3AF86D4E"/>
    <w:rsid w:val="3AFA0DF0"/>
    <w:rsid w:val="3AFB5CD8"/>
    <w:rsid w:val="3AFB6916"/>
    <w:rsid w:val="3AFD4334"/>
    <w:rsid w:val="3AFD443D"/>
    <w:rsid w:val="3AFD61EB"/>
    <w:rsid w:val="3AFF08D7"/>
    <w:rsid w:val="3B00217F"/>
    <w:rsid w:val="3B023801"/>
    <w:rsid w:val="3B043A1D"/>
    <w:rsid w:val="3B056CDE"/>
    <w:rsid w:val="3B0F4170"/>
    <w:rsid w:val="3B1240CF"/>
    <w:rsid w:val="3B134E89"/>
    <w:rsid w:val="3B1654FE"/>
    <w:rsid w:val="3B181913"/>
    <w:rsid w:val="3B183024"/>
    <w:rsid w:val="3B1A5974"/>
    <w:rsid w:val="3B1B0020"/>
    <w:rsid w:val="3B1D0531"/>
    <w:rsid w:val="3B20012B"/>
    <w:rsid w:val="3B201ED9"/>
    <w:rsid w:val="3B23141D"/>
    <w:rsid w:val="3B247C1B"/>
    <w:rsid w:val="3B255741"/>
    <w:rsid w:val="3B27401A"/>
    <w:rsid w:val="3B274DFB"/>
    <w:rsid w:val="3B27770B"/>
    <w:rsid w:val="3B2A0FAA"/>
    <w:rsid w:val="3B2F3B39"/>
    <w:rsid w:val="3B2F670A"/>
    <w:rsid w:val="3B3140E6"/>
    <w:rsid w:val="3B3224CF"/>
    <w:rsid w:val="3B3763D1"/>
    <w:rsid w:val="3B3C1933"/>
    <w:rsid w:val="3B3D0CDD"/>
    <w:rsid w:val="3B3E0D00"/>
    <w:rsid w:val="3B3F51A6"/>
    <w:rsid w:val="3B424545"/>
    <w:rsid w:val="3B4402BD"/>
    <w:rsid w:val="3B46744C"/>
    <w:rsid w:val="3B47390A"/>
    <w:rsid w:val="3B491430"/>
    <w:rsid w:val="3B491483"/>
    <w:rsid w:val="3B4C0F20"/>
    <w:rsid w:val="3B4D1C93"/>
    <w:rsid w:val="3B4D5F54"/>
    <w:rsid w:val="3B4E0BD4"/>
    <w:rsid w:val="3B4F22FA"/>
    <w:rsid w:val="3B50046B"/>
    <w:rsid w:val="3B514788"/>
    <w:rsid w:val="3B514E5E"/>
    <w:rsid w:val="3B533939"/>
    <w:rsid w:val="3B554279"/>
    <w:rsid w:val="3B581673"/>
    <w:rsid w:val="3B5878C5"/>
    <w:rsid w:val="3B5B1376"/>
    <w:rsid w:val="3B5D0C70"/>
    <w:rsid w:val="3B5D137F"/>
    <w:rsid w:val="3B616A88"/>
    <w:rsid w:val="3B620744"/>
    <w:rsid w:val="3B6312E8"/>
    <w:rsid w:val="3B64329D"/>
    <w:rsid w:val="3B6444BC"/>
    <w:rsid w:val="3B651FE2"/>
    <w:rsid w:val="3B661F2B"/>
    <w:rsid w:val="3B677B08"/>
    <w:rsid w:val="3B691AD2"/>
    <w:rsid w:val="3B697D24"/>
    <w:rsid w:val="3B6C15C2"/>
    <w:rsid w:val="3B6F0D87"/>
    <w:rsid w:val="3B6F4C0F"/>
    <w:rsid w:val="3B6F583A"/>
    <w:rsid w:val="3B702E61"/>
    <w:rsid w:val="3B70502D"/>
    <w:rsid w:val="3B722D63"/>
    <w:rsid w:val="3B733902"/>
    <w:rsid w:val="3B783AC3"/>
    <w:rsid w:val="3B787F67"/>
    <w:rsid w:val="3B7A5A8D"/>
    <w:rsid w:val="3B7B1805"/>
    <w:rsid w:val="3B7C7A57"/>
    <w:rsid w:val="3B7D126B"/>
    <w:rsid w:val="3B7D557D"/>
    <w:rsid w:val="3B7F473A"/>
    <w:rsid w:val="3B800BCA"/>
    <w:rsid w:val="3B800EA0"/>
    <w:rsid w:val="3B801576"/>
    <w:rsid w:val="3B806E1C"/>
    <w:rsid w:val="3B822F59"/>
    <w:rsid w:val="3B84690C"/>
    <w:rsid w:val="3B857E51"/>
    <w:rsid w:val="3B8701AA"/>
    <w:rsid w:val="3B8A58BC"/>
    <w:rsid w:val="3B8A62BD"/>
    <w:rsid w:val="3B8B3E2A"/>
    <w:rsid w:val="3B8D4555"/>
    <w:rsid w:val="3B8E1539"/>
    <w:rsid w:val="3B8E2891"/>
    <w:rsid w:val="3B8E3833"/>
    <w:rsid w:val="3B9052B1"/>
    <w:rsid w:val="3B915597"/>
    <w:rsid w:val="3B93114B"/>
    <w:rsid w:val="3B950B19"/>
    <w:rsid w:val="3B9603ED"/>
    <w:rsid w:val="3B975618"/>
    <w:rsid w:val="3B9823B7"/>
    <w:rsid w:val="3B984165"/>
    <w:rsid w:val="3B985FE7"/>
    <w:rsid w:val="3B9A612F"/>
    <w:rsid w:val="3B9A6BE3"/>
    <w:rsid w:val="3B9B5A04"/>
    <w:rsid w:val="3B9C2BBA"/>
    <w:rsid w:val="3BA448B8"/>
    <w:rsid w:val="3BA64AD4"/>
    <w:rsid w:val="3BA743A8"/>
    <w:rsid w:val="3BA90120"/>
    <w:rsid w:val="3BA96372"/>
    <w:rsid w:val="3BAE1BDB"/>
    <w:rsid w:val="3BAF23CD"/>
    <w:rsid w:val="3BB52F69"/>
    <w:rsid w:val="3BB56AC5"/>
    <w:rsid w:val="3BB6350A"/>
    <w:rsid w:val="3BBA0580"/>
    <w:rsid w:val="3BBA232E"/>
    <w:rsid w:val="3BBA3572"/>
    <w:rsid w:val="3BBB7B1A"/>
    <w:rsid w:val="3BBC42F8"/>
    <w:rsid w:val="3BBD7F9D"/>
    <w:rsid w:val="3BBE4AC4"/>
    <w:rsid w:val="3BC248D5"/>
    <w:rsid w:val="3BC27434"/>
    <w:rsid w:val="3BC46D08"/>
    <w:rsid w:val="3BC60310"/>
    <w:rsid w:val="3BC60CD2"/>
    <w:rsid w:val="3BC827B8"/>
    <w:rsid w:val="3BC907C3"/>
    <w:rsid w:val="3BC91D58"/>
    <w:rsid w:val="3BC92571"/>
    <w:rsid w:val="3BCB62E9"/>
    <w:rsid w:val="3BCC1F46"/>
    <w:rsid w:val="3BCE5DD9"/>
    <w:rsid w:val="3BD11425"/>
    <w:rsid w:val="3BD32474"/>
    <w:rsid w:val="3BD50F16"/>
    <w:rsid w:val="3BD553B9"/>
    <w:rsid w:val="3BD80A06"/>
    <w:rsid w:val="3BDA2B5B"/>
    <w:rsid w:val="3BDA477E"/>
    <w:rsid w:val="3BDB05F6"/>
    <w:rsid w:val="3BDC04F6"/>
    <w:rsid w:val="3BDC22A4"/>
    <w:rsid w:val="3BDF1D94"/>
    <w:rsid w:val="3BDF3B42"/>
    <w:rsid w:val="3BE07037"/>
    <w:rsid w:val="3BE21884"/>
    <w:rsid w:val="3BE47317"/>
    <w:rsid w:val="3BE473AB"/>
    <w:rsid w:val="3BE51B6A"/>
    <w:rsid w:val="3BE61375"/>
    <w:rsid w:val="3BE949C1"/>
    <w:rsid w:val="3BE9676F"/>
    <w:rsid w:val="3BEB698B"/>
    <w:rsid w:val="3BEC505C"/>
    <w:rsid w:val="3BEE0229"/>
    <w:rsid w:val="3BF014E4"/>
    <w:rsid w:val="3BF121D2"/>
    <w:rsid w:val="3BF21AC7"/>
    <w:rsid w:val="3BF33A92"/>
    <w:rsid w:val="3BF375EE"/>
    <w:rsid w:val="3BF515B8"/>
    <w:rsid w:val="3BF52EC4"/>
    <w:rsid w:val="3BF55114"/>
    <w:rsid w:val="3BF654A3"/>
    <w:rsid w:val="3BF763A3"/>
    <w:rsid w:val="3BFA4E20"/>
    <w:rsid w:val="3BFC46F4"/>
    <w:rsid w:val="3BFC5EF5"/>
    <w:rsid w:val="3BFC64A2"/>
    <w:rsid w:val="3BFD046C"/>
    <w:rsid w:val="3BFE07FA"/>
    <w:rsid w:val="3BFE6B8D"/>
    <w:rsid w:val="3BFF33E6"/>
    <w:rsid w:val="3C003C3E"/>
    <w:rsid w:val="3C011D0B"/>
    <w:rsid w:val="3C0417FB"/>
    <w:rsid w:val="3C0435A9"/>
    <w:rsid w:val="3C067321"/>
    <w:rsid w:val="3C087380"/>
    <w:rsid w:val="3C090BBF"/>
    <w:rsid w:val="3C0F6045"/>
    <w:rsid w:val="3C0F6EBE"/>
    <w:rsid w:val="3C1001A0"/>
    <w:rsid w:val="3C1057FB"/>
    <w:rsid w:val="3C1063F2"/>
    <w:rsid w:val="3C123F18"/>
    <w:rsid w:val="3C12737C"/>
    <w:rsid w:val="3C146326"/>
    <w:rsid w:val="3C167F21"/>
    <w:rsid w:val="3C17152E"/>
    <w:rsid w:val="3C173C75"/>
    <w:rsid w:val="3C177780"/>
    <w:rsid w:val="3C1934F8"/>
    <w:rsid w:val="3C1A2DCC"/>
    <w:rsid w:val="3C1C3D9E"/>
    <w:rsid w:val="3C1E28BD"/>
    <w:rsid w:val="3C1F4887"/>
    <w:rsid w:val="3C1F568C"/>
    <w:rsid w:val="3C2105FF"/>
    <w:rsid w:val="3C2123AD"/>
    <w:rsid w:val="3C215F09"/>
    <w:rsid w:val="3C265C15"/>
    <w:rsid w:val="3C2679C3"/>
    <w:rsid w:val="3C29300F"/>
    <w:rsid w:val="3C2A63A2"/>
    <w:rsid w:val="3C2B6D87"/>
    <w:rsid w:val="3C2D2B00"/>
    <w:rsid w:val="3C2E0626"/>
    <w:rsid w:val="3C2F4ACA"/>
    <w:rsid w:val="3C2F6E1E"/>
    <w:rsid w:val="3C302214"/>
    <w:rsid w:val="3C346F6E"/>
    <w:rsid w:val="3C3575EE"/>
    <w:rsid w:val="3C3A346E"/>
    <w:rsid w:val="3C3C2D43"/>
    <w:rsid w:val="3C3C7CEC"/>
    <w:rsid w:val="3C3D6ABB"/>
    <w:rsid w:val="3C3F0879"/>
    <w:rsid w:val="3C3F6E03"/>
    <w:rsid w:val="3C3F7097"/>
    <w:rsid w:val="3C4165AB"/>
    <w:rsid w:val="3C447E49"/>
    <w:rsid w:val="3C4542ED"/>
    <w:rsid w:val="3C460065"/>
    <w:rsid w:val="3C4719E4"/>
    <w:rsid w:val="3C487939"/>
    <w:rsid w:val="3C4936B2"/>
    <w:rsid w:val="3C4A1903"/>
    <w:rsid w:val="3C4B11D8"/>
    <w:rsid w:val="3C4B567C"/>
    <w:rsid w:val="3C4E579D"/>
    <w:rsid w:val="3C4F64BA"/>
    <w:rsid w:val="3C504A40"/>
    <w:rsid w:val="3C5131A0"/>
    <w:rsid w:val="3C52023A"/>
    <w:rsid w:val="3C522566"/>
    <w:rsid w:val="3C526A0A"/>
    <w:rsid w:val="3C53008C"/>
    <w:rsid w:val="3C544530"/>
    <w:rsid w:val="3C552056"/>
    <w:rsid w:val="3C565266"/>
    <w:rsid w:val="3C5A5BA6"/>
    <w:rsid w:val="3C5C50CF"/>
    <w:rsid w:val="3C5C5193"/>
    <w:rsid w:val="3C5D1E98"/>
    <w:rsid w:val="3C5F1DD5"/>
    <w:rsid w:val="3C601127"/>
    <w:rsid w:val="3C6127A9"/>
    <w:rsid w:val="3C634773"/>
    <w:rsid w:val="3C641CA7"/>
    <w:rsid w:val="3C64384C"/>
    <w:rsid w:val="3C6473E9"/>
    <w:rsid w:val="3C654D26"/>
    <w:rsid w:val="3C683C2C"/>
    <w:rsid w:val="3C687FDC"/>
    <w:rsid w:val="3C6B3628"/>
    <w:rsid w:val="3C6B7ACC"/>
    <w:rsid w:val="3C6D73A0"/>
    <w:rsid w:val="3C6E4331"/>
    <w:rsid w:val="3C6F3118"/>
    <w:rsid w:val="3C723457"/>
    <w:rsid w:val="3C7249B6"/>
    <w:rsid w:val="3C724B98"/>
    <w:rsid w:val="3C733C5C"/>
    <w:rsid w:val="3C7544A7"/>
    <w:rsid w:val="3C795D45"/>
    <w:rsid w:val="3C7C3A87"/>
    <w:rsid w:val="3C7C5835"/>
    <w:rsid w:val="3C7C637D"/>
    <w:rsid w:val="3C7E0650"/>
    <w:rsid w:val="3C7E0E9C"/>
    <w:rsid w:val="3C805325"/>
    <w:rsid w:val="3C81109D"/>
    <w:rsid w:val="3C82468D"/>
    <w:rsid w:val="3C836BC3"/>
    <w:rsid w:val="3C8666B4"/>
    <w:rsid w:val="3C882039"/>
    <w:rsid w:val="3C890879"/>
    <w:rsid w:val="3C8C1F1C"/>
    <w:rsid w:val="3C8C7C58"/>
    <w:rsid w:val="3C8F5568"/>
    <w:rsid w:val="3C900121"/>
    <w:rsid w:val="3C920BB5"/>
    <w:rsid w:val="3C9549EA"/>
    <w:rsid w:val="3C972663"/>
    <w:rsid w:val="3C9776F3"/>
    <w:rsid w:val="3C9A5CBB"/>
    <w:rsid w:val="3C9B3F0D"/>
    <w:rsid w:val="3C9C390B"/>
    <w:rsid w:val="3C9F32D2"/>
    <w:rsid w:val="3CA07775"/>
    <w:rsid w:val="3CA31014"/>
    <w:rsid w:val="3CA37266"/>
    <w:rsid w:val="3CA54D8C"/>
    <w:rsid w:val="3CA56B3A"/>
    <w:rsid w:val="3CAC611A"/>
    <w:rsid w:val="3CB047B0"/>
    <w:rsid w:val="3CB11983"/>
    <w:rsid w:val="3CB20F63"/>
    <w:rsid w:val="3CB21639"/>
    <w:rsid w:val="3CB61B58"/>
    <w:rsid w:val="3CB94393"/>
    <w:rsid w:val="3CBF08B8"/>
    <w:rsid w:val="3CBF50E4"/>
    <w:rsid w:val="3CC0413B"/>
    <w:rsid w:val="3CC176EC"/>
    <w:rsid w:val="3CC27720"/>
    <w:rsid w:val="3CC52D38"/>
    <w:rsid w:val="3CC60841"/>
    <w:rsid w:val="3CC82828"/>
    <w:rsid w:val="3CC97926"/>
    <w:rsid w:val="3CCA02B2"/>
    <w:rsid w:val="3CCB1742"/>
    <w:rsid w:val="3CCC056A"/>
    <w:rsid w:val="3CCD1D80"/>
    <w:rsid w:val="3CCF005B"/>
    <w:rsid w:val="3CD04124"/>
    <w:rsid w:val="3CD11E57"/>
    <w:rsid w:val="3CD13DD3"/>
    <w:rsid w:val="3CD43F35"/>
    <w:rsid w:val="3CD4741F"/>
    <w:rsid w:val="3CD613E9"/>
    <w:rsid w:val="3CD659B4"/>
    <w:rsid w:val="3CD70CBD"/>
    <w:rsid w:val="3CD72A6B"/>
    <w:rsid w:val="3CD76F0F"/>
    <w:rsid w:val="3CD825B8"/>
    <w:rsid w:val="3CD92C87"/>
    <w:rsid w:val="3CDA245A"/>
    <w:rsid w:val="3CDB2128"/>
    <w:rsid w:val="3CDB69FF"/>
    <w:rsid w:val="3CDC5977"/>
    <w:rsid w:val="3CDE029E"/>
    <w:rsid w:val="3CDF76C4"/>
    <w:rsid w:val="3CE1278D"/>
    <w:rsid w:val="3CE30D44"/>
    <w:rsid w:val="3CE55188"/>
    <w:rsid w:val="3CE55FB3"/>
    <w:rsid w:val="3CE753A4"/>
    <w:rsid w:val="3CE8111C"/>
    <w:rsid w:val="3CE81A7C"/>
    <w:rsid w:val="3CE861D4"/>
    <w:rsid w:val="3CEA7FFA"/>
    <w:rsid w:val="3CEB21BC"/>
    <w:rsid w:val="3CEB4B2C"/>
    <w:rsid w:val="3CEC4769"/>
    <w:rsid w:val="3CED6733"/>
    <w:rsid w:val="3CEF6007"/>
    <w:rsid w:val="3CF278A5"/>
    <w:rsid w:val="3CF4361D"/>
    <w:rsid w:val="3CF47AC1"/>
    <w:rsid w:val="3CF61143"/>
    <w:rsid w:val="3CFD6976"/>
    <w:rsid w:val="3CFE624A"/>
    <w:rsid w:val="3CFF77C3"/>
    <w:rsid w:val="3D001AC2"/>
    <w:rsid w:val="3D020F03"/>
    <w:rsid w:val="3D031AB2"/>
    <w:rsid w:val="3D042809"/>
    <w:rsid w:val="3D066DC4"/>
    <w:rsid w:val="3D073351"/>
    <w:rsid w:val="3D085E3E"/>
    <w:rsid w:val="3D097971"/>
    <w:rsid w:val="3D0A1093"/>
    <w:rsid w:val="3D0A4BEF"/>
    <w:rsid w:val="3D0C4E0B"/>
    <w:rsid w:val="3D0C56E8"/>
    <w:rsid w:val="3D0D2931"/>
    <w:rsid w:val="3D107E76"/>
    <w:rsid w:val="3D112A47"/>
    <w:rsid w:val="3D1141CF"/>
    <w:rsid w:val="3D115F7D"/>
    <w:rsid w:val="3D125367"/>
    <w:rsid w:val="3D1367F7"/>
    <w:rsid w:val="3D167A38"/>
    <w:rsid w:val="3D186608"/>
    <w:rsid w:val="3D1D2B74"/>
    <w:rsid w:val="3D1E06B7"/>
    <w:rsid w:val="3D1E7A45"/>
    <w:rsid w:val="3D202664"/>
    <w:rsid w:val="3D251464"/>
    <w:rsid w:val="3D2757A1"/>
    <w:rsid w:val="3D281519"/>
    <w:rsid w:val="3D2A34E3"/>
    <w:rsid w:val="3D2C2B7F"/>
    <w:rsid w:val="3D2F4655"/>
    <w:rsid w:val="3D32175E"/>
    <w:rsid w:val="3D324146"/>
    <w:rsid w:val="3D3329E1"/>
    <w:rsid w:val="3D355641"/>
    <w:rsid w:val="3D385C00"/>
    <w:rsid w:val="3D39304F"/>
    <w:rsid w:val="3D3954D4"/>
    <w:rsid w:val="3D3B2FFA"/>
    <w:rsid w:val="3D3E0D3C"/>
    <w:rsid w:val="3D3E2EF3"/>
    <w:rsid w:val="3D406F54"/>
    <w:rsid w:val="3D42082D"/>
    <w:rsid w:val="3D421874"/>
    <w:rsid w:val="3D432D04"/>
    <w:rsid w:val="3D4A1496"/>
    <w:rsid w:val="3D4A76E1"/>
    <w:rsid w:val="3D4E71D1"/>
    <w:rsid w:val="3D4F470C"/>
    <w:rsid w:val="3D4F6EA2"/>
    <w:rsid w:val="3D51281E"/>
    <w:rsid w:val="3D534CEE"/>
    <w:rsid w:val="3D5A2CB5"/>
    <w:rsid w:val="3D5D5666"/>
    <w:rsid w:val="3D5E4F3B"/>
    <w:rsid w:val="3D5E79B7"/>
    <w:rsid w:val="3D624A2B"/>
    <w:rsid w:val="3D6267D9"/>
    <w:rsid w:val="3D65276D"/>
    <w:rsid w:val="3D673DEF"/>
    <w:rsid w:val="3D6764E5"/>
    <w:rsid w:val="3D684847"/>
    <w:rsid w:val="3D6B67D2"/>
    <w:rsid w:val="3D6E0485"/>
    <w:rsid w:val="3D6E67F5"/>
    <w:rsid w:val="3D6F17D9"/>
    <w:rsid w:val="3D6F7148"/>
    <w:rsid w:val="3D712B8E"/>
    <w:rsid w:val="3D7261C9"/>
    <w:rsid w:val="3D734E8A"/>
    <w:rsid w:val="3D74650C"/>
    <w:rsid w:val="3D7529B0"/>
    <w:rsid w:val="3D78424E"/>
    <w:rsid w:val="3D785FFC"/>
    <w:rsid w:val="3D7A6218"/>
    <w:rsid w:val="3D7B3D3F"/>
    <w:rsid w:val="3D7B4E1F"/>
    <w:rsid w:val="3D7D3B8B"/>
    <w:rsid w:val="3D7E1E14"/>
    <w:rsid w:val="3D7F382F"/>
    <w:rsid w:val="3D802CA6"/>
    <w:rsid w:val="3D803103"/>
    <w:rsid w:val="3D820C29"/>
    <w:rsid w:val="3D850719"/>
    <w:rsid w:val="3D8726E3"/>
    <w:rsid w:val="3D87623F"/>
    <w:rsid w:val="3D89020A"/>
    <w:rsid w:val="3D89645B"/>
    <w:rsid w:val="3D8B543F"/>
    <w:rsid w:val="3D8C7CFA"/>
    <w:rsid w:val="3D9077EA"/>
    <w:rsid w:val="3D913562"/>
    <w:rsid w:val="3D9231E6"/>
    <w:rsid w:val="3D9372DA"/>
    <w:rsid w:val="3D9646D4"/>
    <w:rsid w:val="3D9B7F3D"/>
    <w:rsid w:val="3D9D68BE"/>
    <w:rsid w:val="3D9F0E00"/>
    <w:rsid w:val="3D9F7A2D"/>
    <w:rsid w:val="3DA0122B"/>
    <w:rsid w:val="3DA07301"/>
    <w:rsid w:val="3DA212CB"/>
    <w:rsid w:val="3DA23079"/>
    <w:rsid w:val="3DA27781"/>
    <w:rsid w:val="3DA46DF1"/>
    <w:rsid w:val="3DA6700D"/>
    <w:rsid w:val="3DA70690"/>
    <w:rsid w:val="3DA90A55"/>
    <w:rsid w:val="3DA94408"/>
    <w:rsid w:val="3DA97323"/>
    <w:rsid w:val="3DAA164C"/>
    <w:rsid w:val="3DAE1A1E"/>
    <w:rsid w:val="3DB01C3A"/>
    <w:rsid w:val="3DB159B2"/>
    <w:rsid w:val="3DB37034"/>
    <w:rsid w:val="3DB82B66"/>
    <w:rsid w:val="3DB83232"/>
    <w:rsid w:val="3DB878CA"/>
    <w:rsid w:val="3DBA03C3"/>
    <w:rsid w:val="3DBC05DF"/>
    <w:rsid w:val="3DBD7EB3"/>
    <w:rsid w:val="3DBF00CF"/>
    <w:rsid w:val="3DBF3C2B"/>
    <w:rsid w:val="3DC01751"/>
    <w:rsid w:val="3DC079A3"/>
    <w:rsid w:val="3DC15BF5"/>
    <w:rsid w:val="3DC52B1B"/>
    <w:rsid w:val="3DC56E57"/>
    <w:rsid w:val="3DC762C2"/>
    <w:rsid w:val="3DC76F84"/>
    <w:rsid w:val="3DC92CFC"/>
    <w:rsid w:val="3DCB276D"/>
    <w:rsid w:val="3DCB6A74"/>
    <w:rsid w:val="3DCC6348"/>
    <w:rsid w:val="3DD05E38"/>
    <w:rsid w:val="3DD2254E"/>
    <w:rsid w:val="3DD22E3D"/>
    <w:rsid w:val="3DD27E02"/>
    <w:rsid w:val="3DD31485"/>
    <w:rsid w:val="3DD47A32"/>
    <w:rsid w:val="3DD516A1"/>
    <w:rsid w:val="3DD84CED"/>
    <w:rsid w:val="3DDC2A2F"/>
    <w:rsid w:val="3DDC61D1"/>
    <w:rsid w:val="3DE26767"/>
    <w:rsid w:val="3DE37141"/>
    <w:rsid w:val="3DE418E4"/>
    <w:rsid w:val="3DE509C4"/>
    <w:rsid w:val="3DE511B8"/>
    <w:rsid w:val="3DE713D4"/>
    <w:rsid w:val="3DE93370"/>
    <w:rsid w:val="3DEA07D5"/>
    <w:rsid w:val="3DEB4A20"/>
    <w:rsid w:val="3DEC2546"/>
    <w:rsid w:val="3DED5AA7"/>
    <w:rsid w:val="3DEE2762"/>
    <w:rsid w:val="3DEF4647"/>
    <w:rsid w:val="3DF00C61"/>
    <w:rsid w:val="3DF05AD7"/>
    <w:rsid w:val="3DF064DB"/>
    <w:rsid w:val="3DF2575F"/>
    <w:rsid w:val="3DF54C44"/>
    <w:rsid w:val="3DF77869"/>
    <w:rsid w:val="3DF8538F"/>
    <w:rsid w:val="3DFD26B4"/>
    <w:rsid w:val="3DFD29A6"/>
    <w:rsid w:val="3DFD6502"/>
    <w:rsid w:val="3DFF19BF"/>
    <w:rsid w:val="3E015FF2"/>
    <w:rsid w:val="3E045AE2"/>
    <w:rsid w:val="3E060BCF"/>
    <w:rsid w:val="3E060C40"/>
    <w:rsid w:val="3E077380"/>
    <w:rsid w:val="3E0900DB"/>
    <w:rsid w:val="3E0C4997"/>
    <w:rsid w:val="3E1201FF"/>
    <w:rsid w:val="3E126451"/>
    <w:rsid w:val="3E133F77"/>
    <w:rsid w:val="3E135D25"/>
    <w:rsid w:val="3E143768"/>
    <w:rsid w:val="3E155F41"/>
    <w:rsid w:val="3E157CEF"/>
    <w:rsid w:val="3E175A62"/>
    <w:rsid w:val="3E193A9A"/>
    <w:rsid w:val="3E1A172C"/>
    <w:rsid w:val="3E210442"/>
    <w:rsid w:val="3E2241BA"/>
    <w:rsid w:val="3E22542D"/>
    <w:rsid w:val="3E23240C"/>
    <w:rsid w:val="3E264DE8"/>
    <w:rsid w:val="3E277456"/>
    <w:rsid w:val="3E28224C"/>
    <w:rsid w:val="3E294607"/>
    <w:rsid w:val="3E2A64F8"/>
    <w:rsid w:val="3E2D2581"/>
    <w:rsid w:val="3E2D328B"/>
    <w:rsid w:val="3E30420A"/>
    <w:rsid w:val="3E330175"/>
    <w:rsid w:val="3E3363C7"/>
    <w:rsid w:val="3E3A59A8"/>
    <w:rsid w:val="3E3C34CE"/>
    <w:rsid w:val="3E3D0FF4"/>
    <w:rsid w:val="3E3E45AC"/>
    <w:rsid w:val="3E3F2FBE"/>
    <w:rsid w:val="3E410AE4"/>
    <w:rsid w:val="3E432AAE"/>
    <w:rsid w:val="3E4573F0"/>
    <w:rsid w:val="3E4660FB"/>
    <w:rsid w:val="3E467EA9"/>
    <w:rsid w:val="3E4800C5"/>
    <w:rsid w:val="3E484052"/>
    <w:rsid w:val="3E4A03BF"/>
    <w:rsid w:val="3E4B1963"/>
    <w:rsid w:val="3E4B38C2"/>
    <w:rsid w:val="3E4D7489"/>
    <w:rsid w:val="3E52684D"/>
    <w:rsid w:val="3E5527E2"/>
    <w:rsid w:val="3E587BDC"/>
    <w:rsid w:val="3E5A20B7"/>
    <w:rsid w:val="3E5A4E07"/>
    <w:rsid w:val="3E5D4347"/>
    <w:rsid w:val="3E5E1696"/>
    <w:rsid w:val="3E5E3444"/>
    <w:rsid w:val="3E5F0F6A"/>
    <w:rsid w:val="3E5F4AE1"/>
    <w:rsid w:val="3E636CAD"/>
    <w:rsid w:val="3E66679D"/>
    <w:rsid w:val="3E687A39"/>
    <w:rsid w:val="3E6B3DB3"/>
    <w:rsid w:val="3E6C6EAB"/>
    <w:rsid w:val="3E6D18D9"/>
    <w:rsid w:val="3E6F5651"/>
    <w:rsid w:val="3E7124F6"/>
    <w:rsid w:val="3E75078E"/>
    <w:rsid w:val="3E75217D"/>
    <w:rsid w:val="3E75253C"/>
    <w:rsid w:val="3E7722AD"/>
    <w:rsid w:val="3E777966"/>
    <w:rsid w:val="3E78202C"/>
    <w:rsid w:val="3E7A3FF6"/>
    <w:rsid w:val="3E7E3AE6"/>
    <w:rsid w:val="3E80785E"/>
    <w:rsid w:val="3E8409D1"/>
    <w:rsid w:val="3E854C3E"/>
    <w:rsid w:val="3E86299B"/>
    <w:rsid w:val="3E8804C1"/>
    <w:rsid w:val="3E88226F"/>
    <w:rsid w:val="3E886713"/>
    <w:rsid w:val="3E8B1D5F"/>
    <w:rsid w:val="3E8B4C83"/>
    <w:rsid w:val="3E8F7821"/>
    <w:rsid w:val="3E922307"/>
    <w:rsid w:val="3E9B7976"/>
    <w:rsid w:val="3E9C18C6"/>
    <w:rsid w:val="3E9C33B9"/>
    <w:rsid w:val="3E9E5F37"/>
    <w:rsid w:val="3E9F580B"/>
    <w:rsid w:val="3EA01D70"/>
    <w:rsid w:val="3EA177D5"/>
    <w:rsid w:val="3EA3328C"/>
    <w:rsid w:val="3EA64DEB"/>
    <w:rsid w:val="3EA82911"/>
    <w:rsid w:val="3EA90437"/>
    <w:rsid w:val="3EAA48DB"/>
    <w:rsid w:val="3EAB206A"/>
    <w:rsid w:val="3EAD1CD6"/>
    <w:rsid w:val="3EAE00E3"/>
    <w:rsid w:val="3EAE2F06"/>
    <w:rsid w:val="3EAF3CA0"/>
    <w:rsid w:val="3EAF565D"/>
    <w:rsid w:val="3EB05C6A"/>
    <w:rsid w:val="3EB412B6"/>
    <w:rsid w:val="3EB56DDC"/>
    <w:rsid w:val="3EB76FF8"/>
    <w:rsid w:val="3EB92D70"/>
    <w:rsid w:val="3EBC460F"/>
    <w:rsid w:val="3EBE2135"/>
    <w:rsid w:val="3EC06CA7"/>
    <w:rsid w:val="3EC15781"/>
    <w:rsid w:val="3EC5015A"/>
    <w:rsid w:val="3EC51715"/>
    <w:rsid w:val="3EC62D97"/>
    <w:rsid w:val="3EC66625"/>
    <w:rsid w:val="3EC71899"/>
    <w:rsid w:val="3EC7548D"/>
    <w:rsid w:val="3EC82FB3"/>
    <w:rsid w:val="3EC86B10"/>
    <w:rsid w:val="3ECA2888"/>
    <w:rsid w:val="3ECA7B77"/>
    <w:rsid w:val="3ECC3927"/>
    <w:rsid w:val="3ED03FC5"/>
    <w:rsid w:val="3ED24F93"/>
    <w:rsid w:val="3ED40106"/>
    <w:rsid w:val="3ED5122D"/>
    <w:rsid w:val="3ED66EDD"/>
    <w:rsid w:val="3ED951C1"/>
    <w:rsid w:val="3EDA0523"/>
    <w:rsid w:val="3EDB2CE7"/>
    <w:rsid w:val="3EDB4A95"/>
    <w:rsid w:val="3EDC25BB"/>
    <w:rsid w:val="3EDC6A5F"/>
    <w:rsid w:val="3EDF21A8"/>
    <w:rsid w:val="3EE72175"/>
    <w:rsid w:val="3EEA2F2A"/>
    <w:rsid w:val="3EEF0540"/>
    <w:rsid w:val="3EEF43D0"/>
    <w:rsid w:val="3EF176C9"/>
    <w:rsid w:val="3EF24829"/>
    <w:rsid w:val="3EF270AB"/>
    <w:rsid w:val="3EF73899"/>
    <w:rsid w:val="3EF913BF"/>
    <w:rsid w:val="3EF94F1B"/>
    <w:rsid w:val="3EFB5137"/>
    <w:rsid w:val="3EFC23E1"/>
    <w:rsid w:val="3EFD0EAF"/>
    <w:rsid w:val="3F0044FB"/>
    <w:rsid w:val="3F033FEC"/>
    <w:rsid w:val="3F0538C0"/>
    <w:rsid w:val="3F0A537A"/>
    <w:rsid w:val="3F0C10F2"/>
    <w:rsid w:val="3F0D2EBC"/>
    <w:rsid w:val="3F0F0BE2"/>
    <w:rsid w:val="3F161C75"/>
    <w:rsid w:val="3F171845"/>
    <w:rsid w:val="3F177A97"/>
    <w:rsid w:val="3F177F28"/>
    <w:rsid w:val="3F180A9E"/>
    <w:rsid w:val="3F1915F3"/>
    <w:rsid w:val="3F19736B"/>
    <w:rsid w:val="3F1A33BE"/>
    <w:rsid w:val="3F1B30E3"/>
    <w:rsid w:val="3F1D1D3F"/>
    <w:rsid w:val="3F1E0E25"/>
    <w:rsid w:val="3F1F7036"/>
    <w:rsid w:val="3F20694C"/>
    <w:rsid w:val="3F2226C4"/>
    <w:rsid w:val="3F2332BC"/>
    <w:rsid w:val="3F23468E"/>
    <w:rsid w:val="3F235B23"/>
    <w:rsid w:val="3F261A88"/>
    <w:rsid w:val="3F275F2C"/>
    <w:rsid w:val="3F283A52"/>
    <w:rsid w:val="3F2C077B"/>
    <w:rsid w:val="3F2F4DE1"/>
    <w:rsid w:val="3F2F6B8F"/>
    <w:rsid w:val="3F310B59"/>
    <w:rsid w:val="3F312907"/>
    <w:rsid w:val="3F317DB2"/>
    <w:rsid w:val="3F3348D1"/>
    <w:rsid w:val="3F341B93"/>
    <w:rsid w:val="3F3441A5"/>
    <w:rsid w:val="3F36253E"/>
    <w:rsid w:val="3F373C95"/>
    <w:rsid w:val="3F397DD7"/>
    <w:rsid w:val="3F402B4A"/>
    <w:rsid w:val="3F41178E"/>
    <w:rsid w:val="3F4150D3"/>
    <w:rsid w:val="3F4168C2"/>
    <w:rsid w:val="3F424B14"/>
    <w:rsid w:val="3F450160"/>
    <w:rsid w:val="3F487C50"/>
    <w:rsid w:val="3F4B59E3"/>
    <w:rsid w:val="3F516B05"/>
    <w:rsid w:val="3F520ACF"/>
    <w:rsid w:val="3F536D21"/>
    <w:rsid w:val="3F544847"/>
    <w:rsid w:val="3F5465F5"/>
    <w:rsid w:val="3F594A46"/>
    <w:rsid w:val="3F595FFD"/>
    <w:rsid w:val="3F5D7549"/>
    <w:rsid w:val="3F5E7474"/>
    <w:rsid w:val="3F60143E"/>
    <w:rsid w:val="3F63735E"/>
    <w:rsid w:val="3F652674"/>
    <w:rsid w:val="3F6727CC"/>
    <w:rsid w:val="3F696545"/>
    <w:rsid w:val="3F6D6CC7"/>
    <w:rsid w:val="3F6E3B5B"/>
    <w:rsid w:val="3F6E7D8D"/>
    <w:rsid w:val="3F71479A"/>
    <w:rsid w:val="3F727F68"/>
    <w:rsid w:val="3F755459"/>
    <w:rsid w:val="3F7647BE"/>
    <w:rsid w:val="3F7722E4"/>
    <w:rsid w:val="3F794503"/>
    <w:rsid w:val="3F7B1DD4"/>
    <w:rsid w:val="3F7B6278"/>
    <w:rsid w:val="3F80563C"/>
    <w:rsid w:val="3F827606"/>
    <w:rsid w:val="3F85289A"/>
    <w:rsid w:val="3F873E94"/>
    <w:rsid w:val="3F8769CB"/>
    <w:rsid w:val="3F892743"/>
    <w:rsid w:val="3F8954F2"/>
    <w:rsid w:val="3F8C3FE1"/>
    <w:rsid w:val="3F8E7D59"/>
    <w:rsid w:val="3F8F587F"/>
    <w:rsid w:val="3F916157"/>
    <w:rsid w:val="3F9520B5"/>
    <w:rsid w:val="3F966C0E"/>
    <w:rsid w:val="3F9904AC"/>
    <w:rsid w:val="3F9B06C8"/>
    <w:rsid w:val="3F9B2476"/>
    <w:rsid w:val="3F9F0B69"/>
    <w:rsid w:val="3F9F3D14"/>
    <w:rsid w:val="3FA0183A"/>
    <w:rsid w:val="3FA23805"/>
    <w:rsid w:val="3FA23C1F"/>
    <w:rsid w:val="3FA255B3"/>
    <w:rsid w:val="3FA304D7"/>
    <w:rsid w:val="3FA47376"/>
    <w:rsid w:val="3FA4757D"/>
    <w:rsid w:val="3FA550A3"/>
    <w:rsid w:val="3FA61DD6"/>
    <w:rsid w:val="3FA94B93"/>
    <w:rsid w:val="3FAA25B8"/>
    <w:rsid w:val="3FAC4683"/>
    <w:rsid w:val="3FAC4783"/>
    <w:rsid w:val="3FAC5BC7"/>
    <w:rsid w:val="3FAF13AE"/>
    <w:rsid w:val="3FB11602"/>
    <w:rsid w:val="3FB13A48"/>
    <w:rsid w:val="3FB157F6"/>
    <w:rsid w:val="3FB207BB"/>
    <w:rsid w:val="3FB35A12"/>
    <w:rsid w:val="3FB47094"/>
    <w:rsid w:val="3FB47D1B"/>
    <w:rsid w:val="3FB511AB"/>
    <w:rsid w:val="3FB83028"/>
    <w:rsid w:val="3FB928FC"/>
    <w:rsid w:val="3FBB0422"/>
    <w:rsid w:val="3FBB48C6"/>
    <w:rsid w:val="3FBD23EC"/>
    <w:rsid w:val="3FBD250E"/>
    <w:rsid w:val="3FBD419A"/>
    <w:rsid w:val="3FBE50DF"/>
    <w:rsid w:val="3FC217B1"/>
    <w:rsid w:val="3FC4377B"/>
    <w:rsid w:val="3FC45529"/>
    <w:rsid w:val="3FC76DC7"/>
    <w:rsid w:val="3FC92B3F"/>
    <w:rsid w:val="3FC96FE3"/>
    <w:rsid w:val="3FCE13E7"/>
    <w:rsid w:val="3FCE45FA"/>
    <w:rsid w:val="3FCF3A3E"/>
    <w:rsid w:val="3FD1231A"/>
    <w:rsid w:val="3FD213B8"/>
    <w:rsid w:val="3FD32444"/>
    <w:rsid w:val="3FD37AA4"/>
    <w:rsid w:val="3FD502A4"/>
    <w:rsid w:val="3FD55988"/>
    <w:rsid w:val="3FD61700"/>
    <w:rsid w:val="3FDA2F9E"/>
    <w:rsid w:val="3FDD2A8F"/>
    <w:rsid w:val="3FDD2F01"/>
    <w:rsid w:val="3FDD65EB"/>
    <w:rsid w:val="3FE200A5"/>
    <w:rsid w:val="3FE5028A"/>
    <w:rsid w:val="3FE536F1"/>
    <w:rsid w:val="3FE83980"/>
    <w:rsid w:val="3FE91433"/>
    <w:rsid w:val="3FEA4714"/>
    <w:rsid w:val="3FEE07F8"/>
    <w:rsid w:val="3FEF3F72"/>
    <w:rsid w:val="3FEF631E"/>
    <w:rsid w:val="3FF070E9"/>
    <w:rsid w:val="3FF102E8"/>
    <w:rsid w:val="3FF12096"/>
    <w:rsid w:val="3FF15277"/>
    <w:rsid w:val="3FF22C1F"/>
    <w:rsid w:val="3FF618C0"/>
    <w:rsid w:val="3FF73FB7"/>
    <w:rsid w:val="3FF86700"/>
    <w:rsid w:val="3FF878C8"/>
    <w:rsid w:val="3FFC1296"/>
    <w:rsid w:val="3FFF47B3"/>
    <w:rsid w:val="40026051"/>
    <w:rsid w:val="40031490"/>
    <w:rsid w:val="40046E31"/>
    <w:rsid w:val="40055B41"/>
    <w:rsid w:val="400A73D4"/>
    <w:rsid w:val="400B384D"/>
    <w:rsid w:val="400D3374"/>
    <w:rsid w:val="400E2C48"/>
    <w:rsid w:val="400E49F6"/>
    <w:rsid w:val="40102822"/>
    <w:rsid w:val="40107B58"/>
    <w:rsid w:val="401670B8"/>
    <w:rsid w:val="40172196"/>
    <w:rsid w:val="401819D8"/>
    <w:rsid w:val="40184BF5"/>
    <w:rsid w:val="401979A4"/>
    <w:rsid w:val="401A783F"/>
    <w:rsid w:val="401D10DD"/>
    <w:rsid w:val="401F6E1A"/>
    <w:rsid w:val="40210BCD"/>
    <w:rsid w:val="402325D5"/>
    <w:rsid w:val="4024421A"/>
    <w:rsid w:val="40251D40"/>
    <w:rsid w:val="40270DB3"/>
    <w:rsid w:val="4028409E"/>
    <w:rsid w:val="402978A4"/>
    <w:rsid w:val="402B37FA"/>
    <w:rsid w:val="402C1320"/>
    <w:rsid w:val="402C30CE"/>
    <w:rsid w:val="40313CBF"/>
    <w:rsid w:val="403221B3"/>
    <w:rsid w:val="40322DDA"/>
    <w:rsid w:val="40324B88"/>
    <w:rsid w:val="40330901"/>
    <w:rsid w:val="403346A2"/>
    <w:rsid w:val="403501D5"/>
    <w:rsid w:val="40353148"/>
    <w:rsid w:val="40353870"/>
    <w:rsid w:val="40381A73"/>
    <w:rsid w:val="403837A1"/>
    <w:rsid w:val="40385F17"/>
    <w:rsid w:val="403A57EB"/>
    <w:rsid w:val="403C77B5"/>
    <w:rsid w:val="403E177F"/>
    <w:rsid w:val="403E2FEC"/>
    <w:rsid w:val="404228F2"/>
    <w:rsid w:val="404360D4"/>
    <w:rsid w:val="404623E2"/>
    <w:rsid w:val="40477F08"/>
    <w:rsid w:val="40480AB6"/>
    <w:rsid w:val="40491ED2"/>
    <w:rsid w:val="40493C80"/>
    <w:rsid w:val="40494752"/>
    <w:rsid w:val="404A2EC7"/>
    <w:rsid w:val="404B79F8"/>
    <w:rsid w:val="404D19C2"/>
    <w:rsid w:val="40520D87"/>
    <w:rsid w:val="405530BA"/>
    <w:rsid w:val="405640BE"/>
    <w:rsid w:val="40580367"/>
    <w:rsid w:val="405A1423"/>
    <w:rsid w:val="405B45A7"/>
    <w:rsid w:val="405C6B25"/>
    <w:rsid w:val="405C7E57"/>
    <w:rsid w:val="406048C7"/>
    <w:rsid w:val="40622AED"/>
    <w:rsid w:val="40632F94"/>
    <w:rsid w:val="40640ABA"/>
    <w:rsid w:val="40642868"/>
    <w:rsid w:val="40646D0C"/>
    <w:rsid w:val="406519B3"/>
    <w:rsid w:val="40672358"/>
    <w:rsid w:val="40692574"/>
    <w:rsid w:val="406B009A"/>
    <w:rsid w:val="406E27D1"/>
    <w:rsid w:val="407231D7"/>
    <w:rsid w:val="4073454C"/>
    <w:rsid w:val="40754A75"/>
    <w:rsid w:val="4077259B"/>
    <w:rsid w:val="40776A3F"/>
    <w:rsid w:val="40786313"/>
    <w:rsid w:val="40797A15"/>
    <w:rsid w:val="407A0D74"/>
    <w:rsid w:val="407A3945"/>
    <w:rsid w:val="407A6407"/>
    <w:rsid w:val="407C5FDC"/>
    <w:rsid w:val="407D705A"/>
    <w:rsid w:val="407D712F"/>
    <w:rsid w:val="407F1598"/>
    <w:rsid w:val="407F661D"/>
    <w:rsid w:val="4081166C"/>
    <w:rsid w:val="408178BE"/>
    <w:rsid w:val="40833636"/>
    <w:rsid w:val="4084115C"/>
    <w:rsid w:val="40854466"/>
    <w:rsid w:val="40867D28"/>
    <w:rsid w:val="40896772"/>
    <w:rsid w:val="408B4299"/>
    <w:rsid w:val="408E5B37"/>
    <w:rsid w:val="40905D53"/>
    <w:rsid w:val="40907423"/>
    <w:rsid w:val="40953369"/>
    <w:rsid w:val="40956EC5"/>
    <w:rsid w:val="40970E8F"/>
    <w:rsid w:val="409749EB"/>
    <w:rsid w:val="40980764"/>
    <w:rsid w:val="409A0980"/>
    <w:rsid w:val="409C2F14"/>
    <w:rsid w:val="409F1AF2"/>
    <w:rsid w:val="40A13ABC"/>
    <w:rsid w:val="40A84E4B"/>
    <w:rsid w:val="40AA0ACB"/>
    <w:rsid w:val="40AA0BC3"/>
    <w:rsid w:val="40AC4411"/>
    <w:rsid w:val="40AE30AC"/>
    <w:rsid w:val="40AE6D96"/>
    <w:rsid w:val="40B21825"/>
    <w:rsid w:val="40B732E0"/>
    <w:rsid w:val="40B76E3C"/>
    <w:rsid w:val="40B82BB4"/>
    <w:rsid w:val="40B84F3B"/>
    <w:rsid w:val="40BA4B7E"/>
    <w:rsid w:val="40C003E6"/>
    <w:rsid w:val="40C17CBA"/>
    <w:rsid w:val="40C31C84"/>
    <w:rsid w:val="40C41559"/>
    <w:rsid w:val="40C559FD"/>
    <w:rsid w:val="40CB0B39"/>
    <w:rsid w:val="40CD665F"/>
    <w:rsid w:val="40D20119"/>
    <w:rsid w:val="40D26D7E"/>
    <w:rsid w:val="40D62F6B"/>
    <w:rsid w:val="40D774DE"/>
    <w:rsid w:val="40D8646E"/>
    <w:rsid w:val="40DE6ABE"/>
    <w:rsid w:val="40E04B80"/>
    <w:rsid w:val="40E165AE"/>
    <w:rsid w:val="40E35E83"/>
    <w:rsid w:val="40E439A9"/>
    <w:rsid w:val="40E44F98"/>
    <w:rsid w:val="40E47F0A"/>
    <w:rsid w:val="40E63BC5"/>
    <w:rsid w:val="40E8793D"/>
    <w:rsid w:val="40EB11DB"/>
    <w:rsid w:val="40EB1D66"/>
    <w:rsid w:val="40EC092A"/>
    <w:rsid w:val="40EF4827"/>
    <w:rsid w:val="40F0234E"/>
    <w:rsid w:val="40F2256A"/>
    <w:rsid w:val="40F47C00"/>
    <w:rsid w:val="40F55BB6"/>
    <w:rsid w:val="40F57529"/>
    <w:rsid w:val="40FC0CF2"/>
    <w:rsid w:val="40FD201B"/>
    <w:rsid w:val="40FE33D2"/>
    <w:rsid w:val="41006A35"/>
    <w:rsid w:val="41016309"/>
    <w:rsid w:val="410302D3"/>
    <w:rsid w:val="41046039"/>
    <w:rsid w:val="410773DF"/>
    <w:rsid w:val="41083B3B"/>
    <w:rsid w:val="410858E9"/>
    <w:rsid w:val="410B7187"/>
    <w:rsid w:val="410C362B"/>
    <w:rsid w:val="410D1152"/>
    <w:rsid w:val="410D2F00"/>
    <w:rsid w:val="410D73A4"/>
    <w:rsid w:val="410F0A26"/>
    <w:rsid w:val="410F6C78"/>
    <w:rsid w:val="411029F0"/>
    <w:rsid w:val="41114BBA"/>
    <w:rsid w:val="41134241"/>
    <w:rsid w:val="411424E0"/>
    <w:rsid w:val="41160006"/>
    <w:rsid w:val="41174634"/>
    <w:rsid w:val="411E6EBB"/>
    <w:rsid w:val="41202C33"/>
    <w:rsid w:val="412070D7"/>
    <w:rsid w:val="41210759"/>
    <w:rsid w:val="41265D6F"/>
    <w:rsid w:val="41272213"/>
    <w:rsid w:val="41292623"/>
    <w:rsid w:val="412D70FE"/>
    <w:rsid w:val="41313092"/>
    <w:rsid w:val="41344930"/>
    <w:rsid w:val="41352EBD"/>
    <w:rsid w:val="4135614B"/>
    <w:rsid w:val="41356808"/>
    <w:rsid w:val="41361759"/>
    <w:rsid w:val="41362456"/>
    <w:rsid w:val="413761CE"/>
    <w:rsid w:val="41383010"/>
    <w:rsid w:val="41393CF5"/>
    <w:rsid w:val="413B4DE9"/>
    <w:rsid w:val="413C37E5"/>
    <w:rsid w:val="413C57C4"/>
    <w:rsid w:val="414032D5"/>
    <w:rsid w:val="41410DFB"/>
    <w:rsid w:val="41433320"/>
    <w:rsid w:val="41461CA1"/>
    <w:rsid w:val="41466412"/>
    <w:rsid w:val="41473131"/>
    <w:rsid w:val="41483F38"/>
    <w:rsid w:val="414A5F02"/>
    <w:rsid w:val="414B7444"/>
    <w:rsid w:val="414C1C7A"/>
    <w:rsid w:val="414C7ECC"/>
    <w:rsid w:val="414D77A0"/>
    <w:rsid w:val="414F176A"/>
    <w:rsid w:val="414F33CA"/>
    <w:rsid w:val="4151103E"/>
    <w:rsid w:val="41517290"/>
    <w:rsid w:val="41546D80"/>
    <w:rsid w:val="41554B3E"/>
    <w:rsid w:val="41562AF9"/>
    <w:rsid w:val="4157061F"/>
    <w:rsid w:val="415840B6"/>
    <w:rsid w:val="415B3C6B"/>
    <w:rsid w:val="415C5012"/>
    <w:rsid w:val="415C66C8"/>
    <w:rsid w:val="415E375B"/>
    <w:rsid w:val="415E7BFF"/>
    <w:rsid w:val="415F01DB"/>
    <w:rsid w:val="415F7893"/>
    <w:rsid w:val="416074D3"/>
    <w:rsid w:val="41614FF9"/>
    <w:rsid w:val="4162149D"/>
    <w:rsid w:val="4162324B"/>
    <w:rsid w:val="41635215"/>
    <w:rsid w:val="41642659"/>
    <w:rsid w:val="41650F8E"/>
    <w:rsid w:val="41654AEA"/>
    <w:rsid w:val="41656898"/>
    <w:rsid w:val="41662610"/>
    <w:rsid w:val="41686505"/>
    <w:rsid w:val="416A0352"/>
    <w:rsid w:val="416C39BC"/>
    <w:rsid w:val="416C5E78"/>
    <w:rsid w:val="416C69B7"/>
    <w:rsid w:val="416E27E2"/>
    <w:rsid w:val="416F5DAE"/>
    <w:rsid w:val="41724C5D"/>
    <w:rsid w:val="417411D1"/>
    <w:rsid w:val="41744D2D"/>
    <w:rsid w:val="41754D1F"/>
    <w:rsid w:val="41766CF7"/>
    <w:rsid w:val="417967E7"/>
    <w:rsid w:val="417B255F"/>
    <w:rsid w:val="417B430D"/>
    <w:rsid w:val="4181748A"/>
    <w:rsid w:val="4182744A"/>
    <w:rsid w:val="41831557"/>
    <w:rsid w:val="418331C2"/>
    <w:rsid w:val="4184568E"/>
    <w:rsid w:val="41850CE8"/>
    <w:rsid w:val="41870F04"/>
    <w:rsid w:val="418807D8"/>
    <w:rsid w:val="41894C7C"/>
    <w:rsid w:val="418A27A2"/>
    <w:rsid w:val="418B6EA7"/>
    <w:rsid w:val="418C02C8"/>
    <w:rsid w:val="418C2076"/>
    <w:rsid w:val="418C651A"/>
    <w:rsid w:val="418D5DEE"/>
    <w:rsid w:val="418E2292"/>
    <w:rsid w:val="418F600A"/>
    <w:rsid w:val="41943621"/>
    <w:rsid w:val="41962EF5"/>
    <w:rsid w:val="41990C37"/>
    <w:rsid w:val="419929E5"/>
    <w:rsid w:val="419B49AF"/>
    <w:rsid w:val="419D0727"/>
    <w:rsid w:val="419D24D5"/>
    <w:rsid w:val="419E624E"/>
    <w:rsid w:val="41A01FC6"/>
    <w:rsid w:val="41A05B22"/>
    <w:rsid w:val="41A06FEC"/>
    <w:rsid w:val="41A203A0"/>
    <w:rsid w:val="41A41AB6"/>
    <w:rsid w:val="41A575DC"/>
    <w:rsid w:val="41A73354"/>
    <w:rsid w:val="41A7595B"/>
    <w:rsid w:val="41A76EB0"/>
    <w:rsid w:val="41AA2E44"/>
    <w:rsid w:val="41AB7ACC"/>
    <w:rsid w:val="41AC627D"/>
    <w:rsid w:val="41AC70DE"/>
    <w:rsid w:val="41AE6491"/>
    <w:rsid w:val="41AF2209"/>
    <w:rsid w:val="41AF3FB7"/>
    <w:rsid w:val="41B02916"/>
    <w:rsid w:val="41B03B4F"/>
    <w:rsid w:val="41B13830"/>
    <w:rsid w:val="41B15F81"/>
    <w:rsid w:val="41B24CC0"/>
    <w:rsid w:val="41B36150"/>
    <w:rsid w:val="41B4781F"/>
    <w:rsid w:val="41B617E9"/>
    <w:rsid w:val="41B63597"/>
    <w:rsid w:val="41BB0BAE"/>
    <w:rsid w:val="41BB7D66"/>
    <w:rsid w:val="41BD0482"/>
    <w:rsid w:val="41BD2B78"/>
    <w:rsid w:val="41BD4926"/>
    <w:rsid w:val="41BD66D4"/>
    <w:rsid w:val="41C04416"/>
    <w:rsid w:val="41C061C4"/>
    <w:rsid w:val="41C21F3C"/>
    <w:rsid w:val="41C31810"/>
    <w:rsid w:val="41C37A62"/>
    <w:rsid w:val="41C932CA"/>
    <w:rsid w:val="41CB6863"/>
    <w:rsid w:val="41CD07B6"/>
    <w:rsid w:val="41CE08E1"/>
    <w:rsid w:val="41CE5294"/>
    <w:rsid w:val="41D103D1"/>
    <w:rsid w:val="41D1217F"/>
    <w:rsid w:val="41D34149"/>
    <w:rsid w:val="41D81894"/>
    <w:rsid w:val="41D8350E"/>
    <w:rsid w:val="41D852BC"/>
    <w:rsid w:val="41DB2FFE"/>
    <w:rsid w:val="41DB4DAC"/>
    <w:rsid w:val="41DD0B24"/>
    <w:rsid w:val="41DD6D76"/>
    <w:rsid w:val="41DE557D"/>
    <w:rsid w:val="41E06866"/>
    <w:rsid w:val="41E111CE"/>
    <w:rsid w:val="41E37CD4"/>
    <w:rsid w:val="41E40104"/>
    <w:rsid w:val="41E579D9"/>
    <w:rsid w:val="41E77BF5"/>
    <w:rsid w:val="41E81277"/>
    <w:rsid w:val="41ED183A"/>
    <w:rsid w:val="41EE4ADF"/>
    <w:rsid w:val="41EE72BB"/>
    <w:rsid w:val="41F04C62"/>
    <w:rsid w:val="41F36599"/>
    <w:rsid w:val="41F731A6"/>
    <w:rsid w:val="41F8595E"/>
    <w:rsid w:val="41F95D14"/>
    <w:rsid w:val="41FA16D6"/>
    <w:rsid w:val="41FB36A0"/>
    <w:rsid w:val="41FC07CF"/>
    <w:rsid w:val="41FD4695"/>
    <w:rsid w:val="41FD4D22"/>
    <w:rsid w:val="41FF18A8"/>
    <w:rsid w:val="4200449D"/>
    <w:rsid w:val="42005B16"/>
    <w:rsid w:val="420460B1"/>
    <w:rsid w:val="4206612A"/>
    <w:rsid w:val="42097B6B"/>
    <w:rsid w:val="420A5094"/>
    <w:rsid w:val="420E33D3"/>
    <w:rsid w:val="420F4A55"/>
    <w:rsid w:val="42106710"/>
    <w:rsid w:val="421156DC"/>
    <w:rsid w:val="42132798"/>
    <w:rsid w:val="42165DE4"/>
    <w:rsid w:val="421729DE"/>
    <w:rsid w:val="42181B5C"/>
    <w:rsid w:val="42185F27"/>
    <w:rsid w:val="421A0D47"/>
    <w:rsid w:val="421B164C"/>
    <w:rsid w:val="421D7172"/>
    <w:rsid w:val="42206464"/>
    <w:rsid w:val="42255887"/>
    <w:rsid w:val="42291FBB"/>
    <w:rsid w:val="42292222"/>
    <w:rsid w:val="422B7713"/>
    <w:rsid w:val="422B7AE1"/>
    <w:rsid w:val="422E6094"/>
    <w:rsid w:val="42313585"/>
    <w:rsid w:val="4231614C"/>
    <w:rsid w:val="423170C2"/>
    <w:rsid w:val="42334BE8"/>
    <w:rsid w:val="42336996"/>
    <w:rsid w:val="42350960"/>
    <w:rsid w:val="42360234"/>
    <w:rsid w:val="42375CB6"/>
    <w:rsid w:val="42380450"/>
    <w:rsid w:val="423A3BCC"/>
    <w:rsid w:val="423A5F76"/>
    <w:rsid w:val="423B584A"/>
    <w:rsid w:val="423C1CEE"/>
    <w:rsid w:val="423C2277"/>
    <w:rsid w:val="42415557"/>
    <w:rsid w:val="42424E2B"/>
    <w:rsid w:val="42442951"/>
    <w:rsid w:val="42446DF5"/>
    <w:rsid w:val="42462B6D"/>
    <w:rsid w:val="4246384E"/>
    <w:rsid w:val="42472441"/>
    <w:rsid w:val="424741EF"/>
    <w:rsid w:val="424757AB"/>
    <w:rsid w:val="424853CC"/>
    <w:rsid w:val="4249440B"/>
    <w:rsid w:val="42497F67"/>
    <w:rsid w:val="424B6CFD"/>
    <w:rsid w:val="424E557E"/>
    <w:rsid w:val="424E57D2"/>
    <w:rsid w:val="42530DE6"/>
    <w:rsid w:val="4253528A"/>
    <w:rsid w:val="42547C66"/>
    <w:rsid w:val="42581301"/>
    <w:rsid w:val="425A03C6"/>
    <w:rsid w:val="425B7C9B"/>
    <w:rsid w:val="425C413F"/>
    <w:rsid w:val="425F056A"/>
    <w:rsid w:val="426052B1"/>
    <w:rsid w:val="42606938"/>
    <w:rsid w:val="42613503"/>
    <w:rsid w:val="42646AA9"/>
    <w:rsid w:val="42661347"/>
    <w:rsid w:val="426710B6"/>
    <w:rsid w:val="42674891"/>
    <w:rsid w:val="426B4382"/>
    <w:rsid w:val="426B6130"/>
    <w:rsid w:val="426D00FA"/>
    <w:rsid w:val="426D5DB8"/>
    <w:rsid w:val="426E79CE"/>
    <w:rsid w:val="42756FAE"/>
    <w:rsid w:val="42772697"/>
    <w:rsid w:val="427A1ACA"/>
    <w:rsid w:val="427A45C5"/>
    <w:rsid w:val="427A66E4"/>
    <w:rsid w:val="427C033D"/>
    <w:rsid w:val="427C0C6D"/>
    <w:rsid w:val="427C3A24"/>
    <w:rsid w:val="427C799E"/>
    <w:rsid w:val="427D40B5"/>
    <w:rsid w:val="427E2307"/>
    <w:rsid w:val="427F1BDB"/>
    <w:rsid w:val="427F607F"/>
    <w:rsid w:val="42813BA5"/>
    <w:rsid w:val="42846FB4"/>
    <w:rsid w:val="42862F6A"/>
    <w:rsid w:val="42864F1C"/>
    <w:rsid w:val="42870A90"/>
    <w:rsid w:val="428A24E6"/>
    <w:rsid w:val="428C3276"/>
    <w:rsid w:val="428C42F8"/>
    <w:rsid w:val="428C475C"/>
    <w:rsid w:val="428D254A"/>
    <w:rsid w:val="428E0070"/>
    <w:rsid w:val="428E1E1E"/>
    <w:rsid w:val="428F3FA1"/>
    <w:rsid w:val="428F7309"/>
    <w:rsid w:val="42907DEC"/>
    <w:rsid w:val="429211B4"/>
    <w:rsid w:val="42932922"/>
    <w:rsid w:val="429338D8"/>
    <w:rsid w:val="42935686"/>
    <w:rsid w:val="42957651"/>
    <w:rsid w:val="42972BCC"/>
    <w:rsid w:val="429733C9"/>
    <w:rsid w:val="42974BBA"/>
    <w:rsid w:val="42975177"/>
    <w:rsid w:val="4297700D"/>
    <w:rsid w:val="42984A4B"/>
    <w:rsid w:val="42997141"/>
    <w:rsid w:val="429F402B"/>
    <w:rsid w:val="429F5DD9"/>
    <w:rsid w:val="42A53432"/>
    <w:rsid w:val="42A653BA"/>
    <w:rsid w:val="42A86289"/>
    <w:rsid w:val="42B15EAB"/>
    <w:rsid w:val="42B26C49"/>
    <w:rsid w:val="42B40980"/>
    <w:rsid w:val="42B45D29"/>
    <w:rsid w:val="42B5384F"/>
    <w:rsid w:val="42B555FD"/>
    <w:rsid w:val="42B86E9B"/>
    <w:rsid w:val="42BC2FBE"/>
    <w:rsid w:val="42BC318C"/>
    <w:rsid w:val="42BD4EA3"/>
    <w:rsid w:val="42BF46CD"/>
    <w:rsid w:val="42C25AFB"/>
    <w:rsid w:val="42C44856"/>
    <w:rsid w:val="42C57F36"/>
    <w:rsid w:val="42C817D4"/>
    <w:rsid w:val="42C972FA"/>
    <w:rsid w:val="42CA554C"/>
    <w:rsid w:val="42CE4911"/>
    <w:rsid w:val="42D17B5E"/>
    <w:rsid w:val="42D208FA"/>
    <w:rsid w:val="42D27F5D"/>
    <w:rsid w:val="42D640CA"/>
    <w:rsid w:val="42D76110"/>
    <w:rsid w:val="42D94C6B"/>
    <w:rsid w:val="42DA361B"/>
    <w:rsid w:val="42DD045D"/>
    <w:rsid w:val="42DD6902"/>
    <w:rsid w:val="42DE4B54"/>
    <w:rsid w:val="42DF267A"/>
    <w:rsid w:val="42E020C7"/>
    <w:rsid w:val="42E47C90"/>
    <w:rsid w:val="42E83C24"/>
    <w:rsid w:val="42EB7271"/>
    <w:rsid w:val="42ED2FE9"/>
    <w:rsid w:val="42EF6D61"/>
    <w:rsid w:val="42F00D2B"/>
    <w:rsid w:val="42F06635"/>
    <w:rsid w:val="42F26851"/>
    <w:rsid w:val="42F425C9"/>
    <w:rsid w:val="42F44377"/>
    <w:rsid w:val="42F500EF"/>
    <w:rsid w:val="42F51E7C"/>
    <w:rsid w:val="42F51E9D"/>
    <w:rsid w:val="42F75C15"/>
    <w:rsid w:val="42F8373B"/>
    <w:rsid w:val="42F951EF"/>
    <w:rsid w:val="42FB4E6F"/>
    <w:rsid w:val="42FC76D0"/>
    <w:rsid w:val="42FE4F4C"/>
    <w:rsid w:val="42FE6FA4"/>
    <w:rsid w:val="430345BA"/>
    <w:rsid w:val="43037A91"/>
    <w:rsid w:val="430622FC"/>
    <w:rsid w:val="43070A72"/>
    <w:rsid w:val="430815C5"/>
    <w:rsid w:val="430875E7"/>
    <w:rsid w:val="430A1DED"/>
    <w:rsid w:val="430A2F0B"/>
    <w:rsid w:val="430B7913"/>
    <w:rsid w:val="430D5439"/>
    <w:rsid w:val="430F2F5F"/>
    <w:rsid w:val="430F57CF"/>
    <w:rsid w:val="43104F29"/>
    <w:rsid w:val="43140575"/>
    <w:rsid w:val="43141357"/>
    <w:rsid w:val="43144A19"/>
    <w:rsid w:val="43166C1A"/>
    <w:rsid w:val="43170066"/>
    <w:rsid w:val="43171E14"/>
    <w:rsid w:val="43192030"/>
    <w:rsid w:val="43193DDE"/>
    <w:rsid w:val="43195B8C"/>
    <w:rsid w:val="431E13F4"/>
    <w:rsid w:val="431E31A2"/>
    <w:rsid w:val="431E7812"/>
    <w:rsid w:val="431F6F1A"/>
    <w:rsid w:val="4320494C"/>
    <w:rsid w:val="432307B8"/>
    <w:rsid w:val="432804C5"/>
    <w:rsid w:val="432A3A69"/>
    <w:rsid w:val="432D5ADB"/>
    <w:rsid w:val="432F1853"/>
    <w:rsid w:val="433230F1"/>
    <w:rsid w:val="43324E9F"/>
    <w:rsid w:val="433429C6"/>
    <w:rsid w:val="43346E69"/>
    <w:rsid w:val="433779FE"/>
    <w:rsid w:val="43394480"/>
    <w:rsid w:val="43396113"/>
    <w:rsid w:val="433A6FE6"/>
    <w:rsid w:val="433F00FC"/>
    <w:rsid w:val="434033E5"/>
    <w:rsid w:val="434150E2"/>
    <w:rsid w:val="43476B9D"/>
    <w:rsid w:val="4348021F"/>
    <w:rsid w:val="43480868"/>
    <w:rsid w:val="43482915"/>
    <w:rsid w:val="434846C3"/>
    <w:rsid w:val="434B1776"/>
    <w:rsid w:val="434B5FB1"/>
    <w:rsid w:val="434B7D0F"/>
    <w:rsid w:val="434D1CD9"/>
    <w:rsid w:val="434F5978"/>
    <w:rsid w:val="4350713C"/>
    <w:rsid w:val="43525542"/>
    <w:rsid w:val="43543068"/>
    <w:rsid w:val="4356268C"/>
    <w:rsid w:val="43566DE0"/>
    <w:rsid w:val="435B2648"/>
    <w:rsid w:val="435B30F2"/>
    <w:rsid w:val="435B61A4"/>
    <w:rsid w:val="43601A0D"/>
    <w:rsid w:val="4361391A"/>
    <w:rsid w:val="43617533"/>
    <w:rsid w:val="436275FE"/>
    <w:rsid w:val="436314FD"/>
    <w:rsid w:val="43643F2E"/>
    <w:rsid w:val="43650DD1"/>
    <w:rsid w:val="436545DD"/>
    <w:rsid w:val="43656A9D"/>
    <w:rsid w:val="43664B49"/>
    <w:rsid w:val="436653E0"/>
    <w:rsid w:val="4366740F"/>
    <w:rsid w:val="4368266F"/>
    <w:rsid w:val="43686B13"/>
    <w:rsid w:val="43690BFB"/>
    <w:rsid w:val="43693070"/>
    <w:rsid w:val="436C6603"/>
    <w:rsid w:val="436D5ED7"/>
    <w:rsid w:val="436F4174"/>
    <w:rsid w:val="4370125D"/>
    <w:rsid w:val="43727992"/>
    <w:rsid w:val="437454B8"/>
    <w:rsid w:val="43747266"/>
    <w:rsid w:val="43750B18"/>
    <w:rsid w:val="43764333"/>
    <w:rsid w:val="43784FA8"/>
    <w:rsid w:val="43786E06"/>
    <w:rsid w:val="437943F5"/>
    <w:rsid w:val="437D131A"/>
    <w:rsid w:val="437D79C7"/>
    <w:rsid w:val="437E00E5"/>
    <w:rsid w:val="437E0267"/>
    <w:rsid w:val="437E1E93"/>
    <w:rsid w:val="43810BD0"/>
    <w:rsid w:val="43811983"/>
    <w:rsid w:val="43827BD5"/>
    <w:rsid w:val="43853221"/>
    <w:rsid w:val="438576C5"/>
    <w:rsid w:val="438628AB"/>
    <w:rsid w:val="43880F63"/>
    <w:rsid w:val="4388593B"/>
    <w:rsid w:val="438A191B"/>
    <w:rsid w:val="438C45B0"/>
    <w:rsid w:val="4391606A"/>
    <w:rsid w:val="43917E18"/>
    <w:rsid w:val="43920647"/>
    <w:rsid w:val="4392593E"/>
    <w:rsid w:val="43972F54"/>
    <w:rsid w:val="439C24FA"/>
    <w:rsid w:val="439D67BD"/>
    <w:rsid w:val="439F639C"/>
    <w:rsid w:val="43A02171"/>
    <w:rsid w:val="43A044FF"/>
    <w:rsid w:val="43A2266B"/>
    <w:rsid w:val="43A23DD3"/>
    <w:rsid w:val="43A37B4B"/>
    <w:rsid w:val="43A538C3"/>
    <w:rsid w:val="43A60B8B"/>
    <w:rsid w:val="43A60E53"/>
    <w:rsid w:val="43A643FA"/>
    <w:rsid w:val="43A713E9"/>
    <w:rsid w:val="43A85162"/>
    <w:rsid w:val="43A86F10"/>
    <w:rsid w:val="43AA0EDA"/>
    <w:rsid w:val="43AC0714"/>
    <w:rsid w:val="43AC2EA4"/>
    <w:rsid w:val="43AC6A00"/>
    <w:rsid w:val="43AF029E"/>
    <w:rsid w:val="43AF44C4"/>
    <w:rsid w:val="43B01AEA"/>
    <w:rsid w:val="43B12268"/>
    <w:rsid w:val="43B421BA"/>
    <w:rsid w:val="43B43B06"/>
    <w:rsid w:val="43B753A5"/>
    <w:rsid w:val="43B80989"/>
    <w:rsid w:val="43BA4E67"/>
    <w:rsid w:val="43BB4E95"/>
    <w:rsid w:val="43BD0C0D"/>
    <w:rsid w:val="43BE6733"/>
    <w:rsid w:val="43BF2BD7"/>
    <w:rsid w:val="43C401ED"/>
    <w:rsid w:val="43C4431A"/>
    <w:rsid w:val="43C875B2"/>
    <w:rsid w:val="43CC0E50"/>
    <w:rsid w:val="43CC2FC9"/>
    <w:rsid w:val="43CC52F4"/>
    <w:rsid w:val="43CE64CC"/>
    <w:rsid w:val="43CF26EE"/>
    <w:rsid w:val="43D23F8D"/>
    <w:rsid w:val="43D45F57"/>
    <w:rsid w:val="43D57AE5"/>
    <w:rsid w:val="43D63A7D"/>
    <w:rsid w:val="43D83C99"/>
    <w:rsid w:val="43E45F59"/>
    <w:rsid w:val="43E53CC0"/>
    <w:rsid w:val="43E643B8"/>
    <w:rsid w:val="43E95C6A"/>
    <w:rsid w:val="43EA7528"/>
    <w:rsid w:val="43EC14F2"/>
    <w:rsid w:val="43EC504E"/>
    <w:rsid w:val="43ED1A4D"/>
    <w:rsid w:val="43EE04C7"/>
    <w:rsid w:val="43F14D5A"/>
    <w:rsid w:val="43F15787"/>
    <w:rsid w:val="43F25407"/>
    <w:rsid w:val="43F62371"/>
    <w:rsid w:val="43F81C45"/>
    <w:rsid w:val="43F87E97"/>
    <w:rsid w:val="43FA3C0F"/>
    <w:rsid w:val="43FB7987"/>
    <w:rsid w:val="43FD725B"/>
    <w:rsid w:val="43FE7FBC"/>
    <w:rsid w:val="44000B6A"/>
    <w:rsid w:val="44006D4C"/>
    <w:rsid w:val="440B5E1C"/>
    <w:rsid w:val="440C3942"/>
    <w:rsid w:val="440D1F2C"/>
    <w:rsid w:val="440E6370"/>
    <w:rsid w:val="440F51E1"/>
    <w:rsid w:val="44103433"/>
    <w:rsid w:val="44136A7F"/>
    <w:rsid w:val="44166A5A"/>
    <w:rsid w:val="44194BC4"/>
    <w:rsid w:val="441A20EA"/>
    <w:rsid w:val="441B3B85"/>
    <w:rsid w:val="441D78FE"/>
    <w:rsid w:val="441E71D2"/>
    <w:rsid w:val="441F4FD2"/>
    <w:rsid w:val="44210142"/>
    <w:rsid w:val="44226CC2"/>
    <w:rsid w:val="44234EC8"/>
    <w:rsid w:val="44240C8C"/>
    <w:rsid w:val="442548A8"/>
    <w:rsid w:val="44266C74"/>
    <w:rsid w:val="4427252A"/>
    <w:rsid w:val="442962A2"/>
    <w:rsid w:val="442A5B77"/>
    <w:rsid w:val="442B5F4D"/>
    <w:rsid w:val="44332C7D"/>
    <w:rsid w:val="44337121"/>
    <w:rsid w:val="443469F5"/>
    <w:rsid w:val="44352E99"/>
    <w:rsid w:val="44354C47"/>
    <w:rsid w:val="443609BF"/>
    <w:rsid w:val="44366C11"/>
    <w:rsid w:val="44384737"/>
    <w:rsid w:val="4439400C"/>
    <w:rsid w:val="444035EC"/>
    <w:rsid w:val="44446C38"/>
    <w:rsid w:val="44466E54"/>
    <w:rsid w:val="44472BCC"/>
    <w:rsid w:val="4447497A"/>
    <w:rsid w:val="44476729"/>
    <w:rsid w:val="444906F3"/>
    <w:rsid w:val="444A6219"/>
    <w:rsid w:val="444C01E3"/>
    <w:rsid w:val="444C3D3F"/>
    <w:rsid w:val="444C6D9A"/>
    <w:rsid w:val="444D2373"/>
    <w:rsid w:val="444D7109"/>
    <w:rsid w:val="444E3F5B"/>
    <w:rsid w:val="444F55DD"/>
    <w:rsid w:val="44511BFB"/>
    <w:rsid w:val="445175A7"/>
    <w:rsid w:val="44557097"/>
    <w:rsid w:val="44562E10"/>
    <w:rsid w:val="445826E4"/>
    <w:rsid w:val="445A46AE"/>
    <w:rsid w:val="445A645C"/>
    <w:rsid w:val="445D419E"/>
    <w:rsid w:val="445D7A3E"/>
    <w:rsid w:val="445E1C58"/>
    <w:rsid w:val="445E272C"/>
    <w:rsid w:val="445F7F16"/>
    <w:rsid w:val="44615A3C"/>
    <w:rsid w:val="446217B4"/>
    <w:rsid w:val="44625310"/>
    <w:rsid w:val="44654E01"/>
    <w:rsid w:val="44670B79"/>
    <w:rsid w:val="44671910"/>
    <w:rsid w:val="44676DCB"/>
    <w:rsid w:val="446A2417"/>
    <w:rsid w:val="446F427D"/>
    <w:rsid w:val="447500EF"/>
    <w:rsid w:val="447B0A98"/>
    <w:rsid w:val="447C0AC8"/>
    <w:rsid w:val="447C0EBD"/>
    <w:rsid w:val="447D214A"/>
    <w:rsid w:val="447F2366"/>
    <w:rsid w:val="447F5183"/>
    <w:rsid w:val="4487121B"/>
    <w:rsid w:val="44876B0D"/>
    <w:rsid w:val="4488746D"/>
    <w:rsid w:val="44894F93"/>
    <w:rsid w:val="44896D41"/>
    <w:rsid w:val="449000D0"/>
    <w:rsid w:val="44904CF7"/>
    <w:rsid w:val="44915BF6"/>
    <w:rsid w:val="44946EA7"/>
    <w:rsid w:val="44954412"/>
    <w:rsid w:val="449556E6"/>
    <w:rsid w:val="44986059"/>
    <w:rsid w:val="44986F84"/>
    <w:rsid w:val="449A0F4E"/>
    <w:rsid w:val="449B0822"/>
    <w:rsid w:val="449C6A74"/>
    <w:rsid w:val="449F47B6"/>
    <w:rsid w:val="44A26055"/>
    <w:rsid w:val="44A41DCD"/>
    <w:rsid w:val="44A616A1"/>
    <w:rsid w:val="44A66E7D"/>
    <w:rsid w:val="44A973E3"/>
    <w:rsid w:val="44AB315B"/>
    <w:rsid w:val="44AC2C8E"/>
    <w:rsid w:val="44AD5314"/>
    <w:rsid w:val="44AE0556"/>
    <w:rsid w:val="44B02520"/>
    <w:rsid w:val="44B042CE"/>
    <w:rsid w:val="44B32010"/>
    <w:rsid w:val="44B3549F"/>
    <w:rsid w:val="44B738AE"/>
    <w:rsid w:val="44B75CF8"/>
    <w:rsid w:val="44B951CC"/>
    <w:rsid w:val="44BE2E8F"/>
    <w:rsid w:val="44C10289"/>
    <w:rsid w:val="44C11E50"/>
    <w:rsid w:val="44C9538F"/>
    <w:rsid w:val="44CA24D3"/>
    <w:rsid w:val="44CB735A"/>
    <w:rsid w:val="44CD1324"/>
    <w:rsid w:val="44CD14E0"/>
    <w:rsid w:val="44CE0BF8"/>
    <w:rsid w:val="44CF164A"/>
    <w:rsid w:val="44D02BC2"/>
    <w:rsid w:val="44D0576B"/>
    <w:rsid w:val="44D07A51"/>
    <w:rsid w:val="44D07D4A"/>
    <w:rsid w:val="44D24212"/>
    <w:rsid w:val="44D256B2"/>
    <w:rsid w:val="44D2767A"/>
    <w:rsid w:val="44D37FBC"/>
    <w:rsid w:val="44D75CFE"/>
    <w:rsid w:val="44D77AAC"/>
    <w:rsid w:val="44D97CC8"/>
    <w:rsid w:val="44DA134B"/>
    <w:rsid w:val="44DB5440"/>
    <w:rsid w:val="44DC32FD"/>
    <w:rsid w:val="44DC50C3"/>
    <w:rsid w:val="44DF1057"/>
    <w:rsid w:val="44DF2E05"/>
    <w:rsid w:val="44E16B7D"/>
    <w:rsid w:val="44E35125"/>
    <w:rsid w:val="44E46061"/>
    <w:rsid w:val="44E80E1C"/>
    <w:rsid w:val="44E93C84"/>
    <w:rsid w:val="44EC107E"/>
    <w:rsid w:val="44ED3CA5"/>
    <w:rsid w:val="44ED4282"/>
    <w:rsid w:val="44ED5210"/>
    <w:rsid w:val="44F06DC0"/>
    <w:rsid w:val="44F20B0B"/>
    <w:rsid w:val="44F22B38"/>
    <w:rsid w:val="44F468B0"/>
    <w:rsid w:val="44F52628"/>
    <w:rsid w:val="44F56185"/>
    <w:rsid w:val="44F74ACF"/>
    <w:rsid w:val="44F93EC7"/>
    <w:rsid w:val="44FA19ED"/>
    <w:rsid w:val="44FB5E21"/>
    <w:rsid w:val="44FC5BB9"/>
    <w:rsid w:val="44FE14DD"/>
    <w:rsid w:val="44FE5207"/>
    <w:rsid w:val="44FF0DB1"/>
    <w:rsid w:val="45010FCD"/>
    <w:rsid w:val="45014B29"/>
    <w:rsid w:val="450308A1"/>
    <w:rsid w:val="45036AF3"/>
    <w:rsid w:val="4504461A"/>
    <w:rsid w:val="45085EB8"/>
    <w:rsid w:val="450C5F03"/>
    <w:rsid w:val="450C780B"/>
    <w:rsid w:val="450E0754"/>
    <w:rsid w:val="450E7246"/>
    <w:rsid w:val="450F5E5B"/>
    <w:rsid w:val="45101210"/>
    <w:rsid w:val="45102FBE"/>
    <w:rsid w:val="45121F3C"/>
    <w:rsid w:val="451231DA"/>
    <w:rsid w:val="451232E0"/>
    <w:rsid w:val="45127CB9"/>
    <w:rsid w:val="45130D62"/>
    <w:rsid w:val="45154265"/>
    <w:rsid w:val="45170A12"/>
    <w:rsid w:val="4517259F"/>
    <w:rsid w:val="451918ED"/>
    <w:rsid w:val="451B2A3C"/>
    <w:rsid w:val="452151CC"/>
    <w:rsid w:val="45216F7A"/>
    <w:rsid w:val="45230F44"/>
    <w:rsid w:val="45240818"/>
    <w:rsid w:val="45244CBC"/>
    <w:rsid w:val="45251F29"/>
    <w:rsid w:val="45260A34"/>
    <w:rsid w:val="452627E2"/>
    <w:rsid w:val="45275022"/>
    <w:rsid w:val="45280308"/>
    <w:rsid w:val="452A22D2"/>
    <w:rsid w:val="452C5D03"/>
    <w:rsid w:val="452D1F50"/>
    <w:rsid w:val="452E5F4C"/>
    <w:rsid w:val="452E775D"/>
    <w:rsid w:val="452F5B3A"/>
    <w:rsid w:val="452F5D1D"/>
    <w:rsid w:val="452F700E"/>
    <w:rsid w:val="4530540F"/>
    <w:rsid w:val="4537679D"/>
    <w:rsid w:val="453838C6"/>
    <w:rsid w:val="45390767"/>
    <w:rsid w:val="453B3D19"/>
    <w:rsid w:val="453B44DF"/>
    <w:rsid w:val="453C3DB3"/>
    <w:rsid w:val="453E18DA"/>
    <w:rsid w:val="4543109C"/>
    <w:rsid w:val="454315E6"/>
    <w:rsid w:val="45435142"/>
    <w:rsid w:val="45442C68"/>
    <w:rsid w:val="4545710C"/>
    <w:rsid w:val="454B3FF6"/>
    <w:rsid w:val="455530C7"/>
    <w:rsid w:val="4555317F"/>
    <w:rsid w:val="45560921"/>
    <w:rsid w:val="45561319"/>
    <w:rsid w:val="45576E3F"/>
    <w:rsid w:val="45592BB7"/>
    <w:rsid w:val="455A06DD"/>
    <w:rsid w:val="455C6204"/>
    <w:rsid w:val="455C7132"/>
    <w:rsid w:val="455E0BD0"/>
    <w:rsid w:val="45603F46"/>
    <w:rsid w:val="456074FF"/>
    <w:rsid w:val="45612018"/>
    <w:rsid w:val="456357E4"/>
    <w:rsid w:val="45637592"/>
    <w:rsid w:val="456377EE"/>
    <w:rsid w:val="4565155C"/>
    <w:rsid w:val="45651A65"/>
    <w:rsid w:val="4565330A"/>
    <w:rsid w:val="4568104C"/>
    <w:rsid w:val="456D6663"/>
    <w:rsid w:val="456E55CE"/>
    <w:rsid w:val="456F23DB"/>
    <w:rsid w:val="456F5F37"/>
    <w:rsid w:val="4571704B"/>
    <w:rsid w:val="4577303D"/>
    <w:rsid w:val="45795008"/>
    <w:rsid w:val="457B2B2E"/>
    <w:rsid w:val="457C2402"/>
    <w:rsid w:val="457C68A6"/>
    <w:rsid w:val="457E617A"/>
    <w:rsid w:val="457E6B23"/>
    <w:rsid w:val="457F2241"/>
    <w:rsid w:val="4580177B"/>
    <w:rsid w:val="458614D2"/>
    <w:rsid w:val="45863281"/>
    <w:rsid w:val="458657E5"/>
    <w:rsid w:val="4587287A"/>
    <w:rsid w:val="4588349D"/>
    <w:rsid w:val="458946E9"/>
    <w:rsid w:val="458A2D71"/>
    <w:rsid w:val="458B4C02"/>
    <w:rsid w:val="458C4D3B"/>
    <w:rsid w:val="458D25B3"/>
    <w:rsid w:val="458E66C0"/>
    <w:rsid w:val="458F65D9"/>
    <w:rsid w:val="45912351"/>
    <w:rsid w:val="459319F3"/>
    <w:rsid w:val="459534C4"/>
    <w:rsid w:val="45961716"/>
    <w:rsid w:val="45992FB4"/>
    <w:rsid w:val="459933EC"/>
    <w:rsid w:val="459D1975"/>
    <w:rsid w:val="459E05CA"/>
    <w:rsid w:val="45A00D58"/>
    <w:rsid w:val="45A04A0E"/>
    <w:rsid w:val="45A100BA"/>
    <w:rsid w:val="45A17E00"/>
    <w:rsid w:val="45A4487B"/>
    <w:rsid w:val="45A47C0E"/>
    <w:rsid w:val="45A831F7"/>
    <w:rsid w:val="45A8633B"/>
    <w:rsid w:val="45A8769B"/>
    <w:rsid w:val="45AA6F6F"/>
    <w:rsid w:val="45AA7F7F"/>
    <w:rsid w:val="45AC718B"/>
    <w:rsid w:val="45AF27D7"/>
    <w:rsid w:val="45B24076"/>
    <w:rsid w:val="45B778DE"/>
    <w:rsid w:val="45BB117C"/>
    <w:rsid w:val="45BE0C6C"/>
    <w:rsid w:val="45C00171"/>
    <w:rsid w:val="45C049E4"/>
    <w:rsid w:val="45C2075D"/>
    <w:rsid w:val="45C216EA"/>
    <w:rsid w:val="45C344D5"/>
    <w:rsid w:val="45C53801"/>
    <w:rsid w:val="45C673D4"/>
    <w:rsid w:val="45C75D73"/>
    <w:rsid w:val="45C80B41"/>
    <w:rsid w:val="45C94E39"/>
    <w:rsid w:val="45C94FEF"/>
    <w:rsid w:val="45C95510"/>
    <w:rsid w:val="45CA5863"/>
    <w:rsid w:val="45CA7611"/>
    <w:rsid w:val="45CC15DB"/>
    <w:rsid w:val="45CD7101"/>
    <w:rsid w:val="45CE5353"/>
    <w:rsid w:val="45D33185"/>
    <w:rsid w:val="45D64208"/>
    <w:rsid w:val="45D95AA6"/>
    <w:rsid w:val="45DB35CC"/>
    <w:rsid w:val="45DD3249"/>
    <w:rsid w:val="45DD5596"/>
    <w:rsid w:val="45DE30BD"/>
    <w:rsid w:val="45DE3CAE"/>
    <w:rsid w:val="45E22BAD"/>
    <w:rsid w:val="45E27F7A"/>
    <w:rsid w:val="45E32481"/>
    <w:rsid w:val="45E5444B"/>
    <w:rsid w:val="45E71F71"/>
    <w:rsid w:val="45EC3A2B"/>
    <w:rsid w:val="45ED14AB"/>
    <w:rsid w:val="45ED64C7"/>
    <w:rsid w:val="45F34DBA"/>
    <w:rsid w:val="45F36B68"/>
    <w:rsid w:val="45F428E0"/>
    <w:rsid w:val="45F60406"/>
    <w:rsid w:val="45F75F2C"/>
    <w:rsid w:val="45F94EA0"/>
    <w:rsid w:val="45FD1795"/>
    <w:rsid w:val="45FE1FE4"/>
    <w:rsid w:val="45FE550D"/>
    <w:rsid w:val="45FF141E"/>
    <w:rsid w:val="46001285"/>
    <w:rsid w:val="46003033"/>
    <w:rsid w:val="46040D75"/>
    <w:rsid w:val="46050649"/>
    <w:rsid w:val="46083505"/>
    <w:rsid w:val="46130FB8"/>
    <w:rsid w:val="46146ADE"/>
    <w:rsid w:val="46162856"/>
    <w:rsid w:val="4618037D"/>
    <w:rsid w:val="46184D8C"/>
    <w:rsid w:val="46190610"/>
    <w:rsid w:val="461A0599"/>
    <w:rsid w:val="461C2E0A"/>
    <w:rsid w:val="461D1E37"/>
    <w:rsid w:val="461D3BE5"/>
    <w:rsid w:val="461E170B"/>
    <w:rsid w:val="461E495F"/>
    <w:rsid w:val="46207231"/>
    <w:rsid w:val="462257C9"/>
    <w:rsid w:val="46244F73"/>
    <w:rsid w:val="46252A99"/>
    <w:rsid w:val="462C7B1B"/>
    <w:rsid w:val="462E5DF2"/>
    <w:rsid w:val="462E638F"/>
    <w:rsid w:val="462F0E43"/>
    <w:rsid w:val="463158E2"/>
    <w:rsid w:val="46325030"/>
    <w:rsid w:val="46326F64"/>
    <w:rsid w:val="46333408"/>
    <w:rsid w:val="46380A1F"/>
    <w:rsid w:val="463B406B"/>
    <w:rsid w:val="463D4287"/>
    <w:rsid w:val="463D63BF"/>
    <w:rsid w:val="463E3B5B"/>
    <w:rsid w:val="463F7FFF"/>
    <w:rsid w:val="46401681"/>
    <w:rsid w:val="464253F9"/>
    <w:rsid w:val="46445615"/>
    <w:rsid w:val="46446ED5"/>
    <w:rsid w:val="46456C98"/>
    <w:rsid w:val="46470C62"/>
    <w:rsid w:val="46477E5A"/>
    <w:rsid w:val="46492C2C"/>
    <w:rsid w:val="464949DA"/>
    <w:rsid w:val="464A0752"/>
    <w:rsid w:val="464C0026"/>
    <w:rsid w:val="465313B5"/>
    <w:rsid w:val="46535859"/>
    <w:rsid w:val="46535AAA"/>
    <w:rsid w:val="465670F7"/>
    <w:rsid w:val="46577FD6"/>
    <w:rsid w:val="46592743"/>
    <w:rsid w:val="465B470D"/>
    <w:rsid w:val="465F0D84"/>
    <w:rsid w:val="46607F75"/>
    <w:rsid w:val="46625A9C"/>
    <w:rsid w:val="466415D1"/>
    <w:rsid w:val="46641814"/>
    <w:rsid w:val="4665558C"/>
    <w:rsid w:val="466769EA"/>
    <w:rsid w:val="46680829"/>
    <w:rsid w:val="46696E2A"/>
    <w:rsid w:val="466C009A"/>
    <w:rsid w:val="466C2476"/>
    <w:rsid w:val="466E7D19"/>
    <w:rsid w:val="466F1F67"/>
    <w:rsid w:val="466F5DB0"/>
    <w:rsid w:val="467001B9"/>
    <w:rsid w:val="4670640B"/>
    <w:rsid w:val="46706AA0"/>
    <w:rsid w:val="4672723C"/>
    <w:rsid w:val="46733953"/>
    <w:rsid w:val="46737CA9"/>
    <w:rsid w:val="467557CF"/>
    <w:rsid w:val="46773852"/>
    <w:rsid w:val="46784A78"/>
    <w:rsid w:val="46786085"/>
    <w:rsid w:val="4678706D"/>
    <w:rsid w:val="467C4DAF"/>
    <w:rsid w:val="467D0B27"/>
    <w:rsid w:val="467D2475"/>
    <w:rsid w:val="467D632C"/>
    <w:rsid w:val="468034B7"/>
    <w:rsid w:val="4682613E"/>
    <w:rsid w:val="46845A12"/>
    <w:rsid w:val="46853538"/>
    <w:rsid w:val="4686308E"/>
    <w:rsid w:val="46873754"/>
    <w:rsid w:val="4688178D"/>
    <w:rsid w:val="46886C58"/>
    <w:rsid w:val="46893028"/>
    <w:rsid w:val="468B35FF"/>
    <w:rsid w:val="468C2B19"/>
    <w:rsid w:val="468E063F"/>
    <w:rsid w:val="468E6891"/>
    <w:rsid w:val="46902609"/>
    <w:rsid w:val="4698326B"/>
    <w:rsid w:val="469D0882"/>
    <w:rsid w:val="46A00372"/>
    <w:rsid w:val="46A165C4"/>
    <w:rsid w:val="46A32772"/>
    <w:rsid w:val="46A401F3"/>
    <w:rsid w:val="46A460B4"/>
    <w:rsid w:val="46A9191C"/>
    <w:rsid w:val="46AB11C4"/>
    <w:rsid w:val="46AE0CE1"/>
    <w:rsid w:val="46AF05B5"/>
    <w:rsid w:val="46B12B90"/>
    <w:rsid w:val="46B207D1"/>
    <w:rsid w:val="46B34549"/>
    <w:rsid w:val="46B502C1"/>
    <w:rsid w:val="46BC435B"/>
    <w:rsid w:val="46C027C2"/>
    <w:rsid w:val="46C16C66"/>
    <w:rsid w:val="46C202E8"/>
    <w:rsid w:val="46C2478C"/>
    <w:rsid w:val="46C422B2"/>
    <w:rsid w:val="46C5493C"/>
    <w:rsid w:val="46C5642E"/>
    <w:rsid w:val="46C6602A"/>
    <w:rsid w:val="46C774E3"/>
    <w:rsid w:val="46CB2664"/>
    <w:rsid w:val="46CB53EF"/>
    <w:rsid w:val="46CE59EE"/>
    <w:rsid w:val="46D02A05"/>
    <w:rsid w:val="46D119A4"/>
    <w:rsid w:val="46D12A90"/>
    <w:rsid w:val="46D149CF"/>
    <w:rsid w:val="46D1697A"/>
    <w:rsid w:val="46D324F5"/>
    <w:rsid w:val="46D71FE6"/>
    <w:rsid w:val="46D955A7"/>
    <w:rsid w:val="46DA1AD6"/>
    <w:rsid w:val="46DB2D69"/>
    <w:rsid w:val="46DC584E"/>
    <w:rsid w:val="46DD199C"/>
    <w:rsid w:val="46DD3374"/>
    <w:rsid w:val="46DD5122"/>
    <w:rsid w:val="46DF70EC"/>
    <w:rsid w:val="46E14C12"/>
    <w:rsid w:val="46E2098A"/>
    <w:rsid w:val="46E464B1"/>
    <w:rsid w:val="46E510A4"/>
    <w:rsid w:val="46E91D19"/>
    <w:rsid w:val="46E93AC7"/>
    <w:rsid w:val="46E97F6B"/>
    <w:rsid w:val="46EB3D58"/>
    <w:rsid w:val="46EE5581"/>
    <w:rsid w:val="46F030A7"/>
    <w:rsid w:val="46F04E55"/>
    <w:rsid w:val="46F10BCE"/>
    <w:rsid w:val="46F32B98"/>
    <w:rsid w:val="46F37F73"/>
    <w:rsid w:val="46F5246C"/>
    <w:rsid w:val="46F54B62"/>
    <w:rsid w:val="46F6477A"/>
    <w:rsid w:val="46F648FA"/>
    <w:rsid w:val="46F67173"/>
    <w:rsid w:val="46F72688"/>
    <w:rsid w:val="46F76979"/>
    <w:rsid w:val="46F879B8"/>
    <w:rsid w:val="46FA3F26"/>
    <w:rsid w:val="46FC1A4C"/>
    <w:rsid w:val="46FC37FA"/>
    <w:rsid w:val="46FE20A2"/>
    <w:rsid w:val="46FE3A16"/>
    <w:rsid w:val="47013507"/>
    <w:rsid w:val="470152B5"/>
    <w:rsid w:val="47017063"/>
    <w:rsid w:val="47060B1D"/>
    <w:rsid w:val="47084895"/>
    <w:rsid w:val="470A65B8"/>
    <w:rsid w:val="470B1C8F"/>
    <w:rsid w:val="470E79D1"/>
    <w:rsid w:val="47112B5F"/>
    <w:rsid w:val="47117503"/>
    <w:rsid w:val="47133957"/>
    <w:rsid w:val="47134FE8"/>
    <w:rsid w:val="47136D96"/>
    <w:rsid w:val="47150D60"/>
    <w:rsid w:val="47196D37"/>
    <w:rsid w:val="471A138F"/>
    <w:rsid w:val="471D2DED"/>
    <w:rsid w:val="471F1BDF"/>
    <w:rsid w:val="471F2E35"/>
    <w:rsid w:val="471F573B"/>
    <w:rsid w:val="47255B16"/>
    <w:rsid w:val="47266AC9"/>
    <w:rsid w:val="472745EF"/>
    <w:rsid w:val="47290367"/>
    <w:rsid w:val="4729480B"/>
    <w:rsid w:val="472965B9"/>
    <w:rsid w:val="472B40E0"/>
    <w:rsid w:val="472C030F"/>
    <w:rsid w:val="472C4F7A"/>
    <w:rsid w:val="472E597E"/>
    <w:rsid w:val="47321912"/>
    <w:rsid w:val="473236C0"/>
    <w:rsid w:val="47332F94"/>
    <w:rsid w:val="4734568A"/>
    <w:rsid w:val="47354F5E"/>
    <w:rsid w:val="47356D0C"/>
    <w:rsid w:val="47395DE1"/>
    <w:rsid w:val="473C29B2"/>
    <w:rsid w:val="473C62ED"/>
    <w:rsid w:val="473E200C"/>
    <w:rsid w:val="47411B55"/>
    <w:rsid w:val="47486A40"/>
    <w:rsid w:val="47490A0A"/>
    <w:rsid w:val="47490C0E"/>
    <w:rsid w:val="474B4782"/>
    <w:rsid w:val="474E6020"/>
    <w:rsid w:val="474F09D8"/>
    <w:rsid w:val="47513B8F"/>
    <w:rsid w:val="47544186"/>
    <w:rsid w:val="47554794"/>
    <w:rsid w:val="47580F9C"/>
    <w:rsid w:val="475F3D89"/>
    <w:rsid w:val="4760647F"/>
    <w:rsid w:val="47617B01"/>
    <w:rsid w:val="47637D1D"/>
    <w:rsid w:val="47655843"/>
    <w:rsid w:val="476615BC"/>
    <w:rsid w:val="476A10AC"/>
    <w:rsid w:val="476A2E5A"/>
    <w:rsid w:val="476C240D"/>
    <w:rsid w:val="476D389D"/>
    <w:rsid w:val="476D46F8"/>
    <w:rsid w:val="476E221E"/>
    <w:rsid w:val="477041E8"/>
    <w:rsid w:val="47737835"/>
    <w:rsid w:val="47741EAB"/>
    <w:rsid w:val="47752F42"/>
    <w:rsid w:val="47775577"/>
    <w:rsid w:val="47777325"/>
    <w:rsid w:val="477F442B"/>
    <w:rsid w:val="4780267D"/>
    <w:rsid w:val="47841A42"/>
    <w:rsid w:val="47863A0C"/>
    <w:rsid w:val="47867568"/>
    <w:rsid w:val="47881532"/>
    <w:rsid w:val="47887784"/>
    <w:rsid w:val="478878EC"/>
    <w:rsid w:val="47897F48"/>
    <w:rsid w:val="478B183F"/>
    <w:rsid w:val="478C7274"/>
    <w:rsid w:val="478D08F6"/>
    <w:rsid w:val="478D6B48"/>
    <w:rsid w:val="478F22FD"/>
    <w:rsid w:val="478F466E"/>
    <w:rsid w:val="479003E6"/>
    <w:rsid w:val="47947ED7"/>
    <w:rsid w:val="4796765D"/>
    <w:rsid w:val="47971775"/>
    <w:rsid w:val="479C322F"/>
    <w:rsid w:val="479E48B1"/>
    <w:rsid w:val="479F062A"/>
    <w:rsid w:val="47A01390"/>
    <w:rsid w:val="47A07E0C"/>
    <w:rsid w:val="47A120FB"/>
    <w:rsid w:val="47A32315"/>
    <w:rsid w:val="47A3636C"/>
    <w:rsid w:val="47A85730"/>
    <w:rsid w:val="47AA76FA"/>
    <w:rsid w:val="47AC0164"/>
    <w:rsid w:val="47AD0F98"/>
    <w:rsid w:val="47B831CD"/>
    <w:rsid w:val="47BC567F"/>
    <w:rsid w:val="47BD1CB4"/>
    <w:rsid w:val="47C02A7A"/>
    <w:rsid w:val="47C031D6"/>
    <w:rsid w:val="47C3256A"/>
    <w:rsid w:val="47C33FAA"/>
    <w:rsid w:val="47C50090"/>
    <w:rsid w:val="47C63E08"/>
    <w:rsid w:val="47C702AC"/>
    <w:rsid w:val="47C87B80"/>
    <w:rsid w:val="47CA38F8"/>
    <w:rsid w:val="47CB141F"/>
    <w:rsid w:val="47CD5197"/>
    <w:rsid w:val="47CF0F0F"/>
    <w:rsid w:val="47D05003"/>
    <w:rsid w:val="47D12ED9"/>
    <w:rsid w:val="47D169E9"/>
    <w:rsid w:val="47D66741"/>
    <w:rsid w:val="47D91D8D"/>
    <w:rsid w:val="47D97352"/>
    <w:rsid w:val="47DA61CE"/>
    <w:rsid w:val="47DD7AD0"/>
    <w:rsid w:val="47E04ECA"/>
    <w:rsid w:val="47E164DE"/>
    <w:rsid w:val="47E30C96"/>
    <w:rsid w:val="47E80223"/>
    <w:rsid w:val="47EA3F9B"/>
    <w:rsid w:val="47EA630C"/>
    <w:rsid w:val="47EE0AE2"/>
    <w:rsid w:val="47F00E85"/>
    <w:rsid w:val="47F06DD4"/>
    <w:rsid w:val="47F22E4F"/>
    <w:rsid w:val="47F22F5B"/>
    <w:rsid w:val="47F24BFD"/>
    <w:rsid w:val="47F44E19"/>
    <w:rsid w:val="47F60B91"/>
    <w:rsid w:val="47F941DE"/>
    <w:rsid w:val="47FA26BE"/>
    <w:rsid w:val="47FB1D04"/>
    <w:rsid w:val="47FD140A"/>
    <w:rsid w:val="47FE1767"/>
    <w:rsid w:val="47FE7A46"/>
    <w:rsid w:val="48002EF7"/>
    <w:rsid w:val="480171CC"/>
    <w:rsid w:val="48027536"/>
    <w:rsid w:val="48031D3F"/>
    <w:rsid w:val="48035BB1"/>
    <w:rsid w:val="48050DD4"/>
    <w:rsid w:val="480B5255"/>
    <w:rsid w:val="480D1A37"/>
    <w:rsid w:val="480D7C89"/>
    <w:rsid w:val="480F3A01"/>
    <w:rsid w:val="481015D3"/>
    <w:rsid w:val="48103725"/>
    <w:rsid w:val="48105BC1"/>
    <w:rsid w:val="481132D5"/>
    <w:rsid w:val="4815568A"/>
    <w:rsid w:val="481608EC"/>
    <w:rsid w:val="48164D90"/>
    <w:rsid w:val="4819662E"/>
    <w:rsid w:val="481B4154"/>
    <w:rsid w:val="481C5B2A"/>
    <w:rsid w:val="481D611E"/>
    <w:rsid w:val="48200DA0"/>
    <w:rsid w:val="482079BC"/>
    <w:rsid w:val="48223458"/>
    <w:rsid w:val="48230E62"/>
    <w:rsid w:val="482421C4"/>
    <w:rsid w:val="48256D81"/>
    <w:rsid w:val="4828061F"/>
    <w:rsid w:val="48296067"/>
    <w:rsid w:val="482A25E9"/>
    <w:rsid w:val="482C45B3"/>
    <w:rsid w:val="482E032B"/>
    <w:rsid w:val="48311BC9"/>
    <w:rsid w:val="48345216"/>
    <w:rsid w:val="4838292E"/>
    <w:rsid w:val="48390A7E"/>
    <w:rsid w:val="483A4C12"/>
    <w:rsid w:val="483B2A48"/>
    <w:rsid w:val="483B3270"/>
    <w:rsid w:val="483B65A4"/>
    <w:rsid w:val="483E675A"/>
    <w:rsid w:val="483F42E6"/>
    <w:rsid w:val="484216E1"/>
    <w:rsid w:val="484336AB"/>
    <w:rsid w:val="484511D1"/>
    <w:rsid w:val="4846543F"/>
    <w:rsid w:val="48480CC1"/>
    <w:rsid w:val="484A67E7"/>
    <w:rsid w:val="484F02A2"/>
    <w:rsid w:val="484F3DFE"/>
    <w:rsid w:val="48510BF8"/>
    <w:rsid w:val="4851130F"/>
    <w:rsid w:val="4851401A"/>
    <w:rsid w:val="48547666"/>
    <w:rsid w:val="4856518C"/>
    <w:rsid w:val="48574FE6"/>
    <w:rsid w:val="485965C0"/>
    <w:rsid w:val="485A0F31"/>
    <w:rsid w:val="485D2C93"/>
    <w:rsid w:val="485D67CD"/>
    <w:rsid w:val="485E04E5"/>
    <w:rsid w:val="485E2293"/>
    <w:rsid w:val="485F6737"/>
    <w:rsid w:val="486024AF"/>
    <w:rsid w:val="48623B31"/>
    <w:rsid w:val="48634AF3"/>
    <w:rsid w:val="48674C76"/>
    <w:rsid w:val="486755EB"/>
    <w:rsid w:val="486814F4"/>
    <w:rsid w:val="48691363"/>
    <w:rsid w:val="486951E3"/>
    <w:rsid w:val="486A50DB"/>
    <w:rsid w:val="486D24D6"/>
    <w:rsid w:val="486E697A"/>
    <w:rsid w:val="4870272E"/>
    <w:rsid w:val="4871646A"/>
    <w:rsid w:val="487321E2"/>
    <w:rsid w:val="48733F90"/>
    <w:rsid w:val="48763A80"/>
    <w:rsid w:val="487675DC"/>
    <w:rsid w:val="48783354"/>
    <w:rsid w:val="48802209"/>
    <w:rsid w:val="488066AD"/>
    <w:rsid w:val="48831CF9"/>
    <w:rsid w:val="48835786"/>
    <w:rsid w:val="48847F4B"/>
    <w:rsid w:val="4886168F"/>
    <w:rsid w:val="48877A3B"/>
    <w:rsid w:val="4889448E"/>
    <w:rsid w:val="488C0094"/>
    <w:rsid w:val="488F0B6A"/>
    <w:rsid w:val="48932803"/>
    <w:rsid w:val="48934632"/>
    <w:rsid w:val="48945CB4"/>
    <w:rsid w:val="48981C49"/>
    <w:rsid w:val="489B5295"/>
    <w:rsid w:val="489D2DBB"/>
    <w:rsid w:val="48A16297"/>
    <w:rsid w:val="48A24875"/>
    <w:rsid w:val="48A3140C"/>
    <w:rsid w:val="48A44C18"/>
    <w:rsid w:val="48A5137B"/>
    <w:rsid w:val="48A51C70"/>
    <w:rsid w:val="48A6207B"/>
    <w:rsid w:val="48A64365"/>
    <w:rsid w:val="48A759E8"/>
    <w:rsid w:val="48A91760"/>
    <w:rsid w:val="48AA2445"/>
    <w:rsid w:val="48AE321A"/>
    <w:rsid w:val="48AE4FC8"/>
    <w:rsid w:val="48AF2AEE"/>
    <w:rsid w:val="48AF34CF"/>
    <w:rsid w:val="48B06F92"/>
    <w:rsid w:val="48B12D0A"/>
    <w:rsid w:val="48B30830"/>
    <w:rsid w:val="48B40105"/>
    <w:rsid w:val="48B56357"/>
    <w:rsid w:val="48B620CF"/>
    <w:rsid w:val="48B84099"/>
    <w:rsid w:val="48BA396D"/>
    <w:rsid w:val="48BD520B"/>
    <w:rsid w:val="48BF71D5"/>
    <w:rsid w:val="48BF76AF"/>
    <w:rsid w:val="48C04CFB"/>
    <w:rsid w:val="48C20A74"/>
    <w:rsid w:val="48C22822"/>
    <w:rsid w:val="48C43A71"/>
    <w:rsid w:val="48C447EC"/>
    <w:rsid w:val="48C52AC1"/>
    <w:rsid w:val="48C61172"/>
    <w:rsid w:val="48C72033"/>
    <w:rsid w:val="48C91E02"/>
    <w:rsid w:val="48C9765E"/>
    <w:rsid w:val="48CA1757"/>
    <w:rsid w:val="48CA1E2D"/>
    <w:rsid w:val="48CB3DCC"/>
    <w:rsid w:val="48CC7F68"/>
    <w:rsid w:val="48CE11C6"/>
    <w:rsid w:val="48CF053E"/>
    <w:rsid w:val="48D16F09"/>
    <w:rsid w:val="48D32C81"/>
    <w:rsid w:val="48D52555"/>
    <w:rsid w:val="48D6125E"/>
    <w:rsid w:val="48D63A46"/>
    <w:rsid w:val="48DB38E3"/>
    <w:rsid w:val="48DB6098"/>
    <w:rsid w:val="48E07A56"/>
    <w:rsid w:val="48E1714C"/>
    <w:rsid w:val="48E21116"/>
    <w:rsid w:val="48E22EC4"/>
    <w:rsid w:val="48E40723"/>
    <w:rsid w:val="48E44E8E"/>
    <w:rsid w:val="48E5096A"/>
    <w:rsid w:val="48E629B4"/>
    <w:rsid w:val="48E676FD"/>
    <w:rsid w:val="48E7672C"/>
    <w:rsid w:val="48E857AF"/>
    <w:rsid w:val="48EB1D78"/>
    <w:rsid w:val="48EB621C"/>
    <w:rsid w:val="48EB7FCA"/>
    <w:rsid w:val="48F03833"/>
    <w:rsid w:val="48F232BB"/>
    <w:rsid w:val="48F43B85"/>
    <w:rsid w:val="48F508B7"/>
    <w:rsid w:val="48F6071D"/>
    <w:rsid w:val="48F7696F"/>
    <w:rsid w:val="48F826E7"/>
    <w:rsid w:val="48FA66F6"/>
    <w:rsid w:val="48FC164D"/>
    <w:rsid w:val="48FC5DC9"/>
    <w:rsid w:val="48FD584B"/>
    <w:rsid w:val="48FF75D2"/>
    <w:rsid w:val="4901159C"/>
    <w:rsid w:val="490177EE"/>
    <w:rsid w:val="49031920"/>
    <w:rsid w:val="49060960"/>
    <w:rsid w:val="49064F7E"/>
    <w:rsid w:val="49066BB2"/>
    <w:rsid w:val="49080B7C"/>
    <w:rsid w:val="490B241B"/>
    <w:rsid w:val="490B41C9"/>
    <w:rsid w:val="490B5F77"/>
    <w:rsid w:val="490C1A30"/>
    <w:rsid w:val="490C1CEF"/>
    <w:rsid w:val="490E670B"/>
    <w:rsid w:val="49100DA9"/>
    <w:rsid w:val="49107A31"/>
    <w:rsid w:val="4916491B"/>
    <w:rsid w:val="49172B6D"/>
    <w:rsid w:val="49184B37"/>
    <w:rsid w:val="491D2298"/>
    <w:rsid w:val="49203DD7"/>
    <w:rsid w:val="49210BBC"/>
    <w:rsid w:val="49211C3E"/>
    <w:rsid w:val="49221512"/>
    <w:rsid w:val="49244F0A"/>
    <w:rsid w:val="49247828"/>
    <w:rsid w:val="49262DB0"/>
    <w:rsid w:val="49283796"/>
    <w:rsid w:val="492B6619"/>
    <w:rsid w:val="492E1293"/>
    <w:rsid w:val="492E7EB7"/>
    <w:rsid w:val="49301E81"/>
    <w:rsid w:val="49310F9E"/>
    <w:rsid w:val="493201F1"/>
    <w:rsid w:val="493556E9"/>
    <w:rsid w:val="49366D6C"/>
    <w:rsid w:val="49382AE4"/>
    <w:rsid w:val="49396F88"/>
    <w:rsid w:val="493A4AAE"/>
    <w:rsid w:val="493C0826"/>
    <w:rsid w:val="493F3E72"/>
    <w:rsid w:val="49415E3C"/>
    <w:rsid w:val="49423962"/>
    <w:rsid w:val="49441489"/>
    <w:rsid w:val="49465201"/>
    <w:rsid w:val="49470F79"/>
    <w:rsid w:val="4948541D"/>
    <w:rsid w:val="49492F43"/>
    <w:rsid w:val="49494CF1"/>
    <w:rsid w:val="49496A9F"/>
    <w:rsid w:val="494B0A69"/>
    <w:rsid w:val="494C7225"/>
    <w:rsid w:val="494D2A33"/>
    <w:rsid w:val="494E7BD9"/>
    <w:rsid w:val="49520049"/>
    <w:rsid w:val="49535B70"/>
    <w:rsid w:val="49557B3A"/>
    <w:rsid w:val="495A0CAC"/>
    <w:rsid w:val="495A2D4B"/>
    <w:rsid w:val="495B6F29"/>
    <w:rsid w:val="495C2C76"/>
    <w:rsid w:val="495C409A"/>
    <w:rsid w:val="495D254A"/>
    <w:rsid w:val="495D6F47"/>
    <w:rsid w:val="495E76CE"/>
    <w:rsid w:val="4961028C"/>
    <w:rsid w:val="49634005"/>
    <w:rsid w:val="49667651"/>
    <w:rsid w:val="49675177"/>
    <w:rsid w:val="49681C10"/>
    <w:rsid w:val="49697BAA"/>
    <w:rsid w:val="496B1DFA"/>
    <w:rsid w:val="496C3F1A"/>
    <w:rsid w:val="496D09DF"/>
    <w:rsid w:val="496D45F2"/>
    <w:rsid w:val="49724248"/>
    <w:rsid w:val="49730464"/>
    <w:rsid w:val="4977185E"/>
    <w:rsid w:val="4977360C"/>
    <w:rsid w:val="497A134E"/>
    <w:rsid w:val="497E1351"/>
    <w:rsid w:val="497F1DAA"/>
    <w:rsid w:val="497F6965"/>
    <w:rsid w:val="49816239"/>
    <w:rsid w:val="49883A6B"/>
    <w:rsid w:val="4989196F"/>
    <w:rsid w:val="498B4FAA"/>
    <w:rsid w:val="498E6BA8"/>
    <w:rsid w:val="49900B72"/>
    <w:rsid w:val="4990255D"/>
    <w:rsid w:val="499046CE"/>
    <w:rsid w:val="499248EA"/>
    <w:rsid w:val="49940EDE"/>
    <w:rsid w:val="499441BE"/>
    <w:rsid w:val="49957F36"/>
    <w:rsid w:val="49961E1D"/>
    <w:rsid w:val="49997A26"/>
    <w:rsid w:val="499A360F"/>
    <w:rsid w:val="499A554C"/>
    <w:rsid w:val="499C7ED1"/>
    <w:rsid w:val="49A07007"/>
    <w:rsid w:val="49A14B2D"/>
    <w:rsid w:val="49A168DB"/>
    <w:rsid w:val="49A34401"/>
    <w:rsid w:val="49A346C1"/>
    <w:rsid w:val="49A40179"/>
    <w:rsid w:val="49A5461D"/>
    <w:rsid w:val="49A63EF1"/>
    <w:rsid w:val="49A92E41"/>
    <w:rsid w:val="49AA1C33"/>
    <w:rsid w:val="49AA39E1"/>
    <w:rsid w:val="49AA4F7F"/>
    <w:rsid w:val="49B06B1E"/>
    <w:rsid w:val="49B22896"/>
    <w:rsid w:val="49B303BC"/>
    <w:rsid w:val="49B4602B"/>
    <w:rsid w:val="49B4660E"/>
    <w:rsid w:val="49B605D8"/>
    <w:rsid w:val="49B91E77"/>
    <w:rsid w:val="49B93C25"/>
    <w:rsid w:val="49BC1967"/>
    <w:rsid w:val="49BE748D"/>
    <w:rsid w:val="49C12AD9"/>
    <w:rsid w:val="49C32CF5"/>
    <w:rsid w:val="49C37DC6"/>
    <w:rsid w:val="49C41574"/>
    <w:rsid w:val="49C449CF"/>
    <w:rsid w:val="49C5081B"/>
    <w:rsid w:val="49C56A6D"/>
    <w:rsid w:val="49C600F0"/>
    <w:rsid w:val="49C66341"/>
    <w:rsid w:val="49C7262C"/>
    <w:rsid w:val="49C8201A"/>
    <w:rsid w:val="49C83E68"/>
    <w:rsid w:val="49CA5E32"/>
    <w:rsid w:val="49CB1BAA"/>
    <w:rsid w:val="49CD5922"/>
    <w:rsid w:val="49CD76D0"/>
    <w:rsid w:val="49CE24FF"/>
    <w:rsid w:val="49CF51F6"/>
    <w:rsid w:val="49D10E80"/>
    <w:rsid w:val="49D2118A"/>
    <w:rsid w:val="49D22F38"/>
    <w:rsid w:val="49D33E49"/>
    <w:rsid w:val="49D3791F"/>
    <w:rsid w:val="49D37AE3"/>
    <w:rsid w:val="49D5251D"/>
    <w:rsid w:val="49D7054F"/>
    <w:rsid w:val="49D84A41"/>
    <w:rsid w:val="49D85A26"/>
    <w:rsid w:val="49D87408"/>
    <w:rsid w:val="49D96075"/>
    <w:rsid w:val="49DB003F"/>
    <w:rsid w:val="49DC7715"/>
    <w:rsid w:val="49DE368B"/>
    <w:rsid w:val="49DF11B1"/>
    <w:rsid w:val="49DF727B"/>
    <w:rsid w:val="49E12059"/>
    <w:rsid w:val="49E50EBD"/>
    <w:rsid w:val="49E52C6C"/>
    <w:rsid w:val="49E8275C"/>
    <w:rsid w:val="49EA0597"/>
    <w:rsid w:val="49EA5A52"/>
    <w:rsid w:val="49EA64D4"/>
    <w:rsid w:val="49EA7988"/>
    <w:rsid w:val="49EB7B56"/>
    <w:rsid w:val="49EE0B93"/>
    <w:rsid w:val="49EF7646"/>
    <w:rsid w:val="49F11610"/>
    <w:rsid w:val="49F20EE5"/>
    <w:rsid w:val="49F27137"/>
    <w:rsid w:val="49F41101"/>
    <w:rsid w:val="49F44C5D"/>
    <w:rsid w:val="49F64E79"/>
    <w:rsid w:val="49F7474D"/>
    <w:rsid w:val="49F97F58"/>
    <w:rsid w:val="49FA4868"/>
    <w:rsid w:val="49FE1F7F"/>
    <w:rsid w:val="4A023139"/>
    <w:rsid w:val="4A02381D"/>
    <w:rsid w:val="4A037596"/>
    <w:rsid w:val="4A041A4A"/>
    <w:rsid w:val="4A041D82"/>
    <w:rsid w:val="4A062BE2"/>
    <w:rsid w:val="4A064990"/>
    <w:rsid w:val="4A067562"/>
    <w:rsid w:val="4A08695A"/>
    <w:rsid w:val="4A094FB0"/>
    <w:rsid w:val="4A0A5A60"/>
    <w:rsid w:val="4A0B01F8"/>
    <w:rsid w:val="4A0B41AC"/>
    <w:rsid w:val="4A0D21C2"/>
    <w:rsid w:val="4A0D5D1E"/>
    <w:rsid w:val="4A0E2C84"/>
    <w:rsid w:val="4A0F5F3A"/>
    <w:rsid w:val="4A111CB3"/>
    <w:rsid w:val="4A114D9C"/>
    <w:rsid w:val="4A156083"/>
    <w:rsid w:val="4A156774"/>
    <w:rsid w:val="4A1672C9"/>
    <w:rsid w:val="4A190B67"/>
    <w:rsid w:val="4A193364"/>
    <w:rsid w:val="4A1946C3"/>
    <w:rsid w:val="4A196469"/>
    <w:rsid w:val="4A1B043B"/>
    <w:rsid w:val="4A1B48DF"/>
    <w:rsid w:val="4A1B4C40"/>
    <w:rsid w:val="4A1B668D"/>
    <w:rsid w:val="4A1C2405"/>
    <w:rsid w:val="4A1E1CDA"/>
    <w:rsid w:val="4A1E3175"/>
    <w:rsid w:val="4A221FC8"/>
    <w:rsid w:val="4A230DD9"/>
    <w:rsid w:val="4A25750C"/>
    <w:rsid w:val="4A262747"/>
    <w:rsid w:val="4A264ABA"/>
    <w:rsid w:val="4A2D3C26"/>
    <w:rsid w:val="4A2F3EE7"/>
    <w:rsid w:val="4A312D2C"/>
    <w:rsid w:val="4A315EB1"/>
    <w:rsid w:val="4A3239D7"/>
    <w:rsid w:val="4A34774F"/>
    <w:rsid w:val="4A3600D0"/>
    <w:rsid w:val="4A365275"/>
    <w:rsid w:val="4A38723F"/>
    <w:rsid w:val="4A392FB7"/>
    <w:rsid w:val="4A3F72C9"/>
    <w:rsid w:val="4A417B50"/>
    <w:rsid w:val="4A4200BE"/>
    <w:rsid w:val="4A431740"/>
    <w:rsid w:val="4A443E36"/>
    <w:rsid w:val="4A4831FA"/>
    <w:rsid w:val="4A485FEA"/>
    <w:rsid w:val="4A490FFE"/>
    <w:rsid w:val="4A4A0D21"/>
    <w:rsid w:val="4A4A2ACF"/>
    <w:rsid w:val="4A4A6F73"/>
    <w:rsid w:val="4A4E6A63"/>
    <w:rsid w:val="4A4F4589"/>
    <w:rsid w:val="4A510301"/>
    <w:rsid w:val="4A5120AF"/>
    <w:rsid w:val="4A541B9F"/>
    <w:rsid w:val="4A54394D"/>
    <w:rsid w:val="4A547DF1"/>
    <w:rsid w:val="4A563B69"/>
    <w:rsid w:val="4A5676C5"/>
    <w:rsid w:val="4A596098"/>
    <w:rsid w:val="4A597367"/>
    <w:rsid w:val="4A5A5897"/>
    <w:rsid w:val="4A5B4CDC"/>
    <w:rsid w:val="4A5D6CA6"/>
    <w:rsid w:val="4A5E2A1E"/>
    <w:rsid w:val="4A5E47CC"/>
    <w:rsid w:val="4A5E657A"/>
    <w:rsid w:val="4A5F1729"/>
    <w:rsid w:val="4A606610"/>
    <w:rsid w:val="4A616134"/>
    <w:rsid w:val="4A653DAC"/>
    <w:rsid w:val="4A6873F9"/>
    <w:rsid w:val="4A69564B"/>
    <w:rsid w:val="4A6A13C3"/>
    <w:rsid w:val="4A6C513B"/>
    <w:rsid w:val="4A6E00FD"/>
    <w:rsid w:val="4A6F0787"/>
    <w:rsid w:val="4A6F2535"/>
    <w:rsid w:val="4A6F3D98"/>
    <w:rsid w:val="4A6F4C2B"/>
    <w:rsid w:val="4A705567"/>
    <w:rsid w:val="4A712751"/>
    <w:rsid w:val="4A761B16"/>
    <w:rsid w:val="4A7933B4"/>
    <w:rsid w:val="4A7B576F"/>
    <w:rsid w:val="4A7B712C"/>
    <w:rsid w:val="4A7E62C5"/>
    <w:rsid w:val="4A7F3D47"/>
    <w:rsid w:val="4A7F4E6E"/>
    <w:rsid w:val="4A802994"/>
    <w:rsid w:val="4A835FE1"/>
    <w:rsid w:val="4A844EF3"/>
    <w:rsid w:val="4A856383"/>
    <w:rsid w:val="4A871F75"/>
    <w:rsid w:val="4A8741CA"/>
    <w:rsid w:val="4A881849"/>
    <w:rsid w:val="4A896855"/>
    <w:rsid w:val="4A8C758B"/>
    <w:rsid w:val="4A8E50B1"/>
    <w:rsid w:val="4A934476"/>
    <w:rsid w:val="4A9401EE"/>
    <w:rsid w:val="4A9601C0"/>
    <w:rsid w:val="4A965D14"/>
    <w:rsid w:val="4A977AF4"/>
    <w:rsid w:val="4A985C6B"/>
    <w:rsid w:val="4A985F30"/>
    <w:rsid w:val="4A987CDE"/>
    <w:rsid w:val="4A9C3B5F"/>
    <w:rsid w:val="4A9D109A"/>
    <w:rsid w:val="4A9D3546"/>
    <w:rsid w:val="4A9E2E1A"/>
    <w:rsid w:val="4A9F106C"/>
    <w:rsid w:val="4A9F5166"/>
    <w:rsid w:val="4AA06B93"/>
    <w:rsid w:val="4AA448D5"/>
    <w:rsid w:val="4AA46683"/>
    <w:rsid w:val="4AA616FF"/>
    <w:rsid w:val="4AA74182"/>
    <w:rsid w:val="4AA77F21"/>
    <w:rsid w:val="4AAC5537"/>
    <w:rsid w:val="4AAD305D"/>
    <w:rsid w:val="4AAD40FF"/>
    <w:rsid w:val="4AAE7501"/>
    <w:rsid w:val="4AAF6DD6"/>
    <w:rsid w:val="4AB10DA0"/>
    <w:rsid w:val="4AB15834"/>
    <w:rsid w:val="4AB2329C"/>
    <w:rsid w:val="4AB36830"/>
    <w:rsid w:val="4AB643D1"/>
    <w:rsid w:val="4AB904B0"/>
    <w:rsid w:val="4ABA40F8"/>
    <w:rsid w:val="4ABB1C1E"/>
    <w:rsid w:val="4ABF170F"/>
    <w:rsid w:val="4AC00FE3"/>
    <w:rsid w:val="4AC07235"/>
    <w:rsid w:val="4AC15AB5"/>
    <w:rsid w:val="4AC408E4"/>
    <w:rsid w:val="4AC40AD3"/>
    <w:rsid w:val="4AC565F9"/>
    <w:rsid w:val="4AC72AA1"/>
    <w:rsid w:val="4AC76815"/>
    <w:rsid w:val="4AC912E9"/>
    <w:rsid w:val="4AC9433B"/>
    <w:rsid w:val="4ACA1E61"/>
    <w:rsid w:val="4ACA3627"/>
    <w:rsid w:val="4ACC7988"/>
    <w:rsid w:val="4AD11442"/>
    <w:rsid w:val="4AD122BB"/>
    <w:rsid w:val="4AD54A8E"/>
    <w:rsid w:val="4AD652B4"/>
    <w:rsid w:val="4AD77C59"/>
    <w:rsid w:val="4ADA448E"/>
    <w:rsid w:val="4ADB0BB2"/>
    <w:rsid w:val="4ADB406F"/>
    <w:rsid w:val="4ADD1B95"/>
    <w:rsid w:val="4ADF17E2"/>
    <w:rsid w:val="4ADF3B5F"/>
    <w:rsid w:val="4ADF43FF"/>
    <w:rsid w:val="4ADF76BB"/>
    <w:rsid w:val="4AE253FD"/>
    <w:rsid w:val="4AE41175"/>
    <w:rsid w:val="4AE42F23"/>
    <w:rsid w:val="4AE65A17"/>
    <w:rsid w:val="4AE65D82"/>
    <w:rsid w:val="4AE7656F"/>
    <w:rsid w:val="4AEA6060"/>
    <w:rsid w:val="4AEC0102"/>
    <w:rsid w:val="4AEC1DD8"/>
    <w:rsid w:val="4AEC627C"/>
    <w:rsid w:val="4AEE3DA2"/>
    <w:rsid w:val="4AEE78FE"/>
    <w:rsid w:val="4AF07B1A"/>
    <w:rsid w:val="4AF173EE"/>
    <w:rsid w:val="4AF313B8"/>
    <w:rsid w:val="4AF31B98"/>
    <w:rsid w:val="4AF32BD9"/>
    <w:rsid w:val="4AF45F04"/>
    <w:rsid w:val="4AF55130"/>
    <w:rsid w:val="4AF561A9"/>
    <w:rsid w:val="4AF75FB8"/>
    <w:rsid w:val="4AF77292"/>
    <w:rsid w:val="4AF84C20"/>
    <w:rsid w:val="4AF97A1B"/>
    <w:rsid w:val="4AFA44F5"/>
    <w:rsid w:val="4AFA62A3"/>
    <w:rsid w:val="4AFB201B"/>
    <w:rsid w:val="4B032B87"/>
    <w:rsid w:val="4B0435C5"/>
    <w:rsid w:val="4B045373"/>
    <w:rsid w:val="4B052E99"/>
    <w:rsid w:val="4B074E64"/>
    <w:rsid w:val="4B0B42A1"/>
    <w:rsid w:val="4B0D48B0"/>
    <w:rsid w:val="4B0E61F2"/>
    <w:rsid w:val="4B103D18"/>
    <w:rsid w:val="4B11724C"/>
    <w:rsid w:val="4B117A90"/>
    <w:rsid w:val="4B125CE2"/>
    <w:rsid w:val="4B15132F"/>
    <w:rsid w:val="4B1530DD"/>
    <w:rsid w:val="4B1650A7"/>
    <w:rsid w:val="4B176459"/>
    <w:rsid w:val="4B1A05AF"/>
    <w:rsid w:val="4B1B446B"/>
    <w:rsid w:val="4B1C090F"/>
    <w:rsid w:val="4B1D4687"/>
    <w:rsid w:val="4B1F21AD"/>
    <w:rsid w:val="4B1F3C01"/>
    <w:rsid w:val="4B215F25"/>
    <w:rsid w:val="4B223A4B"/>
    <w:rsid w:val="4B237456"/>
    <w:rsid w:val="4B244C2A"/>
    <w:rsid w:val="4B246B6D"/>
    <w:rsid w:val="4B2477C4"/>
    <w:rsid w:val="4B250B93"/>
    <w:rsid w:val="4B272E10"/>
    <w:rsid w:val="4B296B88"/>
    <w:rsid w:val="4B2B0B52"/>
    <w:rsid w:val="4B2B4105"/>
    <w:rsid w:val="4B306168"/>
    <w:rsid w:val="4B3519D1"/>
    <w:rsid w:val="4B35377F"/>
    <w:rsid w:val="4B35552D"/>
    <w:rsid w:val="4B3B5C13"/>
    <w:rsid w:val="4B3B61D9"/>
    <w:rsid w:val="4B3D2633"/>
    <w:rsid w:val="4B3E0902"/>
    <w:rsid w:val="4B423A85"/>
    <w:rsid w:val="4B425E9C"/>
    <w:rsid w:val="4B475260"/>
    <w:rsid w:val="4B490FD8"/>
    <w:rsid w:val="4B4B4D50"/>
    <w:rsid w:val="4B4B6AFE"/>
    <w:rsid w:val="4B4C2876"/>
    <w:rsid w:val="4B4F0155"/>
    <w:rsid w:val="4B524331"/>
    <w:rsid w:val="4B525B6F"/>
    <w:rsid w:val="4B531E57"/>
    <w:rsid w:val="4B541BD0"/>
    <w:rsid w:val="4B555C31"/>
    <w:rsid w:val="4B55797D"/>
    <w:rsid w:val="4B560527"/>
    <w:rsid w:val="4B563D93"/>
    <w:rsid w:val="4B577B99"/>
    <w:rsid w:val="4B58121B"/>
    <w:rsid w:val="4B5856BF"/>
    <w:rsid w:val="4B58746D"/>
    <w:rsid w:val="4B591595"/>
    <w:rsid w:val="4B5A1437"/>
    <w:rsid w:val="4B5C0D0B"/>
    <w:rsid w:val="4B5F25AA"/>
    <w:rsid w:val="4B6127C6"/>
    <w:rsid w:val="4B637BDF"/>
    <w:rsid w:val="4B645D36"/>
    <w:rsid w:val="4B654430"/>
    <w:rsid w:val="4B6607C1"/>
    <w:rsid w:val="4B666BB6"/>
    <w:rsid w:val="4B684422"/>
    <w:rsid w:val="4B6A71C8"/>
    <w:rsid w:val="4B700C5B"/>
    <w:rsid w:val="4B7047B7"/>
    <w:rsid w:val="4B713CC9"/>
    <w:rsid w:val="4B7171C1"/>
    <w:rsid w:val="4B736055"/>
    <w:rsid w:val="4B755DE6"/>
    <w:rsid w:val="4B770015"/>
    <w:rsid w:val="4B7778F3"/>
    <w:rsid w:val="4B7818BD"/>
    <w:rsid w:val="4B78366B"/>
    <w:rsid w:val="4B783BAD"/>
    <w:rsid w:val="4B7A3887"/>
    <w:rsid w:val="4B7A70E2"/>
    <w:rsid w:val="4B7C315C"/>
    <w:rsid w:val="4B7C7600"/>
    <w:rsid w:val="4B7D0C82"/>
    <w:rsid w:val="4B7E5126"/>
    <w:rsid w:val="4B8447DA"/>
    <w:rsid w:val="4B8464B4"/>
    <w:rsid w:val="4B865D88"/>
    <w:rsid w:val="4B885FA4"/>
    <w:rsid w:val="4B8D7117"/>
    <w:rsid w:val="4B9009B5"/>
    <w:rsid w:val="4B907252"/>
    <w:rsid w:val="4B92472D"/>
    <w:rsid w:val="4B9506C1"/>
    <w:rsid w:val="4B95421D"/>
    <w:rsid w:val="4B971D44"/>
    <w:rsid w:val="4B997D17"/>
    <w:rsid w:val="4B9A7A86"/>
    <w:rsid w:val="4B9C1A50"/>
    <w:rsid w:val="4B9D30D2"/>
    <w:rsid w:val="4B9F08F5"/>
    <w:rsid w:val="4B9F32EE"/>
    <w:rsid w:val="4B9F6E4A"/>
    <w:rsid w:val="4BA206E8"/>
    <w:rsid w:val="4BA426B2"/>
    <w:rsid w:val="4BA91A77"/>
    <w:rsid w:val="4BA97CC9"/>
    <w:rsid w:val="4BAB3A41"/>
    <w:rsid w:val="4BAC461B"/>
    <w:rsid w:val="4BAE52DF"/>
    <w:rsid w:val="4BAF1783"/>
    <w:rsid w:val="4BB02E05"/>
    <w:rsid w:val="4BB20330"/>
    <w:rsid w:val="4BB4443B"/>
    <w:rsid w:val="4BB5041C"/>
    <w:rsid w:val="4BB5639C"/>
    <w:rsid w:val="4BB74194"/>
    <w:rsid w:val="4BB903E1"/>
    <w:rsid w:val="4BBA1ED6"/>
    <w:rsid w:val="4BBD466C"/>
    <w:rsid w:val="4BC15012"/>
    <w:rsid w:val="4BC32B39"/>
    <w:rsid w:val="4BC36FDC"/>
    <w:rsid w:val="4BC44B03"/>
    <w:rsid w:val="4BC468B1"/>
    <w:rsid w:val="4BC52D55"/>
    <w:rsid w:val="4BC6087B"/>
    <w:rsid w:val="4BCB7C3F"/>
    <w:rsid w:val="4BCD1C09"/>
    <w:rsid w:val="4BCF5981"/>
    <w:rsid w:val="4BD016F9"/>
    <w:rsid w:val="4BD05255"/>
    <w:rsid w:val="4BD20FCE"/>
    <w:rsid w:val="4BD42F98"/>
    <w:rsid w:val="4BD642F8"/>
    <w:rsid w:val="4BD73B3D"/>
    <w:rsid w:val="4BD90D45"/>
    <w:rsid w:val="4BD9235C"/>
    <w:rsid w:val="4BDA0368"/>
    <w:rsid w:val="4BDA60D4"/>
    <w:rsid w:val="4BDC2C88"/>
    <w:rsid w:val="4BDE5BC4"/>
    <w:rsid w:val="4BDE7972"/>
    <w:rsid w:val="4BE07B8E"/>
    <w:rsid w:val="4BE156B5"/>
    <w:rsid w:val="4BE25B8D"/>
    <w:rsid w:val="4BE40D01"/>
    <w:rsid w:val="4BE62CCB"/>
    <w:rsid w:val="4BEA27BB"/>
    <w:rsid w:val="4BEA7E5D"/>
    <w:rsid w:val="4BEE392E"/>
    <w:rsid w:val="4BEE70AB"/>
    <w:rsid w:val="4BEF1B80"/>
    <w:rsid w:val="4BF03B4A"/>
    <w:rsid w:val="4BF076A6"/>
    <w:rsid w:val="4BF21670"/>
    <w:rsid w:val="4BF43ADF"/>
    <w:rsid w:val="4BF47196"/>
    <w:rsid w:val="4BF56DAC"/>
    <w:rsid w:val="4BF70A34"/>
    <w:rsid w:val="4BF76C86"/>
    <w:rsid w:val="4BF947AC"/>
    <w:rsid w:val="4BFA4505"/>
    <w:rsid w:val="4BFB063F"/>
    <w:rsid w:val="4BFF4671"/>
    <w:rsid w:val="4C007E13"/>
    <w:rsid w:val="4C0373D9"/>
    <w:rsid w:val="4C082C41"/>
    <w:rsid w:val="4C0A0767"/>
    <w:rsid w:val="4C0A4C0B"/>
    <w:rsid w:val="4C0C31F6"/>
    <w:rsid w:val="4C0D4686"/>
    <w:rsid w:val="4C0F3FD0"/>
    <w:rsid w:val="4C0F4D8B"/>
    <w:rsid w:val="4C107D48"/>
    <w:rsid w:val="4C115F9A"/>
    <w:rsid w:val="4C1415E6"/>
    <w:rsid w:val="4C1710D6"/>
    <w:rsid w:val="4C1B2975"/>
    <w:rsid w:val="4C1E3D39"/>
    <w:rsid w:val="4C211F55"/>
    <w:rsid w:val="4C215AB1"/>
    <w:rsid w:val="4C252331"/>
    <w:rsid w:val="4C2537F3"/>
    <w:rsid w:val="4C260CF9"/>
    <w:rsid w:val="4C2832E3"/>
    <w:rsid w:val="4C284A71"/>
    <w:rsid w:val="4C286E40"/>
    <w:rsid w:val="4C2B6930"/>
    <w:rsid w:val="4C2C2DD4"/>
    <w:rsid w:val="4C2C64CE"/>
    <w:rsid w:val="4C303F46"/>
    <w:rsid w:val="4C3078C6"/>
    <w:rsid w:val="4C336E5A"/>
    <w:rsid w:val="4C36444B"/>
    <w:rsid w:val="4C371778"/>
    <w:rsid w:val="4C3752D5"/>
    <w:rsid w:val="4C383390"/>
    <w:rsid w:val="4C404189"/>
    <w:rsid w:val="4C405568"/>
    <w:rsid w:val="4C4243A5"/>
    <w:rsid w:val="4C4719BC"/>
    <w:rsid w:val="4C481290"/>
    <w:rsid w:val="4C4A0649"/>
    <w:rsid w:val="4C4C6FD2"/>
    <w:rsid w:val="4C51283A"/>
    <w:rsid w:val="4C5365B2"/>
    <w:rsid w:val="4C575977"/>
    <w:rsid w:val="4C5C5856"/>
    <w:rsid w:val="4C5D11DF"/>
    <w:rsid w:val="4C5E0AB3"/>
    <w:rsid w:val="4C5E6D05"/>
    <w:rsid w:val="4C602A7D"/>
    <w:rsid w:val="4C6205A3"/>
    <w:rsid w:val="4C651E42"/>
    <w:rsid w:val="4C651EFA"/>
    <w:rsid w:val="4C65665F"/>
    <w:rsid w:val="4C673E0C"/>
    <w:rsid w:val="4C675BBA"/>
    <w:rsid w:val="4C681932"/>
    <w:rsid w:val="4C697BB1"/>
    <w:rsid w:val="4C6B4F7E"/>
    <w:rsid w:val="4C6C1422"/>
    <w:rsid w:val="4C6C6A83"/>
    <w:rsid w:val="4C6D79C2"/>
    <w:rsid w:val="4C703702"/>
    <w:rsid w:val="4C7079FD"/>
    <w:rsid w:val="4C716343"/>
    <w:rsid w:val="4C7166F5"/>
    <w:rsid w:val="4C7277D3"/>
    <w:rsid w:val="4C7402D7"/>
    <w:rsid w:val="4C746529"/>
    <w:rsid w:val="4C783B02"/>
    <w:rsid w:val="4C786019"/>
    <w:rsid w:val="4C7977E0"/>
    <w:rsid w:val="4C7B3413"/>
    <w:rsid w:val="4C7B78B7"/>
    <w:rsid w:val="4C7D362F"/>
    <w:rsid w:val="4C7D3EC6"/>
    <w:rsid w:val="4C7E1155"/>
    <w:rsid w:val="4C7E5ECA"/>
    <w:rsid w:val="4C8147A2"/>
    <w:rsid w:val="4C83051A"/>
    <w:rsid w:val="4C83676C"/>
    <w:rsid w:val="4C841BE8"/>
    <w:rsid w:val="4C8524E4"/>
    <w:rsid w:val="4C853291"/>
    <w:rsid w:val="4C854292"/>
    <w:rsid w:val="4C871DB8"/>
    <w:rsid w:val="4C876AA5"/>
    <w:rsid w:val="4C883D82"/>
    <w:rsid w:val="4C885B30"/>
    <w:rsid w:val="4C8A18A8"/>
    <w:rsid w:val="4C8A351C"/>
    <w:rsid w:val="4C8C5620"/>
    <w:rsid w:val="4C8D3147"/>
    <w:rsid w:val="4C8E0BC2"/>
    <w:rsid w:val="4C910E89"/>
    <w:rsid w:val="4C940979"/>
    <w:rsid w:val="4C984173"/>
    <w:rsid w:val="4C9D15DC"/>
    <w:rsid w:val="4CA3296A"/>
    <w:rsid w:val="4CA36A27"/>
    <w:rsid w:val="4CA43CC7"/>
    <w:rsid w:val="4CA6114E"/>
    <w:rsid w:val="4CA706AC"/>
    <w:rsid w:val="4CAE37E9"/>
    <w:rsid w:val="4CAF130F"/>
    <w:rsid w:val="4CB163A7"/>
    <w:rsid w:val="4CB22BAD"/>
    <w:rsid w:val="4CB30CC7"/>
    <w:rsid w:val="4CB4635D"/>
    <w:rsid w:val="4CB67BC0"/>
    <w:rsid w:val="4CB70718"/>
    <w:rsid w:val="4CB86415"/>
    <w:rsid w:val="4CBB5870"/>
    <w:rsid w:val="4CBB5F06"/>
    <w:rsid w:val="4CBB733E"/>
    <w:rsid w:val="4CBD1C7E"/>
    <w:rsid w:val="4CBE34DB"/>
    <w:rsid w:val="4CBE77A4"/>
    <w:rsid w:val="4CBF59F6"/>
    <w:rsid w:val="4CC0351C"/>
    <w:rsid w:val="4CC27294"/>
    <w:rsid w:val="4CC528E0"/>
    <w:rsid w:val="4CC55DC1"/>
    <w:rsid w:val="4CC823D1"/>
    <w:rsid w:val="4CCA607B"/>
    <w:rsid w:val="4CCC3C6F"/>
    <w:rsid w:val="4CCE5C39"/>
    <w:rsid w:val="4CCE6882"/>
    <w:rsid w:val="4CCE7763"/>
    <w:rsid w:val="4CD174D7"/>
    <w:rsid w:val="4CD314A1"/>
    <w:rsid w:val="4CD32F17"/>
    <w:rsid w:val="4CD40D75"/>
    <w:rsid w:val="4CD46FC7"/>
    <w:rsid w:val="4CD55219"/>
    <w:rsid w:val="4CD62D3F"/>
    <w:rsid w:val="4CD6689C"/>
    <w:rsid w:val="4CDB0356"/>
    <w:rsid w:val="4CDC1628"/>
    <w:rsid w:val="4CDD7C2A"/>
    <w:rsid w:val="4CDF6503"/>
    <w:rsid w:val="4CE0771A"/>
    <w:rsid w:val="4CE30FB8"/>
    <w:rsid w:val="4CE310F2"/>
    <w:rsid w:val="4CE54D31"/>
    <w:rsid w:val="4CE71DB5"/>
    <w:rsid w:val="4CEA2347"/>
    <w:rsid w:val="4CEC79C8"/>
    <w:rsid w:val="4CED014A"/>
    <w:rsid w:val="4CEE1C41"/>
    <w:rsid w:val="4CEE1E37"/>
    <w:rsid w:val="4CEF4CA8"/>
    <w:rsid w:val="4CEF6349"/>
    <w:rsid w:val="4CF118E0"/>
    <w:rsid w:val="4CF17B79"/>
    <w:rsid w:val="4CF258F8"/>
    <w:rsid w:val="4CF3744D"/>
    <w:rsid w:val="4CF66F3E"/>
    <w:rsid w:val="4CFB09F8"/>
    <w:rsid w:val="4CFB27A6"/>
    <w:rsid w:val="4CFC1B5C"/>
    <w:rsid w:val="4CFE58AB"/>
    <w:rsid w:val="4CFE5DCC"/>
    <w:rsid w:val="4CFF4E6A"/>
    <w:rsid w:val="4D01600E"/>
    <w:rsid w:val="4D021D86"/>
    <w:rsid w:val="4D0258E3"/>
    <w:rsid w:val="4D04165B"/>
    <w:rsid w:val="4D05323C"/>
    <w:rsid w:val="4D0553D3"/>
    <w:rsid w:val="4D063625"/>
    <w:rsid w:val="4D080F53"/>
    <w:rsid w:val="4D0C49B3"/>
    <w:rsid w:val="4D0C5871"/>
    <w:rsid w:val="4D0D2BD4"/>
    <w:rsid w:val="4D0E00FB"/>
    <w:rsid w:val="4D0E072B"/>
    <w:rsid w:val="4D1169AC"/>
    <w:rsid w:val="4D1473C4"/>
    <w:rsid w:val="4D151ABA"/>
    <w:rsid w:val="4D153868"/>
    <w:rsid w:val="4D176606"/>
    <w:rsid w:val="4D1A0E7E"/>
    <w:rsid w:val="4D1A2C2C"/>
    <w:rsid w:val="4D1B4BF6"/>
    <w:rsid w:val="4D1D0480"/>
    <w:rsid w:val="4D1D271C"/>
    <w:rsid w:val="4D225F85"/>
    <w:rsid w:val="4D227D33"/>
    <w:rsid w:val="4D2407F9"/>
    <w:rsid w:val="4D243AE9"/>
    <w:rsid w:val="4D245859"/>
    <w:rsid w:val="4D2717ED"/>
    <w:rsid w:val="4D296F6D"/>
    <w:rsid w:val="4D2C295F"/>
    <w:rsid w:val="4D2C6166"/>
    <w:rsid w:val="4D2E492A"/>
    <w:rsid w:val="4D331F40"/>
    <w:rsid w:val="4D334235"/>
    <w:rsid w:val="4D341814"/>
    <w:rsid w:val="4D36558C"/>
    <w:rsid w:val="4D365A25"/>
    <w:rsid w:val="4D3A1520"/>
    <w:rsid w:val="4D3A7F4B"/>
    <w:rsid w:val="4D3B2BA3"/>
    <w:rsid w:val="4D3B3B11"/>
    <w:rsid w:val="4D3D4B6D"/>
    <w:rsid w:val="4D3E5E49"/>
    <w:rsid w:val="4D3F2693"/>
    <w:rsid w:val="4D423F31"/>
    <w:rsid w:val="4D4373FC"/>
    <w:rsid w:val="4D44414D"/>
    <w:rsid w:val="4D445EFB"/>
    <w:rsid w:val="4D4579D2"/>
    <w:rsid w:val="4D461C73"/>
    <w:rsid w:val="4D470D2F"/>
    <w:rsid w:val="4D471250"/>
    <w:rsid w:val="4D471926"/>
    <w:rsid w:val="4D4759EB"/>
    <w:rsid w:val="4D47736A"/>
    <w:rsid w:val="4D4802EE"/>
    <w:rsid w:val="4D4C4DB0"/>
    <w:rsid w:val="4D4D0F3E"/>
    <w:rsid w:val="4D4E6D7A"/>
    <w:rsid w:val="4D513FA5"/>
    <w:rsid w:val="4D52686A"/>
    <w:rsid w:val="4D530006"/>
    <w:rsid w:val="4D537EEC"/>
    <w:rsid w:val="4D551EB6"/>
    <w:rsid w:val="4D55429F"/>
    <w:rsid w:val="4D566821"/>
    <w:rsid w:val="4D5679DC"/>
    <w:rsid w:val="4D5A127B"/>
    <w:rsid w:val="4D5A74CD"/>
    <w:rsid w:val="4D5C10B8"/>
    <w:rsid w:val="4D5C3245"/>
    <w:rsid w:val="4D5D0D6B"/>
    <w:rsid w:val="4D616AAD"/>
    <w:rsid w:val="4D6245D3"/>
    <w:rsid w:val="4D627293"/>
    <w:rsid w:val="4D657835"/>
    <w:rsid w:val="4D673998"/>
    <w:rsid w:val="4D695962"/>
    <w:rsid w:val="4D6A60D9"/>
    <w:rsid w:val="4D6C0FAE"/>
    <w:rsid w:val="4D6D36A4"/>
    <w:rsid w:val="4D6E0B97"/>
    <w:rsid w:val="4D6F109A"/>
    <w:rsid w:val="4D700A9E"/>
    <w:rsid w:val="4D704F42"/>
    <w:rsid w:val="4D722A68"/>
    <w:rsid w:val="4D7367E0"/>
    <w:rsid w:val="4D75339F"/>
    <w:rsid w:val="4D754306"/>
    <w:rsid w:val="4D756E9D"/>
    <w:rsid w:val="4D761E2D"/>
    <w:rsid w:val="4D76482F"/>
    <w:rsid w:val="4D7A78E7"/>
    <w:rsid w:val="4D7E765F"/>
    <w:rsid w:val="4D7F33D7"/>
    <w:rsid w:val="4D810EFD"/>
    <w:rsid w:val="4D826A23"/>
    <w:rsid w:val="4D867282"/>
    <w:rsid w:val="4D8A1E3E"/>
    <w:rsid w:val="4D8B58D8"/>
    <w:rsid w:val="4D8C33FE"/>
    <w:rsid w:val="4D8E53C8"/>
    <w:rsid w:val="4D901140"/>
    <w:rsid w:val="4D92310A"/>
    <w:rsid w:val="4D97427D"/>
    <w:rsid w:val="4D9A5B1B"/>
    <w:rsid w:val="4D9B420F"/>
    <w:rsid w:val="4D9C654A"/>
    <w:rsid w:val="4D9C7AE5"/>
    <w:rsid w:val="4D9E1AAF"/>
    <w:rsid w:val="4DA41071"/>
    <w:rsid w:val="4DA5615F"/>
    <w:rsid w:val="4DA90454"/>
    <w:rsid w:val="4DAD1CF2"/>
    <w:rsid w:val="4DAE15C6"/>
    <w:rsid w:val="4DB017E2"/>
    <w:rsid w:val="4DB05E50"/>
    <w:rsid w:val="4DB31898"/>
    <w:rsid w:val="4DB34E2F"/>
    <w:rsid w:val="4DB36BDD"/>
    <w:rsid w:val="4DB50BA7"/>
    <w:rsid w:val="4DB62990"/>
    <w:rsid w:val="4DB766CD"/>
    <w:rsid w:val="4DB85AC7"/>
    <w:rsid w:val="4DBD7A5B"/>
    <w:rsid w:val="4DBE2FAA"/>
    <w:rsid w:val="4DBF1A26"/>
    <w:rsid w:val="4DBF5582"/>
    <w:rsid w:val="4DC332C4"/>
    <w:rsid w:val="4DC4528E"/>
    <w:rsid w:val="4DC46900"/>
    <w:rsid w:val="4DC61225"/>
    <w:rsid w:val="4DC62DB4"/>
    <w:rsid w:val="4DC64B62"/>
    <w:rsid w:val="4DC66910"/>
    <w:rsid w:val="4DC808DA"/>
    <w:rsid w:val="4DCA214F"/>
    <w:rsid w:val="4DCB03CA"/>
    <w:rsid w:val="4DCB34AF"/>
    <w:rsid w:val="4DD02869"/>
    <w:rsid w:val="4DD03C33"/>
    <w:rsid w:val="4DD21759"/>
    <w:rsid w:val="4DD30243"/>
    <w:rsid w:val="4DD3102D"/>
    <w:rsid w:val="4DD4790D"/>
    <w:rsid w:val="4DD55E8A"/>
    <w:rsid w:val="4DD70B1D"/>
    <w:rsid w:val="4DD728CB"/>
    <w:rsid w:val="4DD74640"/>
    <w:rsid w:val="4DD74D90"/>
    <w:rsid w:val="4DD83BB3"/>
    <w:rsid w:val="4DD97B58"/>
    <w:rsid w:val="4DDA060D"/>
    <w:rsid w:val="4DDA23BB"/>
    <w:rsid w:val="4DDC6134"/>
    <w:rsid w:val="4DDD3C5A"/>
    <w:rsid w:val="4DDF3E76"/>
    <w:rsid w:val="4DE16F7C"/>
    <w:rsid w:val="4DE17BEE"/>
    <w:rsid w:val="4DE26957"/>
    <w:rsid w:val="4DE35714"/>
    <w:rsid w:val="4DE374C2"/>
    <w:rsid w:val="4DE66FB2"/>
    <w:rsid w:val="4DE90CFC"/>
    <w:rsid w:val="4DEB281B"/>
    <w:rsid w:val="4DEB45C9"/>
    <w:rsid w:val="4DEC4FB0"/>
    <w:rsid w:val="4DED0341"/>
    <w:rsid w:val="4DEF40B9"/>
    <w:rsid w:val="4DF05AA0"/>
    <w:rsid w:val="4DF06083"/>
    <w:rsid w:val="4DF12D02"/>
    <w:rsid w:val="4DF416CF"/>
    <w:rsid w:val="4DF53699"/>
    <w:rsid w:val="4DF72F6D"/>
    <w:rsid w:val="4DF73324"/>
    <w:rsid w:val="4DF74D1B"/>
    <w:rsid w:val="4DF85277"/>
    <w:rsid w:val="4DFA2098"/>
    <w:rsid w:val="4DFA2A5E"/>
    <w:rsid w:val="4DFA480C"/>
    <w:rsid w:val="4DFC4A28"/>
    <w:rsid w:val="4DFE254E"/>
    <w:rsid w:val="4DFE42FC"/>
    <w:rsid w:val="4DFF04B8"/>
    <w:rsid w:val="4DFF1948"/>
    <w:rsid w:val="4DFF484B"/>
    <w:rsid w:val="4E0041C9"/>
    <w:rsid w:val="4E01203E"/>
    <w:rsid w:val="4E023D7D"/>
    <w:rsid w:val="4E051CA8"/>
    <w:rsid w:val="4E0538DC"/>
    <w:rsid w:val="4E055CD0"/>
    <w:rsid w:val="4E0568AD"/>
    <w:rsid w:val="4E075D8A"/>
    <w:rsid w:val="4E0B1D1A"/>
    <w:rsid w:val="4E0B4C6B"/>
    <w:rsid w:val="4E0D453F"/>
    <w:rsid w:val="4E127DA7"/>
    <w:rsid w:val="4E130ED5"/>
    <w:rsid w:val="4E141D71"/>
    <w:rsid w:val="4E150E29"/>
    <w:rsid w:val="4E151645"/>
    <w:rsid w:val="4E165AE9"/>
    <w:rsid w:val="4E197388"/>
    <w:rsid w:val="4E1C4782"/>
    <w:rsid w:val="4E1D7B05"/>
    <w:rsid w:val="4E21063A"/>
    <w:rsid w:val="4E212D3B"/>
    <w:rsid w:val="4E21448E"/>
    <w:rsid w:val="4E217FEA"/>
    <w:rsid w:val="4E223347"/>
    <w:rsid w:val="4E231FB4"/>
    <w:rsid w:val="4E241889"/>
    <w:rsid w:val="4E265C87"/>
    <w:rsid w:val="4E2A50F1"/>
    <w:rsid w:val="4E2B70BB"/>
    <w:rsid w:val="4E2E556C"/>
    <w:rsid w:val="4E2F2707"/>
    <w:rsid w:val="4E2F6BAB"/>
    <w:rsid w:val="4E30022D"/>
    <w:rsid w:val="4E3063B0"/>
    <w:rsid w:val="4E306B59"/>
    <w:rsid w:val="4E313347"/>
    <w:rsid w:val="4E324336"/>
    <w:rsid w:val="4E340BD7"/>
    <w:rsid w:val="4E340D9C"/>
    <w:rsid w:val="4E347D1E"/>
    <w:rsid w:val="4E350587"/>
    <w:rsid w:val="4E355844"/>
    <w:rsid w:val="4E375A60"/>
    <w:rsid w:val="4E3917D8"/>
    <w:rsid w:val="4E3A2F69"/>
    <w:rsid w:val="4E3A59BC"/>
    <w:rsid w:val="4E3E294A"/>
    <w:rsid w:val="4E404914"/>
    <w:rsid w:val="4E434405"/>
    <w:rsid w:val="4E45017D"/>
    <w:rsid w:val="4E465CA3"/>
    <w:rsid w:val="4E473B80"/>
    <w:rsid w:val="4E481A1B"/>
    <w:rsid w:val="4E4D0DDF"/>
    <w:rsid w:val="4E4D47C5"/>
    <w:rsid w:val="4E4E286F"/>
    <w:rsid w:val="4E4F2DA9"/>
    <w:rsid w:val="4E516C0B"/>
    <w:rsid w:val="4E546612"/>
    <w:rsid w:val="4E573A0C"/>
    <w:rsid w:val="4E593C28"/>
    <w:rsid w:val="4E5959D6"/>
    <w:rsid w:val="4E5D7793"/>
    <w:rsid w:val="4E5E4D9B"/>
    <w:rsid w:val="4E5F2659"/>
    <w:rsid w:val="4E6323B1"/>
    <w:rsid w:val="4E656129"/>
    <w:rsid w:val="4E661EA1"/>
    <w:rsid w:val="4E6A7BE3"/>
    <w:rsid w:val="4E6B62AA"/>
    <w:rsid w:val="4E6C395B"/>
    <w:rsid w:val="4E6D5D05"/>
    <w:rsid w:val="4E720846"/>
    <w:rsid w:val="4E736E68"/>
    <w:rsid w:val="4E74636C"/>
    <w:rsid w:val="4E766588"/>
    <w:rsid w:val="4E782C9C"/>
    <w:rsid w:val="4E791B9F"/>
    <w:rsid w:val="4E791BD4"/>
    <w:rsid w:val="4E795D52"/>
    <w:rsid w:val="4E796078"/>
    <w:rsid w:val="4E7A03B1"/>
    <w:rsid w:val="4E7B2225"/>
    <w:rsid w:val="4E7B4083"/>
    <w:rsid w:val="4E802F63"/>
    <w:rsid w:val="4E810A89"/>
    <w:rsid w:val="4E824F2D"/>
    <w:rsid w:val="4E8512DD"/>
    <w:rsid w:val="4E8835CF"/>
    <w:rsid w:val="4E8B1381"/>
    <w:rsid w:val="4E8B1908"/>
    <w:rsid w:val="4E8B2268"/>
    <w:rsid w:val="4E8D341D"/>
    <w:rsid w:val="4E8D5680"/>
    <w:rsid w:val="4E8E06E6"/>
    <w:rsid w:val="4E914C57"/>
    <w:rsid w:val="4E920EE8"/>
    <w:rsid w:val="4E93713A"/>
    <w:rsid w:val="4E963E7C"/>
    <w:rsid w:val="4E9C3B15"/>
    <w:rsid w:val="4E9E5ADF"/>
    <w:rsid w:val="4EA0361F"/>
    <w:rsid w:val="4EA07161"/>
    <w:rsid w:val="4EA156FD"/>
    <w:rsid w:val="4EA34EA3"/>
    <w:rsid w:val="4EA529C9"/>
    <w:rsid w:val="4EA8070C"/>
    <w:rsid w:val="4EAA7871"/>
    <w:rsid w:val="4EAA7FE0"/>
    <w:rsid w:val="4EAC3D58"/>
    <w:rsid w:val="4EAF55F6"/>
    <w:rsid w:val="4EB26E94"/>
    <w:rsid w:val="4EB3158A"/>
    <w:rsid w:val="4EB32846"/>
    <w:rsid w:val="4EB62E28"/>
    <w:rsid w:val="4EB726FD"/>
    <w:rsid w:val="4EB7577E"/>
    <w:rsid w:val="4EB80D4F"/>
    <w:rsid w:val="4EB90223"/>
    <w:rsid w:val="4EB95335"/>
    <w:rsid w:val="4EB96475"/>
    <w:rsid w:val="4EBA588F"/>
    <w:rsid w:val="4EBB21ED"/>
    <w:rsid w:val="4EBD41B7"/>
    <w:rsid w:val="4EBE1CDD"/>
    <w:rsid w:val="4EBE654D"/>
    <w:rsid w:val="4EC00FAD"/>
    <w:rsid w:val="4EC05A55"/>
    <w:rsid w:val="4EC12B91"/>
    <w:rsid w:val="4EC23A47"/>
    <w:rsid w:val="4EC41512"/>
    <w:rsid w:val="4EC45545"/>
    <w:rsid w:val="4EC46F4A"/>
    <w:rsid w:val="4EC5306C"/>
    <w:rsid w:val="4EC56BC8"/>
    <w:rsid w:val="4ECA2430"/>
    <w:rsid w:val="4ED0364D"/>
    <w:rsid w:val="4ED07AB5"/>
    <w:rsid w:val="4ED212E5"/>
    <w:rsid w:val="4ED35EDF"/>
    <w:rsid w:val="4ED46C9C"/>
    <w:rsid w:val="4ED66E64"/>
    <w:rsid w:val="4ED817CF"/>
    <w:rsid w:val="4ED82D9F"/>
    <w:rsid w:val="4ED85C06"/>
    <w:rsid w:val="4ED96EC6"/>
    <w:rsid w:val="4EDE26B3"/>
    <w:rsid w:val="4EDE412D"/>
    <w:rsid w:val="4EE03A01"/>
    <w:rsid w:val="4EE334F2"/>
    <w:rsid w:val="4EE51018"/>
    <w:rsid w:val="4EE72FE2"/>
    <w:rsid w:val="4EEA5ABA"/>
    <w:rsid w:val="4EEB73D6"/>
    <w:rsid w:val="4EEC05F8"/>
    <w:rsid w:val="4EEC23A6"/>
    <w:rsid w:val="4EED6FDC"/>
    <w:rsid w:val="4EF12645"/>
    <w:rsid w:val="4EF342DE"/>
    <w:rsid w:val="4EF6635C"/>
    <w:rsid w:val="4EF70D4B"/>
    <w:rsid w:val="4EFB181F"/>
    <w:rsid w:val="4EFE032C"/>
    <w:rsid w:val="4F0022F6"/>
    <w:rsid w:val="4F027E1C"/>
    <w:rsid w:val="4F073684"/>
    <w:rsid w:val="4F0771E0"/>
    <w:rsid w:val="4F0A4F22"/>
    <w:rsid w:val="4F0B02F1"/>
    <w:rsid w:val="4F0B1BE8"/>
    <w:rsid w:val="4F0C2A48"/>
    <w:rsid w:val="4F0C5136"/>
    <w:rsid w:val="4F0E67C1"/>
    <w:rsid w:val="4F0F2539"/>
    <w:rsid w:val="4F10078B"/>
    <w:rsid w:val="4F111E0D"/>
    <w:rsid w:val="4F1418FD"/>
    <w:rsid w:val="4F161B19"/>
    <w:rsid w:val="4F184107"/>
    <w:rsid w:val="4F192E39"/>
    <w:rsid w:val="4F1A1B6C"/>
    <w:rsid w:val="4F1A23F8"/>
    <w:rsid w:val="4F1A2C64"/>
    <w:rsid w:val="4F1D07B2"/>
    <w:rsid w:val="4F1E452A"/>
    <w:rsid w:val="4F231B40"/>
    <w:rsid w:val="4F251D5C"/>
    <w:rsid w:val="4F2558B8"/>
    <w:rsid w:val="4F271630"/>
    <w:rsid w:val="4F2A2ECF"/>
    <w:rsid w:val="4F2C30EB"/>
    <w:rsid w:val="4F2D3BE4"/>
    <w:rsid w:val="4F2E389B"/>
    <w:rsid w:val="4F31425D"/>
    <w:rsid w:val="4F32300F"/>
    <w:rsid w:val="4F32757E"/>
    <w:rsid w:val="4F334FFF"/>
    <w:rsid w:val="4F365D17"/>
    <w:rsid w:val="4F367AC5"/>
    <w:rsid w:val="4F376605"/>
    <w:rsid w:val="4F38383D"/>
    <w:rsid w:val="4F3877A3"/>
    <w:rsid w:val="4F391364"/>
    <w:rsid w:val="4F3A5808"/>
    <w:rsid w:val="4F3B332E"/>
    <w:rsid w:val="4F3C308A"/>
    <w:rsid w:val="4F3D2C02"/>
    <w:rsid w:val="4F3D6B35"/>
    <w:rsid w:val="4F3E3390"/>
    <w:rsid w:val="4F3E697A"/>
    <w:rsid w:val="4F3F4BCC"/>
    <w:rsid w:val="4F416B96"/>
    <w:rsid w:val="4F42290E"/>
    <w:rsid w:val="4F455F5A"/>
    <w:rsid w:val="4F471CD3"/>
    <w:rsid w:val="4F4915A7"/>
    <w:rsid w:val="4F493C9D"/>
    <w:rsid w:val="4F4949CF"/>
    <w:rsid w:val="4F4977F9"/>
    <w:rsid w:val="4F4C0E88"/>
    <w:rsid w:val="4F4C1097"/>
    <w:rsid w:val="4F4E12B3"/>
    <w:rsid w:val="4F4E333A"/>
    <w:rsid w:val="4F4E4E0F"/>
    <w:rsid w:val="4F4F0B87"/>
    <w:rsid w:val="4F50502B"/>
    <w:rsid w:val="4F5166AD"/>
    <w:rsid w:val="4F5239A7"/>
    <w:rsid w:val="4F5375FF"/>
    <w:rsid w:val="4F563CC4"/>
    <w:rsid w:val="4F583EE0"/>
    <w:rsid w:val="4F59348C"/>
    <w:rsid w:val="4F5A7C58"/>
    <w:rsid w:val="4F5C39D0"/>
    <w:rsid w:val="4F5D2DEA"/>
    <w:rsid w:val="4F5F0DCA"/>
    <w:rsid w:val="4F610FE6"/>
    <w:rsid w:val="4F61663F"/>
    <w:rsid w:val="4F622668"/>
    <w:rsid w:val="4F64710F"/>
    <w:rsid w:val="4F674123"/>
    <w:rsid w:val="4F6914C6"/>
    <w:rsid w:val="4F6B3C13"/>
    <w:rsid w:val="4F701229"/>
    <w:rsid w:val="4F714FA1"/>
    <w:rsid w:val="4F7640F5"/>
    <w:rsid w:val="4F7800DE"/>
    <w:rsid w:val="4F781E8C"/>
    <w:rsid w:val="4F792A76"/>
    <w:rsid w:val="4F7A20A8"/>
    <w:rsid w:val="4F7A3E56"/>
    <w:rsid w:val="4F7C5E20"/>
    <w:rsid w:val="4F7D56F4"/>
    <w:rsid w:val="4F7F321A"/>
    <w:rsid w:val="4F7F3D17"/>
    <w:rsid w:val="4F806F93"/>
    <w:rsid w:val="4F813436"/>
    <w:rsid w:val="4F820F5D"/>
    <w:rsid w:val="4F836FD1"/>
    <w:rsid w:val="4F860A4D"/>
    <w:rsid w:val="4F8B6063"/>
    <w:rsid w:val="4F8D6A55"/>
    <w:rsid w:val="4F8E345D"/>
    <w:rsid w:val="4F8E5C89"/>
    <w:rsid w:val="4F900B6C"/>
    <w:rsid w:val="4F90367A"/>
    <w:rsid w:val="4F9111A0"/>
    <w:rsid w:val="4F950C90"/>
    <w:rsid w:val="4F952A3E"/>
    <w:rsid w:val="4F960564"/>
    <w:rsid w:val="4F974A08"/>
    <w:rsid w:val="4F9843DC"/>
    <w:rsid w:val="4F9D18F3"/>
    <w:rsid w:val="4F9E3301"/>
    <w:rsid w:val="4F9F1B0F"/>
    <w:rsid w:val="4F9F38BD"/>
    <w:rsid w:val="4FA2515B"/>
    <w:rsid w:val="4FA407B6"/>
    <w:rsid w:val="4FA64C4B"/>
    <w:rsid w:val="4FA7451F"/>
    <w:rsid w:val="4FA74664"/>
    <w:rsid w:val="4FAA2FE5"/>
    <w:rsid w:val="4FAD422B"/>
    <w:rsid w:val="4FAD5FDA"/>
    <w:rsid w:val="4FAE3B00"/>
    <w:rsid w:val="4FB22261"/>
    <w:rsid w:val="4FB235F0"/>
    <w:rsid w:val="4FB37368"/>
    <w:rsid w:val="4FB70C06"/>
    <w:rsid w:val="4FB76E58"/>
    <w:rsid w:val="4FB96CA6"/>
    <w:rsid w:val="4FBA24A4"/>
    <w:rsid w:val="4FBA295A"/>
    <w:rsid w:val="4FBC621D"/>
    <w:rsid w:val="4FC1207E"/>
    <w:rsid w:val="4FC13833"/>
    <w:rsid w:val="4FC235E9"/>
    <w:rsid w:val="4FC31391"/>
    <w:rsid w:val="4FC62A8C"/>
    <w:rsid w:val="4FC664EE"/>
    <w:rsid w:val="4FC96D47"/>
    <w:rsid w:val="4FCA09F6"/>
    <w:rsid w:val="4FCA0F76"/>
    <w:rsid w:val="4FCB3857"/>
    <w:rsid w:val="4FCE41A2"/>
    <w:rsid w:val="4FCF0C9F"/>
    <w:rsid w:val="4FCF4E7E"/>
    <w:rsid w:val="4FD01CC8"/>
    <w:rsid w:val="4FD23C92"/>
    <w:rsid w:val="4FD33566"/>
    <w:rsid w:val="4FD3445D"/>
    <w:rsid w:val="4FD6416C"/>
    <w:rsid w:val="4FDA6C5E"/>
    <w:rsid w:val="4FDB77FC"/>
    <w:rsid w:val="4FDD43E5"/>
    <w:rsid w:val="4FE20F0D"/>
    <w:rsid w:val="4FE319FB"/>
    <w:rsid w:val="4FE47521"/>
    <w:rsid w:val="4FE51552"/>
    <w:rsid w:val="4FE5311A"/>
    <w:rsid w:val="4FE64543"/>
    <w:rsid w:val="4FE81398"/>
    <w:rsid w:val="4FE85264"/>
    <w:rsid w:val="4FE91D72"/>
    <w:rsid w:val="4FE92D8A"/>
    <w:rsid w:val="4FEB6B02"/>
    <w:rsid w:val="4FEC00E0"/>
    <w:rsid w:val="4FEC0E85"/>
    <w:rsid w:val="4FED287A"/>
    <w:rsid w:val="4FEE65F2"/>
    <w:rsid w:val="4FF05EC6"/>
    <w:rsid w:val="4FF260E2"/>
    <w:rsid w:val="4FF37764"/>
    <w:rsid w:val="4FF42ACE"/>
    <w:rsid w:val="4FF534DD"/>
    <w:rsid w:val="4FF77255"/>
    <w:rsid w:val="4FFA0AF3"/>
    <w:rsid w:val="4FFA3743"/>
    <w:rsid w:val="4FFA4F97"/>
    <w:rsid w:val="4FFC0D0F"/>
    <w:rsid w:val="50041972"/>
    <w:rsid w:val="500656EA"/>
    <w:rsid w:val="50067556"/>
    <w:rsid w:val="50117696"/>
    <w:rsid w:val="50131BB5"/>
    <w:rsid w:val="50132D50"/>
    <w:rsid w:val="501555F2"/>
    <w:rsid w:val="501716A5"/>
    <w:rsid w:val="501778F7"/>
    <w:rsid w:val="50184E3E"/>
    <w:rsid w:val="5019541D"/>
    <w:rsid w:val="501A71B3"/>
    <w:rsid w:val="501C4F0D"/>
    <w:rsid w:val="501C653F"/>
    <w:rsid w:val="501C6CBB"/>
    <w:rsid w:val="501D030A"/>
    <w:rsid w:val="501E0EA8"/>
    <w:rsid w:val="50210776"/>
    <w:rsid w:val="50213603"/>
    <w:rsid w:val="50224B77"/>
    <w:rsid w:val="502344EE"/>
    <w:rsid w:val="502618E8"/>
    <w:rsid w:val="50265D8C"/>
    <w:rsid w:val="50267B3A"/>
    <w:rsid w:val="50270BF7"/>
    <w:rsid w:val="50277BC9"/>
    <w:rsid w:val="502838B2"/>
    <w:rsid w:val="50285660"/>
    <w:rsid w:val="502918AA"/>
    <w:rsid w:val="502A125F"/>
    <w:rsid w:val="502A762A"/>
    <w:rsid w:val="502B33A2"/>
    <w:rsid w:val="502D0EC8"/>
    <w:rsid w:val="502D2C76"/>
    <w:rsid w:val="502F4C40"/>
    <w:rsid w:val="50302767"/>
    <w:rsid w:val="50324731"/>
    <w:rsid w:val="50334005"/>
    <w:rsid w:val="50357D7D"/>
    <w:rsid w:val="50395ABF"/>
    <w:rsid w:val="503A5393"/>
    <w:rsid w:val="503E1327"/>
    <w:rsid w:val="503F29AA"/>
    <w:rsid w:val="50406E4E"/>
    <w:rsid w:val="50447FC0"/>
    <w:rsid w:val="50487AB0"/>
    <w:rsid w:val="50493CC0"/>
    <w:rsid w:val="50494DC1"/>
    <w:rsid w:val="50502E09"/>
    <w:rsid w:val="50504BB7"/>
    <w:rsid w:val="50504C4B"/>
    <w:rsid w:val="50530122"/>
    <w:rsid w:val="50540B7D"/>
    <w:rsid w:val="50546455"/>
    <w:rsid w:val="50555CF6"/>
    <w:rsid w:val="50563B45"/>
    <w:rsid w:val="50577CF3"/>
    <w:rsid w:val="50591CBD"/>
    <w:rsid w:val="50594716"/>
    <w:rsid w:val="505C7A00"/>
    <w:rsid w:val="505F4DFA"/>
    <w:rsid w:val="506202F9"/>
    <w:rsid w:val="5064466C"/>
    <w:rsid w:val="506568B4"/>
    <w:rsid w:val="506616A5"/>
    <w:rsid w:val="5066262C"/>
    <w:rsid w:val="506643DA"/>
    <w:rsid w:val="50722D7F"/>
    <w:rsid w:val="50760AC1"/>
    <w:rsid w:val="5076286F"/>
    <w:rsid w:val="50795EBC"/>
    <w:rsid w:val="507B081A"/>
    <w:rsid w:val="507B7E86"/>
    <w:rsid w:val="50811214"/>
    <w:rsid w:val="50854860"/>
    <w:rsid w:val="508825A3"/>
    <w:rsid w:val="508B5BEF"/>
    <w:rsid w:val="508D1967"/>
    <w:rsid w:val="508F1B83"/>
    <w:rsid w:val="50914807"/>
    <w:rsid w:val="5092449B"/>
    <w:rsid w:val="50926F7D"/>
    <w:rsid w:val="50941CF8"/>
    <w:rsid w:val="50946380"/>
    <w:rsid w:val="50947199"/>
    <w:rsid w:val="5095081C"/>
    <w:rsid w:val="50954F93"/>
    <w:rsid w:val="50982C04"/>
    <w:rsid w:val="509A64D0"/>
    <w:rsid w:val="509C6E7C"/>
    <w:rsid w:val="509E1DC6"/>
    <w:rsid w:val="509E5922"/>
    <w:rsid w:val="50A15412"/>
    <w:rsid w:val="50A373DC"/>
    <w:rsid w:val="50A56CB1"/>
    <w:rsid w:val="50A579C2"/>
    <w:rsid w:val="50A76ECD"/>
    <w:rsid w:val="50AA076B"/>
    <w:rsid w:val="50AC140F"/>
    <w:rsid w:val="50AC44E3"/>
    <w:rsid w:val="50AF2E05"/>
    <w:rsid w:val="50B25A0C"/>
    <w:rsid w:val="50B27620"/>
    <w:rsid w:val="50B74C36"/>
    <w:rsid w:val="50B77F3A"/>
    <w:rsid w:val="50BA3B99"/>
    <w:rsid w:val="50BB4726"/>
    <w:rsid w:val="50BC3FFA"/>
    <w:rsid w:val="50BD6410"/>
    <w:rsid w:val="50C17863"/>
    <w:rsid w:val="50C25AB5"/>
    <w:rsid w:val="50C3182D"/>
    <w:rsid w:val="50C335DB"/>
    <w:rsid w:val="50C555A5"/>
    <w:rsid w:val="50C8299F"/>
    <w:rsid w:val="50C86E43"/>
    <w:rsid w:val="50CA2BBB"/>
    <w:rsid w:val="50CA6717"/>
    <w:rsid w:val="50CC06E1"/>
    <w:rsid w:val="50CF3230"/>
    <w:rsid w:val="50D11C9A"/>
    <w:rsid w:val="50D35CFB"/>
    <w:rsid w:val="50D41344"/>
    <w:rsid w:val="50D43A3A"/>
    <w:rsid w:val="50D44893"/>
    <w:rsid w:val="50D852D8"/>
    <w:rsid w:val="50D92DFE"/>
    <w:rsid w:val="50D94BAC"/>
    <w:rsid w:val="50DA34A8"/>
    <w:rsid w:val="50DB26D2"/>
    <w:rsid w:val="50DB6B76"/>
    <w:rsid w:val="50DD21DA"/>
    <w:rsid w:val="50DE6667"/>
    <w:rsid w:val="50DF4245"/>
    <w:rsid w:val="50E0418D"/>
    <w:rsid w:val="50E05F3B"/>
    <w:rsid w:val="50E517A3"/>
    <w:rsid w:val="50E53551"/>
    <w:rsid w:val="50E762F8"/>
    <w:rsid w:val="50E86082"/>
    <w:rsid w:val="50EC2B32"/>
    <w:rsid w:val="50ED0658"/>
    <w:rsid w:val="50EF2622"/>
    <w:rsid w:val="50F10148"/>
    <w:rsid w:val="50F6575E"/>
    <w:rsid w:val="50F8701F"/>
    <w:rsid w:val="50FF3888"/>
    <w:rsid w:val="51002139"/>
    <w:rsid w:val="51024B4C"/>
    <w:rsid w:val="51053BF3"/>
    <w:rsid w:val="510725D4"/>
    <w:rsid w:val="510812ED"/>
    <w:rsid w:val="510A67DD"/>
    <w:rsid w:val="510C4885"/>
    <w:rsid w:val="510C4F82"/>
    <w:rsid w:val="510E0CFA"/>
    <w:rsid w:val="510F05CE"/>
    <w:rsid w:val="511107EA"/>
    <w:rsid w:val="51134562"/>
    <w:rsid w:val="511356C3"/>
    <w:rsid w:val="51143E36"/>
    <w:rsid w:val="51154DA3"/>
    <w:rsid w:val="511701B4"/>
    <w:rsid w:val="511829CC"/>
    <w:rsid w:val="511856D5"/>
    <w:rsid w:val="511E38A6"/>
    <w:rsid w:val="511F2F07"/>
    <w:rsid w:val="51204589"/>
    <w:rsid w:val="51220301"/>
    <w:rsid w:val="51241F2C"/>
    <w:rsid w:val="51256043"/>
    <w:rsid w:val="5126626F"/>
    <w:rsid w:val="512A18AC"/>
    <w:rsid w:val="512A3E35"/>
    <w:rsid w:val="512A5408"/>
    <w:rsid w:val="512C4CF1"/>
    <w:rsid w:val="512E7D96"/>
    <w:rsid w:val="51312C3A"/>
    <w:rsid w:val="51313562"/>
    <w:rsid w:val="51361FFF"/>
    <w:rsid w:val="51375C9E"/>
    <w:rsid w:val="51393D98"/>
    <w:rsid w:val="513A6339"/>
    <w:rsid w:val="513D338D"/>
    <w:rsid w:val="513D513B"/>
    <w:rsid w:val="513F5357"/>
    <w:rsid w:val="514069D9"/>
    <w:rsid w:val="514439C7"/>
    <w:rsid w:val="51475FBA"/>
    <w:rsid w:val="51493AE0"/>
    <w:rsid w:val="51497F84"/>
    <w:rsid w:val="514B1DEB"/>
    <w:rsid w:val="514B3CFC"/>
    <w:rsid w:val="514C1822"/>
    <w:rsid w:val="514C537E"/>
    <w:rsid w:val="514E10F6"/>
    <w:rsid w:val="514E559A"/>
    <w:rsid w:val="514F4E6E"/>
    <w:rsid w:val="51501312"/>
    <w:rsid w:val="5151508A"/>
    <w:rsid w:val="51516E38"/>
    <w:rsid w:val="51524269"/>
    <w:rsid w:val="51542485"/>
    <w:rsid w:val="51556929"/>
    <w:rsid w:val="51583D23"/>
    <w:rsid w:val="515A5923"/>
    <w:rsid w:val="515D0E9F"/>
    <w:rsid w:val="515D758B"/>
    <w:rsid w:val="51621046"/>
    <w:rsid w:val="5162104E"/>
    <w:rsid w:val="51635772"/>
    <w:rsid w:val="5164091A"/>
    <w:rsid w:val="51654692"/>
    <w:rsid w:val="5167665C"/>
    <w:rsid w:val="51694182"/>
    <w:rsid w:val="516A1CA8"/>
    <w:rsid w:val="516C39FA"/>
    <w:rsid w:val="516C5BA3"/>
    <w:rsid w:val="516D2A12"/>
    <w:rsid w:val="516E1E1B"/>
    <w:rsid w:val="516E3547"/>
    <w:rsid w:val="516E79EA"/>
    <w:rsid w:val="516F72BF"/>
    <w:rsid w:val="51703763"/>
    <w:rsid w:val="517174DB"/>
    <w:rsid w:val="51735001"/>
    <w:rsid w:val="5174506A"/>
    <w:rsid w:val="5176689F"/>
    <w:rsid w:val="517A013D"/>
    <w:rsid w:val="517C3D6C"/>
    <w:rsid w:val="51802646"/>
    <w:rsid w:val="51823496"/>
    <w:rsid w:val="51826FF2"/>
    <w:rsid w:val="51840FBC"/>
    <w:rsid w:val="51844B18"/>
    <w:rsid w:val="51850890"/>
    <w:rsid w:val="518610EF"/>
    <w:rsid w:val="518706AE"/>
    <w:rsid w:val="51874608"/>
    <w:rsid w:val="518B5EA5"/>
    <w:rsid w:val="518F170F"/>
    <w:rsid w:val="51905BB3"/>
    <w:rsid w:val="519136D9"/>
    <w:rsid w:val="51932FAD"/>
    <w:rsid w:val="51954F77"/>
    <w:rsid w:val="51956D68"/>
    <w:rsid w:val="51972CF4"/>
    <w:rsid w:val="51984A67"/>
    <w:rsid w:val="519D3E2C"/>
    <w:rsid w:val="519F1952"/>
    <w:rsid w:val="519F225B"/>
    <w:rsid w:val="51A21442"/>
    <w:rsid w:val="51A258E6"/>
    <w:rsid w:val="51A61C2D"/>
    <w:rsid w:val="51A96C75"/>
    <w:rsid w:val="51AB5688"/>
    <w:rsid w:val="51AB6549"/>
    <w:rsid w:val="51AE428B"/>
    <w:rsid w:val="51AF240B"/>
    <w:rsid w:val="51B06298"/>
    <w:rsid w:val="51B11685"/>
    <w:rsid w:val="51B278FC"/>
    <w:rsid w:val="51B4094F"/>
    <w:rsid w:val="51B5083A"/>
    <w:rsid w:val="51B55619"/>
    <w:rsid w:val="51B64EEE"/>
    <w:rsid w:val="51B7313F"/>
    <w:rsid w:val="51B74D7E"/>
    <w:rsid w:val="51B80C66"/>
    <w:rsid w:val="51B86EB8"/>
    <w:rsid w:val="51B97834"/>
    <w:rsid w:val="51BA2C30"/>
    <w:rsid w:val="51BC69A8"/>
    <w:rsid w:val="51BD2161"/>
    <w:rsid w:val="51BD5911"/>
    <w:rsid w:val="51BD627C"/>
    <w:rsid w:val="51C15D6C"/>
    <w:rsid w:val="51C4585C"/>
    <w:rsid w:val="51C4760A"/>
    <w:rsid w:val="51C51AB5"/>
    <w:rsid w:val="51C70EA9"/>
    <w:rsid w:val="51CC130F"/>
    <w:rsid w:val="51CC5C50"/>
    <w:rsid w:val="51D04201"/>
    <w:rsid w:val="51D33CF1"/>
    <w:rsid w:val="51D419CD"/>
    <w:rsid w:val="51D75590"/>
    <w:rsid w:val="51D81308"/>
    <w:rsid w:val="51D830B6"/>
    <w:rsid w:val="51DB0D64"/>
    <w:rsid w:val="51DC4954"/>
    <w:rsid w:val="51DD06CC"/>
    <w:rsid w:val="51DE0653"/>
    <w:rsid w:val="51DF2696"/>
    <w:rsid w:val="51E22670"/>
    <w:rsid w:val="51E23F34"/>
    <w:rsid w:val="51E27A91"/>
    <w:rsid w:val="51E5607B"/>
    <w:rsid w:val="51E657D3"/>
    <w:rsid w:val="51E90E1F"/>
    <w:rsid w:val="51EA3CB4"/>
    <w:rsid w:val="51EB4B97"/>
    <w:rsid w:val="51F31300"/>
    <w:rsid w:val="51F36142"/>
    <w:rsid w:val="51F50086"/>
    <w:rsid w:val="51F6353C"/>
    <w:rsid w:val="51F806BC"/>
    <w:rsid w:val="51F85506"/>
    <w:rsid w:val="51F92090"/>
    <w:rsid w:val="51FA302C"/>
    <w:rsid w:val="51FA74D0"/>
    <w:rsid w:val="51FC6DA4"/>
    <w:rsid w:val="51FE0D6E"/>
    <w:rsid w:val="51FE5F02"/>
    <w:rsid w:val="51FF131A"/>
    <w:rsid w:val="52000723"/>
    <w:rsid w:val="52024883"/>
    <w:rsid w:val="52036385"/>
    <w:rsid w:val="520420FD"/>
    <w:rsid w:val="52045C59"/>
    <w:rsid w:val="52065E75"/>
    <w:rsid w:val="5206771A"/>
    <w:rsid w:val="5208399B"/>
    <w:rsid w:val="520914C1"/>
    <w:rsid w:val="520B348B"/>
    <w:rsid w:val="520B5239"/>
    <w:rsid w:val="520B6FE7"/>
    <w:rsid w:val="520D4538"/>
    <w:rsid w:val="520F3CB7"/>
    <w:rsid w:val="52120376"/>
    <w:rsid w:val="52132340"/>
    <w:rsid w:val="52135808"/>
    <w:rsid w:val="52140592"/>
    <w:rsid w:val="52146C98"/>
    <w:rsid w:val="5217598C"/>
    <w:rsid w:val="52187956"/>
    <w:rsid w:val="521A36CE"/>
    <w:rsid w:val="521B6B6B"/>
    <w:rsid w:val="521C68BA"/>
    <w:rsid w:val="521F2A93"/>
    <w:rsid w:val="521F3DAB"/>
    <w:rsid w:val="52221E4F"/>
    <w:rsid w:val="522307D5"/>
    <w:rsid w:val="52232583"/>
    <w:rsid w:val="52233BBC"/>
    <w:rsid w:val="52260D85"/>
    <w:rsid w:val="52264FD2"/>
    <w:rsid w:val="522C6C56"/>
    <w:rsid w:val="522D51B0"/>
    <w:rsid w:val="522E717A"/>
    <w:rsid w:val="522F6471"/>
    <w:rsid w:val="52344790"/>
    <w:rsid w:val="52362032"/>
    <w:rsid w:val="5237602E"/>
    <w:rsid w:val="52397FF8"/>
    <w:rsid w:val="523C3645"/>
    <w:rsid w:val="523C53F3"/>
    <w:rsid w:val="523E560F"/>
    <w:rsid w:val="523E73BD"/>
    <w:rsid w:val="523F3135"/>
    <w:rsid w:val="523F401D"/>
    <w:rsid w:val="5244074B"/>
    <w:rsid w:val="52443688"/>
    <w:rsid w:val="52444636"/>
    <w:rsid w:val="52461238"/>
    <w:rsid w:val="524648E5"/>
    <w:rsid w:val="52495D62"/>
    <w:rsid w:val="524A3079"/>
    <w:rsid w:val="524B3888"/>
    <w:rsid w:val="524B7D2C"/>
    <w:rsid w:val="524C7A9A"/>
    <w:rsid w:val="524E3378"/>
    <w:rsid w:val="524E5317"/>
    <w:rsid w:val="524F15CA"/>
    <w:rsid w:val="524F3C18"/>
    <w:rsid w:val="52500E9E"/>
    <w:rsid w:val="52505342"/>
    <w:rsid w:val="5253098E"/>
    <w:rsid w:val="525372CF"/>
    <w:rsid w:val="52554706"/>
    <w:rsid w:val="5257222D"/>
    <w:rsid w:val="525766D1"/>
    <w:rsid w:val="5259645C"/>
    <w:rsid w:val="525A1D1D"/>
    <w:rsid w:val="525C3CE7"/>
    <w:rsid w:val="525D7430"/>
    <w:rsid w:val="525E35BB"/>
    <w:rsid w:val="525F10E1"/>
    <w:rsid w:val="526112FD"/>
    <w:rsid w:val="526130AB"/>
    <w:rsid w:val="52635075"/>
    <w:rsid w:val="526471C6"/>
    <w:rsid w:val="52650DED"/>
    <w:rsid w:val="526607F5"/>
    <w:rsid w:val="526861E8"/>
    <w:rsid w:val="52691F60"/>
    <w:rsid w:val="526A01B2"/>
    <w:rsid w:val="526B217C"/>
    <w:rsid w:val="526C7EB6"/>
    <w:rsid w:val="526D31C8"/>
    <w:rsid w:val="526D3D56"/>
    <w:rsid w:val="526F3A1A"/>
    <w:rsid w:val="52720E14"/>
    <w:rsid w:val="5272134C"/>
    <w:rsid w:val="52727F85"/>
    <w:rsid w:val="52733F35"/>
    <w:rsid w:val="52741030"/>
    <w:rsid w:val="52754DA9"/>
    <w:rsid w:val="52760C06"/>
    <w:rsid w:val="527728CF"/>
    <w:rsid w:val="527903F5"/>
    <w:rsid w:val="52796647"/>
    <w:rsid w:val="527A5F1B"/>
    <w:rsid w:val="527C6137"/>
    <w:rsid w:val="527E02C3"/>
    <w:rsid w:val="527E1EAF"/>
    <w:rsid w:val="527E3C5D"/>
    <w:rsid w:val="527E5D94"/>
    <w:rsid w:val="5281374D"/>
    <w:rsid w:val="528350D9"/>
    <w:rsid w:val="52851792"/>
    <w:rsid w:val="528943B0"/>
    <w:rsid w:val="528C3A7D"/>
    <w:rsid w:val="528D5C4E"/>
    <w:rsid w:val="528E3A98"/>
    <w:rsid w:val="528F18BA"/>
    <w:rsid w:val="528F5D07"/>
    <w:rsid w:val="52936A4F"/>
    <w:rsid w:val="529626A5"/>
    <w:rsid w:val="52974D1F"/>
    <w:rsid w:val="529D1EC5"/>
    <w:rsid w:val="529E3DA2"/>
    <w:rsid w:val="52A01E26"/>
    <w:rsid w:val="52A30897"/>
    <w:rsid w:val="52A37C23"/>
    <w:rsid w:val="52A443CF"/>
    <w:rsid w:val="52A66D10"/>
    <w:rsid w:val="52A762F3"/>
    <w:rsid w:val="52A80CDA"/>
    <w:rsid w:val="52A82A88"/>
    <w:rsid w:val="52A94DEC"/>
    <w:rsid w:val="52AA2341"/>
    <w:rsid w:val="52AA6800"/>
    <w:rsid w:val="52AC0CD5"/>
    <w:rsid w:val="52AC70F5"/>
    <w:rsid w:val="52AD009F"/>
    <w:rsid w:val="52AD4542"/>
    <w:rsid w:val="52AE46BB"/>
    <w:rsid w:val="52AF3E17"/>
    <w:rsid w:val="52AF4864"/>
    <w:rsid w:val="52B0193D"/>
    <w:rsid w:val="52B256B5"/>
    <w:rsid w:val="52B458D1"/>
    <w:rsid w:val="52B606E4"/>
    <w:rsid w:val="52B7716F"/>
    <w:rsid w:val="52BB6C5F"/>
    <w:rsid w:val="52BC6534"/>
    <w:rsid w:val="52BD5884"/>
    <w:rsid w:val="52BE5550"/>
    <w:rsid w:val="52C27FEE"/>
    <w:rsid w:val="52C33D66"/>
    <w:rsid w:val="52C35B14"/>
    <w:rsid w:val="52C36A6C"/>
    <w:rsid w:val="52C378C2"/>
    <w:rsid w:val="52C8312A"/>
    <w:rsid w:val="52CC1D29"/>
    <w:rsid w:val="52CD0741"/>
    <w:rsid w:val="52CD24EF"/>
    <w:rsid w:val="52CF44B9"/>
    <w:rsid w:val="52D03D8D"/>
    <w:rsid w:val="52D153BA"/>
    <w:rsid w:val="52D15F58"/>
    <w:rsid w:val="52D163DA"/>
    <w:rsid w:val="52D27B05"/>
    <w:rsid w:val="52D675F5"/>
    <w:rsid w:val="52D715BF"/>
    <w:rsid w:val="52D82CEB"/>
    <w:rsid w:val="52D970E6"/>
    <w:rsid w:val="52DA5A07"/>
    <w:rsid w:val="52DB4C0C"/>
    <w:rsid w:val="52DD4E28"/>
    <w:rsid w:val="52DE0BEE"/>
    <w:rsid w:val="52DE294E"/>
    <w:rsid w:val="52E02222"/>
    <w:rsid w:val="52E141EC"/>
    <w:rsid w:val="52E2243E"/>
    <w:rsid w:val="52E361B6"/>
    <w:rsid w:val="52E37F64"/>
    <w:rsid w:val="52E8557B"/>
    <w:rsid w:val="52E923B8"/>
    <w:rsid w:val="52E9540A"/>
    <w:rsid w:val="52EA30A1"/>
    <w:rsid w:val="52EA4E4F"/>
    <w:rsid w:val="52EE08E3"/>
    <w:rsid w:val="52EF6909"/>
    <w:rsid w:val="52F12681"/>
    <w:rsid w:val="52F201A7"/>
    <w:rsid w:val="52F52683"/>
    <w:rsid w:val="52F60237"/>
    <w:rsid w:val="52F65EE9"/>
    <w:rsid w:val="52F67C97"/>
    <w:rsid w:val="52F80BAD"/>
    <w:rsid w:val="52FD606D"/>
    <w:rsid w:val="52FE6B4C"/>
    <w:rsid w:val="5302663C"/>
    <w:rsid w:val="53035F10"/>
    <w:rsid w:val="53040493"/>
    <w:rsid w:val="530443EF"/>
    <w:rsid w:val="530449C0"/>
    <w:rsid w:val="53065A01"/>
    <w:rsid w:val="53072D70"/>
    <w:rsid w:val="530879CB"/>
    <w:rsid w:val="530A6B20"/>
    <w:rsid w:val="530F0D59"/>
    <w:rsid w:val="53114AD1"/>
    <w:rsid w:val="5314011E"/>
    <w:rsid w:val="53177C0E"/>
    <w:rsid w:val="531B14AC"/>
    <w:rsid w:val="531B5950"/>
    <w:rsid w:val="531D5224"/>
    <w:rsid w:val="53202F66"/>
    <w:rsid w:val="53220A8C"/>
    <w:rsid w:val="5325232B"/>
    <w:rsid w:val="532820A9"/>
    <w:rsid w:val="532B759A"/>
    <w:rsid w:val="532C5467"/>
    <w:rsid w:val="532D14B4"/>
    <w:rsid w:val="532D6D4E"/>
    <w:rsid w:val="532F31A9"/>
    <w:rsid w:val="53316F22"/>
    <w:rsid w:val="533407C0"/>
    <w:rsid w:val="53346A12"/>
    <w:rsid w:val="53346B81"/>
    <w:rsid w:val="53355DEE"/>
    <w:rsid w:val="53373E0C"/>
    <w:rsid w:val="533D7674"/>
    <w:rsid w:val="53400F13"/>
    <w:rsid w:val="534053B7"/>
    <w:rsid w:val="53446C55"/>
    <w:rsid w:val="534558E3"/>
    <w:rsid w:val="53456529"/>
    <w:rsid w:val="53470DD7"/>
    <w:rsid w:val="53487DC7"/>
    <w:rsid w:val="534A7FE3"/>
    <w:rsid w:val="534C5B09"/>
    <w:rsid w:val="534D3630"/>
    <w:rsid w:val="534D53DE"/>
    <w:rsid w:val="534F55FA"/>
    <w:rsid w:val="53514ECE"/>
    <w:rsid w:val="53527B95"/>
    <w:rsid w:val="5354676C"/>
    <w:rsid w:val="535624E4"/>
    <w:rsid w:val="535B3F9E"/>
    <w:rsid w:val="535B7AFB"/>
    <w:rsid w:val="535D78A6"/>
    <w:rsid w:val="53640E6B"/>
    <w:rsid w:val="53650979"/>
    <w:rsid w:val="53656BCB"/>
    <w:rsid w:val="53670B95"/>
    <w:rsid w:val="536A2433"/>
    <w:rsid w:val="536E5E33"/>
    <w:rsid w:val="536F17F8"/>
    <w:rsid w:val="537137C2"/>
    <w:rsid w:val="53733096"/>
    <w:rsid w:val="53760DD8"/>
    <w:rsid w:val="53764934"/>
    <w:rsid w:val="53780AA4"/>
    <w:rsid w:val="537961D3"/>
    <w:rsid w:val="537A1B02"/>
    <w:rsid w:val="537B4521"/>
    <w:rsid w:val="537D468A"/>
    <w:rsid w:val="53803A05"/>
    <w:rsid w:val="53856213"/>
    <w:rsid w:val="53876B42"/>
    <w:rsid w:val="53890B0C"/>
    <w:rsid w:val="538A7844"/>
    <w:rsid w:val="538E6122"/>
    <w:rsid w:val="53933738"/>
    <w:rsid w:val="53964FD7"/>
    <w:rsid w:val="53980D4F"/>
    <w:rsid w:val="53986FA1"/>
    <w:rsid w:val="539A2935"/>
    <w:rsid w:val="539B439B"/>
    <w:rsid w:val="539D45B7"/>
    <w:rsid w:val="539D6365"/>
    <w:rsid w:val="539F032F"/>
    <w:rsid w:val="53A019B1"/>
    <w:rsid w:val="53A039CC"/>
    <w:rsid w:val="53A05E55"/>
    <w:rsid w:val="53A07C03"/>
    <w:rsid w:val="53A1505A"/>
    <w:rsid w:val="53A2397B"/>
    <w:rsid w:val="53A276CC"/>
    <w:rsid w:val="53A56FC8"/>
    <w:rsid w:val="53A6376C"/>
    <w:rsid w:val="53A92F5C"/>
    <w:rsid w:val="53A9669E"/>
    <w:rsid w:val="53A96AB8"/>
    <w:rsid w:val="53AC0356"/>
    <w:rsid w:val="53AE0C7F"/>
    <w:rsid w:val="53AE2320"/>
    <w:rsid w:val="53AE40CE"/>
    <w:rsid w:val="53AF397D"/>
    <w:rsid w:val="53AF7E46"/>
    <w:rsid w:val="53B042EA"/>
    <w:rsid w:val="53B316E5"/>
    <w:rsid w:val="53B33E09"/>
    <w:rsid w:val="53B37937"/>
    <w:rsid w:val="53B65679"/>
    <w:rsid w:val="53B67427"/>
    <w:rsid w:val="53BB4A3D"/>
    <w:rsid w:val="53BC2C8F"/>
    <w:rsid w:val="53BF3446"/>
    <w:rsid w:val="53BF62DB"/>
    <w:rsid w:val="53C02053"/>
    <w:rsid w:val="53C21688"/>
    <w:rsid w:val="53C6336A"/>
    <w:rsid w:val="53C953AC"/>
    <w:rsid w:val="53C9715A"/>
    <w:rsid w:val="53CA654B"/>
    <w:rsid w:val="53CB1124"/>
    <w:rsid w:val="53CB60CB"/>
    <w:rsid w:val="53CC6C4A"/>
    <w:rsid w:val="53D004E8"/>
    <w:rsid w:val="53D01A92"/>
    <w:rsid w:val="53D0673A"/>
    <w:rsid w:val="53D31D87"/>
    <w:rsid w:val="53D41815"/>
    <w:rsid w:val="53D55F21"/>
    <w:rsid w:val="53D61877"/>
    <w:rsid w:val="53D6626A"/>
    <w:rsid w:val="53D74664"/>
    <w:rsid w:val="53D77AC9"/>
    <w:rsid w:val="53D855EF"/>
    <w:rsid w:val="53DA11A0"/>
    <w:rsid w:val="53DA4EC3"/>
    <w:rsid w:val="53DB6E8D"/>
    <w:rsid w:val="53DD14F8"/>
    <w:rsid w:val="53DF24DA"/>
    <w:rsid w:val="53E04C9E"/>
    <w:rsid w:val="53E051BF"/>
    <w:rsid w:val="53E143AE"/>
    <w:rsid w:val="53E161BB"/>
    <w:rsid w:val="53E2646E"/>
    <w:rsid w:val="53E977FC"/>
    <w:rsid w:val="53EB5326"/>
    <w:rsid w:val="53F00B8B"/>
    <w:rsid w:val="53F266B1"/>
    <w:rsid w:val="53F81D96"/>
    <w:rsid w:val="53F92DE6"/>
    <w:rsid w:val="53FA5565"/>
    <w:rsid w:val="53FA59B7"/>
    <w:rsid w:val="53FB5D86"/>
    <w:rsid w:val="53FC0BBB"/>
    <w:rsid w:val="53FC12DE"/>
    <w:rsid w:val="53FC6D0C"/>
    <w:rsid w:val="53FD6E04"/>
    <w:rsid w:val="53FD6E42"/>
    <w:rsid w:val="54004D75"/>
    <w:rsid w:val="54012CB9"/>
    <w:rsid w:val="54014B46"/>
    <w:rsid w:val="54060FA4"/>
    <w:rsid w:val="54063E08"/>
    <w:rsid w:val="54065CB8"/>
    <w:rsid w:val="5408194A"/>
    <w:rsid w:val="540957A8"/>
    <w:rsid w:val="540B32CF"/>
    <w:rsid w:val="540B7773"/>
    <w:rsid w:val="540C7047"/>
    <w:rsid w:val="541128AF"/>
    <w:rsid w:val="541303D5"/>
    <w:rsid w:val="54161C73"/>
    <w:rsid w:val="54172DB0"/>
    <w:rsid w:val="54176117"/>
    <w:rsid w:val="54214A3E"/>
    <w:rsid w:val="54216F96"/>
    <w:rsid w:val="54240834"/>
    <w:rsid w:val="54261E03"/>
    <w:rsid w:val="542919A7"/>
    <w:rsid w:val="5429247E"/>
    <w:rsid w:val="5429409D"/>
    <w:rsid w:val="542B4555"/>
    <w:rsid w:val="542D7E04"/>
    <w:rsid w:val="54302D35"/>
    <w:rsid w:val="5430506E"/>
    <w:rsid w:val="54316AAD"/>
    <w:rsid w:val="54342932"/>
    <w:rsid w:val="543437E8"/>
    <w:rsid w:val="54362FEF"/>
    <w:rsid w:val="54370568"/>
    <w:rsid w:val="543842E0"/>
    <w:rsid w:val="5438608E"/>
    <w:rsid w:val="54393EE6"/>
    <w:rsid w:val="543C3DD0"/>
    <w:rsid w:val="543D5452"/>
    <w:rsid w:val="543F566E"/>
    <w:rsid w:val="54436F0C"/>
    <w:rsid w:val="54443BCF"/>
    <w:rsid w:val="54444A33"/>
    <w:rsid w:val="54455968"/>
    <w:rsid w:val="544856E3"/>
    <w:rsid w:val="544A72F2"/>
    <w:rsid w:val="544B4013"/>
    <w:rsid w:val="544B7B6F"/>
    <w:rsid w:val="54526BF6"/>
    <w:rsid w:val="54527990"/>
    <w:rsid w:val="54534C76"/>
    <w:rsid w:val="5455279C"/>
    <w:rsid w:val="54574766"/>
    <w:rsid w:val="545C0475"/>
    <w:rsid w:val="545C1D7C"/>
    <w:rsid w:val="545C3B2A"/>
    <w:rsid w:val="545C4D54"/>
    <w:rsid w:val="545D4AA3"/>
    <w:rsid w:val="545E0951"/>
    <w:rsid w:val="545F7ABE"/>
    <w:rsid w:val="54604B65"/>
    <w:rsid w:val="5463135D"/>
    <w:rsid w:val="5463310B"/>
    <w:rsid w:val="546450D5"/>
    <w:rsid w:val="54672D64"/>
    <w:rsid w:val="54684BC5"/>
    <w:rsid w:val="546A07E8"/>
    <w:rsid w:val="546B0211"/>
    <w:rsid w:val="546B1FBF"/>
    <w:rsid w:val="546B31A6"/>
    <w:rsid w:val="546F1423"/>
    <w:rsid w:val="546F7495"/>
    <w:rsid w:val="547370C6"/>
    <w:rsid w:val="54751090"/>
    <w:rsid w:val="54770964"/>
    <w:rsid w:val="54776BB6"/>
    <w:rsid w:val="54784B7D"/>
    <w:rsid w:val="547D1CF3"/>
    <w:rsid w:val="547E7F44"/>
    <w:rsid w:val="54815C87"/>
    <w:rsid w:val="54834C53"/>
    <w:rsid w:val="5483555B"/>
    <w:rsid w:val="548406A8"/>
    <w:rsid w:val="54890697"/>
    <w:rsid w:val="5489702D"/>
    <w:rsid w:val="54897AB8"/>
    <w:rsid w:val="548D0188"/>
    <w:rsid w:val="548D2129"/>
    <w:rsid w:val="548D63DA"/>
    <w:rsid w:val="548E0B39"/>
    <w:rsid w:val="548E3F00"/>
    <w:rsid w:val="549229EC"/>
    <w:rsid w:val="549332C4"/>
    <w:rsid w:val="549459BA"/>
    <w:rsid w:val="549534E0"/>
    <w:rsid w:val="549537A4"/>
    <w:rsid w:val="5495528E"/>
    <w:rsid w:val="54967355"/>
    <w:rsid w:val="5497683F"/>
    <w:rsid w:val="54994D7E"/>
    <w:rsid w:val="549A0AF6"/>
    <w:rsid w:val="549B0A73"/>
    <w:rsid w:val="549C486F"/>
    <w:rsid w:val="549C661D"/>
    <w:rsid w:val="549E4143"/>
    <w:rsid w:val="54A13C33"/>
    <w:rsid w:val="54A159E1"/>
    <w:rsid w:val="54A47238"/>
    <w:rsid w:val="54A81C3C"/>
    <w:rsid w:val="54A84FC1"/>
    <w:rsid w:val="54AB6860"/>
    <w:rsid w:val="54AC5B27"/>
    <w:rsid w:val="54AE00FE"/>
    <w:rsid w:val="54AF45A2"/>
    <w:rsid w:val="54B113CD"/>
    <w:rsid w:val="54B1671F"/>
    <w:rsid w:val="54B24092"/>
    <w:rsid w:val="54B27BEE"/>
    <w:rsid w:val="54B73456"/>
    <w:rsid w:val="54BC019A"/>
    <w:rsid w:val="54BD1520"/>
    <w:rsid w:val="54C17E31"/>
    <w:rsid w:val="54C23F02"/>
    <w:rsid w:val="54C31DFB"/>
    <w:rsid w:val="54C33BA9"/>
    <w:rsid w:val="54C55D04"/>
    <w:rsid w:val="54C81535"/>
    <w:rsid w:val="54CD67D6"/>
    <w:rsid w:val="54CF19EC"/>
    <w:rsid w:val="54CF51E4"/>
    <w:rsid w:val="54D264E2"/>
    <w:rsid w:val="54D308FB"/>
    <w:rsid w:val="54D44C3B"/>
    <w:rsid w:val="54D63807"/>
    <w:rsid w:val="54D77655"/>
    <w:rsid w:val="54D92188"/>
    <w:rsid w:val="54D97871"/>
    <w:rsid w:val="54DA01DA"/>
    <w:rsid w:val="54DA0A17"/>
    <w:rsid w:val="54DA641F"/>
    <w:rsid w:val="54DC2048"/>
    <w:rsid w:val="54DD72CE"/>
    <w:rsid w:val="54E0475B"/>
    <w:rsid w:val="54E35FFA"/>
    <w:rsid w:val="54E51D72"/>
    <w:rsid w:val="54E67898"/>
    <w:rsid w:val="54E746EF"/>
    <w:rsid w:val="54EB1352"/>
    <w:rsid w:val="54EC75A4"/>
    <w:rsid w:val="54F00716"/>
    <w:rsid w:val="54F31FD7"/>
    <w:rsid w:val="54F621D1"/>
    <w:rsid w:val="54F73313"/>
    <w:rsid w:val="54F80955"/>
    <w:rsid w:val="54F816E0"/>
    <w:rsid w:val="54F9581D"/>
    <w:rsid w:val="54FB1595"/>
    <w:rsid w:val="54FC249E"/>
    <w:rsid w:val="54FC3DE1"/>
    <w:rsid w:val="54FC530D"/>
    <w:rsid w:val="54FE2A13"/>
    <w:rsid w:val="54FF3501"/>
    <w:rsid w:val="54FF50A0"/>
    <w:rsid w:val="55006BAB"/>
    <w:rsid w:val="55020B76"/>
    <w:rsid w:val="550348EE"/>
    <w:rsid w:val="55067F3A"/>
    <w:rsid w:val="550A17D8"/>
    <w:rsid w:val="550A755A"/>
    <w:rsid w:val="550A7A2A"/>
    <w:rsid w:val="550B7314"/>
    <w:rsid w:val="550C37A2"/>
    <w:rsid w:val="550D751A"/>
    <w:rsid w:val="550E2268"/>
    <w:rsid w:val="55110DB9"/>
    <w:rsid w:val="55144405"/>
    <w:rsid w:val="55144C39"/>
    <w:rsid w:val="551663CF"/>
    <w:rsid w:val="55172147"/>
    <w:rsid w:val="55180399"/>
    <w:rsid w:val="55191A1B"/>
    <w:rsid w:val="55195EBF"/>
    <w:rsid w:val="551B39E5"/>
    <w:rsid w:val="551B7F9F"/>
    <w:rsid w:val="551C775D"/>
    <w:rsid w:val="552159C7"/>
    <w:rsid w:val="5522723D"/>
    <w:rsid w:val="552306CD"/>
    <w:rsid w:val="55230AEC"/>
    <w:rsid w:val="55232CA8"/>
    <w:rsid w:val="5527238A"/>
    <w:rsid w:val="55284354"/>
    <w:rsid w:val="55297C80"/>
    <w:rsid w:val="552B06C5"/>
    <w:rsid w:val="552C5BF2"/>
    <w:rsid w:val="552C79A0"/>
    <w:rsid w:val="552D3719"/>
    <w:rsid w:val="552D54C7"/>
    <w:rsid w:val="552E58E7"/>
    <w:rsid w:val="552F223C"/>
    <w:rsid w:val="552F7491"/>
    <w:rsid w:val="55313209"/>
    <w:rsid w:val="55344AA7"/>
    <w:rsid w:val="55350158"/>
    <w:rsid w:val="553625CD"/>
    <w:rsid w:val="5539030F"/>
    <w:rsid w:val="553D5D56"/>
    <w:rsid w:val="553D7E00"/>
    <w:rsid w:val="553E1B5E"/>
    <w:rsid w:val="5540344C"/>
    <w:rsid w:val="554051FA"/>
    <w:rsid w:val="5542526F"/>
    <w:rsid w:val="55436576"/>
    <w:rsid w:val="55436A98"/>
    <w:rsid w:val="55456CB4"/>
    <w:rsid w:val="55480552"/>
    <w:rsid w:val="55482300"/>
    <w:rsid w:val="554B4D08"/>
    <w:rsid w:val="554B78D9"/>
    <w:rsid w:val="554C0043"/>
    <w:rsid w:val="554E136B"/>
    <w:rsid w:val="554E1975"/>
    <w:rsid w:val="554F7B33"/>
    <w:rsid w:val="55515E20"/>
    <w:rsid w:val="555170A7"/>
    <w:rsid w:val="55517407"/>
    <w:rsid w:val="5552317F"/>
    <w:rsid w:val="555313D1"/>
    <w:rsid w:val="55545149"/>
    <w:rsid w:val="5555355C"/>
    <w:rsid w:val="5555739E"/>
    <w:rsid w:val="55564A1D"/>
    <w:rsid w:val="55567D78"/>
    <w:rsid w:val="555962BC"/>
    <w:rsid w:val="555A5829"/>
    <w:rsid w:val="555D1CEE"/>
    <w:rsid w:val="555D2250"/>
    <w:rsid w:val="555D3FFE"/>
    <w:rsid w:val="555E1B24"/>
    <w:rsid w:val="555E7D76"/>
    <w:rsid w:val="556233C2"/>
    <w:rsid w:val="5563713A"/>
    <w:rsid w:val="55651104"/>
    <w:rsid w:val="556C2493"/>
    <w:rsid w:val="556D17E3"/>
    <w:rsid w:val="556E7FB9"/>
    <w:rsid w:val="557312C2"/>
    <w:rsid w:val="55731DCA"/>
    <w:rsid w:val="55733821"/>
    <w:rsid w:val="55754F8D"/>
    <w:rsid w:val="55767EF4"/>
    <w:rsid w:val="55780E38"/>
    <w:rsid w:val="557B0928"/>
    <w:rsid w:val="557B26D6"/>
    <w:rsid w:val="557C08CC"/>
    <w:rsid w:val="557C1FAA"/>
    <w:rsid w:val="557D3C2D"/>
    <w:rsid w:val="557F21C6"/>
    <w:rsid w:val="55801A9A"/>
    <w:rsid w:val="55807CEC"/>
    <w:rsid w:val="558175EF"/>
    <w:rsid w:val="558275C0"/>
    <w:rsid w:val="5583158B"/>
    <w:rsid w:val="558477DD"/>
    <w:rsid w:val="558639E2"/>
    <w:rsid w:val="5587536D"/>
    <w:rsid w:val="558957AE"/>
    <w:rsid w:val="558C591D"/>
    <w:rsid w:val="558D41B7"/>
    <w:rsid w:val="558F1CDD"/>
    <w:rsid w:val="558F6181"/>
    <w:rsid w:val="5591152A"/>
    <w:rsid w:val="55943798"/>
    <w:rsid w:val="559612BE"/>
    <w:rsid w:val="55967510"/>
    <w:rsid w:val="5598445C"/>
    <w:rsid w:val="559B1181"/>
    <w:rsid w:val="559B174B"/>
    <w:rsid w:val="559F61F2"/>
    <w:rsid w:val="55A27C63"/>
    <w:rsid w:val="55A345CB"/>
    <w:rsid w:val="55A35789"/>
    <w:rsid w:val="55A46AE9"/>
    <w:rsid w:val="55A504E4"/>
    <w:rsid w:val="55A51501"/>
    <w:rsid w:val="55A64150"/>
    <w:rsid w:val="55A67CEB"/>
    <w:rsid w:val="55A84294"/>
    <w:rsid w:val="55AD03B6"/>
    <w:rsid w:val="55AD25BB"/>
    <w:rsid w:val="55B15612"/>
    <w:rsid w:val="55B160F8"/>
    <w:rsid w:val="55B36828"/>
    <w:rsid w:val="55B41744"/>
    <w:rsid w:val="55B442A9"/>
    <w:rsid w:val="55B47996"/>
    <w:rsid w:val="55B637A8"/>
    <w:rsid w:val="55B913DC"/>
    <w:rsid w:val="55BB0BEE"/>
    <w:rsid w:val="55BE25C3"/>
    <w:rsid w:val="55C51BA3"/>
    <w:rsid w:val="55C70A40"/>
    <w:rsid w:val="55C71477"/>
    <w:rsid w:val="55C723EE"/>
    <w:rsid w:val="55C82F4A"/>
    <w:rsid w:val="55CC6FE2"/>
    <w:rsid w:val="55CE0CF4"/>
    <w:rsid w:val="55D02A22"/>
    <w:rsid w:val="55D32512"/>
    <w:rsid w:val="55D342C0"/>
    <w:rsid w:val="55D43B94"/>
    <w:rsid w:val="55D532B1"/>
    <w:rsid w:val="55D534AF"/>
    <w:rsid w:val="55D87B28"/>
    <w:rsid w:val="55D978F3"/>
    <w:rsid w:val="55DB13C7"/>
    <w:rsid w:val="55DB3175"/>
    <w:rsid w:val="55E0078B"/>
    <w:rsid w:val="55E069DD"/>
    <w:rsid w:val="55E24503"/>
    <w:rsid w:val="55E42111"/>
    <w:rsid w:val="55E53FF3"/>
    <w:rsid w:val="55E66E07"/>
    <w:rsid w:val="55E83909"/>
    <w:rsid w:val="55E93AE3"/>
    <w:rsid w:val="55EB13B8"/>
    <w:rsid w:val="55EB785C"/>
    <w:rsid w:val="55EC1E85"/>
    <w:rsid w:val="55EC63FA"/>
    <w:rsid w:val="55EC7130"/>
    <w:rsid w:val="55EE10FA"/>
    <w:rsid w:val="55F10BEA"/>
    <w:rsid w:val="55F127EE"/>
    <w:rsid w:val="55F31810"/>
    <w:rsid w:val="55F34962"/>
    <w:rsid w:val="55F42962"/>
    <w:rsid w:val="55F67FAE"/>
    <w:rsid w:val="55F816DE"/>
    <w:rsid w:val="55F83D27"/>
    <w:rsid w:val="55F84E9E"/>
    <w:rsid w:val="55FA2FD9"/>
    <w:rsid w:val="55FD2F0B"/>
    <w:rsid w:val="56002BDB"/>
    <w:rsid w:val="56024BA5"/>
    <w:rsid w:val="56052390"/>
    <w:rsid w:val="56082EE6"/>
    <w:rsid w:val="56095F34"/>
    <w:rsid w:val="560A1E5B"/>
    <w:rsid w:val="560B395E"/>
    <w:rsid w:val="560D2C27"/>
    <w:rsid w:val="560E52F8"/>
    <w:rsid w:val="56101070"/>
    <w:rsid w:val="561072C2"/>
    <w:rsid w:val="56121090"/>
    <w:rsid w:val="561365A0"/>
    <w:rsid w:val="56151782"/>
    <w:rsid w:val="56152796"/>
    <w:rsid w:val="56156A5D"/>
    <w:rsid w:val="56160E3D"/>
    <w:rsid w:val="56161BD4"/>
    <w:rsid w:val="56177A73"/>
    <w:rsid w:val="56187F25"/>
    <w:rsid w:val="561A1EEF"/>
    <w:rsid w:val="561B14C6"/>
    <w:rsid w:val="561B7151"/>
    <w:rsid w:val="561D2A3F"/>
    <w:rsid w:val="561D553B"/>
    <w:rsid w:val="561F5757"/>
    <w:rsid w:val="561F7505"/>
    <w:rsid w:val="5621502B"/>
    <w:rsid w:val="56220DA3"/>
    <w:rsid w:val="562763BA"/>
    <w:rsid w:val="562A6771"/>
    <w:rsid w:val="562B3E41"/>
    <w:rsid w:val="562C1C22"/>
    <w:rsid w:val="562C39D0"/>
    <w:rsid w:val="562C47CA"/>
    <w:rsid w:val="56323497"/>
    <w:rsid w:val="5632548A"/>
    <w:rsid w:val="56327239"/>
    <w:rsid w:val="56334D5F"/>
    <w:rsid w:val="56336B0D"/>
    <w:rsid w:val="56352885"/>
    <w:rsid w:val="56363D8F"/>
    <w:rsid w:val="563665FD"/>
    <w:rsid w:val="56382375"/>
    <w:rsid w:val="56384123"/>
    <w:rsid w:val="5639752B"/>
    <w:rsid w:val="563A7E9B"/>
    <w:rsid w:val="563C1E65"/>
    <w:rsid w:val="563D798B"/>
    <w:rsid w:val="563F1955"/>
    <w:rsid w:val="563F54B2"/>
    <w:rsid w:val="564009F8"/>
    <w:rsid w:val="5641747C"/>
    <w:rsid w:val="564231F4"/>
    <w:rsid w:val="56484A62"/>
    <w:rsid w:val="56486A5C"/>
    <w:rsid w:val="564C5E20"/>
    <w:rsid w:val="564D4072"/>
    <w:rsid w:val="565151E5"/>
    <w:rsid w:val="56530F5D"/>
    <w:rsid w:val="56546C25"/>
    <w:rsid w:val="56551179"/>
    <w:rsid w:val="56554CD5"/>
    <w:rsid w:val="56574EF1"/>
    <w:rsid w:val="565847C5"/>
    <w:rsid w:val="56586573"/>
    <w:rsid w:val="565A053D"/>
    <w:rsid w:val="565C42B5"/>
    <w:rsid w:val="566273B3"/>
    <w:rsid w:val="56644F18"/>
    <w:rsid w:val="56660156"/>
    <w:rsid w:val="56665134"/>
    <w:rsid w:val="56666EE2"/>
    <w:rsid w:val="56690780"/>
    <w:rsid w:val="566A00AD"/>
    <w:rsid w:val="566B62A7"/>
    <w:rsid w:val="566D52ED"/>
    <w:rsid w:val="566E5D97"/>
    <w:rsid w:val="56707D61"/>
    <w:rsid w:val="56716D3E"/>
    <w:rsid w:val="56727104"/>
    <w:rsid w:val="567333AD"/>
    <w:rsid w:val="567468E6"/>
    <w:rsid w:val="567760E3"/>
    <w:rsid w:val="56786279"/>
    <w:rsid w:val="567B1855"/>
    <w:rsid w:val="567C0004"/>
    <w:rsid w:val="567D5FDA"/>
    <w:rsid w:val="56813D1C"/>
    <w:rsid w:val="56815ACA"/>
    <w:rsid w:val="56826A18"/>
    <w:rsid w:val="5683587B"/>
    <w:rsid w:val="568421DB"/>
    <w:rsid w:val="5684380C"/>
    <w:rsid w:val="568A7075"/>
    <w:rsid w:val="568B24D8"/>
    <w:rsid w:val="568B6949"/>
    <w:rsid w:val="568E01E7"/>
    <w:rsid w:val="568E6439"/>
    <w:rsid w:val="56933A4F"/>
    <w:rsid w:val="56935B78"/>
    <w:rsid w:val="569956F7"/>
    <w:rsid w:val="569A3030"/>
    <w:rsid w:val="569F0646"/>
    <w:rsid w:val="569F31F6"/>
    <w:rsid w:val="569F41A2"/>
    <w:rsid w:val="56A1616C"/>
    <w:rsid w:val="56A17F1A"/>
    <w:rsid w:val="56A22E34"/>
    <w:rsid w:val="56A31EE4"/>
    <w:rsid w:val="56A356F0"/>
    <w:rsid w:val="56A63783"/>
    <w:rsid w:val="56AA3DFF"/>
    <w:rsid w:val="56AB69D0"/>
    <w:rsid w:val="56B04601"/>
    <w:rsid w:val="56B10B5F"/>
    <w:rsid w:val="56B22A9C"/>
    <w:rsid w:val="56B440F1"/>
    <w:rsid w:val="56B45E9F"/>
    <w:rsid w:val="56B934B6"/>
    <w:rsid w:val="56BC2FA6"/>
    <w:rsid w:val="56C1236A"/>
    <w:rsid w:val="56C20E37"/>
    <w:rsid w:val="56C26072"/>
    <w:rsid w:val="56C314E7"/>
    <w:rsid w:val="56C3422E"/>
    <w:rsid w:val="56C37E91"/>
    <w:rsid w:val="56C50F1E"/>
    <w:rsid w:val="56C63E25"/>
    <w:rsid w:val="56C67981"/>
    <w:rsid w:val="56C87B9D"/>
    <w:rsid w:val="56CA197E"/>
    <w:rsid w:val="56CA2358"/>
    <w:rsid w:val="56CB143B"/>
    <w:rsid w:val="56CC4D76"/>
    <w:rsid w:val="56CE6835"/>
    <w:rsid w:val="56D24578"/>
    <w:rsid w:val="56D27CC5"/>
    <w:rsid w:val="56D4449B"/>
    <w:rsid w:val="56D46542"/>
    <w:rsid w:val="56D55286"/>
    <w:rsid w:val="56D55E16"/>
    <w:rsid w:val="56D637C1"/>
    <w:rsid w:val="56DA167E"/>
    <w:rsid w:val="56DA5E47"/>
    <w:rsid w:val="56DB758F"/>
    <w:rsid w:val="56DC53F6"/>
    <w:rsid w:val="56DF0A43"/>
    <w:rsid w:val="56E542AB"/>
    <w:rsid w:val="56E605A2"/>
    <w:rsid w:val="56E61DD1"/>
    <w:rsid w:val="56E733A1"/>
    <w:rsid w:val="56E801F8"/>
    <w:rsid w:val="56E83D9B"/>
    <w:rsid w:val="56EA7B13"/>
    <w:rsid w:val="56ED315F"/>
    <w:rsid w:val="56EE0C86"/>
    <w:rsid w:val="56EF3C74"/>
    <w:rsid w:val="56F02C50"/>
    <w:rsid w:val="56F049FE"/>
    <w:rsid w:val="56F269C8"/>
    <w:rsid w:val="56F270DD"/>
    <w:rsid w:val="56F3629C"/>
    <w:rsid w:val="56F444EE"/>
    <w:rsid w:val="56F6302C"/>
    <w:rsid w:val="56F72230"/>
    <w:rsid w:val="56F97D56"/>
    <w:rsid w:val="56FA0D87"/>
    <w:rsid w:val="56FB2042"/>
    <w:rsid w:val="56FE35BF"/>
    <w:rsid w:val="56FE6576"/>
    <w:rsid w:val="57004867"/>
    <w:rsid w:val="57016C0B"/>
    <w:rsid w:val="5705494D"/>
    <w:rsid w:val="570556BE"/>
    <w:rsid w:val="570B1838"/>
    <w:rsid w:val="570C203C"/>
    <w:rsid w:val="570D1A54"/>
    <w:rsid w:val="570D3802"/>
    <w:rsid w:val="570E5ABC"/>
    <w:rsid w:val="570F1328"/>
    <w:rsid w:val="57106E4E"/>
    <w:rsid w:val="571444FF"/>
    <w:rsid w:val="57153F71"/>
    <w:rsid w:val="57154464"/>
    <w:rsid w:val="57174680"/>
    <w:rsid w:val="57182E80"/>
    <w:rsid w:val="571B05D1"/>
    <w:rsid w:val="571C2577"/>
    <w:rsid w:val="571C3A45"/>
    <w:rsid w:val="571C57F3"/>
    <w:rsid w:val="571E7ECD"/>
    <w:rsid w:val="57201787"/>
    <w:rsid w:val="572648C3"/>
    <w:rsid w:val="57284198"/>
    <w:rsid w:val="572B1EDA"/>
    <w:rsid w:val="572B3C88"/>
    <w:rsid w:val="572F19CA"/>
    <w:rsid w:val="572F3796"/>
    <w:rsid w:val="5730243B"/>
    <w:rsid w:val="573214BA"/>
    <w:rsid w:val="573255EB"/>
    <w:rsid w:val="57331B78"/>
    <w:rsid w:val="57364B06"/>
    <w:rsid w:val="57372C85"/>
    <w:rsid w:val="57373DB2"/>
    <w:rsid w:val="57390153"/>
    <w:rsid w:val="57392849"/>
    <w:rsid w:val="573A5879"/>
    <w:rsid w:val="573A7785"/>
    <w:rsid w:val="573B036F"/>
    <w:rsid w:val="573B211D"/>
    <w:rsid w:val="573C40E7"/>
    <w:rsid w:val="573C5E95"/>
    <w:rsid w:val="573D690C"/>
    <w:rsid w:val="573E7E5F"/>
    <w:rsid w:val="57441600"/>
    <w:rsid w:val="57446F13"/>
    <w:rsid w:val="57460AC2"/>
    <w:rsid w:val="57462870"/>
    <w:rsid w:val="574714D9"/>
    <w:rsid w:val="57482A8C"/>
    <w:rsid w:val="5748483A"/>
    <w:rsid w:val="574865E8"/>
    <w:rsid w:val="574A05B2"/>
    <w:rsid w:val="574D00A2"/>
    <w:rsid w:val="574D1E50"/>
    <w:rsid w:val="574D2D46"/>
    <w:rsid w:val="574F5BC8"/>
    <w:rsid w:val="5750174C"/>
    <w:rsid w:val="57511940"/>
    <w:rsid w:val="575136EE"/>
    <w:rsid w:val="57517B92"/>
    <w:rsid w:val="57530502"/>
    <w:rsid w:val="57572CCF"/>
    <w:rsid w:val="57574A7D"/>
    <w:rsid w:val="575907F5"/>
    <w:rsid w:val="575B631B"/>
    <w:rsid w:val="575E22AF"/>
    <w:rsid w:val="575E5E0B"/>
    <w:rsid w:val="575F5238"/>
    <w:rsid w:val="57603931"/>
    <w:rsid w:val="576042F8"/>
    <w:rsid w:val="57615E74"/>
    <w:rsid w:val="576176AA"/>
    <w:rsid w:val="57631674"/>
    <w:rsid w:val="576378C6"/>
    <w:rsid w:val="576A47B0"/>
    <w:rsid w:val="576B22D6"/>
    <w:rsid w:val="576C0528"/>
    <w:rsid w:val="576C35FB"/>
    <w:rsid w:val="576C64D8"/>
    <w:rsid w:val="57730750"/>
    <w:rsid w:val="57776ECD"/>
    <w:rsid w:val="577B69BD"/>
    <w:rsid w:val="577C44E3"/>
    <w:rsid w:val="577C7607"/>
    <w:rsid w:val="577E025B"/>
    <w:rsid w:val="577E200A"/>
    <w:rsid w:val="577E64AD"/>
    <w:rsid w:val="57811AFA"/>
    <w:rsid w:val="57824056"/>
    <w:rsid w:val="57831D16"/>
    <w:rsid w:val="57833220"/>
    <w:rsid w:val="57840D7E"/>
    <w:rsid w:val="5784475F"/>
    <w:rsid w:val="5785783C"/>
    <w:rsid w:val="57873616"/>
    <w:rsid w:val="57875362"/>
    <w:rsid w:val="578A30A4"/>
    <w:rsid w:val="578B73E4"/>
    <w:rsid w:val="57903AA7"/>
    <w:rsid w:val="57914433"/>
    <w:rsid w:val="5792050E"/>
    <w:rsid w:val="5792501F"/>
    <w:rsid w:val="57945CD1"/>
    <w:rsid w:val="57960D0D"/>
    <w:rsid w:val="579637F7"/>
    <w:rsid w:val="5798756F"/>
    <w:rsid w:val="579B3F05"/>
    <w:rsid w:val="57A06424"/>
    <w:rsid w:val="57A2219C"/>
    <w:rsid w:val="57A23AD5"/>
    <w:rsid w:val="57A37CC2"/>
    <w:rsid w:val="57A51C8C"/>
    <w:rsid w:val="57A6419E"/>
    <w:rsid w:val="57AA2DFF"/>
    <w:rsid w:val="57AA72A2"/>
    <w:rsid w:val="57AA7B05"/>
    <w:rsid w:val="57AC65E2"/>
    <w:rsid w:val="57AE0B41"/>
    <w:rsid w:val="57AE404F"/>
    <w:rsid w:val="57B303B7"/>
    <w:rsid w:val="57B30C6D"/>
    <w:rsid w:val="57B323AE"/>
    <w:rsid w:val="57B32523"/>
    <w:rsid w:val="57B36157"/>
    <w:rsid w:val="57B62FA2"/>
    <w:rsid w:val="57B65C47"/>
    <w:rsid w:val="57B72A76"/>
    <w:rsid w:val="57B7551B"/>
    <w:rsid w:val="57B974E6"/>
    <w:rsid w:val="57BA5F6E"/>
    <w:rsid w:val="57BB3877"/>
    <w:rsid w:val="57BC4773"/>
    <w:rsid w:val="57BF2D4E"/>
    <w:rsid w:val="57BF5603"/>
    <w:rsid w:val="57BF5FD4"/>
    <w:rsid w:val="57C06AC6"/>
    <w:rsid w:val="57C32112"/>
    <w:rsid w:val="57C3426C"/>
    <w:rsid w:val="57C40364"/>
    <w:rsid w:val="57C540DC"/>
    <w:rsid w:val="57C739B1"/>
    <w:rsid w:val="57CA34A1"/>
    <w:rsid w:val="57CA524F"/>
    <w:rsid w:val="57CA626D"/>
    <w:rsid w:val="57CE1F93"/>
    <w:rsid w:val="57D305A7"/>
    <w:rsid w:val="57D460CD"/>
    <w:rsid w:val="57DA6296"/>
    <w:rsid w:val="57DB571A"/>
    <w:rsid w:val="57DB745C"/>
    <w:rsid w:val="57DD31D4"/>
    <w:rsid w:val="57E02CC4"/>
    <w:rsid w:val="57E23022"/>
    <w:rsid w:val="57E26A3C"/>
    <w:rsid w:val="57E502DB"/>
    <w:rsid w:val="57E52089"/>
    <w:rsid w:val="57E722A5"/>
    <w:rsid w:val="57EC1669"/>
    <w:rsid w:val="57EE3633"/>
    <w:rsid w:val="57F64296"/>
    <w:rsid w:val="57F64A80"/>
    <w:rsid w:val="57F81DBC"/>
    <w:rsid w:val="57F86260"/>
    <w:rsid w:val="57F95B34"/>
    <w:rsid w:val="57FA3D86"/>
    <w:rsid w:val="57FD05CB"/>
    <w:rsid w:val="57FF139C"/>
    <w:rsid w:val="57FF3E6E"/>
    <w:rsid w:val="57FF5568"/>
    <w:rsid w:val="58022C3B"/>
    <w:rsid w:val="580249E9"/>
    <w:rsid w:val="58030761"/>
    <w:rsid w:val="58047A99"/>
    <w:rsid w:val="58072B4C"/>
    <w:rsid w:val="580764A3"/>
    <w:rsid w:val="58083E1F"/>
    <w:rsid w:val="5809221B"/>
    <w:rsid w:val="580A1AEF"/>
    <w:rsid w:val="580C3EE8"/>
    <w:rsid w:val="580E5A83"/>
    <w:rsid w:val="581035A9"/>
    <w:rsid w:val="58112E7E"/>
    <w:rsid w:val="58113921"/>
    <w:rsid w:val="58117322"/>
    <w:rsid w:val="58122E6D"/>
    <w:rsid w:val="5813309A"/>
    <w:rsid w:val="581806B0"/>
    <w:rsid w:val="5818420C"/>
    <w:rsid w:val="5819155B"/>
    <w:rsid w:val="58192B4F"/>
    <w:rsid w:val="581A5B9B"/>
    <w:rsid w:val="581B1F4E"/>
    <w:rsid w:val="581C2119"/>
    <w:rsid w:val="581C679B"/>
    <w:rsid w:val="58201313"/>
    <w:rsid w:val="58207565"/>
    <w:rsid w:val="58217F95"/>
    <w:rsid w:val="582232DD"/>
    <w:rsid w:val="58242BB1"/>
    <w:rsid w:val="58256929"/>
    <w:rsid w:val="582901C7"/>
    <w:rsid w:val="582B4E00"/>
    <w:rsid w:val="582C6290"/>
    <w:rsid w:val="582C7CB7"/>
    <w:rsid w:val="582D6D32"/>
    <w:rsid w:val="582F6BBC"/>
    <w:rsid w:val="583059FA"/>
    <w:rsid w:val="58306B5A"/>
    <w:rsid w:val="583077A8"/>
    <w:rsid w:val="58312587"/>
    <w:rsid w:val="583152CE"/>
    <w:rsid w:val="58315A42"/>
    <w:rsid w:val="58327B40"/>
    <w:rsid w:val="58337298"/>
    <w:rsid w:val="58346163"/>
    <w:rsid w:val="58346A24"/>
    <w:rsid w:val="58353010"/>
    <w:rsid w:val="583628E4"/>
    <w:rsid w:val="583A6878"/>
    <w:rsid w:val="583C29E5"/>
    <w:rsid w:val="583E3953"/>
    <w:rsid w:val="583E3F5E"/>
    <w:rsid w:val="583F058A"/>
    <w:rsid w:val="583F79EB"/>
    <w:rsid w:val="58450D79"/>
    <w:rsid w:val="58477D83"/>
    <w:rsid w:val="584913B5"/>
    <w:rsid w:val="584A0389"/>
    <w:rsid w:val="584B2834"/>
    <w:rsid w:val="584B2C69"/>
    <w:rsid w:val="584B7337"/>
    <w:rsid w:val="584C2108"/>
    <w:rsid w:val="584D65AC"/>
    <w:rsid w:val="584E5E80"/>
    <w:rsid w:val="584F162A"/>
    <w:rsid w:val="5851771E"/>
    <w:rsid w:val="58555460"/>
    <w:rsid w:val="5855720E"/>
    <w:rsid w:val="585711A2"/>
    <w:rsid w:val="58577DBC"/>
    <w:rsid w:val="58586CFE"/>
    <w:rsid w:val="585A3283"/>
    <w:rsid w:val="585A65D3"/>
    <w:rsid w:val="585B7BCD"/>
    <w:rsid w:val="585D442D"/>
    <w:rsid w:val="58625A23"/>
    <w:rsid w:val="58627AA0"/>
    <w:rsid w:val="586423C0"/>
    <w:rsid w:val="586438F5"/>
    <w:rsid w:val="586456A3"/>
    <w:rsid w:val="5864625F"/>
    <w:rsid w:val="58676F42"/>
    <w:rsid w:val="586864D0"/>
    <w:rsid w:val="58692CBA"/>
    <w:rsid w:val="586B4C84"/>
    <w:rsid w:val="58704048"/>
    <w:rsid w:val="58711B6E"/>
    <w:rsid w:val="5872171A"/>
    <w:rsid w:val="587326BB"/>
    <w:rsid w:val="58733B38"/>
    <w:rsid w:val="58767185"/>
    <w:rsid w:val="58773629"/>
    <w:rsid w:val="587C29ED"/>
    <w:rsid w:val="587D49B7"/>
    <w:rsid w:val="587F072F"/>
    <w:rsid w:val="587F428B"/>
    <w:rsid w:val="58801DB1"/>
    <w:rsid w:val="588673C8"/>
    <w:rsid w:val="588743D1"/>
    <w:rsid w:val="5887701A"/>
    <w:rsid w:val="5889335C"/>
    <w:rsid w:val="58896EB8"/>
    <w:rsid w:val="588B0E82"/>
    <w:rsid w:val="588B2C30"/>
    <w:rsid w:val="588C0756"/>
    <w:rsid w:val="588E2720"/>
    <w:rsid w:val="58900396"/>
    <w:rsid w:val="589046EA"/>
    <w:rsid w:val="58910DE8"/>
    <w:rsid w:val="58920462"/>
    <w:rsid w:val="58922210"/>
    <w:rsid w:val="5897524F"/>
    <w:rsid w:val="58977827"/>
    <w:rsid w:val="589A3BD0"/>
    <w:rsid w:val="589F66DB"/>
    <w:rsid w:val="58A43CF2"/>
    <w:rsid w:val="58A67A6A"/>
    <w:rsid w:val="58A92390"/>
    <w:rsid w:val="58A957AC"/>
    <w:rsid w:val="58AA3909"/>
    <w:rsid w:val="58AC0BB6"/>
    <w:rsid w:val="58AD4A4C"/>
    <w:rsid w:val="58AE2DC2"/>
    <w:rsid w:val="58B008E9"/>
    <w:rsid w:val="58B07973"/>
    <w:rsid w:val="58B71C77"/>
    <w:rsid w:val="58B73A25"/>
    <w:rsid w:val="58B8200F"/>
    <w:rsid w:val="58B83778"/>
    <w:rsid w:val="58B959EF"/>
    <w:rsid w:val="58BA3515"/>
    <w:rsid w:val="58BC4221"/>
    <w:rsid w:val="58BF28DA"/>
    <w:rsid w:val="58BF6A69"/>
    <w:rsid w:val="58C02C27"/>
    <w:rsid w:val="58C3686E"/>
    <w:rsid w:val="58C46142"/>
    <w:rsid w:val="58C61EBA"/>
    <w:rsid w:val="58C779E0"/>
    <w:rsid w:val="58C83E84"/>
    <w:rsid w:val="58CA7BFC"/>
    <w:rsid w:val="58CB2776"/>
    <w:rsid w:val="58CB36FC"/>
    <w:rsid w:val="58CB4E38"/>
    <w:rsid w:val="58CC445F"/>
    <w:rsid w:val="58CD149A"/>
    <w:rsid w:val="58CE5813"/>
    <w:rsid w:val="58CF5213"/>
    <w:rsid w:val="58D21C48"/>
    <w:rsid w:val="58D23F33"/>
    <w:rsid w:val="58DA65D8"/>
    <w:rsid w:val="58DD0FB2"/>
    <w:rsid w:val="58DE5456"/>
    <w:rsid w:val="58DE7C59"/>
    <w:rsid w:val="58DF1EFB"/>
    <w:rsid w:val="58E03158"/>
    <w:rsid w:val="58E31EE2"/>
    <w:rsid w:val="58E467E4"/>
    <w:rsid w:val="58E81E30"/>
    <w:rsid w:val="58E86238"/>
    <w:rsid w:val="58EB36CF"/>
    <w:rsid w:val="58EB3729"/>
    <w:rsid w:val="58EB7B73"/>
    <w:rsid w:val="58ED4416"/>
    <w:rsid w:val="58ED4DAF"/>
    <w:rsid w:val="58EF1411"/>
    <w:rsid w:val="58EF2CA3"/>
    <w:rsid w:val="58EF7663"/>
    <w:rsid w:val="58F22CAF"/>
    <w:rsid w:val="58F307D5"/>
    <w:rsid w:val="58F31AEC"/>
    <w:rsid w:val="58F44C79"/>
    <w:rsid w:val="58F47BFE"/>
    <w:rsid w:val="58F8107D"/>
    <w:rsid w:val="58F845E1"/>
    <w:rsid w:val="58F84E59"/>
    <w:rsid w:val="58FD56C7"/>
    <w:rsid w:val="58FD6FCE"/>
    <w:rsid w:val="58FE1654"/>
    <w:rsid w:val="58FF717A"/>
    <w:rsid w:val="59017396"/>
    <w:rsid w:val="5903310E"/>
    <w:rsid w:val="59080725"/>
    <w:rsid w:val="59084281"/>
    <w:rsid w:val="590A1F1E"/>
    <w:rsid w:val="590B1FC3"/>
    <w:rsid w:val="590B5B1F"/>
    <w:rsid w:val="590D5D3B"/>
    <w:rsid w:val="590D7AE9"/>
    <w:rsid w:val="590F3861"/>
    <w:rsid w:val="59101387"/>
    <w:rsid w:val="591075D9"/>
    <w:rsid w:val="59123351"/>
    <w:rsid w:val="59126EAD"/>
    <w:rsid w:val="59140E77"/>
    <w:rsid w:val="59142C25"/>
    <w:rsid w:val="59143B5E"/>
    <w:rsid w:val="591448F5"/>
    <w:rsid w:val="59170968"/>
    <w:rsid w:val="591710B8"/>
    <w:rsid w:val="591C1ADA"/>
    <w:rsid w:val="591C5F7E"/>
    <w:rsid w:val="591C7D2C"/>
    <w:rsid w:val="591E728C"/>
    <w:rsid w:val="591F781C"/>
    <w:rsid w:val="59213594"/>
    <w:rsid w:val="592310BA"/>
    <w:rsid w:val="59255D71"/>
    <w:rsid w:val="59260BAB"/>
    <w:rsid w:val="5926708E"/>
    <w:rsid w:val="592866D1"/>
    <w:rsid w:val="592A4F20"/>
    <w:rsid w:val="592B7F6F"/>
    <w:rsid w:val="592D018B"/>
    <w:rsid w:val="592E180D"/>
    <w:rsid w:val="592F3F03"/>
    <w:rsid w:val="592F7A5F"/>
    <w:rsid w:val="59350FDF"/>
    <w:rsid w:val="59352B9C"/>
    <w:rsid w:val="59366A51"/>
    <w:rsid w:val="59367EC7"/>
    <w:rsid w:val="59374B66"/>
    <w:rsid w:val="5939268C"/>
    <w:rsid w:val="593B28A8"/>
    <w:rsid w:val="593C217C"/>
    <w:rsid w:val="593E4146"/>
    <w:rsid w:val="593E5EF4"/>
    <w:rsid w:val="593F3A1A"/>
    <w:rsid w:val="59421EFC"/>
    <w:rsid w:val="59441031"/>
    <w:rsid w:val="59450443"/>
    <w:rsid w:val="59464DA9"/>
    <w:rsid w:val="5947124D"/>
    <w:rsid w:val="594B0611"/>
    <w:rsid w:val="594C2225"/>
    <w:rsid w:val="59505C28"/>
    <w:rsid w:val="595079D6"/>
    <w:rsid w:val="59522625"/>
    <w:rsid w:val="59527BF2"/>
    <w:rsid w:val="59561490"/>
    <w:rsid w:val="59570D64"/>
    <w:rsid w:val="59575208"/>
    <w:rsid w:val="59582C76"/>
    <w:rsid w:val="59590F80"/>
    <w:rsid w:val="59592D2E"/>
    <w:rsid w:val="595B4CF8"/>
    <w:rsid w:val="595B6AA6"/>
    <w:rsid w:val="595D6BCF"/>
    <w:rsid w:val="595D781C"/>
    <w:rsid w:val="595E6596"/>
    <w:rsid w:val="59605E6B"/>
    <w:rsid w:val="59626547"/>
    <w:rsid w:val="59656C38"/>
    <w:rsid w:val="596811C3"/>
    <w:rsid w:val="596C2A61"/>
    <w:rsid w:val="596D2336"/>
    <w:rsid w:val="596D67DA"/>
    <w:rsid w:val="59722042"/>
    <w:rsid w:val="59741916"/>
    <w:rsid w:val="59745DBA"/>
    <w:rsid w:val="5976568E"/>
    <w:rsid w:val="59766ED3"/>
    <w:rsid w:val="59777658"/>
    <w:rsid w:val="597933D0"/>
    <w:rsid w:val="59796F2C"/>
    <w:rsid w:val="597C6A1D"/>
    <w:rsid w:val="597D4EA5"/>
    <w:rsid w:val="597E47CE"/>
    <w:rsid w:val="597E77F4"/>
    <w:rsid w:val="5980650D"/>
    <w:rsid w:val="5981394B"/>
    <w:rsid w:val="59814033"/>
    <w:rsid w:val="598361E9"/>
    <w:rsid w:val="5983779D"/>
    <w:rsid w:val="59876967"/>
    <w:rsid w:val="59885FF4"/>
    <w:rsid w:val="598A1326"/>
    <w:rsid w:val="598A2EE8"/>
    <w:rsid w:val="598A738C"/>
    <w:rsid w:val="598C3104"/>
    <w:rsid w:val="598D29D8"/>
    <w:rsid w:val="598D4786"/>
    <w:rsid w:val="598D656A"/>
    <w:rsid w:val="598F2EE3"/>
    <w:rsid w:val="598F6750"/>
    <w:rsid w:val="59934492"/>
    <w:rsid w:val="59943EC0"/>
    <w:rsid w:val="59945B14"/>
    <w:rsid w:val="5999312B"/>
    <w:rsid w:val="599B141D"/>
    <w:rsid w:val="599D78C4"/>
    <w:rsid w:val="59A0095D"/>
    <w:rsid w:val="59A0359A"/>
    <w:rsid w:val="59A275AD"/>
    <w:rsid w:val="59A3044D"/>
    <w:rsid w:val="59A41ECD"/>
    <w:rsid w:val="59A65848"/>
    <w:rsid w:val="59A815C0"/>
    <w:rsid w:val="59A821B3"/>
    <w:rsid w:val="59A85A64"/>
    <w:rsid w:val="59A87812"/>
    <w:rsid w:val="59AA292D"/>
    <w:rsid w:val="59B241EC"/>
    <w:rsid w:val="59B270A2"/>
    <w:rsid w:val="59B461B6"/>
    <w:rsid w:val="59B60181"/>
    <w:rsid w:val="59B85CA7"/>
    <w:rsid w:val="59B937CD"/>
    <w:rsid w:val="59BB12F3"/>
    <w:rsid w:val="59BC506B"/>
    <w:rsid w:val="59C0439F"/>
    <w:rsid w:val="59C04B5B"/>
    <w:rsid w:val="59C17E20"/>
    <w:rsid w:val="59C22CCB"/>
    <w:rsid w:val="59C7413C"/>
    <w:rsid w:val="59CA35B4"/>
    <w:rsid w:val="59CA59DA"/>
    <w:rsid w:val="59CB43DE"/>
    <w:rsid w:val="59CC1752"/>
    <w:rsid w:val="59CC3500"/>
    <w:rsid w:val="59CF2FF0"/>
    <w:rsid w:val="59D03A04"/>
    <w:rsid w:val="59D2663D"/>
    <w:rsid w:val="59D32AE1"/>
    <w:rsid w:val="59D33F09"/>
    <w:rsid w:val="59D423B5"/>
    <w:rsid w:val="59D47B1E"/>
    <w:rsid w:val="59D601F1"/>
    <w:rsid w:val="59D625D1"/>
    <w:rsid w:val="59D95C1D"/>
    <w:rsid w:val="59D979CB"/>
    <w:rsid w:val="59DF754F"/>
    <w:rsid w:val="59DF76D7"/>
    <w:rsid w:val="59E20F76"/>
    <w:rsid w:val="59E54F88"/>
    <w:rsid w:val="59E81790"/>
    <w:rsid w:val="59EA1BD8"/>
    <w:rsid w:val="59EA7E2A"/>
    <w:rsid w:val="59EC76FE"/>
    <w:rsid w:val="59EF71EF"/>
    <w:rsid w:val="59F12F67"/>
    <w:rsid w:val="59F22ED2"/>
    <w:rsid w:val="59F42A57"/>
    <w:rsid w:val="59F4590F"/>
    <w:rsid w:val="59F502E5"/>
    <w:rsid w:val="59F76D8A"/>
    <w:rsid w:val="59F91E1B"/>
    <w:rsid w:val="59FB2037"/>
    <w:rsid w:val="59FD7B5D"/>
    <w:rsid w:val="59FE267A"/>
    <w:rsid w:val="59FE5684"/>
    <w:rsid w:val="59FF38D6"/>
    <w:rsid w:val="5A0233C6"/>
    <w:rsid w:val="5A026F22"/>
    <w:rsid w:val="5A04713E"/>
    <w:rsid w:val="5A056A12"/>
    <w:rsid w:val="5A0709DC"/>
    <w:rsid w:val="5A07278A"/>
    <w:rsid w:val="5A0802B0"/>
    <w:rsid w:val="5A094754"/>
    <w:rsid w:val="5A0A04CC"/>
    <w:rsid w:val="5A0D28C9"/>
    <w:rsid w:val="5A102F20"/>
    <w:rsid w:val="5A113609"/>
    <w:rsid w:val="5A132EDD"/>
    <w:rsid w:val="5A152D38"/>
    <w:rsid w:val="5A153559"/>
    <w:rsid w:val="5A19426B"/>
    <w:rsid w:val="5A1B2800"/>
    <w:rsid w:val="5A1B4488"/>
    <w:rsid w:val="5A1B5462"/>
    <w:rsid w:val="5A1D0200"/>
    <w:rsid w:val="5A1D5B0A"/>
    <w:rsid w:val="5A1F7AD4"/>
    <w:rsid w:val="5A274BDA"/>
    <w:rsid w:val="5A290952"/>
    <w:rsid w:val="5A2A55E4"/>
    <w:rsid w:val="5A2A6479"/>
    <w:rsid w:val="5A2C0443"/>
    <w:rsid w:val="5A2C78C0"/>
    <w:rsid w:val="5A2D3A4E"/>
    <w:rsid w:val="5A307F33"/>
    <w:rsid w:val="5A317807"/>
    <w:rsid w:val="5A327DB2"/>
    <w:rsid w:val="5A346EB9"/>
    <w:rsid w:val="5A35190E"/>
    <w:rsid w:val="5A36015F"/>
    <w:rsid w:val="5A364E1D"/>
    <w:rsid w:val="5A3A2B60"/>
    <w:rsid w:val="5A3A490E"/>
    <w:rsid w:val="5A3B0686"/>
    <w:rsid w:val="5A3B1766"/>
    <w:rsid w:val="5A3B234C"/>
    <w:rsid w:val="5A3C676B"/>
    <w:rsid w:val="5A3D43FE"/>
    <w:rsid w:val="5A3D5D31"/>
    <w:rsid w:val="5A3D61AC"/>
    <w:rsid w:val="5A3E3CD2"/>
    <w:rsid w:val="5A421A14"/>
    <w:rsid w:val="5A4412E8"/>
    <w:rsid w:val="5A455061"/>
    <w:rsid w:val="5A47527D"/>
    <w:rsid w:val="5A4867BF"/>
    <w:rsid w:val="5A492DA3"/>
    <w:rsid w:val="5A494B51"/>
    <w:rsid w:val="5A49507C"/>
    <w:rsid w:val="5A4C4641"/>
    <w:rsid w:val="5A4D65D0"/>
    <w:rsid w:val="5A4F3AC1"/>
    <w:rsid w:val="5A4F5EDF"/>
    <w:rsid w:val="5A507EBB"/>
    <w:rsid w:val="5A513A05"/>
    <w:rsid w:val="5A5534F6"/>
    <w:rsid w:val="5A5654C0"/>
    <w:rsid w:val="5A5A4FB0"/>
    <w:rsid w:val="5A5A6D5E"/>
    <w:rsid w:val="5A5B4884"/>
    <w:rsid w:val="5A5B52D8"/>
    <w:rsid w:val="5A5B76AF"/>
    <w:rsid w:val="5A5C0D28"/>
    <w:rsid w:val="5A5E7555"/>
    <w:rsid w:val="5A5F25C6"/>
    <w:rsid w:val="5A5F6122"/>
    <w:rsid w:val="5A600155"/>
    <w:rsid w:val="5A61633E"/>
    <w:rsid w:val="5A623E64"/>
    <w:rsid w:val="5A6373D1"/>
    <w:rsid w:val="5A643739"/>
    <w:rsid w:val="5A647BDD"/>
    <w:rsid w:val="5A6516AD"/>
    <w:rsid w:val="5A663955"/>
    <w:rsid w:val="5A67147B"/>
    <w:rsid w:val="5A673E49"/>
    <w:rsid w:val="5A6951F3"/>
    <w:rsid w:val="5A6E45B7"/>
    <w:rsid w:val="5A6F50B0"/>
    <w:rsid w:val="5A70032F"/>
    <w:rsid w:val="5A7124E5"/>
    <w:rsid w:val="5A731BCE"/>
    <w:rsid w:val="5A7476F4"/>
    <w:rsid w:val="5A7616BE"/>
    <w:rsid w:val="5A785436"/>
    <w:rsid w:val="5A7871E4"/>
    <w:rsid w:val="5A7C2ADE"/>
    <w:rsid w:val="5A7E4A6B"/>
    <w:rsid w:val="5A7F4A16"/>
    <w:rsid w:val="5A81078E"/>
    <w:rsid w:val="5A845B89"/>
    <w:rsid w:val="5A864A50"/>
    <w:rsid w:val="5A871B1D"/>
    <w:rsid w:val="5A877BF1"/>
    <w:rsid w:val="5A8B6F17"/>
    <w:rsid w:val="5A8D6E0C"/>
    <w:rsid w:val="5A917C58"/>
    <w:rsid w:val="5A9418A9"/>
    <w:rsid w:val="5A951544"/>
    <w:rsid w:val="5A957D96"/>
    <w:rsid w:val="5A9658BC"/>
    <w:rsid w:val="5A981634"/>
    <w:rsid w:val="5A987886"/>
    <w:rsid w:val="5A9A78F9"/>
    <w:rsid w:val="5A9C0987"/>
    <w:rsid w:val="5A9C2AC7"/>
    <w:rsid w:val="5A9D30EE"/>
    <w:rsid w:val="5A9E6211"/>
    <w:rsid w:val="5AA407BB"/>
    <w:rsid w:val="5AA47FD9"/>
    <w:rsid w:val="5AA601F5"/>
    <w:rsid w:val="5AA77AC9"/>
    <w:rsid w:val="5AA91A93"/>
    <w:rsid w:val="5AAD49D1"/>
    <w:rsid w:val="5AB04BFC"/>
    <w:rsid w:val="5AB0697E"/>
    <w:rsid w:val="5AB126F6"/>
    <w:rsid w:val="5AB20948"/>
    <w:rsid w:val="5AB3646E"/>
    <w:rsid w:val="5AB521E6"/>
    <w:rsid w:val="5AB630E2"/>
    <w:rsid w:val="5AB67D0C"/>
    <w:rsid w:val="5ABA3CA0"/>
    <w:rsid w:val="5ABC101E"/>
    <w:rsid w:val="5ABE2233"/>
    <w:rsid w:val="5AC01473"/>
    <w:rsid w:val="5AC16A76"/>
    <w:rsid w:val="5AC4067B"/>
    <w:rsid w:val="5AC93EE4"/>
    <w:rsid w:val="5AC97A40"/>
    <w:rsid w:val="5ACB37B8"/>
    <w:rsid w:val="5ACB4B3A"/>
    <w:rsid w:val="5ACB7C5C"/>
    <w:rsid w:val="5ACC12DE"/>
    <w:rsid w:val="5ACC4545"/>
    <w:rsid w:val="5ACE057E"/>
    <w:rsid w:val="5ACE32A8"/>
    <w:rsid w:val="5ACE63A1"/>
    <w:rsid w:val="5ACE6D51"/>
    <w:rsid w:val="5AD00DCE"/>
    <w:rsid w:val="5AD14622"/>
    <w:rsid w:val="5AD14B46"/>
    <w:rsid w:val="5AD205BA"/>
    <w:rsid w:val="5AD308BE"/>
    <w:rsid w:val="5AD3266C"/>
    <w:rsid w:val="5AD92379"/>
    <w:rsid w:val="5ADA39FB"/>
    <w:rsid w:val="5ADB3C65"/>
    <w:rsid w:val="5ADC2D5B"/>
    <w:rsid w:val="5ADD24CF"/>
    <w:rsid w:val="5ADD34EB"/>
    <w:rsid w:val="5ADF1011"/>
    <w:rsid w:val="5ADF7263"/>
    <w:rsid w:val="5AE20B01"/>
    <w:rsid w:val="5AE24DAC"/>
    <w:rsid w:val="5AE35EFA"/>
    <w:rsid w:val="5AE40D1D"/>
    <w:rsid w:val="5AE44879"/>
    <w:rsid w:val="5AE60011"/>
    <w:rsid w:val="5AEB18AD"/>
    <w:rsid w:val="5AEC729E"/>
    <w:rsid w:val="5AEE6E96"/>
    <w:rsid w:val="5AF022D8"/>
    <w:rsid w:val="5AF2343A"/>
    <w:rsid w:val="5AF251E8"/>
    <w:rsid w:val="5AF26F96"/>
    <w:rsid w:val="5AF50835"/>
    <w:rsid w:val="5AFB2552"/>
    <w:rsid w:val="5AFC1BC3"/>
    <w:rsid w:val="5AFE1C82"/>
    <w:rsid w:val="5AFF16B3"/>
    <w:rsid w:val="5B062A42"/>
    <w:rsid w:val="5B070568"/>
    <w:rsid w:val="5B0715A5"/>
    <w:rsid w:val="5B07329F"/>
    <w:rsid w:val="5B083EE2"/>
    <w:rsid w:val="5B08580C"/>
    <w:rsid w:val="5B0B44FC"/>
    <w:rsid w:val="5B0B7756"/>
    <w:rsid w:val="5B10566E"/>
    <w:rsid w:val="5B150ED7"/>
    <w:rsid w:val="5B155DE7"/>
    <w:rsid w:val="5B157129"/>
    <w:rsid w:val="5B1769FD"/>
    <w:rsid w:val="5B182775"/>
    <w:rsid w:val="5B1A473F"/>
    <w:rsid w:val="5B1E5BCC"/>
    <w:rsid w:val="5B1E5FDD"/>
    <w:rsid w:val="5B1E7D8B"/>
    <w:rsid w:val="5B1F1D55"/>
    <w:rsid w:val="5B200068"/>
    <w:rsid w:val="5B206690"/>
    <w:rsid w:val="5B215ACE"/>
    <w:rsid w:val="5B2555BE"/>
    <w:rsid w:val="5B2829B8"/>
    <w:rsid w:val="5B286E5C"/>
    <w:rsid w:val="5B2A2BD4"/>
    <w:rsid w:val="5B2E6D75"/>
    <w:rsid w:val="5B2F1F99"/>
    <w:rsid w:val="5B303F63"/>
    <w:rsid w:val="5B345801"/>
    <w:rsid w:val="5B3475AF"/>
    <w:rsid w:val="5B350300"/>
    <w:rsid w:val="5B353327"/>
    <w:rsid w:val="5B372BFB"/>
    <w:rsid w:val="5B3752F1"/>
    <w:rsid w:val="5B3A26EB"/>
    <w:rsid w:val="5B3E21DC"/>
    <w:rsid w:val="5B405245"/>
    <w:rsid w:val="5B413A7A"/>
    <w:rsid w:val="5B417F1E"/>
    <w:rsid w:val="5B4377F2"/>
    <w:rsid w:val="5B465534"/>
    <w:rsid w:val="5B465608"/>
    <w:rsid w:val="5B4672E2"/>
    <w:rsid w:val="5B484E08"/>
    <w:rsid w:val="5B494B0C"/>
    <w:rsid w:val="5B496928"/>
    <w:rsid w:val="5B4B2B4A"/>
    <w:rsid w:val="5B4C2BEE"/>
    <w:rsid w:val="5B5163B3"/>
    <w:rsid w:val="5B523ED9"/>
    <w:rsid w:val="5B5419FF"/>
    <w:rsid w:val="5B543BDC"/>
    <w:rsid w:val="5B547C51"/>
    <w:rsid w:val="5B57504B"/>
    <w:rsid w:val="5B5C08B4"/>
    <w:rsid w:val="5B5E4399"/>
    <w:rsid w:val="5B5F03A4"/>
    <w:rsid w:val="5B631C42"/>
    <w:rsid w:val="5B6643C2"/>
    <w:rsid w:val="5B6854AA"/>
    <w:rsid w:val="5B694D7F"/>
    <w:rsid w:val="5B6A2FD1"/>
    <w:rsid w:val="5B6B4F9B"/>
    <w:rsid w:val="5B6C473D"/>
    <w:rsid w:val="5B6D0D13"/>
    <w:rsid w:val="5B6D728C"/>
    <w:rsid w:val="5B6F3327"/>
    <w:rsid w:val="5B7029E2"/>
    <w:rsid w:val="5B713D97"/>
    <w:rsid w:val="5B715EBD"/>
    <w:rsid w:val="5B7200D7"/>
    <w:rsid w:val="5B745BFD"/>
    <w:rsid w:val="5B767A9D"/>
    <w:rsid w:val="5B767BC7"/>
    <w:rsid w:val="5B7A0E8D"/>
    <w:rsid w:val="5B7A6F8C"/>
    <w:rsid w:val="5B7C2D04"/>
    <w:rsid w:val="5B7C678E"/>
    <w:rsid w:val="5B8454FC"/>
    <w:rsid w:val="5B891F71"/>
    <w:rsid w:val="5B8A71CF"/>
    <w:rsid w:val="5B8B2F47"/>
    <w:rsid w:val="5B9242D5"/>
    <w:rsid w:val="5B991BA7"/>
    <w:rsid w:val="5B995664"/>
    <w:rsid w:val="5B9A0FAF"/>
    <w:rsid w:val="5B9B44F1"/>
    <w:rsid w:val="5B9B5880"/>
    <w:rsid w:val="5BA069F2"/>
    <w:rsid w:val="5BA1276A"/>
    <w:rsid w:val="5BA2386D"/>
    <w:rsid w:val="5BA34735"/>
    <w:rsid w:val="5BA364E3"/>
    <w:rsid w:val="5BA54009"/>
    <w:rsid w:val="5BA81D4B"/>
    <w:rsid w:val="5BA87F9D"/>
    <w:rsid w:val="5BAA5930"/>
    <w:rsid w:val="5BAB5397"/>
    <w:rsid w:val="5BAB66FD"/>
    <w:rsid w:val="5BAC183B"/>
    <w:rsid w:val="5BAD2AFC"/>
    <w:rsid w:val="5BAF4E87"/>
    <w:rsid w:val="5BB16968"/>
    <w:rsid w:val="5BB46942"/>
    <w:rsid w:val="5BB46B38"/>
    <w:rsid w:val="5BB64468"/>
    <w:rsid w:val="5BB93F58"/>
    <w:rsid w:val="5BB97AB4"/>
    <w:rsid w:val="5BBA55DA"/>
    <w:rsid w:val="5BBC75A4"/>
    <w:rsid w:val="5BBD57F6"/>
    <w:rsid w:val="5BC16969"/>
    <w:rsid w:val="5BC16A98"/>
    <w:rsid w:val="5BC22E0D"/>
    <w:rsid w:val="5BC4412F"/>
    <w:rsid w:val="5BC4413D"/>
    <w:rsid w:val="5BC776FE"/>
    <w:rsid w:val="5BC85C6B"/>
    <w:rsid w:val="5BC85F49"/>
    <w:rsid w:val="5BC87CF7"/>
    <w:rsid w:val="5BCC1553"/>
    <w:rsid w:val="5BCC3C8B"/>
    <w:rsid w:val="5BCC5A39"/>
    <w:rsid w:val="5BCE03AD"/>
    <w:rsid w:val="5BCF1086"/>
    <w:rsid w:val="5BD040CC"/>
    <w:rsid w:val="5BD20B76"/>
    <w:rsid w:val="5BD40D92"/>
    <w:rsid w:val="5BD62414"/>
    <w:rsid w:val="5BD668B8"/>
    <w:rsid w:val="5BD72763"/>
    <w:rsid w:val="5BD82630"/>
    <w:rsid w:val="5BD96F88"/>
    <w:rsid w:val="5BDA1940"/>
    <w:rsid w:val="5BDB27A4"/>
    <w:rsid w:val="5BDB3ECE"/>
    <w:rsid w:val="5BDC2EC5"/>
    <w:rsid w:val="5BDC6DCD"/>
    <w:rsid w:val="5BDD592B"/>
    <w:rsid w:val="5BDF5D95"/>
    <w:rsid w:val="5BE014E5"/>
    <w:rsid w:val="5BE019E6"/>
    <w:rsid w:val="5BE03AC9"/>
    <w:rsid w:val="5BE07737"/>
    <w:rsid w:val="5BE10428"/>
    <w:rsid w:val="5BE10DB9"/>
    <w:rsid w:val="5BE2525D"/>
    <w:rsid w:val="5BE26B53"/>
    <w:rsid w:val="5BE424D0"/>
    <w:rsid w:val="5BE64AC5"/>
    <w:rsid w:val="5BE76CD7"/>
    <w:rsid w:val="5BE80399"/>
    <w:rsid w:val="5BEA3F28"/>
    <w:rsid w:val="5BEC7E8A"/>
    <w:rsid w:val="5BED535D"/>
    <w:rsid w:val="5BEE28A9"/>
    <w:rsid w:val="5BEF0F83"/>
    <w:rsid w:val="5BEF1728"/>
    <w:rsid w:val="5BF1724E"/>
    <w:rsid w:val="5BF60D08"/>
    <w:rsid w:val="5BF8682E"/>
    <w:rsid w:val="5BF94C98"/>
    <w:rsid w:val="5BFC5BF3"/>
    <w:rsid w:val="5BFD30FD"/>
    <w:rsid w:val="5BFE7528"/>
    <w:rsid w:val="5C001B87"/>
    <w:rsid w:val="5C0232B2"/>
    <w:rsid w:val="5C074CC3"/>
    <w:rsid w:val="5C090941"/>
    <w:rsid w:val="5C0A0310"/>
    <w:rsid w:val="5C0A60D4"/>
    <w:rsid w:val="5C0C10AF"/>
    <w:rsid w:val="5C0D1BAE"/>
    <w:rsid w:val="5C0E6052"/>
    <w:rsid w:val="5C0F1DCA"/>
    <w:rsid w:val="5C0F5926"/>
    <w:rsid w:val="5C1175ED"/>
    <w:rsid w:val="5C1178F0"/>
    <w:rsid w:val="5C124EDB"/>
    <w:rsid w:val="5C125416"/>
    <w:rsid w:val="5C1473E0"/>
    <w:rsid w:val="5C163A51"/>
    <w:rsid w:val="5C164F06"/>
    <w:rsid w:val="5C180C7F"/>
    <w:rsid w:val="5C190436"/>
    <w:rsid w:val="5C1B04A0"/>
    <w:rsid w:val="5C1E3DBB"/>
    <w:rsid w:val="5C1F42A8"/>
    <w:rsid w:val="5C1F4C60"/>
    <w:rsid w:val="5C221AFD"/>
    <w:rsid w:val="5C225659"/>
    <w:rsid w:val="5C251B94"/>
    <w:rsid w:val="5C25339C"/>
    <w:rsid w:val="5C27405A"/>
    <w:rsid w:val="5C283D18"/>
    <w:rsid w:val="5C2869E8"/>
    <w:rsid w:val="5C292E8C"/>
    <w:rsid w:val="5C294C3A"/>
    <w:rsid w:val="5C2A2760"/>
    <w:rsid w:val="5C2E1802"/>
    <w:rsid w:val="5C2F421A"/>
    <w:rsid w:val="5C2F5FC8"/>
    <w:rsid w:val="5C313AEE"/>
    <w:rsid w:val="5C337866"/>
    <w:rsid w:val="5C341831"/>
    <w:rsid w:val="5C3435DF"/>
    <w:rsid w:val="5C367357"/>
    <w:rsid w:val="5C3929A3"/>
    <w:rsid w:val="5C392C8B"/>
    <w:rsid w:val="5C3A6E47"/>
    <w:rsid w:val="5C3B2BBF"/>
    <w:rsid w:val="5C3D06E5"/>
    <w:rsid w:val="5C3D077D"/>
    <w:rsid w:val="5C3E620B"/>
    <w:rsid w:val="5C3F3655"/>
    <w:rsid w:val="5C494351"/>
    <w:rsid w:val="5C494506"/>
    <w:rsid w:val="5C4952DC"/>
    <w:rsid w:val="5C4B3416"/>
    <w:rsid w:val="5C4D42F1"/>
    <w:rsid w:val="5C4D4754"/>
    <w:rsid w:val="5C4E644E"/>
    <w:rsid w:val="5C514191"/>
    <w:rsid w:val="5C515F3F"/>
    <w:rsid w:val="5C52505C"/>
    <w:rsid w:val="5C545A2F"/>
    <w:rsid w:val="5C572FD7"/>
    <w:rsid w:val="5C595D12"/>
    <w:rsid w:val="5C602626"/>
    <w:rsid w:val="5C606821"/>
    <w:rsid w:val="5C62639E"/>
    <w:rsid w:val="5C64226D"/>
    <w:rsid w:val="5C662A50"/>
    <w:rsid w:val="5C6914DA"/>
    <w:rsid w:val="5C693288"/>
    <w:rsid w:val="5C6A12EC"/>
    <w:rsid w:val="5C6C0FCA"/>
    <w:rsid w:val="5C6C2D78"/>
    <w:rsid w:val="5C6F4617"/>
    <w:rsid w:val="5C700ABB"/>
    <w:rsid w:val="5C71038F"/>
    <w:rsid w:val="5C720E3A"/>
    <w:rsid w:val="5C727BD7"/>
    <w:rsid w:val="5C747DE9"/>
    <w:rsid w:val="5C763BF7"/>
    <w:rsid w:val="5C7A0D57"/>
    <w:rsid w:val="5C7A173B"/>
    <w:rsid w:val="5C7B120D"/>
    <w:rsid w:val="5C7C024D"/>
    <w:rsid w:val="5C800A73"/>
    <w:rsid w:val="5C8021B4"/>
    <w:rsid w:val="5C82259C"/>
    <w:rsid w:val="5C846314"/>
    <w:rsid w:val="5C8473F4"/>
    <w:rsid w:val="5C854305"/>
    <w:rsid w:val="5C861E69"/>
    <w:rsid w:val="5C8758D0"/>
    <w:rsid w:val="5C875E04"/>
    <w:rsid w:val="5C89392A"/>
    <w:rsid w:val="5C8956D8"/>
    <w:rsid w:val="5C8E48B0"/>
    <w:rsid w:val="5C8F7BF0"/>
    <w:rsid w:val="5C910A31"/>
    <w:rsid w:val="5C9119F8"/>
    <w:rsid w:val="5C983A6F"/>
    <w:rsid w:val="5C987667"/>
    <w:rsid w:val="5C9A0569"/>
    <w:rsid w:val="5C9A1694"/>
    <w:rsid w:val="5C9C024C"/>
    <w:rsid w:val="5C9D73D6"/>
    <w:rsid w:val="5C9F314E"/>
    <w:rsid w:val="5C9F4EFC"/>
    <w:rsid w:val="5CA0548C"/>
    <w:rsid w:val="5CA2679A"/>
    <w:rsid w:val="5CA4571C"/>
    <w:rsid w:val="5CA70254"/>
    <w:rsid w:val="5CA72002"/>
    <w:rsid w:val="5CA729BF"/>
    <w:rsid w:val="5CA73DB1"/>
    <w:rsid w:val="5CA813C0"/>
    <w:rsid w:val="5CA921F0"/>
    <w:rsid w:val="5CA95D7B"/>
    <w:rsid w:val="5CAC586B"/>
    <w:rsid w:val="5CAD6132"/>
    <w:rsid w:val="5CB248FC"/>
    <w:rsid w:val="5CB53FD1"/>
    <w:rsid w:val="5CB63FF4"/>
    <w:rsid w:val="5CBA7F88"/>
    <w:rsid w:val="5CBC3D00"/>
    <w:rsid w:val="5CBD35D4"/>
    <w:rsid w:val="5CBE331C"/>
    <w:rsid w:val="5CBE7C34"/>
    <w:rsid w:val="5CBF191A"/>
    <w:rsid w:val="5CC20BEA"/>
    <w:rsid w:val="5CC2508E"/>
    <w:rsid w:val="5CC340BC"/>
    <w:rsid w:val="5CC42BB4"/>
    <w:rsid w:val="5CC93D27"/>
    <w:rsid w:val="5CCA167A"/>
    <w:rsid w:val="5CCB5CF1"/>
    <w:rsid w:val="5CCC024F"/>
    <w:rsid w:val="5CCD7CBB"/>
    <w:rsid w:val="5CD10E2D"/>
    <w:rsid w:val="5CD32DF8"/>
    <w:rsid w:val="5CDA167E"/>
    <w:rsid w:val="5CDA23D8"/>
    <w:rsid w:val="5CDB3A5A"/>
    <w:rsid w:val="5CE14ED3"/>
    <w:rsid w:val="5CE16EEF"/>
    <w:rsid w:val="5CE2303B"/>
    <w:rsid w:val="5CE40B61"/>
    <w:rsid w:val="5CE47462"/>
    <w:rsid w:val="5CE9498C"/>
    <w:rsid w:val="5CEA65A2"/>
    <w:rsid w:val="5CEB1EEF"/>
    <w:rsid w:val="5CEB6393"/>
    <w:rsid w:val="5CF068C5"/>
    <w:rsid w:val="5CF1327E"/>
    <w:rsid w:val="5CF52C0A"/>
    <w:rsid w:val="5CF76AE6"/>
    <w:rsid w:val="5CF80AB0"/>
    <w:rsid w:val="5CF82FF0"/>
    <w:rsid w:val="5CF96FBB"/>
    <w:rsid w:val="5CFB5EAA"/>
    <w:rsid w:val="5CFC36DD"/>
    <w:rsid w:val="5D015BB7"/>
    <w:rsid w:val="5D053352"/>
    <w:rsid w:val="5D057255"/>
    <w:rsid w:val="5D063D1D"/>
    <w:rsid w:val="5D072AA1"/>
    <w:rsid w:val="5D0905C7"/>
    <w:rsid w:val="5D09418D"/>
    <w:rsid w:val="5D0D6309"/>
    <w:rsid w:val="5D126EEF"/>
    <w:rsid w:val="5D1400E2"/>
    <w:rsid w:val="5D1551BE"/>
    <w:rsid w:val="5D170D88"/>
    <w:rsid w:val="5D184E4B"/>
    <w:rsid w:val="5D1968BC"/>
    <w:rsid w:val="5D1A0A26"/>
    <w:rsid w:val="5D1A4582"/>
    <w:rsid w:val="5D1C479E"/>
    <w:rsid w:val="5D1D4073"/>
    <w:rsid w:val="5D1F14F3"/>
    <w:rsid w:val="5D213B63"/>
    <w:rsid w:val="5D254161"/>
    <w:rsid w:val="5D261179"/>
    <w:rsid w:val="5D26561D"/>
    <w:rsid w:val="5D2673CB"/>
    <w:rsid w:val="5D276544"/>
    <w:rsid w:val="5D277664"/>
    <w:rsid w:val="5D283143"/>
    <w:rsid w:val="5D2850E5"/>
    <w:rsid w:val="5D292A17"/>
    <w:rsid w:val="5D296EBB"/>
    <w:rsid w:val="5D2D075A"/>
    <w:rsid w:val="5D2D76E4"/>
    <w:rsid w:val="5D3050D0"/>
    <w:rsid w:val="5D335644"/>
    <w:rsid w:val="5D347D3A"/>
    <w:rsid w:val="5D352CFB"/>
    <w:rsid w:val="5D355860"/>
    <w:rsid w:val="5D363A5E"/>
    <w:rsid w:val="5D3D1206"/>
    <w:rsid w:val="5D3D64C3"/>
    <w:rsid w:val="5D3E2967"/>
    <w:rsid w:val="5D3E6073"/>
    <w:rsid w:val="5D3F4D0A"/>
    <w:rsid w:val="5D415FB3"/>
    <w:rsid w:val="5D445AA3"/>
    <w:rsid w:val="5D4635C9"/>
    <w:rsid w:val="5D467A6D"/>
    <w:rsid w:val="5D487342"/>
    <w:rsid w:val="5D4930A8"/>
    <w:rsid w:val="5D4B0B1D"/>
    <w:rsid w:val="5D4B6E32"/>
    <w:rsid w:val="5D4D4958"/>
    <w:rsid w:val="5D4D6706"/>
    <w:rsid w:val="5D4E247E"/>
    <w:rsid w:val="5D4E5BA8"/>
    <w:rsid w:val="5D4F6922"/>
    <w:rsid w:val="5D50269A"/>
    <w:rsid w:val="5D526412"/>
    <w:rsid w:val="5D5515A5"/>
    <w:rsid w:val="5D5850AB"/>
    <w:rsid w:val="5D59154F"/>
    <w:rsid w:val="5D5977A1"/>
    <w:rsid w:val="5D5A52C7"/>
    <w:rsid w:val="5D5C0005"/>
    <w:rsid w:val="5D5C232A"/>
    <w:rsid w:val="5D5E4DB7"/>
    <w:rsid w:val="5D5E6B65"/>
    <w:rsid w:val="5D65308C"/>
    <w:rsid w:val="5D667504"/>
    <w:rsid w:val="5D6E1FD6"/>
    <w:rsid w:val="5D704AEA"/>
    <w:rsid w:val="5D731EE5"/>
    <w:rsid w:val="5D740137"/>
    <w:rsid w:val="5D777C27"/>
    <w:rsid w:val="5D7828E6"/>
    <w:rsid w:val="5D7B4A1E"/>
    <w:rsid w:val="5D7C348F"/>
    <w:rsid w:val="5D7C523D"/>
    <w:rsid w:val="5D7E0FB5"/>
    <w:rsid w:val="5D7E2D63"/>
    <w:rsid w:val="5D7F0889"/>
    <w:rsid w:val="5D804D2D"/>
    <w:rsid w:val="5D810AA5"/>
    <w:rsid w:val="5D810FF7"/>
    <w:rsid w:val="5D83481E"/>
    <w:rsid w:val="5D845EA0"/>
    <w:rsid w:val="5D854671"/>
    <w:rsid w:val="5D855D7E"/>
    <w:rsid w:val="5D874445"/>
    <w:rsid w:val="5D8A04B2"/>
    <w:rsid w:val="5D8A5BAC"/>
    <w:rsid w:val="5D8A795A"/>
    <w:rsid w:val="5D8D2FA6"/>
    <w:rsid w:val="5D8D6E33"/>
    <w:rsid w:val="5D8F31C2"/>
    <w:rsid w:val="5D9179C6"/>
    <w:rsid w:val="5D946993"/>
    <w:rsid w:val="5D995DEF"/>
    <w:rsid w:val="5D9B1B67"/>
    <w:rsid w:val="5D9C768D"/>
    <w:rsid w:val="5D9D72A2"/>
    <w:rsid w:val="5D9E058D"/>
    <w:rsid w:val="5D9E3405"/>
    <w:rsid w:val="5D9E6F62"/>
    <w:rsid w:val="5DA14CA4"/>
    <w:rsid w:val="5DA32799"/>
    <w:rsid w:val="5DA36C6E"/>
    <w:rsid w:val="5DA56542"/>
    <w:rsid w:val="5DAA1DAA"/>
    <w:rsid w:val="5DAB1E3B"/>
    <w:rsid w:val="5DAB78D0"/>
    <w:rsid w:val="5DAD189A"/>
    <w:rsid w:val="5DAD53F7"/>
    <w:rsid w:val="5DAF73C1"/>
    <w:rsid w:val="5DAF78C5"/>
    <w:rsid w:val="5DB1138B"/>
    <w:rsid w:val="5DB13D45"/>
    <w:rsid w:val="5DB20C5F"/>
    <w:rsid w:val="5DB22A0D"/>
    <w:rsid w:val="5DB76275"/>
    <w:rsid w:val="5DB91FED"/>
    <w:rsid w:val="5DB94BDB"/>
    <w:rsid w:val="5DBA7B13"/>
    <w:rsid w:val="5DBE305A"/>
    <w:rsid w:val="5DBE5856"/>
    <w:rsid w:val="5DBF512A"/>
    <w:rsid w:val="5DC10EA2"/>
    <w:rsid w:val="5DC11C82"/>
    <w:rsid w:val="5DC15346"/>
    <w:rsid w:val="5DC310BE"/>
    <w:rsid w:val="5DC34C1A"/>
    <w:rsid w:val="5DC42740"/>
    <w:rsid w:val="5DC50992"/>
    <w:rsid w:val="5DC97E04"/>
    <w:rsid w:val="5DCB3ACF"/>
    <w:rsid w:val="5DCB48EE"/>
    <w:rsid w:val="5DCE742D"/>
    <w:rsid w:val="5DD07337"/>
    <w:rsid w:val="5DD12FD7"/>
    <w:rsid w:val="5DD1655A"/>
    <w:rsid w:val="5DD17920"/>
    <w:rsid w:val="5DD45079"/>
    <w:rsid w:val="5DD60DF1"/>
    <w:rsid w:val="5DD67BDE"/>
    <w:rsid w:val="5DD92690"/>
    <w:rsid w:val="5DDA298A"/>
    <w:rsid w:val="5DDB1F64"/>
    <w:rsid w:val="5DDB75CE"/>
    <w:rsid w:val="5DDC3F2E"/>
    <w:rsid w:val="5DDC7A8A"/>
    <w:rsid w:val="5DDE3802"/>
    <w:rsid w:val="5DDE7148"/>
    <w:rsid w:val="5DDE7CA6"/>
    <w:rsid w:val="5DE30E18"/>
    <w:rsid w:val="5DE352BC"/>
    <w:rsid w:val="5DE52DE2"/>
    <w:rsid w:val="5DE74DAC"/>
    <w:rsid w:val="5DE84681"/>
    <w:rsid w:val="5DE860AC"/>
    <w:rsid w:val="5DE9235D"/>
    <w:rsid w:val="5DEA338B"/>
    <w:rsid w:val="5DEB5F1F"/>
    <w:rsid w:val="5DEC2376"/>
    <w:rsid w:val="5DED0D3E"/>
    <w:rsid w:val="5DED7EE9"/>
    <w:rsid w:val="5DEE162B"/>
    <w:rsid w:val="5DEE35FE"/>
    <w:rsid w:val="5DEF49B8"/>
    <w:rsid w:val="5DF03535"/>
    <w:rsid w:val="5DF125B0"/>
    <w:rsid w:val="5DF23751"/>
    <w:rsid w:val="5DF41277"/>
    <w:rsid w:val="5DF9688E"/>
    <w:rsid w:val="5DFE5C52"/>
    <w:rsid w:val="5E007C1C"/>
    <w:rsid w:val="5E03770C"/>
    <w:rsid w:val="5E047F4B"/>
    <w:rsid w:val="5E056FE1"/>
    <w:rsid w:val="5E08087F"/>
    <w:rsid w:val="5E09755D"/>
    <w:rsid w:val="5E0A0A9B"/>
    <w:rsid w:val="5E0A45F7"/>
    <w:rsid w:val="5E0B4210"/>
    <w:rsid w:val="5E0C4813"/>
    <w:rsid w:val="5E0E058B"/>
    <w:rsid w:val="5E0F1B60"/>
    <w:rsid w:val="5E0F60B1"/>
    <w:rsid w:val="5E135BA1"/>
    <w:rsid w:val="5E1367B2"/>
    <w:rsid w:val="5E145476"/>
    <w:rsid w:val="5E160F34"/>
    <w:rsid w:val="5E19246F"/>
    <w:rsid w:val="5E1A28CC"/>
    <w:rsid w:val="5E1B2CA8"/>
    <w:rsid w:val="5E1C257C"/>
    <w:rsid w:val="5E1E2D7A"/>
    <w:rsid w:val="5E1E66DC"/>
    <w:rsid w:val="5E2002BE"/>
    <w:rsid w:val="5E20206C"/>
    <w:rsid w:val="5E224037"/>
    <w:rsid w:val="5E2467F1"/>
    <w:rsid w:val="5E2558D5"/>
    <w:rsid w:val="5E257683"/>
    <w:rsid w:val="5E272426"/>
    <w:rsid w:val="5E282CCF"/>
    <w:rsid w:val="5E283AD1"/>
    <w:rsid w:val="5E284C1F"/>
    <w:rsid w:val="5E2A4C99"/>
    <w:rsid w:val="5E2B3851"/>
    <w:rsid w:val="5E2C6C63"/>
    <w:rsid w:val="5E2D6537"/>
    <w:rsid w:val="5E2D69B6"/>
    <w:rsid w:val="5E2E5076"/>
    <w:rsid w:val="5E316028"/>
    <w:rsid w:val="5E337FF2"/>
    <w:rsid w:val="5E343D6A"/>
    <w:rsid w:val="5E3653EC"/>
    <w:rsid w:val="5E384714"/>
    <w:rsid w:val="5E3873B6"/>
    <w:rsid w:val="5E3B03F5"/>
    <w:rsid w:val="5E3B5D7C"/>
    <w:rsid w:val="5E3E0745"/>
    <w:rsid w:val="5E3E24F3"/>
    <w:rsid w:val="5E3E26AF"/>
    <w:rsid w:val="5E3E6996"/>
    <w:rsid w:val="5E40626B"/>
    <w:rsid w:val="5E453881"/>
    <w:rsid w:val="5E4853B5"/>
    <w:rsid w:val="5E4C10B3"/>
    <w:rsid w:val="5E4D2736"/>
    <w:rsid w:val="5E4D3A90"/>
    <w:rsid w:val="5E4E4E2C"/>
    <w:rsid w:val="5E4F64AE"/>
    <w:rsid w:val="5E503537"/>
    <w:rsid w:val="5E510478"/>
    <w:rsid w:val="5E512226"/>
    <w:rsid w:val="5E5166CA"/>
    <w:rsid w:val="5E523A51"/>
    <w:rsid w:val="5E543AC4"/>
    <w:rsid w:val="5E544308"/>
    <w:rsid w:val="5E5835B4"/>
    <w:rsid w:val="5E5C0F3E"/>
    <w:rsid w:val="5E5C36F9"/>
    <w:rsid w:val="5E5D506F"/>
    <w:rsid w:val="5E6160E7"/>
    <w:rsid w:val="5E622685"/>
    <w:rsid w:val="5E6261E1"/>
    <w:rsid w:val="5E630E11"/>
    <w:rsid w:val="5E655CD1"/>
    <w:rsid w:val="5E687C70"/>
    <w:rsid w:val="5E694C83"/>
    <w:rsid w:val="5E6957C1"/>
    <w:rsid w:val="5E6E2DD8"/>
    <w:rsid w:val="5E6F08FE"/>
    <w:rsid w:val="5E6F4AAC"/>
    <w:rsid w:val="5E714676"/>
    <w:rsid w:val="5E7303EE"/>
    <w:rsid w:val="5E734892"/>
    <w:rsid w:val="5E761C8C"/>
    <w:rsid w:val="5E771C6F"/>
    <w:rsid w:val="5E781EA8"/>
    <w:rsid w:val="5E791686"/>
    <w:rsid w:val="5E793037"/>
    <w:rsid w:val="5E7F3237"/>
    <w:rsid w:val="5E7F5697"/>
    <w:rsid w:val="5E850121"/>
    <w:rsid w:val="5E852D1B"/>
    <w:rsid w:val="5E8B1BDC"/>
    <w:rsid w:val="5E8C22E9"/>
    <w:rsid w:val="5E8E347A"/>
    <w:rsid w:val="5E8F2D4E"/>
    <w:rsid w:val="5E914D18"/>
    <w:rsid w:val="5E91698F"/>
    <w:rsid w:val="5E96232F"/>
    <w:rsid w:val="5E9640DD"/>
    <w:rsid w:val="5E987E55"/>
    <w:rsid w:val="5E9B5B97"/>
    <w:rsid w:val="5E9D190F"/>
    <w:rsid w:val="5E9D36BD"/>
    <w:rsid w:val="5E9F11E3"/>
    <w:rsid w:val="5EA031AD"/>
    <w:rsid w:val="5EA70098"/>
    <w:rsid w:val="5EA7453C"/>
    <w:rsid w:val="5EAD7356"/>
    <w:rsid w:val="5EAE503A"/>
    <w:rsid w:val="5EAE58CA"/>
    <w:rsid w:val="5EB32EE1"/>
    <w:rsid w:val="5EB56C59"/>
    <w:rsid w:val="5EB629D1"/>
    <w:rsid w:val="5EB6652D"/>
    <w:rsid w:val="5EB97DCB"/>
    <w:rsid w:val="5EBA367D"/>
    <w:rsid w:val="5EBA426F"/>
    <w:rsid w:val="5EBC5385"/>
    <w:rsid w:val="5EBD5B0D"/>
    <w:rsid w:val="5EBE53E1"/>
    <w:rsid w:val="5EC07560"/>
    <w:rsid w:val="5EC4084D"/>
    <w:rsid w:val="5EC4217D"/>
    <w:rsid w:val="5EC52588"/>
    <w:rsid w:val="5EC6163E"/>
    <w:rsid w:val="5EC72965"/>
    <w:rsid w:val="5ECC7AFE"/>
    <w:rsid w:val="5ED13367"/>
    <w:rsid w:val="5ED52E57"/>
    <w:rsid w:val="5ED57CA3"/>
    <w:rsid w:val="5ED602A4"/>
    <w:rsid w:val="5ED6097D"/>
    <w:rsid w:val="5ED66BCF"/>
    <w:rsid w:val="5EDB23D4"/>
    <w:rsid w:val="5EDB5F93"/>
    <w:rsid w:val="5EDD1D0C"/>
    <w:rsid w:val="5EDF5A84"/>
    <w:rsid w:val="5EDF7832"/>
    <w:rsid w:val="5EE035AA"/>
    <w:rsid w:val="5EE237C6"/>
    <w:rsid w:val="5EE276D6"/>
    <w:rsid w:val="5EE412EC"/>
    <w:rsid w:val="5EE62ABD"/>
    <w:rsid w:val="5EE70977"/>
    <w:rsid w:val="5EE74938"/>
    <w:rsid w:val="5EE83993"/>
    <w:rsid w:val="5EE906B0"/>
    <w:rsid w:val="5EEA61D6"/>
    <w:rsid w:val="5EEE3F19"/>
    <w:rsid w:val="5EEF43CA"/>
    <w:rsid w:val="5EF07C91"/>
    <w:rsid w:val="5EF13A09"/>
    <w:rsid w:val="5EF534F9"/>
    <w:rsid w:val="5EF808F3"/>
    <w:rsid w:val="5EF9595D"/>
    <w:rsid w:val="5EFC4888"/>
    <w:rsid w:val="5EFC6636"/>
    <w:rsid w:val="5EFD5F65"/>
    <w:rsid w:val="5EFF7ED4"/>
    <w:rsid w:val="5F030150"/>
    <w:rsid w:val="5F0541AB"/>
    <w:rsid w:val="5F092B01"/>
    <w:rsid w:val="5F0B0627"/>
    <w:rsid w:val="5F0C6580"/>
    <w:rsid w:val="5F0E0117"/>
    <w:rsid w:val="5F100333"/>
    <w:rsid w:val="5F100A56"/>
    <w:rsid w:val="5F1020E1"/>
    <w:rsid w:val="5F117C07"/>
    <w:rsid w:val="5F1520E2"/>
    <w:rsid w:val="5F182D44"/>
    <w:rsid w:val="5F184590"/>
    <w:rsid w:val="5F1A2B43"/>
    <w:rsid w:val="5F1A2F60"/>
    <w:rsid w:val="5F1C2834"/>
    <w:rsid w:val="5F1C6CD8"/>
    <w:rsid w:val="5F1D035A"/>
    <w:rsid w:val="5F1D47FE"/>
    <w:rsid w:val="5F1E295A"/>
    <w:rsid w:val="5F203288"/>
    <w:rsid w:val="5F21609C"/>
    <w:rsid w:val="5F2416E8"/>
    <w:rsid w:val="5F246967"/>
    <w:rsid w:val="5F2516A8"/>
    <w:rsid w:val="5F261904"/>
    <w:rsid w:val="5F267129"/>
    <w:rsid w:val="5F28472C"/>
    <w:rsid w:val="5F2B49A3"/>
    <w:rsid w:val="5F2C537D"/>
    <w:rsid w:val="5F2C67EF"/>
    <w:rsid w:val="5F30008D"/>
    <w:rsid w:val="5F334021"/>
    <w:rsid w:val="5F3545E4"/>
    <w:rsid w:val="5F381638"/>
    <w:rsid w:val="5F3833E6"/>
    <w:rsid w:val="5F3A53B0"/>
    <w:rsid w:val="5F3A715E"/>
    <w:rsid w:val="5F3B6D1D"/>
    <w:rsid w:val="5F3C4E3E"/>
    <w:rsid w:val="5F3F4774"/>
    <w:rsid w:val="5F4104EC"/>
    <w:rsid w:val="5F447FDD"/>
    <w:rsid w:val="5F462822"/>
    <w:rsid w:val="5F465B03"/>
    <w:rsid w:val="5F4778D7"/>
    <w:rsid w:val="5F4E2C09"/>
    <w:rsid w:val="5F4F0E5B"/>
    <w:rsid w:val="5F506981"/>
    <w:rsid w:val="5F50744C"/>
    <w:rsid w:val="5F520B89"/>
    <w:rsid w:val="5F531564"/>
    <w:rsid w:val="5F555D46"/>
    <w:rsid w:val="5F5A6095"/>
    <w:rsid w:val="5F5B1FA6"/>
    <w:rsid w:val="5F5D2E4C"/>
    <w:rsid w:val="5F610B8F"/>
    <w:rsid w:val="5F622211"/>
    <w:rsid w:val="5F63118D"/>
    <w:rsid w:val="5F6441DB"/>
    <w:rsid w:val="5F667F53"/>
    <w:rsid w:val="5F677827"/>
    <w:rsid w:val="5F683CCB"/>
    <w:rsid w:val="5F6E5059"/>
    <w:rsid w:val="5F6E6E08"/>
    <w:rsid w:val="5F7268F8"/>
    <w:rsid w:val="5F742670"/>
    <w:rsid w:val="5F751E23"/>
    <w:rsid w:val="5F7563E8"/>
    <w:rsid w:val="5F772160"/>
    <w:rsid w:val="5F797C86"/>
    <w:rsid w:val="5F7A1C50"/>
    <w:rsid w:val="5F7A39FE"/>
    <w:rsid w:val="5F7C4FC6"/>
    <w:rsid w:val="5F7D704B"/>
    <w:rsid w:val="5F7E34EF"/>
    <w:rsid w:val="5F7E529D"/>
    <w:rsid w:val="5F7F1015"/>
    <w:rsid w:val="5F812FDF"/>
    <w:rsid w:val="5F816B3B"/>
    <w:rsid w:val="5F8215E5"/>
    <w:rsid w:val="5F831334"/>
    <w:rsid w:val="5F843F05"/>
    <w:rsid w:val="5F851253"/>
    <w:rsid w:val="5F85487D"/>
    <w:rsid w:val="5F856825"/>
    <w:rsid w:val="5F8605F5"/>
    <w:rsid w:val="5F8623A3"/>
    <w:rsid w:val="5F88611B"/>
    <w:rsid w:val="5F8E195D"/>
    <w:rsid w:val="5F8E562C"/>
    <w:rsid w:val="5F904FD0"/>
    <w:rsid w:val="5F94748A"/>
    <w:rsid w:val="5F9525E6"/>
    <w:rsid w:val="5F990328"/>
    <w:rsid w:val="5F9920D6"/>
    <w:rsid w:val="5F9E76ED"/>
    <w:rsid w:val="5FA131F0"/>
    <w:rsid w:val="5FA6034F"/>
    <w:rsid w:val="5FA62A45"/>
    <w:rsid w:val="5FA6729F"/>
    <w:rsid w:val="5FAE5456"/>
    <w:rsid w:val="5FB011CE"/>
    <w:rsid w:val="5FB05672"/>
    <w:rsid w:val="5FB07420"/>
    <w:rsid w:val="5FB17F94"/>
    <w:rsid w:val="5FB4164E"/>
    <w:rsid w:val="5FB52C88"/>
    <w:rsid w:val="5FB55B8B"/>
    <w:rsid w:val="5FB567E4"/>
    <w:rsid w:val="5FB707AE"/>
    <w:rsid w:val="5FB837BB"/>
    <w:rsid w:val="5FBB029F"/>
    <w:rsid w:val="5FBD4096"/>
    <w:rsid w:val="5FBE38EB"/>
    <w:rsid w:val="5FBE7D8F"/>
    <w:rsid w:val="5FC03B07"/>
    <w:rsid w:val="5FC058B5"/>
    <w:rsid w:val="5FC367C7"/>
    <w:rsid w:val="5FC5111D"/>
    <w:rsid w:val="5FC53D5C"/>
    <w:rsid w:val="5FC627A0"/>
    <w:rsid w:val="5FC66C44"/>
    <w:rsid w:val="5FC829BC"/>
    <w:rsid w:val="5FCA04E2"/>
    <w:rsid w:val="5FCA6734"/>
    <w:rsid w:val="5FCB6008"/>
    <w:rsid w:val="5FCD3B2E"/>
    <w:rsid w:val="5FCF5AF8"/>
    <w:rsid w:val="5FCF79C2"/>
    <w:rsid w:val="5FD0361E"/>
    <w:rsid w:val="5FD21144"/>
    <w:rsid w:val="5FD255E8"/>
    <w:rsid w:val="5FD4310E"/>
    <w:rsid w:val="5FD50C35"/>
    <w:rsid w:val="5FD749AD"/>
    <w:rsid w:val="5FD74F92"/>
    <w:rsid w:val="5FD96977"/>
    <w:rsid w:val="5FDA449D"/>
    <w:rsid w:val="5FDA624B"/>
    <w:rsid w:val="5FDC422F"/>
    <w:rsid w:val="5FDF3861"/>
    <w:rsid w:val="5FE140C1"/>
    <w:rsid w:val="5FE175D9"/>
    <w:rsid w:val="5FE377F5"/>
    <w:rsid w:val="5FE5356E"/>
    <w:rsid w:val="5FE570CA"/>
    <w:rsid w:val="5FE80968"/>
    <w:rsid w:val="5FE84E0C"/>
    <w:rsid w:val="5FEA0B84"/>
    <w:rsid w:val="5FEB0FA6"/>
    <w:rsid w:val="5FEB152F"/>
    <w:rsid w:val="5FEB2206"/>
    <w:rsid w:val="5FEB66AA"/>
    <w:rsid w:val="5FED2422"/>
    <w:rsid w:val="5FED343B"/>
    <w:rsid w:val="5FEF6F25"/>
    <w:rsid w:val="5FF23595"/>
    <w:rsid w:val="5FF24416"/>
    <w:rsid w:val="5FF335CF"/>
    <w:rsid w:val="5FF67529"/>
    <w:rsid w:val="5FF94923"/>
    <w:rsid w:val="5FFC08B7"/>
    <w:rsid w:val="5FFC3909"/>
    <w:rsid w:val="5FFC4413"/>
    <w:rsid w:val="60002155"/>
    <w:rsid w:val="60025ECE"/>
    <w:rsid w:val="60032F94"/>
    <w:rsid w:val="600537CA"/>
    <w:rsid w:val="600734E4"/>
    <w:rsid w:val="6008725C"/>
    <w:rsid w:val="600A0901"/>
    <w:rsid w:val="600A3B2D"/>
    <w:rsid w:val="600A6B30"/>
    <w:rsid w:val="600B4656"/>
    <w:rsid w:val="600C0321"/>
    <w:rsid w:val="600F4147"/>
    <w:rsid w:val="60107EBF"/>
    <w:rsid w:val="60121E89"/>
    <w:rsid w:val="60161979"/>
    <w:rsid w:val="60170588"/>
    <w:rsid w:val="60172FFB"/>
    <w:rsid w:val="60184E2C"/>
    <w:rsid w:val="60193217"/>
    <w:rsid w:val="60196D73"/>
    <w:rsid w:val="601B2AEB"/>
    <w:rsid w:val="601B6F8F"/>
    <w:rsid w:val="601E50D5"/>
    <w:rsid w:val="602045A6"/>
    <w:rsid w:val="602176D1"/>
    <w:rsid w:val="60234096"/>
    <w:rsid w:val="6025124B"/>
    <w:rsid w:val="60255718"/>
    <w:rsid w:val="60275934"/>
    <w:rsid w:val="60275C02"/>
    <w:rsid w:val="602776E2"/>
    <w:rsid w:val="60297336"/>
    <w:rsid w:val="602B6AA7"/>
    <w:rsid w:val="602C2F4B"/>
    <w:rsid w:val="602E6D25"/>
    <w:rsid w:val="602F47E9"/>
    <w:rsid w:val="60327E35"/>
    <w:rsid w:val="6033492A"/>
    <w:rsid w:val="60341DFF"/>
    <w:rsid w:val="60343BAD"/>
    <w:rsid w:val="603659D8"/>
    <w:rsid w:val="603B4F3C"/>
    <w:rsid w:val="603E4A2C"/>
    <w:rsid w:val="604007A4"/>
    <w:rsid w:val="604167CD"/>
    <w:rsid w:val="6042276E"/>
    <w:rsid w:val="60427C5D"/>
    <w:rsid w:val="60430294"/>
    <w:rsid w:val="60433DF0"/>
    <w:rsid w:val="60434604"/>
    <w:rsid w:val="604415F1"/>
    <w:rsid w:val="6045400C"/>
    <w:rsid w:val="60477D84"/>
    <w:rsid w:val="604858AA"/>
    <w:rsid w:val="604A517F"/>
    <w:rsid w:val="604C539B"/>
    <w:rsid w:val="604C7149"/>
    <w:rsid w:val="604D1FAD"/>
    <w:rsid w:val="604F09E7"/>
    <w:rsid w:val="6051159A"/>
    <w:rsid w:val="605129B1"/>
    <w:rsid w:val="60536729"/>
    <w:rsid w:val="60546BB6"/>
    <w:rsid w:val="60597AB8"/>
    <w:rsid w:val="605B3923"/>
    <w:rsid w:val="605B55DE"/>
    <w:rsid w:val="605D1356"/>
    <w:rsid w:val="605E0C2A"/>
    <w:rsid w:val="605E50CE"/>
    <w:rsid w:val="605E6E7C"/>
    <w:rsid w:val="605F7185"/>
    <w:rsid w:val="6062696C"/>
    <w:rsid w:val="606325DD"/>
    <w:rsid w:val="606326E4"/>
    <w:rsid w:val="60633836"/>
    <w:rsid w:val="60643359"/>
    <w:rsid w:val="606721D5"/>
    <w:rsid w:val="60673F83"/>
    <w:rsid w:val="606A75CF"/>
    <w:rsid w:val="606D5311"/>
    <w:rsid w:val="606F1B78"/>
    <w:rsid w:val="606F2E37"/>
    <w:rsid w:val="60716BAF"/>
    <w:rsid w:val="60730B79"/>
    <w:rsid w:val="60732927"/>
    <w:rsid w:val="607466A0"/>
    <w:rsid w:val="607641C6"/>
    <w:rsid w:val="607707D3"/>
    <w:rsid w:val="60787F3E"/>
    <w:rsid w:val="60792ED3"/>
    <w:rsid w:val="607B17DC"/>
    <w:rsid w:val="607C1773"/>
    <w:rsid w:val="60806DF2"/>
    <w:rsid w:val="60811573"/>
    <w:rsid w:val="60844B35"/>
    <w:rsid w:val="608508AD"/>
    <w:rsid w:val="60854409"/>
    <w:rsid w:val="60867FEA"/>
    <w:rsid w:val="608763D3"/>
    <w:rsid w:val="60885312"/>
    <w:rsid w:val="608A5EC3"/>
    <w:rsid w:val="608C39E9"/>
    <w:rsid w:val="608E59B3"/>
    <w:rsid w:val="608F232F"/>
    <w:rsid w:val="608F34D9"/>
    <w:rsid w:val="60912DAE"/>
    <w:rsid w:val="60924BE4"/>
    <w:rsid w:val="60936B26"/>
    <w:rsid w:val="60956D42"/>
    <w:rsid w:val="60966616"/>
    <w:rsid w:val="60997EB4"/>
    <w:rsid w:val="609A237A"/>
    <w:rsid w:val="609B00D0"/>
    <w:rsid w:val="609D1752"/>
    <w:rsid w:val="609D7020"/>
    <w:rsid w:val="60A26294"/>
    <w:rsid w:val="60A52CFD"/>
    <w:rsid w:val="60A5323F"/>
    <w:rsid w:val="60A800F7"/>
    <w:rsid w:val="60A84D2E"/>
    <w:rsid w:val="60A9459B"/>
    <w:rsid w:val="60A96349"/>
    <w:rsid w:val="60AA0313"/>
    <w:rsid w:val="60AB1FDD"/>
    <w:rsid w:val="60AB55E8"/>
    <w:rsid w:val="60AE0F12"/>
    <w:rsid w:val="60AE1BB1"/>
    <w:rsid w:val="60B168B0"/>
    <w:rsid w:val="60B2789C"/>
    <w:rsid w:val="60B531C6"/>
    <w:rsid w:val="60B612C5"/>
    <w:rsid w:val="60B62814"/>
    <w:rsid w:val="60B8021A"/>
    <w:rsid w:val="60B8658C"/>
    <w:rsid w:val="60B90408"/>
    <w:rsid w:val="60BB607C"/>
    <w:rsid w:val="60BE6771"/>
    <w:rsid w:val="60BF5B6D"/>
    <w:rsid w:val="60C211B9"/>
    <w:rsid w:val="60C2565D"/>
    <w:rsid w:val="60C2740B"/>
    <w:rsid w:val="60C34F31"/>
    <w:rsid w:val="60C413D5"/>
    <w:rsid w:val="60C4204E"/>
    <w:rsid w:val="60C465E3"/>
    <w:rsid w:val="60C54520"/>
    <w:rsid w:val="60C5514D"/>
    <w:rsid w:val="60C70EC5"/>
    <w:rsid w:val="60C767CF"/>
    <w:rsid w:val="60CC405A"/>
    <w:rsid w:val="60CE4002"/>
    <w:rsid w:val="60D0204F"/>
    <w:rsid w:val="60D13AF2"/>
    <w:rsid w:val="60D1764E"/>
    <w:rsid w:val="60D22077"/>
    <w:rsid w:val="60D333C6"/>
    <w:rsid w:val="60D473F5"/>
    <w:rsid w:val="60D84E80"/>
    <w:rsid w:val="60DB1C99"/>
    <w:rsid w:val="60DF7FBD"/>
    <w:rsid w:val="60E27AAD"/>
    <w:rsid w:val="60E43825"/>
    <w:rsid w:val="60E44ACE"/>
    <w:rsid w:val="60E45B94"/>
    <w:rsid w:val="60E530F9"/>
    <w:rsid w:val="60E750C3"/>
    <w:rsid w:val="60E90E3C"/>
    <w:rsid w:val="60EA6962"/>
    <w:rsid w:val="60EA7494"/>
    <w:rsid w:val="60EC092C"/>
    <w:rsid w:val="60EC4488"/>
    <w:rsid w:val="60EE1FAE"/>
    <w:rsid w:val="60EE6452"/>
    <w:rsid w:val="60EF754F"/>
    <w:rsid w:val="60F03CB7"/>
    <w:rsid w:val="60F11A9E"/>
    <w:rsid w:val="60F35816"/>
    <w:rsid w:val="60F375C4"/>
    <w:rsid w:val="60F65306"/>
    <w:rsid w:val="60F82E2D"/>
    <w:rsid w:val="60FA4DF7"/>
    <w:rsid w:val="60FA6BA5"/>
    <w:rsid w:val="60FB691F"/>
    <w:rsid w:val="60FD0443"/>
    <w:rsid w:val="60FF5DBE"/>
    <w:rsid w:val="610033F5"/>
    <w:rsid w:val="61005532"/>
    <w:rsid w:val="61007F33"/>
    <w:rsid w:val="61016185"/>
    <w:rsid w:val="6104413C"/>
    <w:rsid w:val="61047A23"/>
    <w:rsid w:val="610572F8"/>
    <w:rsid w:val="610712C2"/>
    <w:rsid w:val="610A2B60"/>
    <w:rsid w:val="610E21C1"/>
    <w:rsid w:val="610E2650"/>
    <w:rsid w:val="610E7B5A"/>
    <w:rsid w:val="610F20E2"/>
    <w:rsid w:val="610F72CE"/>
    <w:rsid w:val="6110461A"/>
    <w:rsid w:val="61112140"/>
    <w:rsid w:val="61125F08"/>
    <w:rsid w:val="6112750A"/>
    <w:rsid w:val="61135DC9"/>
    <w:rsid w:val="611430D1"/>
    <w:rsid w:val="6116474A"/>
    <w:rsid w:val="61181721"/>
    <w:rsid w:val="611834CF"/>
    <w:rsid w:val="61187559"/>
    <w:rsid w:val="611D0AE5"/>
    <w:rsid w:val="611D2893"/>
    <w:rsid w:val="611D2D2D"/>
    <w:rsid w:val="61204131"/>
    <w:rsid w:val="6126799A"/>
    <w:rsid w:val="612702A0"/>
    <w:rsid w:val="612E21DB"/>
    <w:rsid w:val="61300818"/>
    <w:rsid w:val="613100ED"/>
    <w:rsid w:val="613227E3"/>
    <w:rsid w:val="61341414"/>
    <w:rsid w:val="613C71BD"/>
    <w:rsid w:val="613F0A5C"/>
    <w:rsid w:val="61406582"/>
    <w:rsid w:val="6142054C"/>
    <w:rsid w:val="614222FA"/>
    <w:rsid w:val="61424EA8"/>
    <w:rsid w:val="61447E20"/>
    <w:rsid w:val="614538A0"/>
    <w:rsid w:val="61470893"/>
    <w:rsid w:val="61475B62"/>
    <w:rsid w:val="614B11AE"/>
    <w:rsid w:val="614B5652"/>
    <w:rsid w:val="614B7400"/>
    <w:rsid w:val="614E5143"/>
    <w:rsid w:val="61521DCC"/>
    <w:rsid w:val="61532759"/>
    <w:rsid w:val="61540D47"/>
    <w:rsid w:val="615564D1"/>
    <w:rsid w:val="615A3AE7"/>
    <w:rsid w:val="615D0EE2"/>
    <w:rsid w:val="615F10FE"/>
    <w:rsid w:val="61656B6E"/>
    <w:rsid w:val="616710AC"/>
    <w:rsid w:val="61671D60"/>
    <w:rsid w:val="61697FFD"/>
    <w:rsid w:val="616D55C9"/>
    <w:rsid w:val="616E701B"/>
    <w:rsid w:val="616F3EC5"/>
    <w:rsid w:val="61702322"/>
    <w:rsid w:val="617050B9"/>
    <w:rsid w:val="61706E67"/>
    <w:rsid w:val="61707DCC"/>
    <w:rsid w:val="61730705"/>
    <w:rsid w:val="61750921"/>
    <w:rsid w:val="61776447"/>
    <w:rsid w:val="617821BF"/>
    <w:rsid w:val="61783F6D"/>
    <w:rsid w:val="61797B48"/>
    <w:rsid w:val="617A1A94"/>
    <w:rsid w:val="617A5F38"/>
    <w:rsid w:val="617D31C6"/>
    <w:rsid w:val="617F6DB2"/>
    <w:rsid w:val="61813F63"/>
    <w:rsid w:val="61822AE0"/>
    <w:rsid w:val="61834DEC"/>
    <w:rsid w:val="61840B64"/>
    <w:rsid w:val="618648DC"/>
    <w:rsid w:val="6186668A"/>
    <w:rsid w:val="618943CD"/>
    <w:rsid w:val="618B3D19"/>
    <w:rsid w:val="618C745A"/>
    <w:rsid w:val="618F4029"/>
    <w:rsid w:val="619012B7"/>
    <w:rsid w:val="6190493F"/>
    <w:rsid w:val="61910CF5"/>
    <w:rsid w:val="61932B55"/>
    <w:rsid w:val="61946FF9"/>
    <w:rsid w:val="6195300F"/>
    <w:rsid w:val="61970898"/>
    <w:rsid w:val="6197590A"/>
    <w:rsid w:val="619A0388"/>
    <w:rsid w:val="619A6E2E"/>
    <w:rsid w:val="619E0AB7"/>
    <w:rsid w:val="619E5802"/>
    <w:rsid w:val="619F4748"/>
    <w:rsid w:val="619F774C"/>
    <w:rsid w:val="61A134C4"/>
    <w:rsid w:val="61A23C3A"/>
    <w:rsid w:val="61A24FB0"/>
    <w:rsid w:val="61A316BC"/>
    <w:rsid w:val="61A3723C"/>
    <w:rsid w:val="61A44D62"/>
    <w:rsid w:val="61A46B11"/>
    <w:rsid w:val="61A85A3D"/>
    <w:rsid w:val="61A905CB"/>
    <w:rsid w:val="61A94127"/>
    <w:rsid w:val="61A97D76"/>
    <w:rsid w:val="61AA2758"/>
    <w:rsid w:val="61AB60F1"/>
    <w:rsid w:val="61AB6EA4"/>
    <w:rsid w:val="61AB7E9F"/>
    <w:rsid w:val="61AD2798"/>
    <w:rsid w:val="61AE798F"/>
    <w:rsid w:val="61B01959"/>
    <w:rsid w:val="61B03707"/>
    <w:rsid w:val="61B054B5"/>
    <w:rsid w:val="61B34FA6"/>
    <w:rsid w:val="61B52ACC"/>
    <w:rsid w:val="61B72CE8"/>
    <w:rsid w:val="61B74A96"/>
    <w:rsid w:val="61B76F96"/>
    <w:rsid w:val="61B825BC"/>
    <w:rsid w:val="61BA6334"/>
    <w:rsid w:val="61BB52E0"/>
    <w:rsid w:val="61BB6A77"/>
    <w:rsid w:val="61BC02FE"/>
    <w:rsid w:val="61BF3015"/>
    <w:rsid w:val="61C55405"/>
    <w:rsid w:val="61C85EB7"/>
    <w:rsid w:val="61C86CA3"/>
    <w:rsid w:val="61C94ACE"/>
    <w:rsid w:val="61CA2A1B"/>
    <w:rsid w:val="61CA3CCD"/>
    <w:rsid w:val="61CB22EF"/>
    <w:rsid w:val="61CE1DDF"/>
    <w:rsid w:val="61CE3B8D"/>
    <w:rsid w:val="61D07906"/>
    <w:rsid w:val="61D2220B"/>
    <w:rsid w:val="61D2367E"/>
    <w:rsid w:val="61D45648"/>
    <w:rsid w:val="61D70C94"/>
    <w:rsid w:val="61D71DCF"/>
    <w:rsid w:val="61D72606"/>
    <w:rsid w:val="61D76EE6"/>
    <w:rsid w:val="61D80564"/>
    <w:rsid w:val="61DA0784"/>
    <w:rsid w:val="61DC62AA"/>
    <w:rsid w:val="61DE64C6"/>
    <w:rsid w:val="61E0223F"/>
    <w:rsid w:val="61E215D8"/>
    <w:rsid w:val="61E37639"/>
    <w:rsid w:val="61E6537B"/>
    <w:rsid w:val="61E67129"/>
    <w:rsid w:val="61E86918"/>
    <w:rsid w:val="61EB0BE3"/>
    <w:rsid w:val="61EF4230"/>
    <w:rsid w:val="61F061FA"/>
    <w:rsid w:val="61F25ACE"/>
    <w:rsid w:val="61F523C2"/>
    <w:rsid w:val="61F5736C"/>
    <w:rsid w:val="61F74339"/>
    <w:rsid w:val="61F77588"/>
    <w:rsid w:val="61FA20CA"/>
    <w:rsid w:val="61FA38FE"/>
    <w:rsid w:val="61FB33CF"/>
    <w:rsid w:val="61FD22F2"/>
    <w:rsid w:val="61FE0917"/>
    <w:rsid w:val="61FE4473"/>
    <w:rsid w:val="61FF01EB"/>
    <w:rsid w:val="62001846"/>
    <w:rsid w:val="62013F63"/>
    <w:rsid w:val="62051CA5"/>
    <w:rsid w:val="620971E2"/>
    <w:rsid w:val="620B5F05"/>
    <w:rsid w:val="620F042E"/>
    <w:rsid w:val="620F1AC2"/>
    <w:rsid w:val="620F6680"/>
    <w:rsid w:val="621023F8"/>
    <w:rsid w:val="621041A6"/>
    <w:rsid w:val="62107AF1"/>
    <w:rsid w:val="621106F4"/>
    <w:rsid w:val="6212137E"/>
    <w:rsid w:val="62141EE8"/>
    <w:rsid w:val="62145A44"/>
    <w:rsid w:val="621517BC"/>
    <w:rsid w:val="62157A0E"/>
    <w:rsid w:val="62175534"/>
    <w:rsid w:val="6217747C"/>
    <w:rsid w:val="62181329"/>
    <w:rsid w:val="62195750"/>
    <w:rsid w:val="621A0316"/>
    <w:rsid w:val="621A5025"/>
    <w:rsid w:val="621B3775"/>
    <w:rsid w:val="621C2B4B"/>
    <w:rsid w:val="621E2CF8"/>
    <w:rsid w:val="621E2D67"/>
    <w:rsid w:val="621E35E4"/>
    <w:rsid w:val="621F43E9"/>
    <w:rsid w:val="6220088D"/>
    <w:rsid w:val="6220263B"/>
    <w:rsid w:val="6223037D"/>
    <w:rsid w:val="62233ED9"/>
    <w:rsid w:val="622814F0"/>
    <w:rsid w:val="622C5484"/>
    <w:rsid w:val="622D3399"/>
    <w:rsid w:val="622E7C1C"/>
    <w:rsid w:val="622F6D22"/>
    <w:rsid w:val="623025A4"/>
    <w:rsid w:val="62312A9A"/>
    <w:rsid w:val="623205C0"/>
    <w:rsid w:val="62326812"/>
    <w:rsid w:val="62347E94"/>
    <w:rsid w:val="62361E5F"/>
    <w:rsid w:val="62364782"/>
    <w:rsid w:val="623720EF"/>
    <w:rsid w:val="62375066"/>
    <w:rsid w:val="62390CB6"/>
    <w:rsid w:val="623B4E4B"/>
    <w:rsid w:val="623C00F8"/>
    <w:rsid w:val="623C4F9B"/>
    <w:rsid w:val="623E51B7"/>
    <w:rsid w:val="623F6839"/>
    <w:rsid w:val="624244EA"/>
    <w:rsid w:val="624327CD"/>
    <w:rsid w:val="62441E42"/>
    <w:rsid w:val="624502F4"/>
    <w:rsid w:val="62465E1A"/>
    <w:rsid w:val="62481B92"/>
    <w:rsid w:val="62481C3B"/>
    <w:rsid w:val="62487C4B"/>
    <w:rsid w:val="62487DE4"/>
    <w:rsid w:val="624A3B5C"/>
    <w:rsid w:val="624B51DE"/>
    <w:rsid w:val="624C72FD"/>
    <w:rsid w:val="624F2F20"/>
    <w:rsid w:val="625247BE"/>
    <w:rsid w:val="6252656D"/>
    <w:rsid w:val="62540537"/>
    <w:rsid w:val="62551626"/>
    <w:rsid w:val="62561697"/>
    <w:rsid w:val="625B180A"/>
    <w:rsid w:val="625B18C5"/>
    <w:rsid w:val="625B6241"/>
    <w:rsid w:val="625C52AD"/>
    <w:rsid w:val="625C563D"/>
    <w:rsid w:val="625E13B5"/>
    <w:rsid w:val="625E1DEF"/>
    <w:rsid w:val="62612C54"/>
    <w:rsid w:val="62620EA5"/>
    <w:rsid w:val="62634C1E"/>
    <w:rsid w:val="626369CC"/>
    <w:rsid w:val="6264757B"/>
    <w:rsid w:val="626544F2"/>
    <w:rsid w:val="626562A0"/>
    <w:rsid w:val="6267026A"/>
    <w:rsid w:val="62683FE2"/>
    <w:rsid w:val="62685D90"/>
    <w:rsid w:val="626D15F8"/>
    <w:rsid w:val="62710B4C"/>
    <w:rsid w:val="62712E97"/>
    <w:rsid w:val="62736511"/>
    <w:rsid w:val="62753841"/>
    <w:rsid w:val="62775FD3"/>
    <w:rsid w:val="62782477"/>
    <w:rsid w:val="6278396C"/>
    <w:rsid w:val="62797F9D"/>
    <w:rsid w:val="627C183B"/>
    <w:rsid w:val="627E55B4"/>
    <w:rsid w:val="627F2A5F"/>
    <w:rsid w:val="6280757E"/>
    <w:rsid w:val="62811DE4"/>
    <w:rsid w:val="628232F6"/>
    <w:rsid w:val="62830E1C"/>
    <w:rsid w:val="62831908"/>
    <w:rsid w:val="628506F0"/>
    <w:rsid w:val="62864468"/>
    <w:rsid w:val="628726BA"/>
    <w:rsid w:val="6288355E"/>
    <w:rsid w:val="62886432"/>
    <w:rsid w:val="628A3F58"/>
    <w:rsid w:val="628A7090"/>
    <w:rsid w:val="628C1A7E"/>
    <w:rsid w:val="628C5F22"/>
    <w:rsid w:val="628C7CD0"/>
    <w:rsid w:val="628D57F7"/>
    <w:rsid w:val="62966DA1"/>
    <w:rsid w:val="6296789C"/>
    <w:rsid w:val="62970423"/>
    <w:rsid w:val="62977486"/>
    <w:rsid w:val="629848C7"/>
    <w:rsid w:val="62986BCA"/>
    <w:rsid w:val="62992D43"/>
    <w:rsid w:val="62A0377C"/>
    <w:rsid w:val="62A1575A"/>
    <w:rsid w:val="62A24B3B"/>
    <w:rsid w:val="62A25C06"/>
    <w:rsid w:val="62A57FE5"/>
    <w:rsid w:val="62A70B04"/>
    <w:rsid w:val="62A80882"/>
    <w:rsid w:val="62A9226E"/>
    <w:rsid w:val="62AA63A9"/>
    <w:rsid w:val="62B04884"/>
    <w:rsid w:val="62B33950"/>
    <w:rsid w:val="62B45479"/>
    <w:rsid w:val="62B47227"/>
    <w:rsid w:val="62B62F9F"/>
    <w:rsid w:val="62B64D4D"/>
    <w:rsid w:val="62B86D17"/>
    <w:rsid w:val="62B87005"/>
    <w:rsid w:val="62B92A90"/>
    <w:rsid w:val="62B94A5C"/>
    <w:rsid w:val="62BB6808"/>
    <w:rsid w:val="62BE3C02"/>
    <w:rsid w:val="62C03E1E"/>
    <w:rsid w:val="62C21BEA"/>
    <w:rsid w:val="62C236F2"/>
    <w:rsid w:val="62C31218"/>
    <w:rsid w:val="62C3746A"/>
    <w:rsid w:val="62C67088"/>
    <w:rsid w:val="62C751AC"/>
    <w:rsid w:val="62C90F25"/>
    <w:rsid w:val="62CB09BA"/>
    <w:rsid w:val="62CB49A1"/>
    <w:rsid w:val="62CE5F3F"/>
    <w:rsid w:val="62CE653B"/>
    <w:rsid w:val="62CF1501"/>
    <w:rsid w:val="62CF4061"/>
    <w:rsid w:val="62CF5DC9"/>
    <w:rsid w:val="62D02D0B"/>
    <w:rsid w:val="62D2214A"/>
    <w:rsid w:val="62D6174E"/>
    <w:rsid w:val="62D62232"/>
    <w:rsid w:val="62D653F0"/>
    <w:rsid w:val="62D90A3C"/>
    <w:rsid w:val="62DB47B4"/>
    <w:rsid w:val="62DC55C0"/>
    <w:rsid w:val="62DD22DA"/>
    <w:rsid w:val="62DD4049"/>
    <w:rsid w:val="62E23D94"/>
    <w:rsid w:val="62E42611"/>
    <w:rsid w:val="62E51990"/>
    <w:rsid w:val="62E573E1"/>
    <w:rsid w:val="62E73159"/>
    <w:rsid w:val="62E83B63"/>
    <w:rsid w:val="62E95123"/>
    <w:rsid w:val="62EA49F7"/>
    <w:rsid w:val="62EB1054"/>
    <w:rsid w:val="62EC076F"/>
    <w:rsid w:val="62EE4B17"/>
    <w:rsid w:val="62F37D50"/>
    <w:rsid w:val="62F45876"/>
    <w:rsid w:val="62F51D1A"/>
    <w:rsid w:val="62F614A1"/>
    <w:rsid w:val="62F85366"/>
    <w:rsid w:val="62FA7330"/>
    <w:rsid w:val="62FB30A8"/>
    <w:rsid w:val="62FF4946"/>
    <w:rsid w:val="630006BE"/>
    <w:rsid w:val="6300246C"/>
    <w:rsid w:val="630272E2"/>
    <w:rsid w:val="63041F5D"/>
    <w:rsid w:val="63057A83"/>
    <w:rsid w:val="630670EC"/>
    <w:rsid w:val="63071A4D"/>
    <w:rsid w:val="630A432C"/>
    <w:rsid w:val="630A5A6D"/>
    <w:rsid w:val="630B320C"/>
    <w:rsid w:val="630C2BBF"/>
    <w:rsid w:val="630C7063"/>
    <w:rsid w:val="630E1F93"/>
    <w:rsid w:val="630E2DDB"/>
    <w:rsid w:val="630F177B"/>
    <w:rsid w:val="630F26B0"/>
    <w:rsid w:val="630F445E"/>
    <w:rsid w:val="6311467A"/>
    <w:rsid w:val="63137B19"/>
    <w:rsid w:val="63147CC6"/>
    <w:rsid w:val="63163A3E"/>
    <w:rsid w:val="631657EC"/>
    <w:rsid w:val="63185A08"/>
    <w:rsid w:val="631A1780"/>
    <w:rsid w:val="631F430E"/>
    <w:rsid w:val="63224191"/>
    <w:rsid w:val="63225CDF"/>
    <w:rsid w:val="632443AD"/>
    <w:rsid w:val="63247F09"/>
    <w:rsid w:val="63263B05"/>
    <w:rsid w:val="632717A7"/>
    <w:rsid w:val="63293771"/>
    <w:rsid w:val="632A1297"/>
    <w:rsid w:val="63304B00"/>
    <w:rsid w:val="63316ACA"/>
    <w:rsid w:val="633220A8"/>
    <w:rsid w:val="6333639E"/>
    <w:rsid w:val="63365E8E"/>
    <w:rsid w:val="6336652D"/>
    <w:rsid w:val="63367C3C"/>
    <w:rsid w:val="63387E58"/>
    <w:rsid w:val="633A597E"/>
    <w:rsid w:val="633B34A5"/>
    <w:rsid w:val="634265E1"/>
    <w:rsid w:val="63442359"/>
    <w:rsid w:val="6344708E"/>
    <w:rsid w:val="63455B1D"/>
    <w:rsid w:val="634630EF"/>
    <w:rsid w:val="634640D7"/>
    <w:rsid w:val="634877EE"/>
    <w:rsid w:val="634A36E8"/>
    <w:rsid w:val="634A4BAA"/>
    <w:rsid w:val="634B38F4"/>
    <w:rsid w:val="634B7B8C"/>
    <w:rsid w:val="634C5F1B"/>
    <w:rsid w:val="63534C92"/>
    <w:rsid w:val="635527B8"/>
    <w:rsid w:val="635822A8"/>
    <w:rsid w:val="635B58F5"/>
    <w:rsid w:val="635C3B47"/>
    <w:rsid w:val="635D1376"/>
    <w:rsid w:val="635D78BF"/>
    <w:rsid w:val="635F53E5"/>
    <w:rsid w:val="63612F0B"/>
    <w:rsid w:val="63624ED5"/>
    <w:rsid w:val="636429FB"/>
    <w:rsid w:val="63660F98"/>
    <w:rsid w:val="63673521"/>
    <w:rsid w:val="63676048"/>
    <w:rsid w:val="63696264"/>
    <w:rsid w:val="636F2E72"/>
    <w:rsid w:val="637075F2"/>
    <w:rsid w:val="63716EC6"/>
    <w:rsid w:val="63721D0E"/>
    <w:rsid w:val="63730E90"/>
    <w:rsid w:val="63732A72"/>
    <w:rsid w:val="63732C3E"/>
    <w:rsid w:val="63736A93"/>
    <w:rsid w:val="63741E5B"/>
    <w:rsid w:val="637644DD"/>
    <w:rsid w:val="63764E0E"/>
    <w:rsid w:val="63784259"/>
    <w:rsid w:val="637A221F"/>
    <w:rsid w:val="637A3DFF"/>
    <w:rsid w:val="637A5D7B"/>
    <w:rsid w:val="638114A4"/>
    <w:rsid w:val="638304BF"/>
    <w:rsid w:val="63841BD1"/>
    <w:rsid w:val="6388493C"/>
    <w:rsid w:val="638906B4"/>
    <w:rsid w:val="63892462"/>
    <w:rsid w:val="63894210"/>
    <w:rsid w:val="638B1822"/>
    <w:rsid w:val="638B442C"/>
    <w:rsid w:val="638C3D00"/>
    <w:rsid w:val="638C5AAE"/>
    <w:rsid w:val="63911317"/>
    <w:rsid w:val="6392476A"/>
    <w:rsid w:val="63936E3D"/>
    <w:rsid w:val="6394356A"/>
    <w:rsid w:val="63952BB5"/>
    <w:rsid w:val="63956F4C"/>
    <w:rsid w:val="6397499D"/>
    <w:rsid w:val="63974B7F"/>
    <w:rsid w:val="639A466F"/>
    <w:rsid w:val="639B0F24"/>
    <w:rsid w:val="639B17F6"/>
    <w:rsid w:val="639E415F"/>
    <w:rsid w:val="639F1D1E"/>
    <w:rsid w:val="639F3A33"/>
    <w:rsid w:val="639F3A80"/>
    <w:rsid w:val="63A04029"/>
    <w:rsid w:val="63A1155A"/>
    <w:rsid w:val="63A31776"/>
    <w:rsid w:val="63A4729C"/>
    <w:rsid w:val="63A778BA"/>
    <w:rsid w:val="63A948B2"/>
    <w:rsid w:val="63AB062A"/>
    <w:rsid w:val="63AB23D8"/>
    <w:rsid w:val="63AD6150"/>
    <w:rsid w:val="63AE1EC8"/>
    <w:rsid w:val="63B33B4F"/>
    <w:rsid w:val="63B70D7D"/>
    <w:rsid w:val="63B862F6"/>
    <w:rsid w:val="63BC6393"/>
    <w:rsid w:val="63BC77A2"/>
    <w:rsid w:val="63BD3EBA"/>
    <w:rsid w:val="63BE035D"/>
    <w:rsid w:val="63BE0AB1"/>
    <w:rsid w:val="63BE65AF"/>
    <w:rsid w:val="63BE721A"/>
    <w:rsid w:val="63C11BFC"/>
    <w:rsid w:val="63C139AA"/>
    <w:rsid w:val="63C17E4E"/>
    <w:rsid w:val="63C33BC6"/>
    <w:rsid w:val="63C35974"/>
    <w:rsid w:val="63C60FC0"/>
    <w:rsid w:val="63C61B2C"/>
    <w:rsid w:val="63C62BEB"/>
    <w:rsid w:val="63C83739"/>
    <w:rsid w:val="63C86E42"/>
    <w:rsid w:val="63C8749A"/>
    <w:rsid w:val="63C90AB0"/>
    <w:rsid w:val="63CA40E4"/>
    <w:rsid w:val="63CB6CB5"/>
    <w:rsid w:val="63CB6EAA"/>
    <w:rsid w:val="63D062E3"/>
    <w:rsid w:val="63D23E09"/>
    <w:rsid w:val="63D27C9A"/>
    <w:rsid w:val="63D40BE9"/>
    <w:rsid w:val="63D44B84"/>
    <w:rsid w:val="63D5361B"/>
    <w:rsid w:val="63D556A7"/>
    <w:rsid w:val="63D74F7B"/>
    <w:rsid w:val="63D77671"/>
    <w:rsid w:val="63D80CF3"/>
    <w:rsid w:val="63D967B0"/>
    <w:rsid w:val="63DD630A"/>
    <w:rsid w:val="63DF02D4"/>
    <w:rsid w:val="63DF4869"/>
    <w:rsid w:val="63E37DC4"/>
    <w:rsid w:val="63E458EA"/>
    <w:rsid w:val="63E63410"/>
    <w:rsid w:val="63E73E74"/>
    <w:rsid w:val="63E853DA"/>
    <w:rsid w:val="63EB6C79"/>
    <w:rsid w:val="63ED2373"/>
    <w:rsid w:val="63ED29F1"/>
    <w:rsid w:val="63ED479F"/>
    <w:rsid w:val="63EF496F"/>
    <w:rsid w:val="63F0603D"/>
    <w:rsid w:val="63F20007"/>
    <w:rsid w:val="63F53F99"/>
    <w:rsid w:val="63F55D49"/>
    <w:rsid w:val="63F7561D"/>
    <w:rsid w:val="63F773CC"/>
    <w:rsid w:val="63F77918"/>
    <w:rsid w:val="63FC0E86"/>
    <w:rsid w:val="63FD4B0A"/>
    <w:rsid w:val="63FE69AC"/>
    <w:rsid w:val="64002820"/>
    <w:rsid w:val="6401024A"/>
    <w:rsid w:val="64030466"/>
    <w:rsid w:val="64033FC2"/>
    <w:rsid w:val="64047D3A"/>
    <w:rsid w:val="64055F8C"/>
    <w:rsid w:val="64085A7D"/>
    <w:rsid w:val="64095351"/>
    <w:rsid w:val="640A35A3"/>
    <w:rsid w:val="640B10C9"/>
    <w:rsid w:val="640D3093"/>
    <w:rsid w:val="640D4E41"/>
    <w:rsid w:val="640D6BEF"/>
    <w:rsid w:val="640E506E"/>
    <w:rsid w:val="640F3CB3"/>
    <w:rsid w:val="6410048D"/>
    <w:rsid w:val="64102431"/>
    <w:rsid w:val="64117276"/>
    <w:rsid w:val="641206A9"/>
    <w:rsid w:val="6416019A"/>
    <w:rsid w:val="64175CC0"/>
    <w:rsid w:val="64193C66"/>
    <w:rsid w:val="64195594"/>
    <w:rsid w:val="641A755E"/>
    <w:rsid w:val="641C6E32"/>
    <w:rsid w:val="641E2BAA"/>
    <w:rsid w:val="641F097C"/>
    <w:rsid w:val="641F230D"/>
    <w:rsid w:val="64216B3E"/>
    <w:rsid w:val="6424218B"/>
    <w:rsid w:val="64283670"/>
    <w:rsid w:val="6429154F"/>
    <w:rsid w:val="642B176B"/>
    <w:rsid w:val="642D45E8"/>
    <w:rsid w:val="642F125B"/>
    <w:rsid w:val="642F4DB7"/>
    <w:rsid w:val="64300B2F"/>
    <w:rsid w:val="643248A8"/>
    <w:rsid w:val="64340620"/>
    <w:rsid w:val="643423CE"/>
    <w:rsid w:val="64354398"/>
    <w:rsid w:val="64393E88"/>
    <w:rsid w:val="643B03A5"/>
    <w:rsid w:val="643B7181"/>
    <w:rsid w:val="643B7C00"/>
    <w:rsid w:val="643F2304"/>
    <w:rsid w:val="64412D3D"/>
    <w:rsid w:val="64416899"/>
    <w:rsid w:val="64436AB5"/>
    <w:rsid w:val="64462101"/>
    <w:rsid w:val="64480E21"/>
    <w:rsid w:val="6449399F"/>
    <w:rsid w:val="644943D8"/>
    <w:rsid w:val="644C3BBB"/>
    <w:rsid w:val="644D7933"/>
    <w:rsid w:val="644F5459"/>
    <w:rsid w:val="644F7208"/>
    <w:rsid w:val="64520AA6"/>
    <w:rsid w:val="6453411C"/>
    <w:rsid w:val="64590086"/>
    <w:rsid w:val="645A41B3"/>
    <w:rsid w:val="645B1C35"/>
    <w:rsid w:val="645B56F0"/>
    <w:rsid w:val="645B798F"/>
    <w:rsid w:val="645E2946"/>
    <w:rsid w:val="64632CB3"/>
    <w:rsid w:val="64654C7D"/>
    <w:rsid w:val="646627A3"/>
    <w:rsid w:val="64664551"/>
    <w:rsid w:val="646802C9"/>
    <w:rsid w:val="64682077"/>
    <w:rsid w:val="6468651B"/>
    <w:rsid w:val="646A2293"/>
    <w:rsid w:val="646A3423"/>
    <w:rsid w:val="646A4041"/>
    <w:rsid w:val="646A444D"/>
    <w:rsid w:val="646A5DEF"/>
    <w:rsid w:val="646D1D84"/>
    <w:rsid w:val="647132F6"/>
    <w:rsid w:val="647153D0"/>
    <w:rsid w:val="6472739A"/>
    <w:rsid w:val="647372DB"/>
    <w:rsid w:val="64744EC0"/>
    <w:rsid w:val="64754CBD"/>
    <w:rsid w:val="647924D6"/>
    <w:rsid w:val="647944D1"/>
    <w:rsid w:val="647B77AF"/>
    <w:rsid w:val="647D446A"/>
    <w:rsid w:val="647E189B"/>
    <w:rsid w:val="647F52EC"/>
    <w:rsid w:val="64802D6E"/>
    <w:rsid w:val="64805613"/>
    <w:rsid w:val="6481138B"/>
    <w:rsid w:val="64813139"/>
    <w:rsid w:val="64836EB1"/>
    <w:rsid w:val="648427D8"/>
    <w:rsid w:val="64872E45"/>
    <w:rsid w:val="648A6492"/>
    <w:rsid w:val="648B3FB8"/>
    <w:rsid w:val="648C045C"/>
    <w:rsid w:val="648D1175"/>
    <w:rsid w:val="648D5F82"/>
    <w:rsid w:val="648F3CAE"/>
    <w:rsid w:val="64923598"/>
    <w:rsid w:val="6493693E"/>
    <w:rsid w:val="64966BE4"/>
    <w:rsid w:val="64990483"/>
    <w:rsid w:val="649B6865"/>
    <w:rsid w:val="649C7F73"/>
    <w:rsid w:val="64A05CB5"/>
    <w:rsid w:val="64A137DB"/>
    <w:rsid w:val="64A31301"/>
    <w:rsid w:val="64A357A5"/>
    <w:rsid w:val="64A358AC"/>
    <w:rsid w:val="64A5243A"/>
    <w:rsid w:val="64A77044"/>
    <w:rsid w:val="64A86918"/>
    <w:rsid w:val="64AA08E2"/>
    <w:rsid w:val="64AA2690"/>
    <w:rsid w:val="64AC4960"/>
    <w:rsid w:val="64AD2180"/>
    <w:rsid w:val="64AE1E08"/>
    <w:rsid w:val="64B17EC2"/>
    <w:rsid w:val="64B4405D"/>
    <w:rsid w:val="64B654D9"/>
    <w:rsid w:val="64B67287"/>
    <w:rsid w:val="64B81251"/>
    <w:rsid w:val="64B928D3"/>
    <w:rsid w:val="64BA1C4E"/>
    <w:rsid w:val="64BA4D61"/>
    <w:rsid w:val="64BB440C"/>
    <w:rsid w:val="64BC23C3"/>
    <w:rsid w:val="64BD0615"/>
    <w:rsid w:val="64BE438D"/>
    <w:rsid w:val="64C00105"/>
    <w:rsid w:val="64C03B57"/>
    <w:rsid w:val="64C37BF6"/>
    <w:rsid w:val="64C45DE1"/>
    <w:rsid w:val="64C5494A"/>
    <w:rsid w:val="64C5571C"/>
    <w:rsid w:val="64C80D68"/>
    <w:rsid w:val="64CC0C6F"/>
    <w:rsid w:val="64CC2606"/>
    <w:rsid w:val="64CD2E6D"/>
    <w:rsid w:val="64CF0348"/>
    <w:rsid w:val="64CF1141"/>
    <w:rsid w:val="64CF659A"/>
    <w:rsid w:val="64D025D1"/>
    <w:rsid w:val="64D157D9"/>
    <w:rsid w:val="64D2761B"/>
    <w:rsid w:val="64D56443"/>
    <w:rsid w:val="64D678D3"/>
    <w:rsid w:val="64D77000"/>
    <w:rsid w:val="64D911C7"/>
    <w:rsid w:val="64DB47D3"/>
    <w:rsid w:val="64E275B7"/>
    <w:rsid w:val="64E33DF4"/>
    <w:rsid w:val="64E475E5"/>
    <w:rsid w:val="64E5191A"/>
    <w:rsid w:val="64E77440"/>
    <w:rsid w:val="64E8140A"/>
    <w:rsid w:val="64E83429"/>
    <w:rsid w:val="64E9765C"/>
    <w:rsid w:val="64EA33D4"/>
    <w:rsid w:val="64EA6C44"/>
    <w:rsid w:val="64EC1B64"/>
    <w:rsid w:val="64EC4A56"/>
    <w:rsid w:val="64EC5459"/>
    <w:rsid w:val="64F1206D"/>
    <w:rsid w:val="64F14763"/>
    <w:rsid w:val="64F2596B"/>
    <w:rsid w:val="64F47DAF"/>
    <w:rsid w:val="64F531DE"/>
    <w:rsid w:val="64F63B27"/>
    <w:rsid w:val="64F658D5"/>
    <w:rsid w:val="64F8789F"/>
    <w:rsid w:val="64FE29DC"/>
    <w:rsid w:val="64FF0C2E"/>
    <w:rsid w:val="64FF7D77"/>
    <w:rsid w:val="650023C2"/>
    <w:rsid w:val="65014674"/>
    <w:rsid w:val="65031DA0"/>
    <w:rsid w:val="65044496"/>
    <w:rsid w:val="65053D6A"/>
    <w:rsid w:val="650747E2"/>
    <w:rsid w:val="65091AAC"/>
    <w:rsid w:val="6509385A"/>
    <w:rsid w:val="650A312E"/>
    <w:rsid w:val="650A5824"/>
    <w:rsid w:val="650B5081"/>
    <w:rsid w:val="650D376B"/>
    <w:rsid w:val="650E0E71"/>
    <w:rsid w:val="65110961"/>
    <w:rsid w:val="6511270F"/>
    <w:rsid w:val="651144BD"/>
    <w:rsid w:val="65143FAD"/>
    <w:rsid w:val="651673BB"/>
    <w:rsid w:val="651761F5"/>
    <w:rsid w:val="65197815"/>
    <w:rsid w:val="651A5A67"/>
    <w:rsid w:val="651D5558"/>
    <w:rsid w:val="651E7E36"/>
    <w:rsid w:val="65204E75"/>
    <w:rsid w:val="652201F3"/>
    <w:rsid w:val="652266CA"/>
    <w:rsid w:val="65230D92"/>
    <w:rsid w:val="652512FD"/>
    <w:rsid w:val="6525440C"/>
    <w:rsid w:val="652561BA"/>
    <w:rsid w:val="65273CE0"/>
    <w:rsid w:val="652A1A23"/>
    <w:rsid w:val="652A37D1"/>
    <w:rsid w:val="652A7A69"/>
    <w:rsid w:val="652C12F7"/>
    <w:rsid w:val="652C579B"/>
    <w:rsid w:val="652E1513"/>
    <w:rsid w:val="652F0DE7"/>
    <w:rsid w:val="65310993"/>
    <w:rsid w:val="653308D7"/>
    <w:rsid w:val="65332685"/>
    <w:rsid w:val="6535464F"/>
    <w:rsid w:val="653603C7"/>
    <w:rsid w:val="65373578"/>
    <w:rsid w:val="65384140"/>
    <w:rsid w:val="65393821"/>
    <w:rsid w:val="653B3C30"/>
    <w:rsid w:val="653B6D24"/>
    <w:rsid w:val="653D3504"/>
    <w:rsid w:val="653E102A"/>
    <w:rsid w:val="65457DE3"/>
    <w:rsid w:val="65474383"/>
    <w:rsid w:val="65493C57"/>
    <w:rsid w:val="654C1331"/>
    <w:rsid w:val="654C7BEB"/>
    <w:rsid w:val="654D4A40"/>
    <w:rsid w:val="655169C5"/>
    <w:rsid w:val="65526949"/>
    <w:rsid w:val="65532D27"/>
    <w:rsid w:val="65534AD5"/>
    <w:rsid w:val="6554084E"/>
    <w:rsid w:val="65565F75"/>
    <w:rsid w:val="65575CDF"/>
    <w:rsid w:val="655820EC"/>
    <w:rsid w:val="655C1705"/>
    <w:rsid w:val="655C6080"/>
    <w:rsid w:val="65637788"/>
    <w:rsid w:val="65654809"/>
    <w:rsid w:val="656767D3"/>
    <w:rsid w:val="656C3DE9"/>
    <w:rsid w:val="65711400"/>
    <w:rsid w:val="65717652"/>
    <w:rsid w:val="657333CA"/>
    <w:rsid w:val="65750EF0"/>
    <w:rsid w:val="6575538E"/>
    <w:rsid w:val="657607C4"/>
    <w:rsid w:val="65766A16"/>
    <w:rsid w:val="657966D3"/>
    <w:rsid w:val="657A02B4"/>
    <w:rsid w:val="657D5FF6"/>
    <w:rsid w:val="657E3E58"/>
    <w:rsid w:val="657F3B1C"/>
    <w:rsid w:val="657F58CB"/>
    <w:rsid w:val="657F68C8"/>
    <w:rsid w:val="6585261B"/>
    <w:rsid w:val="658630FD"/>
    <w:rsid w:val="65864EAB"/>
    <w:rsid w:val="658729D1"/>
    <w:rsid w:val="6589044E"/>
    <w:rsid w:val="658E6FFE"/>
    <w:rsid w:val="65905D2A"/>
    <w:rsid w:val="65907AD8"/>
    <w:rsid w:val="65921AA2"/>
    <w:rsid w:val="65931376"/>
    <w:rsid w:val="65950ED3"/>
    <w:rsid w:val="65953340"/>
    <w:rsid w:val="65960E66"/>
    <w:rsid w:val="65982E30"/>
    <w:rsid w:val="659B647C"/>
    <w:rsid w:val="659C34FD"/>
    <w:rsid w:val="659D0447"/>
    <w:rsid w:val="659D3FA3"/>
    <w:rsid w:val="659F41BF"/>
    <w:rsid w:val="659F7D1B"/>
    <w:rsid w:val="65A11CE5"/>
    <w:rsid w:val="65A25A5D"/>
    <w:rsid w:val="65A417D5"/>
    <w:rsid w:val="65A672FB"/>
    <w:rsid w:val="65A96DEB"/>
    <w:rsid w:val="65AB2B63"/>
    <w:rsid w:val="65AB66C0"/>
    <w:rsid w:val="65AE7F5E"/>
    <w:rsid w:val="65AF305A"/>
    <w:rsid w:val="65B02BE0"/>
    <w:rsid w:val="65B03CD6"/>
    <w:rsid w:val="65B043D2"/>
    <w:rsid w:val="65B17A4E"/>
    <w:rsid w:val="65B5026D"/>
    <w:rsid w:val="65B66714"/>
    <w:rsid w:val="65B85280"/>
    <w:rsid w:val="65B97414"/>
    <w:rsid w:val="65BC0F66"/>
    <w:rsid w:val="65BD2897"/>
    <w:rsid w:val="65BD4645"/>
    <w:rsid w:val="65BF660F"/>
    <w:rsid w:val="65C01DC1"/>
    <w:rsid w:val="65C21C5B"/>
    <w:rsid w:val="65C37EAD"/>
    <w:rsid w:val="65CB530E"/>
    <w:rsid w:val="65CC6636"/>
    <w:rsid w:val="65CD2ADA"/>
    <w:rsid w:val="65CD5BB9"/>
    <w:rsid w:val="65CE0600"/>
    <w:rsid w:val="65D04378"/>
    <w:rsid w:val="65D10D62"/>
    <w:rsid w:val="65D200F0"/>
    <w:rsid w:val="65D33E68"/>
    <w:rsid w:val="65D774B5"/>
    <w:rsid w:val="65DA0D53"/>
    <w:rsid w:val="65DB63B9"/>
    <w:rsid w:val="65DC4ACB"/>
    <w:rsid w:val="65DF0A5F"/>
    <w:rsid w:val="65DF45BB"/>
    <w:rsid w:val="65E020C5"/>
    <w:rsid w:val="65E10333"/>
    <w:rsid w:val="65E25E59"/>
    <w:rsid w:val="65E322FD"/>
    <w:rsid w:val="65E46F79"/>
    <w:rsid w:val="65E47E23"/>
    <w:rsid w:val="65EB11B2"/>
    <w:rsid w:val="65EB3C3F"/>
    <w:rsid w:val="65EC4433"/>
    <w:rsid w:val="65ED4F2A"/>
    <w:rsid w:val="65F00576"/>
    <w:rsid w:val="65F36838"/>
    <w:rsid w:val="65F40444"/>
    <w:rsid w:val="65F53DDF"/>
    <w:rsid w:val="65F55B8D"/>
    <w:rsid w:val="65F75DA9"/>
    <w:rsid w:val="65F8742B"/>
    <w:rsid w:val="65F91B21"/>
    <w:rsid w:val="65F938CF"/>
    <w:rsid w:val="65FC516D"/>
    <w:rsid w:val="65FD140A"/>
    <w:rsid w:val="65FD2C93"/>
    <w:rsid w:val="65FF07B9"/>
    <w:rsid w:val="65FF3D2A"/>
    <w:rsid w:val="66012783"/>
    <w:rsid w:val="66014151"/>
    <w:rsid w:val="660202AA"/>
    <w:rsid w:val="660364FC"/>
    <w:rsid w:val="66042274"/>
    <w:rsid w:val="660476CA"/>
    <w:rsid w:val="66083B12"/>
    <w:rsid w:val="660979AD"/>
    <w:rsid w:val="660B1854"/>
    <w:rsid w:val="660D1128"/>
    <w:rsid w:val="660D707D"/>
    <w:rsid w:val="660E127B"/>
    <w:rsid w:val="660E4EA0"/>
    <w:rsid w:val="660E6C4E"/>
    <w:rsid w:val="661121FF"/>
    <w:rsid w:val="6612673F"/>
    <w:rsid w:val="66141B92"/>
    <w:rsid w:val="661B7593"/>
    <w:rsid w:val="661D18C4"/>
    <w:rsid w:val="661E19B4"/>
    <w:rsid w:val="661E50E3"/>
    <w:rsid w:val="661F1BD3"/>
    <w:rsid w:val="661F2C0A"/>
    <w:rsid w:val="661F70AE"/>
    <w:rsid w:val="66212E26"/>
    <w:rsid w:val="662144F3"/>
    <w:rsid w:val="662242CD"/>
    <w:rsid w:val="6623094C"/>
    <w:rsid w:val="66240220"/>
    <w:rsid w:val="662419E4"/>
    <w:rsid w:val="66256220"/>
    <w:rsid w:val="6626043C"/>
    <w:rsid w:val="66263F98"/>
    <w:rsid w:val="66287D10"/>
    <w:rsid w:val="66293A88"/>
    <w:rsid w:val="662A7F2C"/>
    <w:rsid w:val="662D17CA"/>
    <w:rsid w:val="662E109F"/>
    <w:rsid w:val="662F72F1"/>
    <w:rsid w:val="66304E17"/>
    <w:rsid w:val="66320B8F"/>
    <w:rsid w:val="663743F7"/>
    <w:rsid w:val="663A02EB"/>
    <w:rsid w:val="663C1A0D"/>
    <w:rsid w:val="663E699F"/>
    <w:rsid w:val="66417024"/>
    <w:rsid w:val="66430FEE"/>
    <w:rsid w:val="66437557"/>
    <w:rsid w:val="66442670"/>
    <w:rsid w:val="66452A5A"/>
    <w:rsid w:val="66480DDF"/>
    <w:rsid w:val="664856F2"/>
    <w:rsid w:val="66495ED8"/>
    <w:rsid w:val="664B1C51"/>
    <w:rsid w:val="664D59C9"/>
    <w:rsid w:val="66501015"/>
    <w:rsid w:val="66575B8C"/>
    <w:rsid w:val="665925BF"/>
    <w:rsid w:val="6659436D"/>
    <w:rsid w:val="665B6338"/>
    <w:rsid w:val="665C4251"/>
    <w:rsid w:val="665E3732"/>
    <w:rsid w:val="665F6B95"/>
    <w:rsid w:val="666176C6"/>
    <w:rsid w:val="666264AD"/>
    <w:rsid w:val="6663171A"/>
    <w:rsid w:val="66650F64"/>
    <w:rsid w:val="66664CDC"/>
    <w:rsid w:val="66666A8A"/>
    <w:rsid w:val="666A657B"/>
    <w:rsid w:val="666D1BC7"/>
    <w:rsid w:val="666D4FF9"/>
    <w:rsid w:val="666F45A0"/>
    <w:rsid w:val="66703465"/>
    <w:rsid w:val="6672542F"/>
    <w:rsid w:val="66735D45"/>
    <w:rsid w:val="667411A7"/>
    <w:rsid w:val="66752295"/>
    <w:rsid w:val="667529CC"/>
    <w:rsid w:val="66754F1F"/>
    <w:rsid w:val="66770C98"/>
    <w:rsid w:val="667C1E0A"/>
    <w:rsid w:val="667F18FA"/>
    <w:rsid w:val="66811B16"/>
    <w:rsid w:val="66860EDB"/>
    <w:rsid w:val="6686712D"/>
    <w:rsid w:val="66886A01"/>
    <w:rsid w:val="668A2779"/>
    <w:rsid w:val="668D04BB"/>
    <w:rsid w:val="668F1B3D"/>
    <w:rsid w:val="668F4233"/>
    <w:rsid w:val="66911D59"/>
    <w:rsid w:val="66915BCA"/>
    <w:rsid w:val="6692787F"/>
    <w:rsid w:val="669453A6"/>
    <w:rsid w:val="669578CE"/>
    <w:rsid w:val="669811DF"/>
    <w:rsid w:val="669F1927"/>
    <w:rsid w:val="66A03D4A"/>
    <w:rsid w:val="66A17AC3"/>
    <w:rsid w:val="66A25372"/>
    <w:rsid w:val="66A355E9"/>
    <w:rsid w:val="66A5534B"/>
    <w:rsid w:val="66A575B3"/>
    <w:rsid w:val="66A617FA"/>
    <w:rsid w:val="66A650D9"/>
    <w:rsid w:val="66A65F76"/>
    <w:rsid w:val="66A84CFD"/>
    <w:rsid w:val="66AA2E1B"/>
    <w:rsid w:val="66AB26EF"/>
    <w:rsid w:val="66AC4765"/>
    <w:rsid w:val="66AE5F26"/>
    <w:rsid w:val="66AF3F8D"/>
    <w:rsid w:val="66B06886"/>
    <w:rsid w:val="66B15F58"/>
    <w:rsid w:val="66B21CD0"/>
    <w:rsid w:val="66B23A7E"/>
    <w:rsid w:val="66B45A48"/>
    <w:rsid w:val="66B6356E"/>
    <w:rsid w:val="66B75538"/>
    <w:rsid w:val="66B934EE"/>
    <w:rsid w:val="66B96DA9"/>
    <w:rsid w:val="66BD4EB0"/>
    <w:rsid w:val="66BF4C6E"/>
    <w:rsid w:val="66C043ED"/>
    <w:rsid w:val="66C0619B"/>
    <w:rsid w:val="66C123D4"/>
    <w:rsid w:val="66C537B1"/>
    <w:rsid w:val="66C739CD"/>
    <w:rsid w:val="66C7577B"/>
    <w:rsid w:val="66CA7019"/>
    <w:rsid w:val="66CC61B6"/>
    <w:rsid w:val="66CD08B8"/>
    <w:rsid w:val="66CE16B9"/>
    <w:rsid w:val="66CF1E96"/>
    <w:rsid w:val="66CF5947"/>
    <w:rsid w:val="66D1263E"/>
    <w:rsid w:val="66D165FA"/>
    <w:rsid w:val="66D32372"/>
    <w:rsid w:val="66D41C46"/>
    <w:rsid w:val="66D567F0"/>
    <w:rsid w:val="66D659BE"/>
    <w:rsid w:val="66D71736"/>
    <w:rsid w:val="66D87988"/>
    <w:rsid w:val="66DA06EA"/>
    <w:rsid w:val="66DA197B"/>
    <w:rsid w:val="66DB1226"/>
    <w:rsid w:val="66DF6952"/>
    <w:rsid w:val="66E0683D"/>
    <w:rsid w:val="66E14363"/>
    <w:rsid w:val="66E300DB"/>
    <w:rsid w:val="66E44C89"/>
    <w:rsid w:val="66E55C01"/>
    <w:rsid w:val="66E616A3"/>
    <w:rsid w:val="66E63727"/>
    <w:rsid w:val="66E77BCB"/>
    <w:rsid w:val="66E83943"/>
    <w:rsid w:val="66EC3434"/>
    <w:rsid w:val="66EC6F90"/>
    <w:rsid w:val="66ED4AB6"/>
    <w:rsid w:val="66EF4CD2"/>
    <w:rsid w:val="66F145A6"/>
    <w:rsid w:val="66F26570"/>
    <w:rsid w:val="66F347C2"/>
    <w:rsid w:val="66F66060"/>
    <w:rsid w:val="66F66782"/>
    <w:rsid w:val="66F74A7C"/>
    <w:rsid w:val="66F81DD8"/>
    <w:rsid w:val="66F95B50"/>
    <w:rsid w:val="66F978FF"/>
    <w:rsid w:val="66FB2428"/>
    <w:rsid w:val="66FB3677"/>
    <w:rsid w:val="66FB5425"/>
    <w:rsid w:val="66FB71D3"/>
    <w:rsid w:val="66FD119D"/>
    <w:rsid w:val="66FD73EF"/>
    <w:rsid w:val="66FE6CC3"/>
    <w:rsid w:val="670217A3"/>
    <w:rsid w:val="670378F6"/>
    <w:rsid w:val="67053D91"/>
    <w:rsid w:val="67065B78"/>
    <w:rsid w:val="67073DC9"/>
    <w:rsid w:val="670A1B0C"/>
    <w:rsid w:val="670C04C4"/>
    <w:rsid w:val="670C5884"/>
    <w:rsid w:val="670E33AA"/>
    <w:rsid w:val="67114C48"/>
    <w:rsid w:val="671464E6"/>
    <w:rsid w:val="671604B0"/>
    <w:rsid w:val="671A3D37"/>
    <w:rsid w:val="671E588D"/>
    <w:rsid w:val="671F124A"/>
    <w:rsid w:val="67220C03"/>
    <w:rsid w:val="672229B1"/>
    <w:rsid w:val="6723497B"/>
    <w:rsid w:val="672524A2"/>
    <w:rsid w:val="6727446C"/>
    <w:rsid w:val="672A1DF0"/>
    <w:rsid w:val="672A3F5C"/>
    <w:rsid w:val="672A5D0A"/>
    <w:rsid w:val="672C121C"/>
    <w:rsid w:val="672C3830"/>
    <w:rsid w:val="672C74D4"/>
    <w:rsid w:val="672D7CE1"/>
    <w:rsid w:val="672F1572"/>
    <w:rsid w:val="673152EA"/>
    <w:rsid w:val="6732696D"/>
    <w:rsid w:val="673349B9"/>
    <w:rsid w:val="673646AF"/>
    <w:rsid w:val="67373E80"/>
    <w:rsid w:val="67380715"/>
    <w:rsid w:val="67386535"/>
    <w:rsid w:val="67395F4D"/>
    <w:rsid w:val="673B6F6D"/>
    <w:rsid w:val="673C641E"/>
    <w:rsid w:val="673D5A3D"/>
    <w:rsid w:val="673E23A7"/>
    <w:rsid w:val="67420199"/>
    <w:rsid w:val="67430B7A"/>
    <w:rsid w:val="6747066A"/>
    <w:rsid w:val="67492634"/>
    <w:rsid w:val="674C7A2E"/>
    <w:rsid w:val="674D3382"/>
    <w:rsid w:val="675114E9"/>
    <w:rsid w:val="67527B0C"/>
    <w:rsid w:val="67544B35"/>
    <w:rsid w:val="675863D3"/>
    <w:rsid w:val="675B5EC3"/>
    <w:rsid w:val="675D60DF"/>
    <w:rsid w:val="675D63FF"/>
    <w:rsid w:val="675F31A6"/>
    <w:rsid w:val="67602B70"/>
    <w:rsid w:val="67642FCA"/>
    <w:rsid w:val="67654F94"/>
    <w:rsid w:val="67670D0C"/>
    <w:rsid w:val="67695363"/>
    <w:rsid w:val="676A25AA"/>
    <w:rsid w:val="676A70D7"/>
    <w:rsid w:val="676B62D3"/>
    <w:rsid w:val="676C6322"/>
    <w:rsid w:val="676D5D3F"/>
    <w:rsid w:val="676E5BF7"/>
    <w:rsid w:val="67713939"/>
    <w:rsid w:val="677376B1"/>
    <w:rsid w:val="677469EB"/>
    <w:rsid w:val="67784CC7"/>
    <w:rsid w:val="677A33C6"/>
    <w:rsid w:val="677B0314"/>
    <w:rsid w:val="677B15A0"/>
    <w:rsid w:val="677B7778"/>
    <w:rsid w:val="677D0530"/>
    <w:rsid w:val="677D6B19"/>
    <w:rsid w:val="67801DCE"/>
    <w:rsid w:val="6780592A"/>
    <w:rsid w:val="67825B46"/>
    <w:rsid w:val="67844B3C"/>
    <w:rsid w:val="6784541A"/>
    <w:rsid w:val="67846DA4"/>
    <w:rsid w:val="67876CB8"/>
    <w:rsid w:val="678B52EF"/>
    <w:rsid w:val="678C0773"/>
    <w:rsid w:val="678C10F9"/>
    <w:rsid w:val="678C2521"/>
    <w:rsid w:val="678D1082"/>
    <w:rsid w:val="678E0566"/>
    <w:rsid w:val="679338AF"/>
    <w:rsid w:val="67957627"/>
    <w:rsid w:val="6796339F"/>
    <w:rsid w:val="67973831"/>
    <w:rsid w:val="67982C74"/>
    <w:rsid w:val="679A69EC"/>
    <w:rsid w:val="679B0A9E"/>
    <w:rsid w:val="679B50AD"/>
    <w:rsid w:val="679C1682"/>
    <w:rsid w:val="679D34B6"/>
    <w:rsid w:val="679D4253"/>
    <w:rsid w:val="679D472E"/>
    <w:rsid w:val="679D64DC"/>
    <w:rsid w:val="679F563F"/>
    <w:rsid w:val="67A45ABC"/>
    <w:rsid w:val="67A55390"/>
    <w:rsid w:val="67A66A46"/>
    <w:rsid w:val="67A755AC"/>
    <w:rsid w:val="67A930D3"/>
    <w:rsid w:val="67AA29A7"/>
    <w:rsid w:val="67AB6CCD"/>
    <w:rsid w:val="67AE2497"/>
    <w:rsid w:val="67B101D9"/>
    <w:rsid w:val="67B4474D"/>
    <w:rsid w:val="67B500EA"/>
    <w:rsid w:val="67B50D99"/>
    <w:rsid w:val="67B57CC9"/>
    <w:rsid w:val="67B6134C"/>
    <w:rsid w:val="67B7628A"/>
    <w:rsid w:val="67B850C4"/>
    <w:rsid w:val="67B964C6"/>
    <w:rsid w:val="67BD28CF"/>
    <w:rsid w:val="67BE4CCD"/>
    <w:rsid w:val="67C24194"/>
    <w:rsid w:val="67C25449"/>
    <w:rsid w:val="67C2711D"/>
    <w:rsid w:val="67C40077"/>
    <w:rsid w:val="67C63C85"/>
    <w:rsid w:val="67C64424"/>
    <w:rsid w:val="67C73559"/>
    <w:rsid w:val="67C95523"/>
    <w:rsid w:val="67CA18C0"/>
    <w:rsid w:val="67CA4DF7"/>
    <w:rsid w:val="67CA700A"/>
    <w:rsid w:val="67CC0B6F"/>
    <w:rsid w:val="67CE0D8B"/>
    <w:rsid w:val="67CE2B39"/>
    <w:rsid w:val="67CE4667"/>
    <w:rsid w:val="67CE48E7"/>
    <w:rsid w:val="67D0065F"/>
    <w:rsid w:val="67D052DA"/>
    <w:rsid w:val="67D30150"/>
    <w:rsid w:val="67D30F67"/>
    <w:rsid w:val="67D55C76"/>
    <w:rsid w:val="67D85766"/>
    <w:rsid w:val="67DA14DE"/>
    <w:rsid w:val="67DA328C"/>
    <w:rsid w:val="67DC0256"/>
    <w:rsid w:val="67DF4D46"/>
    <w:rsid w:val="67DF6F78"/>
    <w:rsid w:val="67E00067"/>
    <w:rsid w:val="67E05DA8"/>
    <w:rsid w:val="67E103F7"/>
    <w:rsid w:val="67E40DD3"/>
    <w:rsid w:val="67E45EB9"/>
    <w:rsid w:val="67E81E4D"/>
    <w:rsid w:val="67E91721"/>
    <w:rsid w:val="67E97973"/>
    <w:rsid w:val="67F00651"/>
    <w:rsid w:val="67F0521F"/>
    <w:rsid w:val="67F46C71"/>
    <w:rsid w:val="67F500C6"/>
    <w:rsid w:val="67F5111B"/>
    <w:rsid w:val="67F51E74"/>
    <w:rsid w:val="67F53B1D"/>
    <w:rsid w:val="67F73E3E"/>
    <w:rsid w:val="67F85E08"/>
    <w:rsid w:val="67F87BB6"/>
    <w:rsid w:val="67F87EA2"/>
    <w:rsid w:val="67FA1B80"/>
    <w:rsid w:val="67FD2BAD"/>
    <w:rsid w:val="67FD6F7B"/>
    <w:rsid w:val="67FF0F45"/>
    <w:rsid w:val="67FF35EF"/>
    <w:rsid w:val="680227E3"/>
    <w:rsid w:val="6804655B"/>
    <w:rsid w:val="680533C6"/>
    <w:rsid w:val="68064C39"/>
    <w:rsid w:val="680665DA"/>
    <w:rsid w:val="68093B71"/>
    <w:rsid w:val="680B1697"/>
    <w:rsid w:val="680B4E69"/>
    <w:rsid w:val="680D18B3"/>
    <w:rsid w:val="680E1188"/>
    <w:rsid w:val="680E2F36"/>
    <w:rsid w:val="680E73DA"/>
    <w:rsid w:val="68104F00"/>
    <w:rsid w:val="68112A26"/>
    <w:rsid w:val="68115A04"/>
    <w:rsid w:val="68134AD8"/>
    <w:rsid w:val="68156789"/>
    <w:rsid w:val="68166CA5"/>
    <w:rsid w:val="681A18DB"/>
    <w:rsid w:val="681A7B2C"/>
    <w:rsid w:val="681B3425"/>
    <w:rsid w:val="681C38A5"/>
    <w:rsid w:val="681F15E7"/>
    <w:rsid w:val="681F6961"/>
    <w:rsid w:val="68210EBB"/>
    <w:rsid w:val="68242759"/>
    <w:rsid w:val="68273FF7"/>
    <w:rsid w:val="682816DB"/>
    <w:rsid w:val="68282249"/>
    <w:rsid w:val="68297D70"/>
    <w:rsid w:val="682B1D3A"/>
    <w:rsid w:val="682D3D04"/>
    <w:rsid w:val="682D7860"/>
    <w:rsid w:val="682E5386"/>
    <w:rsid w:val="682E6834"/>
    <w:rsid w:val="68327ABB"/>
    <w:rsid w:val="6833299C"/>
    <w:rsid w:val="68340307"/>
    <w:rsid w:val="68352562"/>
    <w:rsid w:val="68352BB8"/>
    <w:rsid w:val="683722F0"/>
    <w:rsid w:val="683926A8"/>
    <w:rsid w:val="683A1F7D"/>
    <w:rsid w:val="683A3D2B"/>
    <w:rsid w:val="683C09C0"/>
    <w:rsid w:val="683C5CF5"/>
    <w:rsid w:val="684150B9"/>
    <w:rsid w:val="68420E31"/>
    <w:rsid w:val="68427403"/>
    <w:rsid w:val="68430893"/>
    <w:rsid w:val="684352D5"/>
    <w:rsid w:val="68454793"/>
    <w:rsid w:val="68460921"/>
    <w:rsid w:val="68467214"/>
    <w:rsid w:val="684828EC"/>
    <w:rsid w:val="684921C0"/>
    <w:rsid w:val="684C792C"/>
    <w:rsid w:val="684D1CB0"/>
    <w:rsid w:val="6850354E"/>
    <w:rsid w:val="685079F2"/>
    <w:rsid w:val="6852376A"/>
    <w:rsid w:val="68525518"/>
    <w:rsid w:val="68534DEC"/>
    <w:rsid w:val="68540BB6"/>
    <w:rsid w:val="68541290"/>
    <w:rsid w:val="68582403"/>
    <w:rsid w:val="68593550"/>
    <w:rsid w:val="685A43CD"/>
    <w:rsid w:val="685A617B"/>
    <w:rsid w:val="685C6397"/>
    <w:rsid w:val="685E28F4"/>
    <w:rsid w:val="68610A2F"/>
    <w:rsid w:val="6861575B"/>
    <w:rsid w:val="68615B3C"/>
    <w:rsid w:val="68617509"/>
    <w:rsid w:val="686314D3"/>
    <w:rsid w:val="68684D3C"/>
    <w:rsid w:val="686A0AB4"/>
    <w:rsid w:val="686C635E"/>
    <w:rsid w:val="686D2352"/>
    <w:rsid w:val="686D33C9"/>
    <w:rsid w:val="686F7054"/>
    <w:rsid w:val="6870599E"/>
    <w:rsid w:val="68727968"/>
    <w:rsid w:val="68731FE2"/>
    <w:rsid w:val="68784853"/>
    <w:rsid w:val="687C4343"/>
    <w:rsid w:val="687E00BB"/>
    <w:rsid w:val="687F7FA5"/>
    <w:rsid w:val="68805514"/>
    <w:rsid w:val="68810835"/>
    <w:rsid w:val="68833924"/>
    <w:rsid w:val="688356D2"/>
    <w:rsid w:val="6885769C"/>
    <w:rsid w:val="68882CE8"/>
    <w:rsid w:val="68896A60"/>
    <w:rsid w:val="688B27D8"/>
    <w:rsid w:val="68925915"/>
    <w:rsid w:val="6893581B"/>
    <w:rsid w:val="6894168D"/>
    <w:rsid w:val="68953657"/>
    <w:rsid w:val="689615CB"/>
    <w:rsid w:val="689618A9"/>
    <w:rsid w:val="6898088E"/>
    <w:rsid w:val="689A54AC"/>
    <w:rsid w:val="689A76AB"/>
    <w:rsid w:val="689E42BA"/>
    <w:rsid w:val="68A35D74"/>
    <w:rsid w:val="68A37B22"/>
    <w:rsid w:val="68A52432"/>
    <w:rsid w:val="68A613C0"/>
    <w:rsid w:val="68A660EC"/>
    <w:rsid w:val="68A85138"/>
    <w:rsid w:val="68A90204"/>
    <w:rsid w:val="68AA0EB0"/>
    <w:rsid w:val="68AA5354"/>
    <w:rsid w:val="68AB2E7A"/>
    <w:rsid w:val="68AB4C28"/>
    <w:rsid w:val="68AF296B"/>
    <w:rsid w:val="68AF4719"/>
    <w:rsid w:val="68B00491"/>
    <w:rsid w:val="68B25FB7"/>
    <w:rsid w:val="68B57855"/>
    <w:rsid w:val="68B834D5"/>
    <w:rsid w:val="68B910F3"/>
    <w:rsid w:val="68BB130F"/>
    <w:rsid w:val="68BC0BE4"/>
    <w:rsid w:val="68BD62C3"/>
    <w:rsid w:val="68BE2BAE"/>
    <w:rsid w:val="68BF08FC"/>
    <w:rsid w:val="68C33D20"/>
    <w:rsid w:val="68C5729B"/>
    <w:rsid w:val="68C62999"/>
    <w:rsid w:val="68C64184"/>
    <w:rsid w:val="68C66F69"/>
    <w:rsid w:val="68C70A76"/>
    <w:rsid w:val="68C77CB4"/>
    <w:rsid w:val="68CC7874"/>
    <w:rsid w:val="68D0643D"/>
    <w:rsid w:val="68D128E9"/>
    <w:rsid w:val="68D26659"/>
    <w:rsid w:val="68D47FEC"/>
    <w:rsid w:val="68D57C80"/>
    <w:rsid w:val="68D65F71"/>
    <w:rsid w:val="68D863B0"/>
    <w:rsid w:val="68D93544"/>
    <w:rsid w:val="68DA686F"/>
    <w:rsid w:val="68DE4FFE"/>
    <w:rsid w:val="68DE6DAC"/>
    <w:rsid w:val="68E00D76"/>
    <w:rsid w:val="68E1064A"/>
    <w:rsid w:val="68E1689C"/>
    <w:rsid w:val="68E36170"/>
    <w:rsid w:val="68E40C6F"/>
    <w:rsid w:val="68E40FDA"/>
    <w:rsid w:val="68E85E7D"/>
    <w:rsid w:val="68E87DCD"/>
    <w:rsid w:val="68EC1986"/>
    <w:rsid w:val="68ED3493"/>
    <w:rsid w:val="68EF05FA"/>
    <w:rsid w:val="68F0088D"/>
    <w:rsid w:val="68F06629"/>
    <w:rsid w:val="68F20AA9"/>
    <w:rsid w:val="68F4037D"/>
    <w:rsid w:val="68F640F6"/>
    <w:rsid w:val="68F71677"/>
    <w:rsid w:val="68F93BE6"/>
    <w:rsid w:val="68FA3238"/>
    <w:rsid w:val="68FB5BB0"/>
    <w:rsid w:val="68FB795E"/>
    <w:rsid w:val="68FD36D6"/>
    <w:rsid w:val="69006D22"/>
    <w:rsid w:val="69026556"/>
    <w:rsid w:val="69085BD7"/>
    <w:rsid w:val="69097B17"/>
    <w:rsid w:val="690B44E7"/>
    <w:rsid w:val="690D7691"/>
    <w:rsid w:val="690E1BE8"/>
    <w:rsid w:val="690F51B7"/>
    <w:rsid w:val="691150BC"/>
    <w:rsid w:val="69126A56"/>
    <w:rsid w:val="691511C2"/>
    <w:rsid w:val="691602F4"/>
    <w:rsid w:val="69160789"/>
    <w:rsid w:val="69180510"/>
    <w:rsid w:val="69192872"/>
    <w:rsid w:val="691C78D4"/>
    <w:rsid w:val="691D1B71"/>
    <w:rsid w:val="691E53FA"/>
    <w:rsid w:val="691E5706"/>
    <w:rsid w:val="691F06D0"/>
    <w:rsid w:val="691F1FEC"/>
    <w:rsid w:val="691F4364"/>
    <w:rsid w:val="69205616"/>
    <w:rsid w:val="692100D5"/>
    <w:rsid w:val="69232A11"/>
    <w:rsid w:val="6925369D"/>
    <w:rsid w:val="692844CB"/>
    <w:rsid w:val="69284779"/>
    <w:rsid w:val="69286279"/>
    <w:rsid w:val="692A1518"/>
    <w:rsid w:val="692C1198"/>
    <w:rsid w:val="692C5D69"/>
    <w:rsid w:val="692F585A"/>
    <w:rsid w:val="69316E2F"/>
    <w:rsid w:val="693269AA"/>
    <w:rsid w:val="69362744"/>
    <w:rsid w:val="693B5FAC"/>
    <w:rsid w:val="693C3AD3"/>
    <w:rsid w:val="69407E39"/>
    <w:rsid w:val="694500C2"/>
    <w:rsid w:val="69456FB5"/>
    <w:rsid w:val="694C1F68"/>
    <w:rsid w:val="694E2071"/>
    <w:rsid w:val="694E2184"/>
    <w:rsid w:val="69504D2A"/>
    <w:rsid w:val="69510ACF"/>
    <w:rsid w:val="695138EE"/>
    <w:rsid w:val="695232F6"/>
    <w:rsid w:val="6953600A"/>
    <w:rsid w:val="6954706E"/>
    <w:rsid w:val="69576763"/>
    <w:rsid w:val="69592EE0"/>
    <w:rsid w:val="695A0B28"/>
    <w:rsid w:val="695A1195"/>
    <w:rsid w:val="695B03FD"/>
    <w:rsid w:val="695F111D"/>
    <w:rsid w:val="69603C65"/>
    <w:rsid w:val="696077C1"/>
    <w:rsid w:val="696574CD"/>
    <w:rsid w:val="69674CB3"/>
    <w:rsid w:val="69692B1A"/>
    <w:rsid w:val="696A0474"/>
    <w:rsid w:val="696C260A"/>
    <w:rsid w:val="696C43B8"/>
    <w:rsid w:val="69731BEA"/>
    <w:rsid w:val="69733998"/>
    <w:rsid w:val="69735209"/>
    <w:rsid w:val="697418ED"/>
    <w:rsid w:val="697439D6"/>
    <w:rsid w:val="697531CB"/>
    <w:rsid w:val="69766163"/>
    <w:rsid w:val="69780FAF"/>
    <w:rsid w:val="69791EF5"/>
    <w:rsid w:val="697A077E"/>
    <w:rsid w:val="697A3B33"/>
    <w:rsid w:val="697B0A9F"/>
    <w:rsid w:val="697B284D"/>
    <w:rsid w:val="697F058F"/>
    <w:rsid w:val="697F233D"/>
    <w:rsid w:val="69807E63"/>
    <w:rsid w:val="69817394"/>
    <w:rsid w:val="6984338D"/>
    <w:rsid w:val="69845BA5"/>
    <w:rsid w:val="69847953"/>
    <w:rsid w:val="698711F2"/>
    <w:rsid w:val="69886D18"/>
    <w:rsid w:val="69891A8A"/>
    <w:rsid w:val="698A6F34"/>
    <w:rsid w:val="698D3932"/>
    <w:rsid w:val="698E0D6B"/>
    <w:rsid w:val="698E1740"/>
    <w:rsid w:val="698F62F8"/>
    <w:rsid w:val="69913E1E"/>
    <w:rsid w:val="69923A74"/>
    <w:rsid w:val="699456BD"/>
    <w:rsid w:val="69977CA6"/>
    <w:rsid w:val="69985F69"/>
    <w:rsid w:val="69A0249B"/>
    <w:rsid w:val="69A41DA4"/>
    <w:rsid w:val="69A71894"/>
    <w:rsid w:val="69A77239"/>
    <w:rsid w:val="69A87281"/>
    <w:rsid w:val="69A920BB"/>
    <w:rsid w:val="69AA4379"/>
    <w:rsid w:val="69AA4EE0"/>
    <w:rsid w:val="69AC07D7"/>
    <w:rsid w:val="69AC6EAA"/>
    <w:rsid w:val="69AF24F6"/>
    <w:rsid w:val="69AF3970"/>
    <w:rsid w:val="69B144C0"/>
    <w:rsid w:val="69B47B0D"/>
    <w:rsid w:val="69B55D5F"/>
    <w:rsid w:val="69BA34A2"/>
    <w:rsid w:val="69BB3C2B"/>
    <w:rsid w:val="69BB44C4"/>
    <w:rsid w:val="69BD4C13"/>
    <w:rsid w:val="69BF6BDD"/>
    <w:rsid w:val="69C002CB"/>
    <w:rsid w:val="69C064B2"/>
    <w:rsid w:val="69C2047C"/>
    <w:rsid w:val="69C33252"/>
    <w:rsid w:val="69C441F4"/>
    <w:rsid w:val="69C51D1A"/>
    <w:rsid w:val="69C53AC8"/>
    <w:rsid w:val="69C6217D"/>
    <w:rsid w:val="69C73CE4"/>
    <w:rsid w:val="69C74C82"/>
    <w:rsid w:val="69C922CC"/>
    <w:rsid w:val="69C92925"/>
    <w:rsid w:val="69C92FBC"/>
    <w:rsid w:val="69C97A5C"/>
    <w:rsid w:val="69CE6E20"/>
    <w:rsid w:val="69D31390"/>
    <w:rsid w:val="69D44760"/>
    <w:rsid w:val="69D71D92"/>
    <w:rsid w:val="69D77D55"/>
    <w:rsid w:val="69DE2637"/>
    <w:rsid w:val="69DF102E"/>
    <w:rsid w:val="69E00902"/>
    <w:rsid w:val="69E72135"/>
    <w:rsid w:val="69E9420C"/>
    <w:rsid w:val="69EF58BC"/>
    <w:rsid w:val="69F044E9"/>
    <w:rsid w:val="69F04FE9"/>
    <w:rsid w:val="69F06D97"/>
    <w:rsid w:val="69F30635"/>
    <w:rsid w:val="69F30C66"/>
    <w:rsid w:val="69F34AD9"/>
    <w:rsid w:val="69F36887"/>
    <w:rsid w:val="69F60125"/>
    <w:rsid w:val="69F745C9"/>
    <w:rsid w:val="69F9033E"/>
    <w:rsid w:val="69FC398E"/>
    <w:rsid w:val="69FD7706"/>
    <w:rsid w:val="6A015C1C"/>
    <w:rsid w:val="6A0445F0"/>
    <w:rsid w:val="6A052619"/>
    <w:rsid w:val="6A060264"/>
    <w:rsid w:val="6A0665BA"/>
    <w:rsid w:val="6A070584"/>
    <w:rsid w:val="6A076239"/>
    <w:rsid w:val="6A0C6288"/>
    <w:rsid w:val="6A0E1913"/>
    <w:rsid w:val="6A116D0D"/>
    <w:rsid w:val="6A136F29"/>
    <w:rsid w:val="6A164324"/>
    <w:rsid w:val="6A184540"/>
    <w:rsid w:val="6A1B1D7F"/>
    <w:rsid w:val="6A1C4030"/>
    <w:rsid w:val="6A1E3C01"/>
    <w:rsid w:val="6A1F58CE"/>
    <w:rsid w:val="6A1F767C"/>
    <w:rsid w:val="6A222CC8"/>
    <w:rsid w:val="6A22716C"/>
    <w:rsid w:val="6A231730"/>
    <w:rsid w:val="6A246A40"/>
    <w:rsid w:val="6A247F9D"/>
    <w:rsid w:val="6A25350F"/>
    <w:rsid w:val="6A28604B"/>
    <w:rsid w:val="6A297CC8"/>
    <w:rsid w:val="6A2B5BCA"/>
    <w:rsid w:val="6A2C3B47"/>
    <w:rsid w:val="6A3053E5"/>
    <w:rsid w:val="6A3271D4"/>
    <w:rsid w:val="6A3273AF"/>
    <w:rsid w:val="6A356EA0"/>
    <w:rsid w:val="6A36767D"/>
    <w:rsid w:val="6A386990"/>
    <w:rsid w:val="6A3A2708"/>
    <w:rsid w:val="6A3C1716"/>
    <w:rsid w:val="6A3C3D25"/>
    <w:rsid w:val="6A3D7B02"/>
    <w:rsid w:val="6A3F5B91"/>
    <w:rsid w:val="6A427FA9"/>
    <w:rsid w:val="6A4315BC"/>
    <w:rsid w:val="6A462E5B"/>
    <w:rsid w:val="6A483EEE"/>
    <w:rsid w:val="6A49294B"/>
    <w:rsid w:val="6A4A545B"/>
    <w:rsid w:val="6A4E3ABD"/>
    <w:rsid w:val="6A520EC7"/>
    <w:rsid w:val="6A5224AC"/>
    <w:rsid w:val="6A535578"/>
    <w:rsid w:val="6A537BC9"/>
    <w:rsid w:val="6A596387"/>
    <w:rsid w:val="6A5C063B"/>
    <w:rsid w:val="6A5C442C"/>
    <w:rsid w:val="6A5D01A4"/>
    <w:rsid w:val="6A611A43"/>
    <w:rsid w:val="6A6137B1"/>
    <w:rsid w:val="6A617C95"/>
    <w:rsid w:val="6A6257BB"/>
    <w:rsid w:val="6A6652AB"/>
    <w:rsid w:val="6A667059"/>
    <w:rsid w:val="6A6B466F"/>
    <w:rsid w:val="6A6C1919"/>
    <w:rsid w:val="6A6D03E7"/>
    <w:rsid w:val="6A6E23B2"/>
    <w:rsid w:val="6A6E5F0E"/>
    <w:rsid w:val="6A70013D"/>
    <w:rsid w:val="6A707176"/>
    <w:rsid w:val="6A721EA2"/>
    <w:rsid w:val="6A752FE8"/>
    <w:rsid w:val="6A753740"/>
    <w:rsid w:val="6A771266"/>
    <w:rsid w:val="6A793230"/>
    <w:rsid w:val="6A794FDE"/>
    <w:rsid w:val="6A7A48B2"/>
    <w:rsid w:val="6A7D177A"/>
    <w:rsid w:val="6A7D43A3"/>
    <w:rsid w:val="6A7E0D44"/>
    <w:rsid w:val="6A843983"/>
    <w:rsid w:val="6A8676FB"/>
    <w:rsid w:val="6A883473"/>
    <w:rsid w:val="6A8B4D12"/>
    <w:rsid w:val="6A8E581F"/>
    <w:rsid w:val="6A8E65B0"/>
    <w:rsid w:val="6A927E4E"/>
    <w:rsid w:val="6A944E30"/>
    <w:rsid w:val="6A9516EC"/>
    <w:rsid w:val="6A95793E"/>
    <w:rsid w:val="6A962FC7"/>
    <w:rsid w:val="6A9661EC"/>
    <w:rsid w:val="6A99742E"/>
    <w:rsid w:val="6A9A4F55"/>
    <w:rsid w:val="6A9C5776"/>
    <w:rsid w:val="6A9D6977"/>
    <w:rsid w:val="6A9E4BEF"/>
    <w:rsid w:val="6AA3205B"/>
    <w:rsid w:val="6AA67D9D"/>
    <w:rsid w:val="6AA84FCB"/>
    <w:rsid w:val="6AA933EA"/>
    <w:rsid w:val="6AAB53B4"/>
    <w:rsid w:val="6AAF0A00"/>
    <w:rsid w:val="6AB04778"/>
    <w:rsid w:val="6AB1295D"/>
    <w:rsid w:val="6AB14817"/>
    <w:rsid w:val="6AB22EF6"/>
    <w:rsid w:val="6AB44268"/>
    <w:rsid w:val="6AB527BB"/>
    <w:rsid w:val="6AB53B3C"/>
    <w:rsid w:val="6AB543B2"/>
    <w:rsid w:val="6AB73D58"/>
    <w:rsid w:val="6AB778B5"/>
    <w:rsid w:val="6AB9362D"/>
    <w:rsid w:val="6AB94747"/>
    <w:rsid w:val="6ABA36B3"/>
    <w:rsid w:val="6ABA62B2"/>
    <w:rsid w:val="6ABC136F"/>
    <w:rsid w:val="6ABC311D"/>
    <w:rsid w:val="6ABD7B87"/>
    <w:rsid w:val="6ABE6E95"/>
    <w:rsid w:val="6ABF49BB"/>
    <w:rsid w:val="6AC07030"/>
    <w:rsid w:val="6AC13E4D"/>
    <w:rsid w:val="6AC16985"/>
    <w:rsid w:val="6AC344AB"/>
    <w:rsid w:val="6AC3666E"/>
    <w:rsid w:val="6AC50223"/>
    <w:rsid w:val="6AC83D20"/>
    <w:rsid w:val="6ACB7804"/>
    <w:rsid w:val="6ACE4BFE"/>
    <w:rsid w:val="6ACE6346"/>
    <w:rsid w:val="6AD024C3"/>
    <w:rsid w:val="6AD42AC5"/>
    <w:rsid w:val="6AD55F8D"/>
    <w:rsid w:val="6AD77F57"/>
    <w:rsid w:val="6AD9782B"/>
    <w:rsid w:val="6ADA345D"/>
    <w:rsid w:val="6ADB7A47"/>
    <w:rsid w:val="6ADC67C4"/>
    <w:rsid w:val="6ADE12E5"/>
    <w:rsid w:val="6AE21ACF"/>
    <w:rsid w:val="6AE41D98"/>
    <w:rsid w:val="6AE6019A"/>
    <w:rsid w:val="6AE6604A"/>
    <w:rsid w:val="6AE663EC"/>
    <w:rsid w:val="6AE970DE"/>
    <w:rsid w:val="6AEB57B0"/>
    <w:rsid w:val="6AED37F2"/>
    <w:rsid w:val="6AF127DC"/>
    <w:rsid w:val="6AF1729C"/>
    <w:rsid w:val="6AF208ED"/>
    <w:rsid w:val="6AF428B7"/>
    <w:rsid w:val="6AF705F9"/>
    <w:rsid w:val="6AF723A7"/>
    <w:rsid w:val="6AF87E20"/>
    <w:rsid w:val="6AFA59F3"/>
    <w:rsid w:val="6AFC5C0F"/>
    <w:rsid w:val="6AFE0B89"/>
    <w:rsid w:val="6AFE3DEE"/>
    <w:rsid w:val="6AFE65C3"/>
    <w:rsid w:val="6AFF300A"/>
    <w:rsid w:val="6B00125C"/>
    <w:rsid w:val="6B0074AE"/>
    <w:rsid w:val="6B0542A1"/>
    <w:rsid w:val="6B07083C"/>
    <w:rsid w:val="6B0D0B90"/>
    <w:rsid w:val="6B0D10B1"/>
    <w:rsid w:val="6B0D1BCA"/>
    <w:rsid w:val="6B0D5727"/>
    <w:rsid w:val="6B104EE7"/>
    <w:rsid w:val="6B15282D"/>
    <w:rsid w:val="6B1765A5"/>
    <w:rsid w:val="6B1B6095"/>
    <w:rsid w:val="6B1C3BBC"/>
    <w:rsid w:val="6B20545A"/>
    <w:rsid w:val="6B217424"/>
    <w:rsid w:val="6B23319C"/>
    <w:rsid w:val="6B256F14"/>
    <w:rsid w:val="6B272C8C"/>
    <w:rsid w:val="6B2B1F62"/>
    <w:rsid w:val="6B2C02A3"/>
    <w:rsid w:val="6B2F1B41"/>
    <w:rsid w:val="6B2F38EF"/>
    <w:rsid w:val="6B321631"/>
    <w:rsid w:val="6B322639"/>
    <w:rsid w:val="6B344DF0"/>
    <w:rsid w:val="6B3610CD"/>
    <w:rsid w:val="6B361113"/>
    <w:rsid w:val="6B361121"/>
    <w:rsid w:val="6B362ECF"/>
    <w:rsid w:val="6B372AEF"/>
    <w:rsid w:val="6B39476E"/>
    <w:rsid w:val="6B3B6738"/>
    <w:rsid w:val="6B3C098E"/>
    <w:rsid w:val="6B3D425E"/>
    <w:rsid w:val="6B3E1281"/>
    <w:rsid w:val="6B403D4E"/>
    <w:rsid w:val="6B413622"/>
    <w:rsid w:val="6B460C38"/>
    <w:rsid w:val="6B486135"/>
    <w:rsid w:val="6B4C26F3"/>
    <w:rsid w:val="6B4F5D3F"/>
    <w:rsid w:val="6B5415A7"/>
    <w:rsid w:val="6B5430FC"/>
    <w:rsid w:val="6B55564C"/>
    <w:rsid w:val="6B560E7C"/>
    <w:rsid w:val="6B572E46"/>
    <w:rsid w:val="6B574BF4"/>
    <w:rsid w:val="6B59096C"/>
    <w:rsid w:val="6B594E10"/>
    <w:rsid w:val="6B5B2936"/>
    <w:rsid w:val="6B5D01B3"/>
    <w:rsid w:val="6B5E5FA7"/>
    <w:rsid w:val="6B607F4C"/>
    <w:rsid w:val="6B61644D"/>
    <w:rsid w:val="6B621F16"/>
    <w:rsid w:val="6B637A3C"/>
    <w:rsid w:val="6B650E43"/>
    <w:rsid w:val="6B6537B4"/>
    <w:rsid w:val="6B655563"/>
    <w:rsid w:val="6B67048D"/>
    <w:rsid w:val="6B673089"/>
    <w:rsid w:val="6B695720"/>
    <w:rsid w:val="6B6A2B79"/>
    <w:rsid w:val="6B6D2669"/>
    <w:rsid w:val="6B712159"/>
    <w:rsid w:val="6B715CB5"/>
    <w:rsid w:val="6B7669D6"/>
    <w:rsid w:val="6B777044"/>
    <w:rsid w:val="6B7C1BAA"/>
    <w:rsid w:val="6B80239C"/>
    <w:rsid w:val="6B817F21"/>
    <w:rsid w:val="6B824366"/>
    <w:rsid w:val="6B827EC3"/>
    <w:rsid w:val="6B851761"/>
    <w:rsid w:val="6B8579B3"/>
    <w:rsid w:val="6B8E2D0B"/>
    <w:rsid w:val="6B8F740B"/>
    <w:rsid w:val="6B953B90"/>
    <w:rsid w:val="6B9833E3"/>
    <w:rsid w:val="6B99331C"/>
    <w:rsid w:val="6B99345E"/>
    <w:rsid w:val="6B9B0F84"/>
    <w:rsid w:val="6B9B2D32"/>
    <w:rsid w:val="6B9D2F4E"/>
    <w:rsid w:val="6B9F61DF"/>
    <w:rsid w:val="6B9F6CC6"/>
    <w:rsid w:val="6BA047ED"/>
    <w:rsid w:val="6BA0659B"/>
    <w:rsid w:val="6BA32EA6"/>
    <w:rsid w:val="6BA35B0F"/>
    <w:rsid w:val="6BA3608B"/>
    <w:rsid w:val="6BA442DD"/>
    <w:rsid w:val="6BA51E03"/>
    <w:rsid w:val="6BA64490"/>
    <w:rsid w:val="6BA75B7B"/>
    <w:rsid w:val="6BA936A1"/>
    <w:rsid w:val="6BAA3F28"/>
    <w:rsid w:val="6BAD2DFF"/>
    <w:rsid w:val="6BAE16EB"/>
    <w:rsid w:val="6BB107A8"/>
    <w:rsid w:val="6BB64010"/>
    <w:rsid w:val="6BB838E4"/>
    <w:rsid w:val="6BBE52E8"/>
    <w:rsid w:val="6BC22528"/>
    <w:rsid w:val="6BC27ED8"/>
    <w:rsid w:val="6BC6435F"/>
    <w:rsid w:val="6BC8789F"/>
    <w:rsid w:val="6BC9093E"/>
    <w:rsid w:val="6BCC78EC"/>
    <w:rsid w:val="6BD050D2"/>
    <w:rsid w:val="6BD12BF8"/>
    <w:rsid w:val="6BD44496"/>
    <w:rsid w:val="6BD558D2"/>
    <w:rsid w:val="6BD61FBC"/>
    <w:rsid w:val="6BD66460"/>
    <w:rsid w:val="6BD72BFA"/>
    <w:rsid w:val="6BD821D8"/>
    <w:rsid w:val="6BD85D34"/>
    <w:rsid w:val="6BDA7CFF"/>
    <w:rsid w:val="6BDB75D3"/>
    <w:rsid w:val="6BDF3567"/>
    <w:rsid w:val="6BE02E3B"/>
    <w:rsid w:val="6BE168CF"/>
    <w:rsid w:val="6BE27D29"/>
    <w:rsid w:val="6BE558C2"/>
    <w:rsid w:val="6BE56D52"/>
    <w:rsid w:val="6BE7241B"/>
    <w:rsid w:val="6BE74894"/>
    <w:rsid w:val="6BE96194"/>
    <w:rsid w:val="6BE97F42"/>
    <w:rsid w:val="6BEA3CBA"/>
    <w:rsid w:val="6BEB5B15"/>
    <w:rsid w:val="6BED321C"/>
    <w:rsid w:val="6BEE5FF9"/>
    <w:rsid w:val="6BF07522"/>
    <w:rsid w:val="6BF1329A"/>
    <w:rsid w:val="6BF306A7"/>
    <w:rsid w:val="6BF30DC0"/>
    <w:rsid w:val="6BF54B38"/>
    <w:rsid w:val="6BF56847"/>
    <w:rsid w:val="6BF6657C"/>
    <w:rsid w:val="6BFB3638"/>
    <w:rsid w:val="6BFC0FB6"/>
    <w:rsid w:val="6BFD31F6"/>
    <w:rsid w:val="6BFE1E29"/>
    <w:rsid w:val="6C003240"/>
    <w:rsid w:val="6C006BC9"/>
    <w:rsid w:val="6C0134DD"/>
    <w:rsid w:val="6C031950"/>
    <w:rsid w:val="6C033A1C"/>
    <w:rsid w:val="6C0341C4"/>
    <w:rsid w:val="6C040BA3"/>
    <w:rsid w:val="6C0422DB"/>
    <w:rsid w:val="6C0528A2"/>
    <w:rsid w:val="6C07486C"/>
    <w:rsid w:val="6C0C59DE"/>
    <w:rsid w:val="6C0D53E8"/>
    <w:rsid w:val="6C0E79A8"/>
    <w:rsid w:val="6C107C57"/>
    <w:rsid w:val="6C1134DA"/>
    <w:rsid w:val="6C1148DF"/>
    <w:rsid w:val="6C157FA5"/>
    <w:rsid w:val="6C186A79"/>
    <w:rsid w:val="6C1B3E73"/>
    <w:rsid w:val="6C1F5711"/>
    <w:rsid w:val="6C2076DB"/>
    <w:rsid w:val="6C2216A6"/>
    <w:rsid w:val="6C230435"/>
    <w:rsid w:val="6C2418C5"/>
    <w:rsid w:val="6C262F44"/>
    <w:rsid w:val="6C270A6A"/>
    <w:rsid w:val="6C272818"/>
    <w:rsid w:val="6C2B0057"/>
    <w:rsid w:val="6C2C42D2"/>
    <w:rsid w:val="6C2C7E2E"/>
    <w:rsid w:val="6C2D6AD7"/>
    <w:rsid w:val="6C2E1DF8"/>
    <w:rsid w:val="6C303DC2"/>
    <w:rsid w:val="6C3118E9"/>
    <w:rsid w:val="6C313697"/>
    <w:rsid w:val="6C322AC5"/>
    <w:rsid w:val="6C335661"/>
    <w:rsid w:val="6C3513D9"/>
    <w:rsid w:val="6C352415"/>
    <w:rsid w:val="6C376397"/>
    <w:rsid w:val="6C382C77"/>
    <w:rsid w:val="6C3870FA"/>
    <w:rsid w:val="6C3B104D"/>
    <w:rsid w:val="6C3B4A63"/>
    <w:rsid w:val="6C3D2E83"/>
    <w:rsid w:val="6C3D30A4"/>
    <w:rsid w:val="6C3F5DB4"/>
    <w:rsid w:val="6C3F7B62"/>
    <w:rsid w:val="6C423AF6"/>
    <w:rsid w:val="6C442A2F"/>
    <w:rsid w:val="6C44786E"/>
    <w:rsid w:val="6C482A24"/>
    <w:rsid w:val="6C4909E0"/>
    <w:rsid w:val="6C494E84"/>
    <w:rsid w:val="6C496C32"/>
    <w:rsid w:val="6C4B29AA"/>
    <w:rsid w:val="6C4B6506"/>
    <w:rsid w:val="6C4D7283"/>
    <w:rsid w:val="6C4E3951"/>
    <w:rsid w:val="6C4E5FF7"/>
    <w:rsid w:val="6C501B0A"/>
    <w:rsid w:val="6C507FC1"/>
    <w:rsid w:val="6C512EA6"/>
    <w:rsid w:val="6C521745"/>
    <w:rsid w:val="6C523D39"/>
    <w:rsid w:val="6C530B25"/>
    <w:rsid w:val="6C537AB1"/>
    <w:rsid w:val="6C57134F"/>
    <w:rsid w:val="6C580B57"/>
    <w:rsid w:val="6C5850C7"/>
    <w:rsid w:val="6C5A499B"/>
    <w:rsid w:val="6C5C4BB7"/>
    <w:rsid w:val="6C5C5DC2"/>
    <w:rsid w:val="6C5D448C"/>
    <w:rsid w:val="6C5F105B"/>
    <w:rsid w:val="6C610446"/>
    <w:rsid w:val="6C613F7C"/>
    <w:rsid w:val="6C621AA2"/>
    <w:rsid w:val="6C6263EF"/>
    <w:rsid w:val="6C636C38"/>
    <w:rsid w:val="6C643A6C"/>
    <w:rsid w:val="6C6475C8"/>
    <w:rsid w:val="6C6677E4"/>
    <w:rsid w:val="6C691082"/>
    <w:rsid w:val="6C6B6BA9"/>
    <w:rsid w:val="6C6E0447"/>
    <w:rsid w:val="6C6E6699"/>
    <w:rsid w:val="6C7041BF"/>
    <w:rsid w:val="6C71135B"/>
    <w:rsid w:val="6C726189"/>
    <w:rsid w:val="6C74684C"/>
    <w:rsid w:val="6C7539D8"/>
    <w:rsid w:val="6C7A0373"/>
    <w:rsid w:val="6C7A3290"/>
    <w:rsid w:val="6C7A7C07"/>
    <w:rsid w:val="6C7C0DB6"/>
    <w:rsid w:val="6C7D4B2E"/>
    <w:rsid w:val="6C7F4402"/>
    <w:rsid w:val="6C8030BB"/>
    <w:rsid w:val="6C803C72"/>
    <w:rsid w:val="6C814488"/>
    <w:rsid w:val="6C81461E"/>
    <w:rsid w:val="6C830396"/>
    <w:rsid w:val="6C865790"/>
    <w:rsid w:val="6C870A40"/>
    <w:rsid w:val="6C871509"/>
    <w:rsid w:val="6C8859AD"/>
    <w:rsid w:val="6C895281"/>
    <w:rsid w:val="6C89702F"/>
    <w:rsid w:val="6C8B0FF9"/>
    <w:rsid w:val="6C8E0700"/>
    <w:rsid w:val="6C8E0AE9"/>
    <w:rsid w:val="6C920A5F"/>
    <w:rsid w:val="6C92740D"/>
    <w:rsid w:val="6C9360FF"/>
    <w:rsid w:val="6C951E77"/>
    <w:rsid w:val="6C953C26"/>
    <w:rsid w:val="6C97174C"/>
    <w:rsid w:val="6C97799E"/>
    <w:rsid w:val="6C983716"/>
    <w:rsid w:val="6C9854C4"/>
    <w:rsid w:val="6C9A123C"/>
    <w:rsid w:val="6C9A56E0"/>
    <w:rsid w:val="6C9A7BBB"/>
    <w:rsid w:val="6C9B563C"/>
    <w:rsid w:val="6C9C4FB4"/>
    <w:rsid w:val="6C9E4512"/>
    <w:rsid w:val="6C9F2CF6"/>
    <w:rsid w:val="6CA32D5A"/>
    <w:rsid w:val="6CA4030D"/>
    <w:rsid w:val="6CA43E69"/>
    <w:rsid w:val="6CA64085"/>
    <w:rsid w:val="6CA67BE1"/>
    <w:rsid w:val="6CA87DFD"/>
    <w:rsid w:val="6CA9147F"/>
    <w:rsid w:val="6CA95923"/>
    <w:rsid w:val="6CAB3449"/>
    <w:rsid w:val="6CAD7600"/>
    <w:rsid w:val="6CAF118B"/>
    <w:rsid w:val="6CB22A29"/>
    <w:rsid w:val="6CB4220A"/>
    <w:rsid w:val="6CB467A2"/>
    <w:rsid w:val="6CB5251A"/>
    <w:rsid w:val="6CB95B66"/>
    <w:rsid w:val="6CBB3341"/>
    <w:rsid w:val="6CBC11B2"/>
    <w:rsid w:val="6CBD4F2A"/>
    <w:rsid w:val="6CBE7962"/>
    <w:rsid w:val="6CC10436"/>
    <w:rsid w:val="6CC17163"/>
    <w:rsid w:val="6CC22541"/>
    <w:rsid w:val="6CC42093"/>
    <w:rsid w:val="6CC42F7D"/>
    <w:rsid w:val="6CC54C64"/>
    <w:rsid w:val="6CC62031"/>
    <w:rsid w:val="6CC664D5"/>
    <w:rsid w:val="6CC67584"/>
    <w:rsid w:val="6CC8224D"/>
    <w:rsid w:val="6CC83FFB"/>
    <w:rsid w:val="6CC87B57"/>
    <w:rsid w:val="6CC97A72"/>
    <w:rsid w:val="6CCB3AEB"/>
    <w:rsid w:val="6CCE7137"/>
    <w:rsid w:val="6CCF1CAB"/>
    <w:rsid w:val="6CD04C5E"/>
    <w:rsid w:val="6CD2026E"/>
    <w:rsid w:val="6CD24E7A"/>
    <w:rsid w:val="6CD429A0"/>
    <w:rsid w:val="6CD46A9B"/>
    <w:rsid w:val="6CD55BE9"/>
    <w:rsid w:val="6CD94BEF"/>
    <w:rsid w:val="6CD9769F"/>
    <w:rsid w:val="6CDA3D2E"/>
    <w:rsid w:val="6CDB1F80"/>
    <w:rsid w:val="6CE07597"/>
    <w:rsid w:val="6CE25485"/>
    <w:rsid w:val="6CE34991"/>
    <w:rsid w:val="6CE40709"/>
    <w:rsid w:val="6CE4695B"/>
    <w:rsid w:val="6CE626D3"/>
    <w:rsid w:val="6CE6684F"/>
    <w:rsid w:val="6CE71635"/>
    <w:rsid w:val="6CE87DC7"/>
    <w:rsid w:val="6CEA21C3"/>
    <w:rsid w:val="6CEE3336"/>
    <w:rsid w:val="6CEE6CA9"/>
    <w:rsid w:val="6CF43042"/>
    <w:rsid w:val="6CF47A31"/>
    <w:rsid w:val="6CF50B68"/>
    <w:rsid w:val="6CF546C4"/>
    <w:rsid w:val="6CF7668E"/>
    <w:rsid w:val="6CF77E48"/>
    <w:rsid w:val="6CF90658"/>
    <w:rsid w:val="6CFD2224"/>
    <w:rsid w:val="6CFD3965"/>
    <w:rsid w:val="6CFD7687"/>
    <w:rsid w:val="6CFE20B7"/>
    <w:rsid w:val="6D032D24"/>
    <w:rsid w:val="6D033D14"/>
    <w:rsid w:val="6D035033"/>
    <w:rsid w:val="6D044FA7"/>
    <w:rsid w:val="6D082649"/>
    <w:rsid w:val="6D093393"/>
    <w:rsid w:val="6D0A4613"/>
    <w:rsid w:val="6D0D1D80"/>
    <w:rsid w:val="6D0D4104"/>
    <w:rsid w:val="6D0E5786"/>
    <w:rsid w:val="6D1014FE"/>
    <w:rsid w:val="6D12171A"/>
    <w:rsid w:val="6D162FB8"/>
    <w:rsid w:val="6D174A55"/>
    <w:rsid w:val="6D1C4347"/>
    <w:rsid w:val="6D1F373F"/>
    <w:rsid w:val="6D20018F"/>
    <w:rsid w:val="6D205BE5"/>
    <w:rsid w:val="6D22461C"/>
    <w:rsid w:val="6D2303AE"/>
    <w:rsid w:val="6D232605"/>
    <w:rsid w:val="6D237483"/>
    <w:rsid w:val="6D250E1A"/>
    <w:rsid w:val="6D261430"/>
    <w:rsid w:val="6D262AD0"/>
    <w:rsid w:val="6D284A9A"/>
    <w:rsid w:val="6D2900BF"/>
    <w:rsid w:val="6D2A0812"/>
    <w:rsid w:val="6D2C27DC"/>
    <w:rsid w:val="6D2F407A"/>
    <w:rsid w:val="6D2F5E28"/>
    <w:rsid w:val="6D311114"/>
    <w:rsid w:val="6D323B6A"/>
    <w:rsid w:val="6D326638"/>
    <w:rsid w:val="6D341690"/>
    <w:rsid w:val="6D350F65"/>
    <w:rsid w:val="6D360E1C"/>
    <w:rsid w:val="6D365456"/>
    <w:rsid w:val="6D394EF9"/>
    <w:rsid w:val="6D3B13B4"/>
    <w:rsid w:val="6D3E250F"/>
    <w:rsid w:val="6D3E42BD"/>
    <w:rsid w:val="6D416038"/>
    <w:rsid w:val="6D422099"/>
    <w:rsid w:val="6D45389E"/>
    <w:rsid w:val="6D4573FA"/>
    <w:rsid w:val="6D464F20"/>
    <w:rsid w:val="6D4738D9"/>
    <w:rsid w:val="6D48023E"/>
    <w:rsid w:val="6D4847CA"/>
    <w:rsid w:val="6D4A2C62"/>
    <w:rsid w:val="6D4C36C0"/>
    <w:rsid w:val="6D4D4500"/>
    <w:rsid w:val="6D4D71AC"/>
    <w:rsid w:val="6D521B17"/>
    <w:rsid w:val="6D525F7C"/>
    <w:rsid w:val="6D527D69"/>
    <w:rsid w:val="6D54763D"/>
    <w:rsid w:val="6D561607"/>
    <w:rsid w:val="6D566DCE"/>
    <w:rsid w:val="6D5B4E6F"/>
    <w:rsid w:val="6D5B6C1D"/>
    <w:rsid w:val="6D5C2995"/>
    <w:rsid w:val="6D5C4743"/>
    <w:rsid w:val="6D5E670D"/>
    <w:rsid w:val="6D604192"/>
    <w:rsid w:val="6D604233"/>
    <w:rsid w:val="6D6043A6"/>
    <w:rsid w:val="6D625405"/>
    <w:rsid w:val="6D63353E"/>
    <w:rsid w:val="6D6535F8"/>
    <w:rsid w:val="6D655433"/>
    <w:rsid w:val="6D657A9C"/>
    <w:rsid w:val="6D68133A"/>
    <w:rsid w:val="6D68758C"/>
    <w:rsid w:val="6D6A3304"/>
    <w:rsid w:val="6D6B3A86"/>
    <w:rsid w:val="6D6B7B64"/>
    <w:rsid w:val="6D6D6950"/>
    <w:rsid w:val="6D6E3416"/>
    <w:rsid w:val="6D745F31"/>
    <w:rsid w:val="6D747CDF"/>
    <w:rsid w:val="6D7838A9"/>
    <w:rsid w:val="6D785A21"/>
    <w:rsid w:val="6D7952F5"/>
    <w:rsid w:val="6D7B2E1B"/>
    <w:rsid w:val="6D7D4DE5"/>
    <w:rsid w:val="6D7D5B31"/>
    <w:rsid w:val="6D7E5FDA"/>
    <w:rsid w:val="6D806684"/>
    <w:rsid w:val="6D811100"/>
    <w:rsid w:val="6D851EEC"/>
    <w:rsid w:val="6D8B6DD7"/>
    <w:rsid w:val="6D8C5028"/>
    <w:rsid w:val="6D8D463F"/>
    <w:rsid w:val="6D8E69D0"/>
    <w:rsid w:val="6D8E6FF3"/>
    <w:rsid w:val="6D8F2A18"/>
    <w:rsid w:val="6D8F4B19"/>
    <w:rsid w:val="6D8F68C7"/>
    <w:rsid w:val="6D920165"/>
    <w:rsid w:val="6D934609"/>
    <w:rsid w:val="6D93632C"/>
    <w:rsid w:val="6D943EDD"/>
    <w:rsid w:val="6D97577B"/>
    <w:rsid w:val="6D9914F3"/>
    <w:rsid w:val="6D9A3EE1"/>
    <w:rsid w:val="6D9E2FAE"/>
    <w:rsid w:val="6DA06D26"/>
    <w:rsid w:val="6DA07B3F"/>
    <w:rsid w:val="6DA22A9E"/>
    <w:rsid w:val="6DA2484C"/>
    <w:rsid w:val="6DA32372"/>
    <w:rsid w:val="6DA46816"/>
    <w:rsid w:val="6DA57881"/>
    <w:rsid w:val="6DA953DB"/>
    <w:rsid w:val="6DAA3701"/>
    <w:rsid w:val="6DAA54AF"/>
    <w:rsid w:val="6DAA78DE"/>
    <w:rsid w:val="6DAC1227"/>
    <w:rsid w:val="6DAD31F1"/>
    <w:rsid w:val="6DAD4F9F"/>
    <w:rsid w:val="6DAF4BA6"/>
    <w:rsid w:val="6DAF6F69"/>
    <w:rsid w:val="6DB079D9"/>
    <w:rsid w:val="6DB12CE1"/>
    <w:rsid w:val="6DB14A8F"/>
    <w:rsid w:val="6DB175E8"/>
    <w:rsid w:val="6DB225B5"/>
    <w:rsid w:val="6DB34098"/>
    <w:rsid w:val="6DB427D1"/>
    <w:rsid w:val="6DB4632D"/>
    <w:rsid w:val="6DB545B6"/>
    <w:rsid w:val="6DB63E53"/>
    <w:rsid w:val="6DB85010"/>
    <w:rsid w:val="6DB85E1E"/>
    <w:rsid w:val="6DBA2EED"/>
    <w:rsid w:val="6DBC51E2"/>
    <w:rsid w:val="6DBE53FE"/>
    <w:rsid w:val="6DBE71AC"/>
    <w:rsid w:val="6DBF5241"/>
    <w:rsid w:val="6DC04CD2"/>
    <w:rsid w:val="6DC249BF"/>
    <w:rsid w:val="6DC347C2"/>
    <w:rsid w:val="6DC36570"/>
    <w:rsid w:val="6DC42A14"/>
    <w:rsid w:val="6DC551D5"/>
    <w:rsid w:val="6DC5678C"/>
    <w:rsid w:val="6DC709F1"/>
    <w:rsid w:val="6DC72505"/>
    <w:rsid w:val="6DC9057F"/>
    <w:rsid w:val="6DCB5D2E"/>
    <w:rsid w:val="6DCC0641"/>
    <w:rsid w:val="6DCC3677"/>
    <w:rsid w:val="6DCC7B1B"/>
    <w:rsid w:val="6DCE2F61"/>
    <w:rsid w:val="6DCF4F15"/>
    <w:rsid w:val="6DD05AFB"/>
    <w:rsid w:val="6DD16EDF"/>
    <w:rsid w:val="6DD32C57"/>
    <w:rsid w:val="6DD356FC"/>
    <w:rsid w:val="6DD4443F"/>
    <w:rsid w:val="6DD469CF"/>
    <w:rsid w:val="6DD8026E"/>
    <w:rsid w:val="6DD82566"/>
    <w:rsid w:val="6DDB1B0C"/>
    <w:rsid w:val="6DDB5FC9"/>
    <w:rsid w:val="6DDB7D5E"/>
    <w:rsid w:val="6DDD5884"/>
    <w:rsid w:val="6DDE33AA"/>
    <w:rsid w:val="6DE02FB4"/>
    <w:rsid w:val="6DE05374"/>
    <w:rsid w:val="6DE16806"/>
    <w:rsid w:val="6DE4164A"/>
    <w:rsid w:val="6DE43259"/>
    <w:rsid w:val="6DE4548A"/>
    <w:rsid w:val="6DE56617"/>
    <w:rsid w:val="6DE76703"/>
    <w:rsid w:val="6DE9541A"/>
    <w:rsid w:val="6DE97321"/>
    <w:rsid w:val="6DEA61F3"/>
    <w:rsid w:val="6DEE183F"/>
    <w:rsid w:val="6DEE5CE3"/>
    <w:rsid w:val="6DEF181B"/>
    <w:rsid w:val="6DEF55B7"/>
    <w:rsid w:val="6DF1132F"/>
    <w:rsid w:val="6DF25BEE"/>
    <w:rsid w:val="6DF332FA"/>
    <w:rsid w:val="6DF350A8"/>
    <w:rsid w:val="6DF42BCE"/>
    <w:rsid w:val="6DF64B98"/>
    <w:rsid w:val="6DF8446C"/>
    <w:rsid w:val="6DF9597F"/>
    <w:rsid w:val="6DFB0400"/>
    <w:rsid w:val="6DFB5D0A"/>
    <w:rsid w:val="6DFE0CAC"/>
    <w:rsid w:val="6DFF1C9E"/>
    <w:rsid w:val="6DFF7482"/>
    <w:rsid w:val="6E001573"/>
    <w:rsid w:val="6E0077C5"/>
    <w:rsid w:val="6E02353D"/>
    <w:rsid w:val="6E0332E1"/>
    <w:rsid w:val="6E04530E"/>
    <w:rsid w:val="6E054DDB"/>
    <w:rsid w:val="6E076DA5"/>
    <w:rsid w:val="6E083E59"/>
    <w:rsid w:val="6E096679"/>
    <w:rsid w:val="6E0A02F8"/>
    <w:rsid w:val="6E0A05E3"/>
    <w:rsid w:val="6E0A419F"/>
    <w:rsid w:val="6E0A66CE"/>
    <w:rsid w:val="6E0B0643"/>
    <w:rsid w:val="6E0B21EF"/>
    <w:rsid w:val="6E0D6F64"/>
    <w:rsid w:val="6E0E1C9B"/>
    <w:rsid w:val="6E1119D2"/>
    <w:rsid w:val="6E1312A6"/>
    <w:rsid w:val="6E131695"/>
    <w:rsid w:val="6E132DD6"/>
    <w:rsid w:val="6E14501E"/>
    <w:rsid w:val="6E153270"/>
    <w:rsid w:val="6E166FE8"/>
    <w:rsid w:val="6E184B0E"/>
    <w:rsid w:val="6E1868BC"/>
    <w:rsid w:val="6E192936"/>
    <w:rsid w:val="6E1967BA"/>
    <w:rsid w:val="6E1A0886"/>
    <w:rsid w:val="6E1A6AD8"/>
    <w:rsid w:val="6E1B63AC"/>
    <w:rsid w:val="6E1C51C8"/>
    <w:rsid w:val="6E1D0376"/>
    <w:rsid w:val="6E1E1020"/>
    <w:rsid w:val="6E1F40EF"/>
    <w:rsid w:val="6E1F5E9D"/>
    <w:rsid w:val="6E22598D"/>
    <w:rsid w:val="6E22773B"/>
    <w:rsid w:val="6E2434B3"/>
    <w:rsid w:val="6E265416"/>
    <w:rsid w:val="6E272FA3"/>
    <w:rsid w:val="6E276AFF"/>
    <w:rsid w:val="6E2871AB"/>
    <w:rsid w:val="6E292E16"/>
    <w:rsid w:val="6E296D1B"/>
    <w:rsid w:val="6E2B2A93"/>
    <w:rsid w:val="6E2D74A0"/>
    <w:rsid w:val="6E2E4332"/>
    <w:rsid w:val="6E301E58"/>
    <w:rsid w:val="6E313E22"/>
    <w:rsid w:val="6E3360AE"/>
    <w:rsid w:val="6E337B9A"/>
    <w:rsid w:val="6E34121C"/>
    <w:rsid w:val="6E380D0C"/>
    <w:rsid w:val="6E395321"/>
    <w:rsid w:val="6E396833"/>
    <w:rsid w:val="6E3A2CD6"/>
    <w:rsid w:val="6E3B07FD"/>
    <w:rsid w:val="6E3B50E8"/>
    <w:rsid w:val="6E3C26AA"/>
    <w:rsid w:val="6E3D6323"/>
    <w:rsid w:val="6E414065"/>
    <w:rsid w:val="6E415A81"/>
    <w:rsid w:val="6E421B8B"/>
    <w:rsid w:val="6E436356"/>
    <w:rsid w:val="6E4678CD"/>
    <w:rsid w:val="6E4753F3"/>
    <w:rsid w:val="6E486BBF"/>
    <w:rsid w:val="6E4952C9"/>
    <w:rsid w:val="6E4A0A40"/>
    <w:rsid w:val="6E4B5505"/>
    <w:rsid w:val="6E4B7905"/>
    <w:rsid w:val="6E4E42D6"/>
    <w:rsid w:val="6E50277C"/>
    <w:rsid w:val="6E5042A8"/>
    <w:rsid w:val="6E514CED"/>
    <w:rsid w:val="6E5378F4"/>
    <w:rsid w:val="6E565636"/>
    <w:rsid w:val="6E565963"/>
    <w:rsid w:val="6E5673E4"/>
    <w:rsid w:val="6E573888"/>
    <w:rsid w:val="6E5813AF"/>
    <w:rsid w:val="6E5A5127"/>
    <w:rsid w:val="6E5B2C4D"/>
    <w:rsid w:val="6E5C2C30"/>
    <w:rsid w:val="6E5D4C17"/>
    <w:rsid w:val="6E613023"/>
    <w:rsid w:val="6E6164B5"/>
    <w:rsid w:val="6E62731F"/>
    <w:rsid w:val="6E641B01"/>
    <w:rsid w:val="6E661D1D"/>
    <w:rsid w:val="6E671E2C"/>
    <w:rsid w:val="6E677844"/>
    <w:rsid w:val="6E686EB1"/>
    <w:rsid w:val="6E69536A"/>
    <w:rsid w:val="6E695E86"/>
    <w:rsid w:val="6E6B10E2"/>
    <w:rsid w:val="6E6B2E90"/>
    <w:rsid w:val="6E6B7334"/>
    <w:rsid w:val="6E6C7980"/>
    <w:rsid w:val="6E70494A"/>
    <w:rsid w:val="6E712470"/>
    <w:rsid w:val="6E731D44"/>
    <w:rsid w:val="6E736112"/>
    <w:rsid w:val="6E7475A2"/>
    <w:rsid w:val="6E756E13"/>
    <w:rsid w:val="6E775CD9"/>
    <w:rsid w:val="6E7A30D3"/>
    <w:rsid w:val="6E7A7577"/>
    <w:rsid w:val="6E7B6E4B"/>
    <w:rsid w:val="6E7C32EF"/>
    <w:rsid w:val="6E7D0E15"/>
    <w:rsid w:val="6E7D7C49"/>
    <w:rsid w:val="6E7F06E9"/>
    <w:rsid w:val="6E7F693B"/>
    <w:rsid w:val="6E815D62"/>
    <w:rsid w:val="6E836753"/>
    <w:rsid w:val="6E844BC7"/>
    <w:rsid w:val="6E846A5E"/>
    <w:rsid w:val="6E866DE6"/>
    <w:rsid w:val="6E8757F0"/>
    <w:rsid w:val="6E895767"/>
    <w:rsid w:val="6E895A0C"/>
    <w:rsid w:val="6E8C1058"/>
    <w:rsid w:val="6E8D188A"/>
    <w:rsid w:val="6E8E6B7E"/>
    <w:rsid w:val="6E906D9A"/>
    <w:rsid w:val="6E91020B"/>
    <w:rsid w:val="6E91041D"/>
    <w:rsid w:val="6E9217B4"/>
    <w:rsid w:val="6E930639"/>
    <w:rsid w:val="6E946A7C"/>
    <w:rsid w:val="6E9544FD"/>
    <w:rsid w:val="6E95615F"/>
    <w:rsid w:val="6E963C85"/>
    <w:rsid w:val="6E9879FD"/>
    <w:rsid w:val="6E9D3265"/>
    <w:rsid w:val="6E9E3B08"/>
    <w:rsid w:val="6E9F0D8B"/>
    <w:rsid w:val="6EA11395"/>
    <w:rsid w:val="6EA168B2"/>
    <w:rsid w:val="6EA2262A"/>
    <w:rsid w:val="6EA55309"/>
    <w:rsid w:val="6EAB14DE"/>
    <w:rsid w:val="6EAB7671"/>
    <w:rsid w:val="6EAD34A8"/>
    <w:rsid w:val="6EAE5472"/>
    <w:rsid w:val="6EAE7221"/>
    <w:rsid w:val="6EAF6C69"/>
    <w:rsid w:val="6EB011EB"/>
    <w:rsid w:val="6EB02F99"/>
    <w:rsid w:val="6EB04D47"/>
    <w:rsid w:val="6EB1360C"/>
    <w:rsid w:val="6EB14D27"/>
    <w:rsid w:val="6EB505AF"/>
    <w:rsid w:val="6EB563D5"/>
    <w:rsid w:val="6EB56801"/>
    <w:rsid w:val="6EB67355"/>
    <w:rsid w:val="6EB707E5"/>
    <w:rsid w:val="6EB83BFB"/>
    <w:rsid w:val="6EBA3E17"/>
    <w:rsid w:val="6EBA7973"/>
    <w:rsid w:val="6EBC36EB"/>
    <w:rsid w:val="6EBD47EF"/>
    <w:rsid w:val="6EBD65BB"/>
    <w:rsid w:val="6EBE56B6"/>
    <w:rsid w:val="6EBF4F8A"/>
    <w:rsid w:val="6EC03A0B"/>
    <w:rsid w:val="6EC16F54"/>
    <w:rsid w:val="6EC20C67"/>
    <w:rsid w:val="6EC304C9"/>
    <w:rsid w:val="6EC32CCC"/>
    <w:rsid w:val="6EC425A0"/>
    <w:rsid w:val="6EC4452A"/>
    <w:rsid w:val="6EC44CD5"/>
    <w:rsid w:val="6ECB1B80"/>
    <w:rsid w:val="6ECB7DD2"/>
    <w:rsid w:val="6ECC76A7"/>
    <w:rsid w:val="6ED053E9"/>
    <w:rsid w:val="6ED24CBD"/>
    <w:rsid w:val="6ED50C51"/>
    <w:rsid w:val="6ED529FF"/>
    <w:rsid w:val="6ED749C9"/>
    <w:rsid w:val="6ED85A05"/>
    <w:rsid w:val="6ED924EF"/>
    <w:rsid w:val="6ED92677"/>
    <w:rsid w:val="6EDA1DC4"/>
    <w:rsid w:val="6EDC1FE0"/>
    <w:rsid w:val="6EDF73DA"/>
    <w:rsid w:val="6EDF7DF5"/>
    <w:rsid w:val="6EE175F6"/>
    <w:rsid w:val="6EE4021E"/>
    <w:rsid w:val="6EE964AB"/>
    <w:rsid w:val="6EEA2A6C"/>
    <w:rsid w:val="6EEB2223"/>
    <w:rsid w:val="6EED0AB2"/>
    <w:rsid w:val="6EED5A45"/>
    <w:rsid w:val="6EEE6E70"/>
    <w:rsid w:val="6EEF1D13"/>
    <w:rsid w:val="6EF015E7"/>
    <w:rsid w:val="6EF20214"/>
    <w:rsid w:val="6EF26F08"/>
    <w:rsid w:val="6EF410D7"/>
    <w:rsid w:val="6EF67A1A"/>
    <w:rsid w:val="6EF72976"/>
    <w:rsid w:val="6EFA5425"/>
    <w:rsid w:val="6EFC5E00"/>
    <w:rsid w:val="6EFC7F8C"/>
    <w:rsid w:val="6EFE3D04"/>
    <w:rsid w:val="6F0246DD"/>
    <w:rsid w:val="6F057A2B"/>
    <w:rsid w:val="6F064A7F"/>
    <w:rsid w:val="6F086931"/>
    <w:rsid w:val="6F094457"/>
    <w:rsid w:val="6F0B01CF"/>
    <w:rsid w:val="6F0B413C"/>
    <w:rsid w:val="6F0D15DF"/>
    <w:rsid w:val="6F101C89"/>
    <w:rsid w:val="6F1063C6"/>
    <w:rsid w:val="6F12155D"/>
    <w:rsid w:val="6F152DFC"/>
    <w:rsid w:val="6F1621FD"/>
    <w:rsid w:val="6F1645E5"/>
    <w:rsid w:val="6F183224"/>
    <w:rsid w:val="6F196CD5"/>
    <w:rsid w:val="6F196D90"/>
    <w:rsid w:val="6F1A48B6"/>
    <w:rsid w:val="6F1C79B6"/>
    <w:rsid w:val="6F1D78C7"/>
    <w:rsid w:val="6F1E6154"/>
    <w:rsid w:val="6F1F0BDE"/>
    <w:rsid w:val="6F1F1BA3"/>
    <w:rsid w:val="6F1F2811"/>
    <w:rsid w:val="6F1F6795"/>
    <w:rsid w:val="6F213E96"/>
    <w:rsid w:val="6F223D61"/>
    <w:rsid w:val="6F225983"/>
    <w:rsid w:val="6F231519"/>
    <w:rsid w:val="6F23376B"/>
    <w:rsid w:val="6F2372B5"/>
    <w:rsid w:val="6F266C57"/>
    <w:rsid w:val="6F280D81"/>
    <w:rsid w:val="6F2968A7"/>
    <w:rsid w:val="6F2A4AF9"/>
    <w:rsid w:val="6F2B2472"/>
    <w:rsid w:val="6F2B261F"/>
    <w:rsid w:val="6F2D5976"/>
    <w:rsid w:val="6F2D6397"/>
    <w:rsid w:val="6F2E3EBD"/>
    <w:rsid w:val="6F2F0361"/>
    <w:rsid w:val="6F30606C"/>
    <w:rsid w:val="6F325106"/>
    <w:rsid w:val="6F32674F"/>
    <w:rsid w:val="6F327E52"/>
    <w:rsid w:val="6F35524C"/>
    <w:rsid w:val="6F370FC4"/>
    <w:rsid w:val="6F3A0AB4"/>
    <w:rsid w:val="6F3F60CB"/>
    <w:rsid w:val="6F3F6AA9"/>
    <w:rsid w:val="6F40256E"/>
    <w:rsid w:val="6F41376B"/>
    <w:rsid w:val="6F435BBB"/>
    <w:rsid w:val="6F441D17"/>
    <w:rsid w:val="6F477302"/>
    <w:rsid w:val="6F4B4A6F"/>
    <w:rsid w:val="6F4C3EA0"/>
    <w:rsid w:val="6F4D07E7"/>
    <w:rsid w:val="6F4F7D4D"/>
    <w:rsid w:val="6F5002D8"/>
    <w:rsid w:val="6F5222A2"/>
    <w:rsid w:val="6F54601A"/>
    <w:rsid w:val="6F55769C"/>
    <w:rsid w:val="6F5619AF"/>
    <w:rsid w:val="6F563B40"/>
    <w:rsid w:val="6F594414"/>
    <w:rsid w:val="6F5A7BE5"/>
    <w:rsid w:val="6F5D17A2"/>
    <w:rsid w:val="6F5E0C47"/>
    <w:rsid w:val="6F5E2375"/>
    <w:rsid w:val="6F5E3A2E"/>
    <w:rsid w:val="6F5E6145"/>
    <w:rsid w:val="6F6049BF"/>
    <w:rsid w:val="6F631DB9"/>
    <w:rsid w:val="6F683873"/>
    <w:rsid w:val="6F6B325C"/>
    <w:rsid w:val="6F6F4C26"/>
    <w:rsid w:val="6F6F69B0"/>
    <w:rsid w:val="6F71097A"/>
    <w:rsid w:val="6F715E6C"/>
    <w:rsid w:val="6F7264A0"/>
    <w:rsid w:val="6F7416C2"/>
    <w:rsid w:val="6F74347F"/>
    <w:rsid w:val="6F7566C4"/>
    <w:rsid w:val="6F781A2D"/>
    <w:rsid w:val="6F7E6BF3"/>
    <w:rsid w:val="6F806E0F"/>
    <w:rsid w:val="6F810491"/>
    <w:rsid w:val="6F8166E3"/>
    <w:rsid w:val="6F817B96"/>
    <w:rsid w:val="6F834209"/>
    <w:rsid w:val="6F864031"/>
    <w:rsid w:val="6F891186"/>
    <w:rsid w:val="6F8929B2"/>
    <w:rsid w:val="6F8A1A3C"/>
    <w:rsid w:val="6F8A37EA"/>
    <w:rsid w:val="6F8B248C"/>
    <w:rsid w:val="6F8D1212"/>
    <w:rsid w:val="6F8D6E36"/>
    <w:rsid w:val="6F8E2B96"/>
    <w:rsid w:val="6F902885"/>
    <w:rsid w:val="6F904376"/>
    <w:rsid w:val="6F9208F0"/>
    <w:rsid w:val="6F9401C4"/>
    <w:rsid w:val="6F946416"/>
    <w:rsid w:val="6F957CCB"/>
    <w:rsid w:val="6F96218E"/>
    <w:rsid w:val="6F9B1553"/>
    <w:rsid w:val="6F9B4E77"/>
    <w:rsid w:val="6F9B59F7"/>
    <w:rsid w:val="6F9B77A5"/>
    <w:rsid w:val="6F9C351D"/>
    <w:rsid w:val="6FA128E1"/>
    <w:rsid w:val="6FA32A83"/>
    <w:rsid w:val="6FA32AFD"/>
    <w:rsid w:val="6FA32E36"/>
    <w:rsid w:val="6FA37B33"/>
    <w:rsid w:val="6FA7439C"/>
    <w:rsid w:val="6FA7614A"/>
    <w:rsid w:val="6FA80114"/>
    <w:rsid w:val="6FA81D97"/>
    <w:rsid w:val="6FA81EC2"/>
    <w:rsid w:val="6FAA5C3A"/>
    <w:rsid w:val="6FB3210A"/>
    <w:rsid w:val="6FB42F26"/>
    <w:rsid w:val="6FB50061"/>
    <w:rsid w:val="6FB50225"/>
    <w:rsid w:val="6FB67073"/>
    <w:rsid w:val="6FB72B3F"/>
    <w:rsid w:val="6FB76632"/>
    <w:rsid w:val="6FB865A9"/>
    <w:rsid w:val="6FBD2BEF"/>
    <w:rsid w:val="6FBE7937"/>
    <w:rsid w:val="6FBF3B84"/>
    <w:rsid w:val="6FC14D32"/>
    <w:rsid w:val="6FC211D5"/>
    <w:rsid w:val="6FC32E89"/>
    <w:rsid w:val="6FC52A74"/>
    <w:rsid w:val="6FCC795E"/>
    <w:rsid w:val="6FCF38F2"/>
    <w:rsid w:val="6FCF56A0"/>
    <w:rsid w:val="6FD0579A"/>
    <w:rsid w:val="6FD131C7"/>
    <w:rsid w:val="6FD17CF0"/>
    <w:rsid w:val="6FD35191"/>
    <w:rsid w:val="6FD64C81"/>
    <w:rsid w:val="6FD76303"/>
    <w:rsid w:val="6FD806AD"/>
    <w:rsid w:val="6FD827A7"/>
    <w:rsid w:val="6FD9651F"/>
    <w:rsid w:val="6FDD4494"/>
    <w:rsid w:val="6FDE7692"/>
    <w:rsid w:val="6FE169C0"/>
    <w:rsid w:val="6FE253D4"/>
    <w:rsid w:val="6FE264A0"/>
    <w:rsid w:val="6FE4739E"/>
    <w:rsid w:val="6FE50A20"/>
    <w:rsid w:val="6FE729EA"/>
    <w:rsid w:val="6FEA717C"/>
    <w:rsid w:val="6FEB6A91"/>
    <w:rsid w:val="6FED3D79"/>
    <w:rsid w:val="6FEF7AF1"/>
    <w:rsid w:val="6FF13869"/>
    <w:rsid w:val="6FF62C2D"/>
    <w:rsid w:val="6FF80D33"/>
    <w:rsid w:val="6FF944CB"/>
    <w:rsid w:val="6FFC5590"/>
    <w:rsid w:val="6FFD220E"/>
    <w:rsid w:val="6FFF5B18"/>
    <w:rsid w:val="70001E21"/>
    <w:rsid w:val="7000585A"/>
    <w:rsid w:val="700417EE"/>
    <w:rsid w:val="70095D9A"/>
    <w:rsid w:val="700A7EA9"/>
    <w:rsid w:val="700C6678"/>
    <w:rsid w:val="700D1DAD"/>
    <w:rsid w:val="700E0F25"/>
    <w:rsid w:val="700F26E5"/>
    <w:rsid w:val="70117A67"/>
    <w:rsid w:val="701337DF"/>
    <w:rsid w:val="7015387B"/>
    <w:rsid w:val="701557A9"/>
    <w:rsid w:val="701632CF"/>
    <w:rsid w:val="70170700"/>
    <w:rsid w:val="701709D8"/>
    <w:rsid w:val="701A3ECC"/>
    <w:rsid w:val="701E2184"/>
    <w:rsid w:val="70205EFC"/>
    <w:rsid w:val="702552C0"/>
    <w:rsid w:val="7027728A"/>
    <w:rsid w:val="70282B5C"/>
    <w:rsid w:val="70291255"/>
    <w:rsid w:val="702E23C7"/>
    <w:rsid w:val="70333E81"/>
    <w:rsid w:val="7036127C"/>
    <w:rsid w:val="703674CE"/>
    <w:rsid w:val="70381498"/>
    <w:rsid w:val="7038498C"/>
    <w:rsid w:val="703B4AE4"/>
    <w:rsid w:val="703D085C"/>
    <w:rsid w:val="703F2826"/>
    <w:rsid w:val="704240C4"/>
    <w:rsid w:val="70447E3C"/>
    <w:rsid w:val="70457711"/>
    <w:rsid w:val="70465FB6"/>
    <w:rsid w:val="704F058F"/>
    <w:rsid w:val="704F233D"/>
    <w:rsid w:val="70524F5E"/>
    <w:rsid w:val="70531E2E"/>
    <w:rsid w:val="70550C5B"/>
    <w:rsid w:val="7055204A"/>
    <w:rsid w:val="7056191E"/>
    <w:rsid w:val="705861FF"/>
    <w:rsid w:val="70593DDE"/>
    <w:rsid w:val="7059570F"/>
    <w:rsid w:val="705A140E"/>
    <w:rsid w:val="705A7A97"/>
    <w:rsid w:val="705D2CAC"/>
    <w:rsid w:val="705D4A5A"/>
    <w:rsid w:val="705F6A24"/>
    <w:rsid w:val="7060454A"/>
    <w:rsid w:val="70634F08"/>
    <w:rsid w:val="7064228D"/>
    <w:rsid w:val="70674A6C"/>
    <w:rsid w:val="70691651"/>
    <w:rsid w:val="706A7177"/>
    <w:rsid w:val="706C1141"/>
    <w:rsid w:val="706D1B66"/>
    <w:rsid w:val="706D1DD0"/>
    <w:rsid w:val="706F478E"/>
    <w:rsid w:val="70700C31"/>
    <w:rsid w:val="707029DF"/>
    <w:rsid w:val="70710506"/>
    <w:rsid w:val="707149AA"/>
    <w:rsid w:val="7073020B"/>
    <w:rsid w:val="7073539A"/>
    <w:rsid w:val="7075449A"/>
    <w:rsid w:val="70761FC0"/>
    <w:rsid w:val="70780804"/>
    <w:rsid w:val="707A1AB0"/>
    <w:rsid w:val="707B3132"/>
    <w:rsid w:val="707D334E"/>
    <w:rsid w:val="707D50FC"/>
    <w:rsid w:val="707F4466"/>
    <w:rsid w:val="7080699B"/>
    <w:rsid w:val="70812E3F"/>
    <w:rsid w:val="70814BED"/>
    <w:rsid w:val="70817FDC"/>
    <w:rsid w:val="7084648B"/>
    <w:rsid w:val="70856B87"/>
    <w:rsid w:val="70875F7B"/>
    <w:rsid w:val="708875B8"/>
    <w:rsid w:val="70891CF3"/>
    <w:rsid w:val="7089584F"/>
    <w:rsid w:val="708B5A6B"/>
    <w:rsid w:val="708C17E3"/>
    <w:rsid w:val="708C3591"/>
    <w:rsid w:val="708C533F"/>
    <w:rsid w:val="70940740"/>
    <w:rsid w:val="70943533"/>
    <w:rsid w:val="70974410"/>
    <w:rsid w:val="70984BC8"/>
    <w:rsid w:val="709A7A5C"/>
    <w:rsid w:val="709D754D"/>
    <w:rsid w:val="709E041A"/>
    <w:rsid w:val="70A00DEB"/>
    <w:rsid w:val="70A321CC"/>
    <w:rsid w:val="70A628A5"/>
    <w:rsid w:val="70A95EF1"/>
    <w:rsid w:val="70AC7790"/>
    <w:rsid w:val="70AD3C34"/>
    <w:rsid w:val="70AD70EB"/>
    <w:rsid w:val="70AE3508"/>
    <w:rsid w:val="70AF1919"/>
    <w:rsid w:val="70B00E07"/>
    <w:rsid w:val="70B14DA6"/>
    <w:rsid w:val="70B334A8"/>
    <w:rsid w:val="70B34FC2"/>
    <w:rsid w:val="70B442FB"/>
    <w:rsid w:val="70BA1EAD"/>
    <w:rsid w:val="70BA3C5B"/>
    <w:rsid w:val="70BB77CA"/>
    <w:rsid w:val="70BC3E77"/>
    <w:rsid w:val="70BF74C3"/>
    <w:rsid w:val="70C04A83"/>
    <w:rsid w:val="70C1323B"/>
    <w:rsid w:val="70C25205"/>
    <w:rsid w:val="70C26FB3"/>
    <w:rsid w:val="70C35A0C"/>
    <w:rsid w:val="70C44AD9"/>
    <w:rsid w:val="70C64CF5"/>
    <w:rsid w:val="70C745CA"/>
    <w:rsid w:val="70D0347E"/>
    <w:rsid w:val="70D311C0"/>
    <w:rsid w:val="70D34D1C"/>
    <w:rsid w:val="70D46FAB"/>
    <w:rsid w:val="70D527EE"/>
    <w:rsid w:val="70D62DCF"/>
    <w:rsid w:val="70D70CB1"/>
    <w:rsid w:val="70D712AF"/>
    <w:rsid w:val="70DA42FD"/>
    <w:rsid w:val="70DA4812"/>
    <w:rsid w:val="70DA5030"/>
    <w:rsid w:val="70DC0075"/>
    <w:rsid w:val="70DC1E23"/>
    <w:rsid w:val="70DD3DED"/>
    <w:rsid w:val="70DE203F"/>
    <w:rsid w:val="70DF1913"/>
    <w:rsid w:val="70DF36C1"/>
    <w:rsid w:val="70DF5DB7"/>
    <w:rsid w:val="70E32C04"/>
    <w:rsid w:val="70E3734D"/>
    <w:rsid w:val="70E37655"/>
    <w:rsid w:val="70E62748"/>
    <w:rsid w:val="70E76A1A"/>
    <w:rsid w:val="70E85C4B"/>
    <w:rsid w:val="70E92792"/>
    <w:rsid w:val="70EB475C"/>
    <w:rsid w:val="70ED14C5"/>
    <w:rsid w:val="70EE0B6E"/>
    <w:rsid w:val="70EE1B56"/>
    <w:rsid w:val="70F0003F"/>
    <w:rsid w:val="70F133F4"/>
    <w:rsid w:val="70F21646"/>
    <w:rsid w:val="70F25AEA"/>
    <w:rsid w:val="70F46DD5"/>
    <w:rsid w:val="70F829D5"/>
    <w:rsid w:val="70FA499F"/>
    <w:rsid w:val="70FC0717"/>
    <w:rsid w:val="70FC435B"/>
    <w:rsid w:val="70FE448F"/>
    <w:rsid w:val="710032FC"/>
    <w:rsid w:val="71035A81"/>
    <w:rsid w:val="7104202C"/>
    <w:rsid w:val="7104581E"/>
    <w:rsid w:val="71063344"/>
    <w:rsid w:val="71072C18"/>
    <w:rsid w:val="710A284E"/>
    <w:rsid w:val="710A7485"/>
    <w:rsid w:val="710B1683"/>
    <w:rsid w:val="710B2708"/>
    <w:rsid w:val="710D6480"/>
    <w:rsid w:val="711315BD"/>
    <w:rsid w:val="7113780F"/>
    <w:rsid w:val="71184E25"/>
    <w:rsid w:val="711A294B"/>
    <w:rsid w:val="711C5DC8"/>
    <w:rsid w:val="711C739F"/>
    <w:rsid w:val="711D0E2F"/>
    <w:rsid w:val="711D243B"/>
    <w:rsid w:val="712244BF"/>
    <w:rsid w:val="71235CA4"/>
    <w:rsid w:val="71237A52"/>
    <w:rsid w:val="71257C6E"/>
    <w:rsid w:val="71267542"/>
    <w:rsid w:val="7128150C"/>
    <w:rsid w:val="71290C33"/>
    <w:rsid w:val="71297032"/>
    <w:rsid w:val="712B4B58"/>
    <w:rsid w:val="712C444F"/>
    <w:rsid w:val="712E63F7"/>
    <w:rsid w:val="713003C1"/>
    <w:rsid w:val="71312C91"/>
    <w:rsid w:val="71324139"/>
    <w:rsid w:val="71340B9E"/>
    <w:rsid w:val="713559D7"/>
    <w:rsid w:val="7135696F"/>
    <w:rsid w:val="713A62F4"/>
    <w:rsid w:val="713E635E"/>
    <w:rsid w:val="71431EA2"/>
    <w:rsid w:val="7143384D"/>
    <w:rsid w:val="71453E6C"/>
    <w:rsid w:val="7148570A"/>
    <w:rsid w:val="714C7A72"/>
    <w:rsid w:val="714D0321"/>
    <w:rsid w:val="714D2D21"/>
    <w:rsid w:val="714F4CEB"/>
    <w:rsid w:val="714F6A99"/>
    <w:rsid w:val="715004FB"/>
    <w:rsid w:val="7151191F"/>
    <w:rsid w:val="715220E5"/>
    <w:rsid w:val="715507FE"/>
    <w:rsid w:val="71557E27"/>
    <w:rsid w:val="7157594D"/>
    <w:rsid w:val="715948DA"/>
    <w:rsid w:val="715A71EC"/>
    <w:rsid w:val="715B3C16"/>
    <w:rsid w:val="715B5300"/>
    <w:rsid w:val="715C2F64"/>
    <w:rsid w:val="715C7408"/>
    <w:rsid w:val="715E6CDC"/>
    <w:rsid w:val="71614A1E"/>
    <w:rsid w:val="716278B0"/>
    <w:rsid w:val="71633397"/>
    <w:rsid w:val="7165689A"/>
    <w:rsid w:val="71662034"/>
    <w:rsid w:val="71666934"/>
    <w:rsid w:val="71681909"/>
    <w:rsid w:val="71681A1D"/>
    <w:rsid w:val="716B13F9"/>
    <w:rsid w:val="716D5171"/>
    <w:rsid w:val="716F06E2"/>
    <w:rsid w:val="716F16D1"/>
    <w:rsid w:val="716F271A"/>
    <w:rsid w:val="71710A22"/>
    <w:rsid w:val="717209D9"/>
    <w:rsid w:val="71724535"/>
    <w:rsid w:val="717604C9"/>
    <w:rsid w:val="71787AB8"/>
    <w:rsid w:val="71793B16"/>
    <w:rsid w:val="717958C4"/>
    <w:rsid w:val="717C2C3C"/>
    <w:rsid w:val="717C3606"/>
    <w:rsid w:val="717C6326"/>
    <w:rsid w:val="717F6C52"/>
    <w:rsid w:val="71804EA4"/>
    <w:rsid w:val="71812947"/>
    <w:rsid w:val="718129CA"/>
    <w:rsid w:val="718304F0"/>
    <w:rsid w:val="71840FD7"/>
    <w:rsid w:val="71844269"/>
    <w:rsid w:val="7185070D"/>
    <w:rsid w:val="71880DE8"/>
    <w:rsid w:val="71883D59"/>
    <w:rsid w:val="718A7AD1"/>
    <w:rsid w:val="718D136F"/>
    <w:rsid w:val="718F3339"/>
    <w:rsid w:val="718F50E7"/>
    <w:rsid w:val="71943B66"/>
    <w:rsid w:val="7194738B"/>
    <w:rsid w:val="719646C8"/>
    <w:rsid w:val="71973F9C"/>
    <w:rsid w:val="71991D6D"/>
    <w:rsid w:val="719921EC"/>
    <w:rsid w:val="71997D14"/>
    <w:rsid w:val="719A6775"/>
    <w:rsid w:val="719B1CDE"/>
    <w:rsid w:val="719B3F94"/>
    <w:rsid w:val="719C15B2"/>
    <w:rsid w:val="719C5A56"/>
    <w:rsid w:val="719F0989"/>
    <w:rsid w:val="71A05546"/>
    <w:rsid w:val="71A14E1B"/>
    <w:rsid w:val="71A359F0"/>
    <w:rsid w:val="71A3699E"/>
    <w:rsid w:val="71A36DE5"/>
    <w:rsid w:val="71A90288"/>
    <w:rsid w:val="71AA1F21"/>
    <w:rsid w:val="71AC3EEB"/>
    <w:rsid w:val="71AF5789"/>
    <w:rsid w:val="71B0505E"/>
    <w:rsid w:val="71B2527A"/>
    <w:rsid w:val="71B75E28"/>
    <w:rsid w:val="71B92164"/>
    <w:rsid w:val="71BB2380"/>
    <w:rsid w:val="71BB412E"/>
    <w:rsid w:val="71BB5107"/>
    <w:rsid w:val="71BC57F8"/>
    <w:rsid w:val="71BC7EA6"/>
    <w:rsid w:val="71C01745"/>
    <w:rsid w:val="71C11019"/>
    <w:rsid w:val="71C22409"/>
    <w:rsid w:val="71C22A1B"/>
    <w:rsid w:val="71C43B3E"/>
    <w:rsid w:val="71C503F2"/>
    <w:rsid w:val="71C54FAD"/>
    <w:rsid w:val="71C64881"/>
    <w:rsid w:val="71C70D25"/>
    <w:rsid w:val="71C823A7"/>
    <w:rsid w:val="71C94924"/>
    <w:rsid w:val="71CD20B4"/>
    <w:rsid w:val="71CF4C44"/>
    <w:rsid w:val="71D04E8D"/>
    <w:rsid w:val="71D13952"/>
    <w:rsid w:val="71D23226"/>
    <w:rsid w:val="71D27F8A"/>
    <w:rsid w:val="71D30CF4"/>
    <w:rsid w:val="71D376CA"/>
    <w:rsid w:val="71D72A50"/>
    <w:rsid w:val="71D945B4"/>
    <w:rsid w:val="71DA0A57"/>
    <w:rsid w:val="71DB657E"/>
    <w:rsid w:val="71DC5E53"/>
    <w:rsid w:val="71DD22F7"/>
    <w:rsid w:val="71DE606F"/>
    <w:rsid w:val="71DF2930"/>
    <w:rsid w:val="71E03B95"/>
    <w:rsid w:val="71E05943"/>
    <w:rsid w:val="71E33685"/>
    <w:rsid w:val="71E35433"/>
    <w:rsid w:val="71E371E1"/>
    <w:rsid w:val="71E573FD"/>
    <w:rsid w:val="71EA4E09"/>
    <w:rsid w:val="71EC1FF6"/>
    <w:rsid w:val="71ED251E"/>
    <w:rsid w:val="71EF202A"/>
    <w:rsid w:val="71F118FE"/>
    <w:rsid w:val="71F238C8"/>
    <w:rsid w:val="71F31B1A"/>
    <w:rsid w:val="71F52906"/>
    <w:rsid w:val="71F87130"/>
    <w:rsid w:val="71FA110A"/>
    <w:rsid w:val="71FA3814"/>
    <w:rsid w:val="71FB09CF"/>
    <w:rsid w:val="71FB0ED4"/>
    <w:rsid w:val="71FB259A"/>
    <w:rsid w:val="71FD4EBA"/>
    <w:rsid w:val="71FF0F1B"/>
    <w:rsid w:val="72062ED0"/>
    <w:rsid w:val="72071122"/>
    <w:rsid w:val="72084E9A"/>
    <w:rsid w:val="720B208F"/>
    <w:rsid w:val="720B74BE"/>
    <w:rsid w:val="72124F97"/>
    <w:rsid w:val="72133F6A"/>
    <w:rsid w:val="72135D18"/>
    <w:rsid w:val="72141CB1"/>
    <w:rsid w:val="72142EE8"/>
    <w:rsid w:val="7215759C"/>
    <w:rsid w:val="721675B7"/>
    <w:rsid w:val="72190E55"/>
    <w:rsid w:val="721B4BCD"/>
    <w:rsid w:val="721C4D44"/>
    <w:rsid w:val="721D18D3"/>
    <w:rsid w:val="721D4D44"/>
    <w:rsid w:val="721E46BD"/>
    <w:rsid w:val="721F290F"/>
    <w:rsid w:val="72200254"/>
    <w:rsid w:val="72203F91"/>
    <w:rsid w:val="72225F5B"/>
    <w:rsid w:val="72231CD3"/>
    <w:rsid w:val="72247F25"/>
    <w:rsid w:val="72253C9E"/>
    <w:rsid w:val="72280ECC"/>
    <w:rsid w:val="72281098"/>
    <w:rsid w:val="722872EA"/>
    <w:rsid w:val="722A2ECC"/>
    <w:rsid w:val="722A3062"/>
    <w:rsid w:val="722F0678"/>
    <w:rsid w:val="722F68CA"/>
    <w:rsid w:val="7231619E"/>
    <w:rsid w:val="72343EE1"/>
    <w:rsid w:val="72361A07"/>
    <w:rsid w:val="72374A01"/>
    <w:rsid w:val="72384283"/>
    <w:rsid w:val="7238752D"/>
    <w:rsid w:val="723F4D5F"/>
    <w:rsid w:val="72435760"/>
    <w:rsid w:val="72442376"/>
    <w:rsid w:val="72451C4A"/>
    <w:rsid w:val="724539F8"/>
    <w:rsid w:val="72461F6E"/>
    <w:rsid w:val="724654F3"/>
    <w:rsid w:val="72477770"/>
    <w:rsid w:val="7248490E"/>
    <w:rsid w:val="724D0AFE"/>
    <w:rsid w:val="724E4B1F"/>
    <w:rsid w:val="724F0A16"/>
    <w:rsid w:val="725230E2"/>
    <w:rsid w:val="72532E27"/>
    <w:rsid w:val="72536115"/>
    <w:rsid w:val="72541E8D"/>
    <w:rsid w:val="72553024"/>
    <w:rsid w:val="725532EB"/>
    <w:rsid w:val="7255623C"/>
    <w:rsid w:val="72556331"/>
    <w:rsid w:val="725614EF"/>
    <w:rsid w:val="725B146D"/>
    <w:rsid w:val="725D51E5"/>
    <w:rsid w:val="725E2D0C"/>
    <w:rsid w:val="72604CD6"/>
    <w:rsid w:val="72627343"/>
    <w:rsid w:val="7265643D"/>
    <w:rsid w:val="72677E12"/>
    <w:rsid w:val="72691DDC"/>
    <w:rsid w:val="72694E43"/>
    <w:rsid w:val="726E28BB"/>
    <w:rsid w:val="726E73F3"/>
    <w:rsid w:val="727018FF"/>
    <w:rsid w:val="727036C5"/>
    <w:rsid w:val="727232FA"/>
    <w:rsid w:val="72730565"/>
    <w:rsid w:val="727367B7"/>
    <w:rsid w:val="727453D2"/>
    <w:rsid w:val="727644F9"/>
    <w:rsid w:val="727750AE"/>
    <w:rsid w:val="7278201F"/>
    <w:rsid w:val="727918F3"/>
    <w:rsid w:val="727B566C"/>
    <w:rsid w:val="727E1F3E"/>
    <w:rsid w:val="727F33AE"/>
    <w:rsid w:val="727F59CD"/>
    <w:rsid w:val="72810DCC"/>
    <w:rsid w:val="72833A54"/>
    <w:rsid w:val="7284105E"/>
    <w:rsid w:val="72843EC4"/>
    <w:rsid w:val="72850298"/>
    <w:rsid w:val="72874010"/>
    <w:rsid w:val="72881CA5"/>
    <w:rsid w:val="72895FDA"/>
    <w:rsid w:val="728A3B01"/>
    <w:rsid w:val="728D3CD9"/>
    <w:rsid w:val="72904D02"/>
    <w:rsid w:val="729055BB"/>
    <w:rsid w:val="72930C07"/>
    <w:rsid w:val="7295497F"/>
    <w:rsid w:val="72964253"/>
    <w:rsid w:val="7297468D"/>
    <w:rsid w:val="729C6C89"/>
    <w:rsid w:val="729F135A"/>
    <w:rsid w:val="729F75AC"/>
    <w:rsid w:val="72A2709C"/>
    <w:rsid w:val="72A42E14"/>
    <w:rsid w:val="72A5093A"/>
    <w:rsid w:val="72A85C75"/>
    <w:rsid w:val="72A9042B"/>
    <w:rsid w:val="72A91BA0"/>
    <w:rsid w:val="72AA3461"/>
    <w:rsid w:val="72AA67FC"/>
    <w:rsid w:val="72AB139A"/>
    <w:rsid w:val="72AB41A3"/>
    <w:rsid w:val="72AB7B7B"/>
    <w:rsid w:val="72AC3873"/>
    <w:rsid w:val="72AC7C74"/>
    <w:rsid w:val="72AE77EF"/>
    <w:rsid w:val="72B15531"/>
    <w:rsid w:val="72B27B5F"/>
    <w:rsid w:val="72B312A9"/>
    <w:rsid w:val="72B333C6"/>
    <w:rsid w:val="72B461BC"/>
    <w:rsid w:val="72B50B7E"/>
    <w:rsid w:val="72B77970"/>
    <w:rsid w:val="72B8066E"/>
    <w:rsid w:val="72BA2638"/>
    <w:rsid w:val="72BA43E6"/>
    <w:rsid w:val="72BA6194"/>
    <w:rsid w:val="72C139C6"/>
    <w:rsid w:val="72C309D4"/>
    <w:rsid w:val="72C840F4"/>
    <w:rsid w:val="72C8445F"/>
    <w:rsid w:val="72C9287B"/>
    <w:rsid w:val="72C932EB"/>
    <w:rsid w:val="72CB4344"/>
    <w:rsid w:val="72CC4119"/>
    <w:rsid w:val="72D03C09"/>
    <w:rsid w:val="72D17E6D"/>
    <w:rsid w:val="72D336FA"/>
    <w:rsid w:val="72D354A8"/>
    <w:rsid w:val="72D37256"/>
    <w:rsid w:val="72D51220"/>
    <w:rsid w:val="72D52FCE"/>
    <w:rsid w:val="72D54D7C"/>
    <w:rsid w:val="72D6671B"/>
    <w:rsid w:val="72DA1774"/>
    <w:rsid w:val="72DA6836"/>
    <w:rsid w:val="72DC25AE"/>
    <w:rsid w:val="72DE2C3D"/>
    <w:rsid w:val="72E41463"/>
    <w:rsid w:val="72E43211"/>
    <w:rsid w:val="72E85E38"/>
    <w:rsid w:val="72E90827"/>
    <w:rsid w:val="72EB27F1"/>
    <w:rsid w:val="72EC0317"/>
    <w:rsid w:val="72EC6569"/>
    <w:rsid w:val="72EE0533"/>
    <w:rsid w:val="72EE22E1"/>
    <w:rsid w:val="72EE408F"/>
    <w:rsid w:val="72F01BB6"/>
    <w:rsid w:val="72F378F8"/>
    <w:rsid w:val="72F43335"/>
    <w:rsid w:val="72F441A8"/>
    <w:rsid w:val="72F571CC"/>
    <w:rsid w:val="72F71196"/>
    <w:rsid w:val="72F921CE"/>
    <w:rsid w:val="72FD7534"/>
    <w:rsid w:val="73004332"/>
    <w:rsid w:val="73010267"/>
    <w:rsid w:val="73012015"/>
    <w:rsid w:val="73014D4D"/>
    <w:rsid w:val="730275C0"/>
    <w:rsid w:val="73027B3B"/>
    <w:rsid w:val="730438B3"/>
    <w:rsid w:val="730701C4"/>
    <w:rsid w:val="73075151"/>
    <w:rsid w:val="730814C9"/>
    <w:rsid w:val="730833A3"/>
    <w:rsid w:val="730A2A60"/>
    <w:rsid w:val="730B69EF"/>
    <w:rsid w:val="730E64E0"/>
    <w:rsid w:val="731004AA"/>
    <w:rsid w:val="73104006"/>
    <w:rsid w:val="731131B6"/>
    <w:rsid w:val="73122968"/>
    <w:rsid w:val="731229E3"/>
    <w:rsid w:val="73124222"/>
    <w:rsid w:val="73137BFC"/>
    <w:rsid w:val="73137F9A"/>
    <w:rsid w:val="73146918"/>
    <w:rsid w:val="7317663E"/>
    <w:rsid w:val="7318735E"/>
    <w:rsid w:val="731B3A47"/>
    <w:rsid w:val="731F06ED"/>
    <w:rsid w:val="731F249B"/>
    <w:rsid w:val="731F5D5E"/>
    <w:rsid w:val="73214465"/>
    <w:rsid w:val="73215F87"/>
    <w:rsid w:val="73216213"/>
    <w:rsid w:val="73217FC1"/>
    <w:rsid w:val="73221F8B"/>
    <w:rsid w:val="73240EFC"/>
    <w:rsid w:val="732857F3"/>
    <w:rsid w:val="7328617A"/>
    <w:rsid w:val="7329331A"/>
    <w:rsid w:val="732A7497"/>
    <w:rsid w:val="732B52E4"/>
    <w:rsid w:val="732D2E0A"/>
    <w:rsid w:val="732F23C3"/>
    <w:rsid w:val="73320420"/>
    <w:rsid w:val="73335F46"/>
    <w:rsid w:val="73337E12"/>
    <w:rsid w:val="733510A0"/>
    <w:rsid w:val="733B7906"/>
    <w:rsid w:val="733D6108"/>
    <w:rsid w:val="733D7598"/>
    <w:rsid w:val="733F48EB"/>
    <w:rsid w:val="73412411"/>
    <w:rsid w:val="734168B5"/>
    <w:rsid w:val="73426189"/>
    <w:rsid w:val="7343262D"/>
    <w:rsid w:val="73465C7A"/>
    <w:rsid w:val="73470694"/>
    <w:rsid w:val="734939BC"/>
    <w:rsid w:val="734D529E"/>
    <w:rsid w:val="734D7008"/>
    <w:rsid w:val="7354438F"/>
    <w:rsid w:val="735465E8"/>
    <w:rsid w:val="7355410F"/>
    <w:rsid w:val="73555EBD"/>
    <w:rsid w:val="73572D10"/>
    <w:rsid w:val="73573FBF"/>
    <w:rsid w:val="7358775B"/>
    <w:rsid w:val="735C724B"/>
    <w:rsid w:val="735E0A5A"/>
    <w:rsid w:val="735F0AE9"/>
    <w:rsid w:val="735F6D3B"/>
    <w:rsid w:val="73600047"/>
    <w:rsid w:val="73626993"/>
    <w:rsid w:val="736305DA"/>
    <w:rsid w:val="736600CA"/>
    <w:rsid w:val="73691968"/>
    <w:rsid w:val="736B313E"/>
    <w:rsid w:val="736B3932"/>
    <w:rsid w:val="736D76AA"/>
    <w:rsid w:val="73724CC1"/>
    <w:rsid w:val="73740A39"/>
    <w:rsid w:val="737427E7"/>
    <w:rsid w:val="73747667"/>
    <w:rsid w:val="7377177D"/>
    <w:rsid w:val="73797DFD"/>
    <w:rsid w:val="737C5B79"/>
    <w:rsid w:val="737C78ED"/>
    <w:rsid w:val="737E5413"/>
    <w:rsid w:val="737F3D9B"/>
    <w:rsid w:val="73830C7C"/>
    <w:rsid w:val="73832A2A"/>
    <w:rsid w:val="738348E4"/>
    <w:rsid w:val="73852C46"/>
    <w:rsid w:val="738531BD"/>
    <w:rsid w:val="738549F4"/>
    <w:rsid w:val="738844E4"/>
    <w:rsid w:val="738A5CBB"/>
    <w:rsid w:val="738E13CF"/>
    <w:rsid w:val="73903399"/>
    <w:rsid w:val="73920EBF"/>
    <w:rsid w:val="739254E7"/>
    <w:rsid w:val="73937BFF"/>
    <w:rsid w:val="739509AF"/>
    <w:rsid w:val="73951571"/>
    <w:rsid w:val="739764D5"/>
    <w:rsid w:val="7399049F"/>
    <w:rsid w:val="7399224D"/>
    <w:rsid w:val="739A34AF"/>
    <w:rsid w:val="739C3AEB"/>
    <w:rsid w:val="739C55DF"/>
    <w:rsid w:val="739E5FD6"/>
    <w:rsid w:val="73A11102"/>
    <w:rsid w:val="73A34E7A"/>
    <w:rsid w:val="73A429A0"/>
    <w:rsid w:val="73A82490"/>
    <w:rsid w:val="73AA26AC"/>
    <w:rsid w:val="73AB01D2"/>
    <w:rsid w:val="73AD3F4B"/>
    <w:rsid w:val="73AF0142"/>
    <w:rsid w:val="73AF1A71"/>
    <w:rsid w:val="73AF7CC3"/>
    <w:rsid w:val="73B027E7"/>
    <w:rsid w:val="73B057E9"/>
    <w:rsid w:val="73B14A28"/>
    <w:rsid w:val="73B21561"/>
    <w:rsid w:val="73B250BD"/>
    <w:rsid w:val="73B34DAA"/>
    <w:rsid w:val="73B51D3E"/>
    <w:rsid w:val="73B52DFF"/>
    <w:rsid w:val="73B9644B"/>
    <w:rsid w:val="73BB62CA"/>
    <w:rsid w:val="73BE1CB4"/>
    <w:rsid w:val="73BE4CFE"/>
    <w:rsid w:val="73BF77DA"/>
    <w:rsid w:val="73C03C7E"/>
    <w:rsid w:val="73C0625A"/>
    <w:rsid w:val="73C117A4"/>
    <w:rsid w:val="73C278BA"/>
    <w:rsid w:val="73C3376E"/>
    <w:rsid w:val="73C35D2F"/>
    <w:rsid w:val="73C372CA"/>
    <w:rsid w:val="73C51294"/>
    <w:rsid w:val="73C51AD5"/>
    <w:rsid w:val="73C53042"/>
    <w:rsid w:val="73C6500C"/>
    <w:rsid w:val="73CA0659"/>
    <w:rsid w:val="73CC0E7F"/>
    <w:rsid w:val="73CF7842"/>
    <w:rsid w:val="73D2750D"/>
    <w:rsid w:val="73D414D7"/>
    <w:rsid w:val="73D6016D"/>
    <w:rsid w:val="73D6524F"/>
    <w:rsid w:val="73D72D76"/>
    <w:rsid w:val="73D9089C"/>
    <w:rsid w:val="73D94061"/>
    <w:rsid w:val="73DA4614"/>
    <w:rsid w:val="73DB72A3"/>
    <w:rsid w:val="73DC038C"/>
    <w:rsid w:val="73DD4830"/>
    <w:rsid w:val="73DE2356"/>
    <w:rsid w:val="73DF00CB"/>
    <w:rsid w:val="73DF2BD9"/>
    <w:rsid w:val="73E31007"/>
    <w:rsid w:val="73E334C8"/>
    <w:rsid w:val="73EA0CFB"/>
    <w:rsid w:val="73EA1ABC"/>
    <w:rsid w:val="73EA2AA9"/>
    <w:rsid w:val="73ED2599"/>
    <w:rsid w:val="73EE58D1"/>
    <w:rsid w:val="73EF1E6D"/>
    <w:rsid w:val="73EF6311"/>
    <w:rsid w:val="73F27BAF"/>
    <w:rsid w:val="73F456D6"/>
    <w:rsid w:val="73F86908"/>
    <w:rsid w:val="73F90F3E"/>
    <w:rsid w:val="73F9347A"/>
    <w:rsid w:val="73FC27DC"/>
    <w:rsid w:val="73FF709F"/>
    <w:rsid w:val="73FF72C4"/>
    <w:rsid w:val="740003DC"/>
    <w:rsid w:val="740073DB"/>
    <w:rsid w:val="74017DF2"/>
    <w:rsid w:val="74035919"/>
    <w:rsid w:val="74055AE2"/>
    <w:rsid w:val="740578E3"/>
    <w:rsid w:val="740735EA"/>
    <w:rsid w:val="740B06A5"/>
    <w:rsid w:val="740C3D56"/>
    <w:rsid w:val="740D2C6D"/>
    <w:rsid w:val="740D6797"/>
    <w:rsid w:val="74102BF5"/>
    <w:rsid w:val="741144D9"/>
    <w:rsid w:val="74122000"/>
    <w:rsid w:val="741373FD"/>
    <w:rsid w:val="74152E80"/>
    <w:rsid w:val="74160E89"/>
    <w:rsid w:val="741619EF"/>
    <w:rsid w:val="741619FD"/>
    <w:rsid w:val="74162289"/>
    <w:rsid w:val="7416389E"/>
    <w:rsid w:val="74165326"/>
    <w:rsid w:val="74177239"/>
    <w:rsid w:val="74181470"/>
    <w:rsid w:val="741B2C62"/>
    <w:rsid w:val="741C570D"/>
    <w:rsid w:val="741E793C"/>
    <w:rsid w:val="7420296E"/>
    <w:rsid w:val="742064CB"/>
    <w:rsid w:val="7421700D"/>
    <w:rsid w:val="7423420D"/>
    <w:rsid w:val="742354A8"/>
    <w:rsid w:val="74235EE9"/>
    <w:rsid w:val="74275AAB"/>
    <w:rsid w:val="742A559B"/>
    <w:rsid w:val="742F4DE6"/>
    <w:rsid w:val="742F670E"/>
    <w:rsid w:val="743101A5"/>
    <w:rsid w:val="743146FB"/>
    <w:rsid w:val="743261FE"/>
    <w:rsid w:val="743401C8"/>
    <w:rsid w:val="7434641A"/>
    <w:rsid w:val="74367A9C"/>
    <w:rsid w:val="74367F1C"/>
    <w:rsid w:val="74371495"/>
    <w:rsid w:val="74373814"/>
    <w:rsid w:val="74381A66"/>
    <w:rsid w:val="74387CB8"/>
    <w:rsid w:val="743A35AD"/>
    <w:rsid w:val="743E1047"/>
    <w:rsid w:val="743E2DF5"/>
    <w:rsid w:val="74402CEE"/>
    <w:rsid w:val="744102B1"/>
    <w:rsid w:val="74411D8B"/>
    <w:rsid w:val="74416441"/>
    <w:rsid w:val="74471CA9"/>
    <w:rsid w:val="744901B5"/>
    <w:rsid w:val="744978D7"/>
    <w:rsid w:val="744B2C59"/>
    <w:rsid w:val="744D3D5F"/>
    <w:rsid w:val="744E128A"/>
    <w:rsid w:val="74501802"/>
    <w:rsid w:val="74561EEC"/>
    <w:rsid w:val="74570DEB"/>
    <w:rsid w:val="745727B9"/>
    <w:rsid w:val="74577539"/>
    <w:rsid w:val="74581611"/>
    <w:rsid w:val="74597C2E"/>
    <w:rsid w:val="745B3564"/>
    <w:rsid w:val="745D75D2"/>
    <w:rsid w:val="745E3944"/>
    <w:rsid w:val="745F570D"/>
    <w:rsid w:val="74600FBD"/>
    <w:rsid w:val="74607B7D"/>
    <w:rsid w:val="74624D35"/>
    <w:rsid w:val="74650381"/>
    <w:rsid w:val="74654825"/>
    <w:rsid w:val="74675EA7"/>
    <w:rsid w:val="746960C4"/>
    <w:rsid w:val="746A1E3C"/>
    <w:rsid w:val="746A3800"/>
    <w:rsid w:val="746A3BEA"/>
    <w:rsid w:val="746A5998"/>
    <w:rsid w:val="746A7ED7"/>
    <w:rsid w:val="746C5BB4"/>
    <w:rsid w:val="746C7962"/>
    <w:rsid w:val="746D7236"/>
    <w:rsid w:val="74716D26"/>
    <w:rsid w:val="74723149"/>
    <w:rsid w:val="74732A9E"/>
    <w:rsid w:val="7474619D"/>
    <w:rsid w:val="747607E0"/>
    <w:rsid w:val="7476258E"/>
    <w:rsid w:val="7476433D"/>
    <w:rsid w:val="74784559"/>
    <w:rsid w:val="7479207F"/>
    <w:rsid w:val="747B1953"/>
    <w:rsid w:val="747B4785"/>
    <w:rsid w:val="747B5DF7"/>
    <w:rsid w:val="747C7E9C"/>
    <w:rsid w:val="747E1443"/>
    <w:rsid w:val="748066B1"/>
    <w:rsid w:val="74836A59"/>
    <w:rsid w:val="74862DDB"/>
    <w:rsid w:val="748A1028"/>
    <w:rsid w:val="748C7BA9"/>
    <w:rsid w:val="748E206D"/>
    <w:rsid w:val="748E5B2A"/>
    <w:rsid w:val="748E78D8"/>
    <w:rsid w:val="74932A0C"/>
    <w:rsid w:val="74940C67"/>
    <w:rsid w:val="74942461"/>
    <w:rsid w:val="749444D3"/>
    <w:rsid w:val="74963357"/>
    <w:rsid w:val="749710DC"/>
    <w:rsid w:val="74982505"/>
    <w:rsid w:val="749D3FBF"/>
    <w:rsid w:val="749D4236"/>
    <w:rsid w:val="749E3893"/>
    <w:rsid w:val="749E5A6A"/>
    <w:rsid w:val="749F7D37"/>
    <w:rsid w:val="74A30F93"/>
    <w:rsid w:val="74A40EAA"/>
    <w:rsid w:val="74A470FC"/>
    <w:rsid w:val="74A5140C"/>
    <w:rsid w:val="74A5696C"/>
    <w:rsid w:val="74A71E6F"/>
    <w:rsid w:val="74A92964"/>
    <w:rsid w:val="74AE3AD6"/>
    <w:rsid w:val="74AE507D"/>
    <w:rsid w:val="74AE7F7A"/>
    <w:rsid w:val="74AF1419"/>
    <w:rsid w:val="74AF5AA0"/>
    <w:rsid w:val="74B15375"/>
    <w:rsid w:val="74B16002"/>
    <w:rsid w:val="74B17A6A"/>
    <w:rsid w:val="74B51309"/>
    <w:rsid w:val="74B66E2F"/>
    <w:rsid w:val="74B77B69"/>
    <w:rsid w:val="74B8340E"/>
    <w:rsid w:val="74B90EE1"/>
    <w:rsid w:val="74BA06CD"/>
    <w:rsid w:val="74BB2183"/>
    <w:rsid w:val="74BB61F3"/>
    <w:rsid w:val="74BD01BD"/>
    <w:rsid w:val="74BD640F"/>
    <w:rsid w:val="74BE1A94"/>
    <w:rsid w:val="74BF5CE3"/>
    <w:rsid w:val="74C01A5C"/>
    <w:rsid w:val="74C23A26"/>
    <w:rsid w:val="74C24C4A"/>
    <w:rsid w:val="74C45EB6"/>
    <w:rsid w:val="74C5141F"/>
    <w:rsid w:val="74C51F68"/>
    <w:rsid w:val="74C7103C"/>
    <w:rsid w:val="74C90910"/>
    <w:rsid w:val="74C9421C"/>
    <w:rsid w:val="74CC21AE"/>
    <w:rsid w:val="74CC6652"/>
    <w:rsid w:val="74CD713E"/>
    <w:rsid w:val="74CE23CA"/>
    <w:rsid w:val="74CE4179"/>
    <w:rsid w:val="74D3178F"/>
    <w:rsid w:val="74DA48CB"/>
    <w:rsid w:val="74DB4EF0"/>
    <w:rsid w:val="74DB6895"/>
    <w:rsid w:val="74DD43BC"/>
    <w:rsid w:val="74E13933"/>
    <w:rsid w:val="74E219D2"/>
    <w:rsid w:val="74E219ED"/>
    <w:rsid w:val="74E25E76"/>
    <w:rsid w:val="74E41BEE"/>
    <w:rsid w:val="74E514C2"/>
    <w:rsid w:val="74E53270"/>
    <w:rsid w:val="74E67714"/>
    <w:rsid w:val="74E706DA"/>
    <w:rsid w:val="74EB4D2A"/>
    <w:rsid w:val="74EE481B"/>
    <w:rsid w:val="74EE516C"/>
    <w:rsid w:val="74F160B9"/>
    <w:rsid w:val="74F31E31"/>
    <w:rsid w:val="74F57957"/>
    <w:rsid w:val="74F60A3B"/>
    <w:rsid w:val="74F71921"/>
    <w:rsid w:val="74F811F5"/>
    <w:rsid w:val="74F81E67"/>
    <w:rsid w:val="74F825FC"/>
    <w:rsid w:val="74FA31C0"/>
    <w:rsid w:val="74FA6D1C"/>
    <w:rsid w:val="74FD05BA"/>
    <w:rsid w:val="74FD2A1F"/>
    <w:rsid w:val="74FD680C"/>
    <w:rsid w:val="74FF2584"/>
    <w:rsid w:val="7501096C"/>
    <w:rsid w:val="75022074"/>
    <w:rsid w:val="75047B9A"/>
    <w:rsid w:val="75071439"/>
    <w:rsid w:val="750758DC"/>
    <w:rsid w:val="75091655"/>
    <w:rsid w:val="75097E5E"/>
    <w:rsid w:val="750B0F29"/>
    <w:rsid w:val="750B239E"/>
    <w:rsid w:val="7514770C"/>
    <w:rsid w:val="7517094F"/>
    <w:rsid w:val="751D720F"/>
    <w:rsid w:val="751F6782"/>
    <w:rsid w:val="75232716"/>
    <w:rsid w:val="75284C0A"/>
    <w:rsid w:val="752913AF"/>
    <w:rsid w:val="752B3379"/>
    <w:rsid w:val="752C0E9F"/>
    <w:rsid w:val="752D77E0"/>
    <w:rsid w:val="752E3651"/>
    <w:rsid w:val="752E7228"/>
    <w:rsid w:val="753136E7"/>
    <w:rsid w:val="75322959"/>
    <w:rsid w:val="75322F79"/>
    <w:rsid w:val="75330480"/>
    <w:rsid w:val="7533222E"/>
    <w:rsid w:val="75363ACC"/>
    <w:rsid w:val="75371D1E"/>
    <w:rsid w:val="75385A01"/>
    <w:rsid w:val="7539590B"/>
    <w:rsid w:val="753A35BC"/>
    <w:rsid w:val="753C2EB5"/>
    <w:rsid w:val="753C5402"/>
    <w:rsid w:val="753C645F"/>
    <w:rsid w:val="7541494A"/>
    <w:rsid w:val="754206C3"/>
    <w:rsid w:val="75420EE6"/>
    <w:rsid w:val="75422471"/>
    <w:rsid w:val="75425809"/>
    <w:rsid w:val="75431E11"/>
    <w:rsid w:val="7544443B"/>
    <w:rsid w:val="75466405"/>
    <w:rsid w:val="75467181"/>
    <w:rsid w:val="754710C2"/>
    <w:rsid w:val="75483F2B"/>
    <w:rsid w:val="754E52B9"/>
    <w:rsid w:val="754E7067"/>
    <w:rsid w:val="754E771D"/>
    <w:rsid w:val="75546BA3"/>
    <w:rsid w:val="755503F6"/>
    <w:rsid w:val="75556648"/>
    <w:rsid w:val="75581C94"/>
    <w:rsid w:val="755A1EB0"/>
    <w:rsid w:val="755D1755"/>
    <w:rsid w:val="755E374E"/>
    <w:rsid w:val="755F1275"/>
    <w:rsid w:val="755F74C6"/>
    <w:rsid w:val="75613E25"/>
    <w:rsid w:val="75614FED"/>
    <w:rsid w:val="75640639"/>
    <w:rsid w:val="7564688B"/>
    <w:rsid w:val="7568579B"/>
    <w:rsid w:val="75691C7B"/>
    <w:rsid w:val="756920F3"/>
    <w:rsid w:val="75695C4F"/>
    <w:rsid w:val="756A1AB0"/>
    <w:rsid w:val="756A3B49"/>
    <w:rsid w:val="756C7255"/>
    <w:rsid w:val="75720FA8"/>
    <w:rsid w:val="75722D56"/>
    <w:rsid w:val="757271FA"/>
    <w:rsid w:val="75752846"/>
    <w:rsid w:val="75774810"/>
    <w:rsid w:val="75776CC4"/>
    <w:rsid w:val="757854DE"/>
    <w:rsid w:val="75787FC9"/>
    <w:rsid w:val="75790588"/>
    <w:rsid w:val="75792336"/>
    <w:rsid w:val="75793E60"/>
    <w:rsid w:val="757A1C0A"/>
    <w:rsid w:val="757A422E"/>
    <w:rsid w:val="757C028F"/>
    <w:rsid w:val="757C105A"/>
    <w:rsid w:val="757C3BD5"/>
    <w:rsid w:val="757C5983"/>
    <w:rsid w:val="757F36C5"/>
    <w:rsid w:val="757F7F60"/>
    <w:rsid w:val="75876F5E"/>
    <w:rsid w:val="758807CB"/>
    <w:rsid w:val="75894543"/>
    <w:rsid w:val="758B206A"/>
    <w:rsid w:val="758D193E"/>
    <w:rsid w:val="758D465D"/>
    <w:rsid w:val="758F7A00"/>
    <w:rsid w:val="759058D2"/>
    <w:rsid w:val="75920B73"/>
    <w:rsid w:val="7592164A"/>
    <w:rsid w:val="759929D8"/>
    <w:rsid w:val="759977B7"/>
    <w:rsid w:val="759A22AD"/>
    <w:rsid w:val="759E16C4"/>
    <w:rsid w:val="759E3F0E"/>
    <w:rsid w:val="75A145CC"/>
    <w:rsid w:val="75A153E9"/>
    <w:rsid w:val="75A24B7B"/>
    <w:rsid w:val="75A35605"/>
    <w:rsid w:val="75A650F5"/>
    <w:rsid w:val="75A90DBF"/>
    <w:rsid w:val="75A924F0"/>
    <w:rsid w:val="75AA1DAE"/>
    <w:rsid w:val="75AB270C"/>
    <w:rsid w:val="75AD0232"/>
    <w:rsid w:val="75AD38A2"/>
    <w:rsid w:val="75AD4450"/>
    <w:rsid w:val="75AD462A"/>
    <w:rsid w:val="75AF3FAA"/>
    <w:rsid w:val="75AF5D58"/>
    <w:rsid w:val="75B01AD0"/>
    <w:rsid w:val="75B07D22"/>
    <w:rsid w:val="75B25848"/>
    <w:rsid w:val="75B45B8D"/>
    <w:rsid w:val="75B46F90"/>
    <w:rsid w:val="75B50E95"/>
    <w:rsid w:val="75B55338"/>
    <w:rsid w:val="75B56053"/>
    <w:rsid w:val="75B710B1"/>
    <w:rsid w:val="75B72E5F"/>
    <w:rsid w:val="75B74231"/>
    <w:rsid w:val="75BA443F"/>
    <w:rsid w:val="75BA64AB"/>
    <w:rsid w:val="75BC0475"/>
    <w:rsid w:val="75BC66C7"/>
    <w:rsid w:val="75BE5F9B"/>
    <w:rsid w:val="75BF3AC1"/>
    <w:rsid w:val="75BF7F65"/>
    <w:rsid w:val="75C12DB9"/>
    <w:rsid w:val="75C13CDD"/>
    <w:rsid w:val="75C169C3"/>
    <w:rsid w:val="75C551CB"/>
    <w:rsid w:val="75C612F4"/>
    <w:rsid w:val="75C80BC8"/>
    <w:rsid w:val="75C9129E"/>
    <w:rsid w:val="75CB06B8"/>
    <w:rsid w:val="75CD2682"/>
    <w:rsid w:val="75CF63FA"/>
    <w:rsid w:val="75D05CCE"/>
    <w:rsid w:val="75D05D42"/>
    <w:rsid w:val="75D25EEA"/>
    <w:rsid w:val="75D43A11"/>
    <w:rsid w:val="75D73501"/>
    <w:rsid w:val="75D7705D"/>
    <w:rsid w:val="75D92DD5"/>
    <w:rsid w:val="75DA08FB"/>
    <w:rsid w:val="75DC28C5"/>
    <w:rsid w:val="75DE488F"/>
    <w:rsid w:val="75DF5F11"/>
    <w:rsid w:val="75E07AE8"/>
    <w:rsid w:val="75E34125"/>
    <w:rsid w:val="75E517DF"/>
    <w:rsid w:val="75E562E9"/>
    <w:rsid w:val="75E654F2"/>
    <w:rsid w:val="75E672A0"/>
    <w:rsid w:val="75E8126A"/>
    <w:rsid w:val="75E874BC"/>
    <w:rsid w:val="75EB2B08"/>
    <w:rsid w:val="75EB6213"/>
    <w:rsid w:val="75F06371"/>
    <w:rsid w:val="75F257F1"/>
    <w:rsid w:val="75F419BD"/>
    <w:rsid w:val="75F45E61"/>
    <w:rsid w:val="75F63167"/>
    <w:rsid w:val="75F63223"/>
    <w:rsid w:val="75F93477"/>
    <w:rsid w:val="75FC4D15"/>
    <w:rsid w:val="75FD33B6"/>
    <w:rsid w:val="75FE0A8D"/>
    <w:rsid w:val="75FE6CDF"/>
    <w:rsid w:val="75FF7EA2"/>
    <w:rsid w:val="760017AF"/>
    <w:rsid w:val="760360A4"/>
    <w:rsid w:val="7604186E"/>
    <w:rsid w:val="76067942"/>
    <w:rsid w:val="7608190C"/>
    <w:rsid w:val="760B1736"/>
    <w:rsid w:val="760B4186"/>
    <w:rsid w:val="760D04BC"/>
    <w:rsid w:val="7610431D"/>
    <w:rsid w:val="76116A13"/>
    <w:rsid w:val="7612404B"/>
    <w:rsid w:val="76124539"/>
    <w:rsid w:val="76126652"/>
    <w:rsid w:val="761371F1"/>
    <w:rsid w:val="761642FD"/>
    <w:rsid w:val="76165DD7"/>
    <w:rsid w:val="76171B4F"/>
    <w:rsid w:val="76197675"/>
    <w:rsid w:val="761C60D6"/>
    <w:rsid w:val="761D53B8"/>
    <w:rsid w:val="76206C56"/>
    <w:rsid w:val="762253A5"/>
    <w:rsid w:val="76257DC8"/>
    <w:rsid w:val="76263B40"/>
    <w:rsid w:val="76277FE4"/>
    <w:rsid w:val="762878B8"/>
    <w:rsid w:val="762B492D"/>
    <w:rsid w:val="762B73A9"/>
    <w:rsid w:val="762C0553"/>
    <w:rsid w:val="762D4ECF"/>
    <w:rsid w:val="762F6E99"/>
    <w:rsid w:val="763224E5"/>
    <w:rsid w:val="763444AF"/>
    <w:rsid w:val="76350175"/>
    <w:rsid w:val="7635099D"/>
    <w:rsid w:val="76375D4D"/>
    <w:rsid w:val="76377102"/>
    <w:rsid w:val="763953AA"/>
    <w:rsid w:val="76397D18"/>
    <w:rsid w:val="763A5A2E"/>
    <w:rsid w:val="763C5C23"/>
    <w:rsid w:val="763E0E8A"/>
    <w:rsid w:val="763E3AFC"/>
    <w:rsid w:val="764010A6"/>
    <w:rsid w:val="764364A0"/>
    <w:rsid w:val="7648159B"/>
    <w:rsid w:val="764A782F"/>
    <w:rsid w:val="764D5571"/>
    <w:rsid w:val="76500BBD"/>
    <w:rsid w:val="76515061"/>
    <w:rsid w:val="76516E0F"/>
    <w:rsid w:val="76530DD9"/>
    <w:rsid w:val="76536529"/>
    <w:rsid w:val="765608C9"/>
    <w:rsid w:val="76592168"/>
    <w:rsid w:val="765B5EE0"/>
    <w:rsid w:val="765C3BCF"/>
    <w:rsid w:val="765C57B4"/>
    <w:rsid w:val="765D7381"/>
    <w:rsid w:val="76607052"/>
    <w:rsid w:val="76607443"/>
    <w:rsid w:val="7662726E"/>
    <w:rsid w:val="766335AF"/>
    <w:rsid w:val="76635DC4"/>
    <w:rsid w:val="76685F07"/>
    <w:rsid w:val="766A6123"/>
    <w:rsid w:val="766A7ED1"/>
    <w:rsid w:val="766C7022"/>
    <w:rsid w:val="766D7702"/>
    <w:rsid w:val="766D79C1"/>
    <w:rsid w:val="766E0306"/>
    <w:rsid w:val="766E7E90"/>
    <w:rsid w:val="766F54E7"/>
    <w:rsid w:val="7671125F"/>
    <w:rsid w:val="767174B1"/>
    <w:rsid w:val="76740D50"/>
    <w:rsid w:val="76767E52"/>
    <w:rsid w:val="7679101C"/>
    <w:rsid w:val="767945B8"/>
    <w:rsid w:val="767B20DE"/>
    <w:rsid w:val="767C19B2"/>
    <w:rsid w:val="767C3D9A"/>
    <w:rsid w:val="767D7C04"/>
    <w:rsid w:val="768163B1"/>
    <w:rsid w:val="7682521B"/>
    <w:rsid w:val="768865A9"/>
    <w:rsid w:val="768947FB"/>
    <w:rsid w:val="768A0573"/>
    <w:rsid w:val="768D3BBF"/>
    <w:rsid w:val="768E0063"/>
    <w:rsid w:val="768E1E11"/>
    <w:rsid w:val="769211D6"/>
    <w:rsid w:val="76937428"/>
    <w:rsid w:val="76944F4E"/>
    <w:rsid w:val="76966F18"/>
    <w:rsid w:val="769720E3"/>
    <w:rsid w:val="76984A3E"/>
    <w:rsid w:val="76992564"/>
    <w:rsid w:val="76994A03"/>
    <w:rsid w:val="769A6A08"/>
    <w:rsid w:val="769B452E"/>
    <w:rsid w:val="769C07B3"/>
    <w:rsid w:val="769F39AB"/>
    <w:rsid w:val="76A038F3"/>
    <w:rsid w:val="76A258BD"/>
    <w:rsid w:val="76A333E3"/>
    <w:rsid w:val="76A41635"/>
    <w:rsid w:val="76A41B15"/>
    <w:rsid w:val="76A42CBE"/>
    <w:rsid w:val="76A50F09"/>
    <w:rsid w:val="76A70496"/>
    <w:rsid w:val="76A827A7"/>
    <w:rsid w:val="76A83067"/>
    <w:rsid w:val="76A944F7"/>
    <w:rsid w:val="76AB6AD8"/>
    <w:rsid w:val="76AC673B"/>
    <w:rsid w:val="76AE47C2"/>
    <w:rsid w:val="76B52A9A"/>
    <w:rsid w:val="76B64EC4"/>
    <w:rsid w:val="76B850E0"/>
    <w:rsid w:val="76BB18DA"/>
    <w:rsid w:val="76BD26F7"/>
    <w:rsid w:val="76C22F67"/>
    <w:rsid w:val="76C27D0D"/>
    <w:rsid w:val="76C43A85"/>
    <w:rsid w:val="76C467CF"/>
    <w:rsid w:val="76C70E7F"/>
    <w:rsid w:val="76C923A0"/>
    <w:rsid w:val="76CA0970"/>
    <w:rsid w:val="76CA4617"/>
    <w:rsid w:val="76CE0460"/>
    <w:rsid w:val="76CE66B2"/>
    <w:rsid w:val="76CF2CE1"/>
    <w:rsid w:val="76D10B32"/>
    <w:rsid w:val="76D161A2"/>
    <w:rsid w:val="76D3117F"/>
    <w:rsid w:val="76D37824"/>
    <w:rsid w:val="76D417EE"/>
    <w:rsid w:val="76D637B8"/>
    <w:rsid w:val="76DC35F5"/>
    <w:rsid w:val="76DD4B47"/>
    <w:rsid w:val="76DD54BE"/>
    <w:rsid w:val="76DE441B"/>
    <w:rsid w:val="76DF266D"/>
    <w:rsid w:val="76E00193"/>
    <w:rsid w:val="76E012B6"/>
    <w:rsid w:val="76E01F41"/>
    <w:rsid w:val="76E2215D"/>
    <w:rsid w:val="76E52316"/>
    <w:rsid w:val="76E732D0"/>
    <w:rsid w:val="76EA1012"/>
    <w:rsid w:val="76EC08E6"/>
    <w:rsid w:val="76EE0B02"/>
    <w:rsid w:val="76EE323C"/>
    <w:rsid w:val="76EE465E"/>
    <w:rsid w:val="76EF57FC"/>
    <w:rsid w:val="76F1189D"/>
    <w:rsid w:val="76F37EC6"/>
    <w:rsid w:val="76F40993"/>
    <w:rsid w:val="76F679B7"/>
    <w:rsid w:val="76F871E6"/>
    <w:rsid w:val="76FA74A7"/>
    <w:rsid w:val="76FB6D7B"/>
    <w:rsid w:val="76FD0D45"/>
    <w:rsid w:val="76FE2720"/>
    <w:rsid w:val="77000835"/>
    <w:rsid w:val="77004391"/>
    <w:rsid w:val="770B16B4"/>
    <w:rsid w:val="770B234F"/>
    <w:rsid w:val="770B3462"/>
    <w:rsid w:val="770E2F52"/>
    <w:rsid w:val="770E4D00"/>
    <w:rsid w:val="770E5AE1"/>
    <w:rsid w:val="77100A78"/>
    <w:rsid w:val="77106CCA"/>
    <w:rsid w:val="7711659E"/>
    <w:rsid w:val="77130569"/>
    <w:rsid w:val="771542E1"/>
    <w:rsid w:val="77161E07"/>
    <w:rsid w:val="771816DB"/>
    <w:rsid w:val="77183DD1"/>
    <w:rsid w:val="771A7603"/>
    <w:rsid w:val="771E02F9"/>
    <w:rsid w:val="772067E2"/>
    <w:rsid w:val="77230867"/>
    <w:rsid w:val="77242776"/>
    <w:rsid w:val="77244524"/>
    <w:rsid w:val="7725204A"/>
    <w:rsid w:val="77260F49"/>
    <w:rsid w:val="772616E6"/>
    <w:rsid w:val="772618AB"/>
    <w:rsid w:val="77271704"/>
    <w:rsid w:val="77277675"/>
    <w:rsid w:val="77297D8C"/>
    <w:rsid w:val="772E53A2"/>
    <w:rsid w:val="773504DF"/>
    <w:rsid w:val="7735228D"/>
    <w:rsid w:val="77356731"/>
    <w:rsid w:val="773A0865"/>
    <w:rsid w:val="773A3D47"/>
    <w:rsid w:val="773D2CB9"/>
    <w:rsid w:val="77400C32"/>
    <w:rsid w:val="77404A94"/>
    <w:rsid w:val="774150D6"/>
    <w:rsid w:val="774279C4"/>
    <w:rsid w:val="77432AB8"/>
    <w:rsid w:val="77435226"/>
    <w:rsid w:val="77446974"/>
    <w:rsid w:val="774502E9"/>
    <w:rsid w:val="7746449A"/>
    <w:rsid w:val="7746657A"/>
    <w:rsid w:val="77485812"/>
    <w:rsid w:val="774B1AB0"/>
    <w:rsid w:val="774E15A1"/>
    <w:rsid w:val="774E68CA"/>
    <w:rsid w:val="774F1B8B"/>
    <w:rsid w:val="77542F62"/>
    <w:rsid w:val="775546DD"/>
    <w:rsid w:val="77581BEA"/>
    <w:rsid w:val="775A1CF3"/>
    <w:rsid w:val="775F37AE"/>
    <w:rsid w:val="775F730A"/>
    <w:rsid w:val="77617526"/>
    <w:rsid w:val="77622789"/>
    <w:rsid w:val="77626DFA"/>
    <w:rsid w:val="7763329E"/>
    <w:rsid w:val="77640A6E"/>
    <w:rsid w:val="77644920"/>
    <w:rsid w:val="7769462C"/>
    <w:rsid w:val="776B5CAF"/>
    <w:rsid w:val="776D5ECB"/>
    <w:rsid w:val="776E39F1"/>
    <w:rsid w:val="776E579F"/>
    <w:rsid w:val="7770362E"/>
    <w:rsid w:val="77721AB3"/>
    <w:rsid w:val="77727D83"/>
    <w:rsid w:val="77733860"/>
    <w:rsid w:val="77762421"/>
    <w:rsid w:val="77764653"/>
    <w:rsid w:val="777803CC"/>
    <w:rsid w:val="7778661E"/>
    <w:rsid w:val="777A2396"/>
    <w:rsid w:val="777C1537"/>
    <w:rsid w:val="777F291C"/>
    <w:rsid w:val="77802537"/>
    <w:rsid w:val="77814A03"/>
    <w:rsid w:val="77817798"/>
    <w:rsid w:val="778200FD"/>
    <w:rsid w:val="77822FF8"/>
    <w:rsid w:val="77876861"/>
    <w:rsid w:val="778A0CAD"/>
    <w:rsid w:val="778B6D26"/>
    <w:rsid w:val="778E4093"/>
    <w:rsid w:val="77901BB9"/>
    <w:rsid w:val="779108EB"/>
    <w:rsid w:val="77917542"/>
    <w:rsid w:val="77955421"/>
    <w:rsid w:val="77976AA4"/>
    <w:rsid w:val="779969FD"/>
    <w:rsid w:val="779A2227"/>
    <w:rsid w:val="779A33A8"/>
    <w:rsid w:val="779A47E6"/>
    <w:rsid w:val="779A6534"/>
    <w:rsid w:val="779B3146"/>
    <w:rsid w:val="779C05CF"/>
    <w:rsid w:val="779C40BA"/>
    <w:rsid w:val="779F3BAA"/>
    <w:rsid w:val="77A13DC6"/>
    <w:rsid w:val="77A13FE0"/>
    <w:rsid w:val="77A22A16"/>
    <w:rsid w:val="77A411C1"/>
    <w:rsid w:val="77A64F39"/>
    <w:rsid w:val="77A85155"/>
    <w:rsid w:val="77A860A6"/>
    <w:rsid w:val="77A86F03"/>
    <w:rsid w:val="77AB07A1"/>
    <w:rsid w:val="77AB3955"/>
    <w:rsid w:val="77AB69F3"/>
    <w:rsid w:val="77AD4519"/>
    <w:rsid w:val="77AD4580"/>
    <w:rsid w:val="77AE6133"/>
    <w:rsid w:val="77B358A8"/>
    <w:rsid w:val="77B56B1F"/>
    <w:rsid w:val="77B8087C"/>
    <w:rsid w:val="77B92EBE"/>
    <w:rsid w:val="77B95F7C"/>
    <w:rsid w:val="77B96D29"/>
    <w:rsid w:val="77BA4E88"/>
    <w:rsid w:val="77BA5C5B"/>
    <w:rsid w:val="77BF424C"/>
    <w:rsid w:val="77C11D73"/>
    <w:rsid w:val="77C35AEB"/>
    <w:rsid w:val="77C577DB"/>
    <w:rsid w:val="77C6382D"/>
    <w:rsid w:val="77C71506"/>
    <w:rsid w:val="77C74EAF"/>
    <w:rsid w:val="77CC45F6"/>
    <w:rsid w:val="77CD0717"/>
    <w:rsid w:val="77CD4BBB"/>
    <w:rsid w:val="77CE68EC"/>
    <w:rsid w:val="77D3326F"/>
    <w:rsid w:val="77D41B9E"/>
    <w:rsid w:val="77D5581E"/>
    <w:rsid w:val="77D71596"/>
    <w:rsid w:val="77D8683B"/>
    <w:rsid w:val="77D959A0"/>
    <w:rsid w:val="77DB72D8"/>
    <w:rsid w:val="77DB77B3"/>
    <w:rsid w:val="77DC6BAC"/>
    <w:rsid w:val="77DE0B76"/>
    <w:rsid w:val="77DE46D3"/>
    <w:rsid w:val="77DF044B"/>
    <w:rsid w:val="77E048EF"/>
    <w:rsid w:val="77E31D80"/>
    <w:rsid w:val="77E324D9"/>
    <w:rsid w:val="77E3682C"/>
    <w:rsid w:val="77E617D9"/>
    <w:rsid w:val="77E777A4"/>
    <w:rsid w:val="77E81434"/>
    <w:rsid w:val="77E85551"/>
    <w:rsid w:val="77EA6925"/>
    <w:rsid w:val="77EA751B"/>
    <w:rsid w:val="77EB5041"/>
    <w:rsid w:val="77ED700C"/>
    <w:rsid w:val="77F008AA"/>
    <w:rsid w:val="77F0563E"/>
    <w:rsid w:val="77F064C5"/>
    <w:rsid w:val="77F35CA4"/>
    <w:rsid w:val="77F428DB"/>
    <w:rsid w:val="77F43EF6"/>
    <w:rsid w:val="77F51A1C"/>
    <w:rsid w:val="77F730CE"/>
    <w:rsid w:val="77F92EE3"/>
    <w:rsid w:val="77F94F8A"/>
    <w:rsid w:val="77F9775E"/>
    <w:rsid w:val="77FA69E3"/>
    <w:rsid w:val="77FD4316"/>
    <w:rsid w:val="77FE2FC7"/>
    <w:rsid w:val="77FF392C"/>
    <w:rsid w:val="78001BA8"/>
    <w:rsid w:val="78006386"/>
    <w:rsid w:val="78006D3F"/>
    <w:rsid w:val="78016613"/>
    <w:rsid w:val="78024BAC"/>
    <w:rsid w:val="780305DD"/>
    <w:rsid w:val="7803238B"/>
    <w:rsid w:val="780B1240"/>
    <w:rsid w:val="780D4FB8"/>
    <w:rsid w:val="780E2ADE"/>
    <w:rsid w:val="780E2E52"/>
    <w:rsid w:val="780F08F1"/>
    <w:rsid w:val="780F09F4"/>
    <w:rsid w:val="78112CFA"/>
    <w:rsid w:val="78144598"/>
    <w:rsid w:val="78146346"/>
    <w:rsid w:val="781520BE"/>
    <w:rsid w:val="78160310"/>
    <w:rsid w:val="78166313"/>
    <w:rsid w:val="781B5927"/>
    <w:rsid w:val="781B5D3C"/>
    <w:rsid w:val="781C169F"/>
    <w:rsid w:val="781D5C13"/>
    <w:rsid w:val="781E71C5"/>
    <w:rsid w:val="781F4CEB"/>
    <w:rsid w:val="78205786"/>
    <w:rsid w:val="78216CB5"/>
    <w:rsid w:val="78240C6F"/>
    <w:rsid w:val="78244C21"/>
    <w:rsid w:val="78246E0E"/>
    <w:rsid w:val="782642CC"/>
    <w:rsid w:val="782868C6"/>
    <w:rsid w:val="782878D8"/>
    <w:rsid w:val="782B18E2"/>
    <w:rsid w:val="782C253B"/>
    <w:rsid w:val="782F13D2"/>
    <w:rsid w:val="782F3180"/>
    <w:rsid w:val="78300CA6"/>
    <w:rsid w:val="78324A1E"/>
    <w:rsid w:val="78340710"/>
    <w:rsid w:val="783469E8"/>
    <w:rsid w:val="7836450F"/>
    <w:rsid w:val="78370287"/>
    <w:rsid w:val="783C2E54"/>
    <w:rsid w:val="783C589D"/>
    <w:rsid w:val="783E1615"/>
    <w:rsid w:val="783E7867"/>
    <w:rsid w:val="783F0EE9"/>
    <w:rsid w:val="7840538D"/>
    <w:rsid w:val="78414C61"/>
    <w:rsid w:val="78435D22"/>
    <w:rsid w:val="78436C2C"/>
    <w:rsid w:val="78450BF6"/>
    <w:rsid w:val="7845162D"/>
    <w:rsid w:val="784534AF"/>
    <w:rsid w:val="78462278"/>
    <w:rsid w:val="7846409D"/>
    <w:rsid w:val="78465F1F"/>
    <w:rsid w:val="7847671C"/>
    <w:rsid w:val="78484242"/>
    <w:rsid w:val="78484564"/>
    <w:rsid w:val="78485FF0"/>
    <w:rsid w:val="784A08E0"/>
    <w:rsid w:val="784A620C"/>
    <w:rsid w:val="784A7A67"/>
    <w:rsid w:val="784C3D32"/>
    <w:rsid w:val="784F55D0"/>
    <w:rsid w:val="785250C1"/>
    <w:rsid w:val="785350C0"/>
    <w:rsid w:val="78566B97"/>
    <w:rsid w:val="7859644F"/>
    <w:rsid w:val="78597AA3"/>
    <w:rsid w:val="785A7737"/>
    <w:rsid w:val="785B3F75"/>
    <w:rsid w:val="785D3204"/>
    <w:rsid w:val="785E75C1"/>
    <w:rsid w:val="7860158C"/>
    <w:rsid w:val="7860333A"/>
    <w:rsid w:val="78603D8A"/>
    <w:rsid w:val="786077DD"/>
    <w:rsid w:val="78616A57"/>
    <w:rsid w:val="78623556"/>
    <w:rsid w:val="78627A03"/>
    <w:rsid w:val="7863107C"/>
    <w:rsid w:val="78632C3D"/>
    <w:rsid w:val="78646412"/>
    <w:rsid w:val="78656916"/>
    <w:rsid w:val="78670B6C"/>
    <w:rsid w:val="78680440"/>
    <w:rsid w:val="786817B4"/>
    <w:rsid w:val="786848E4"/>
    <w:rsid w:val="78686692"/>
    <w:rsid w:val="786B0DBF"/>
    <w:rsid w:val="786D3CA8"/>
    <w:rsid w:val="78731841"/>
    <w:rsid w:val="7876453C"/>
    <w:rsid w:val="78782D79"/>
    <w:rsid w:val="787A05B6"/>
    <w:rsid w:val="787B63C5"/>
    <w:rsid w:val="787E7C64"/>
    <w:rsid w:val="788274D1"/>
    <w:rsid w:val="78850FF2"/>
    <w:rsid w:val="78860A23"/>
    <w:rsid w:val="78866B18"/>
    <w:rsid w:val="788A485A"/>
    <w:rsid w:val="788D60F9"/>
    <w:rsid w:val="788F00C3"/>
    <w:rsid w:val="789046A6"/>
    <w:rsid w:val="789101DB"/>
    <w:rsid w:val="78915BE9"/>
    <w:rsid w:val="78917997"/>
    <w:rsid w:val="789220ED"/>
    <w:rsid w:val="78947487"/>
    <w:rsid w:val="78961451"/>
    <w:rsid w:val="789631FF"/>
    <w:rsid w:val="78973606"/>
    <w:rsid w:val="78982E38"/>
    <w:rsid w:val="78986F77"/>
    <w:rsid w:val="789D27E0"/>
    <w:rsid w:val="789E0306"/>
    <w:rsid w:val="789E20B4"/>
    <w:rsid w:val="78A219DC"/>
    <w:rsid w:val="78A43B6E"/>
    <w:rsid w:val="78A51694"/>
    <w:rsid w:val="78A72E41"/>
    <w:rsid w:val="78A7540C"/>
    <w:rsid w:val="78A81248"/>
    <w:rsid w:val="78A84CE1"/>
    <w:rsid w:val="78A90480"/>
    <w:rsid w:val="78A91184"/>
    <w:rsid w:val="78AC47D1"/>
    <w:rsid w:val="78AD22F7"/>
    <w:rsid w:val="78AE3039"/>
    <w:rsid w:val="78AE679B"/>
    <w:rsid w:val="78AF42C1"/>
    <w:rsid w:val="78AF606F"/>
    <w:rsid w:val="78B10039"/>
    <w:rsid w:val="78B13B95"/>
    <w:rsid w:val="78B418D7"/>
    <w:rsid w:val="78B47B29"/>
    <w:rsid w:val="78B57075"/>
    <w:rsid w:val="78B8007E"/>
    <w:rsid w:val="78BD69DE"/>
    <w:rsid w:val="78BE62B2"/>
    <w:rsid w:val="78C00903"/>
    <w:rsid w:val="78C064CE"/>
    <w:rsid w:val="78C733B9"/>
    <w:rsid w:val="78C7785D"/>
    <w:rsid w:val="78C80EDF"/>
    <w:rsid w:val="78CC6C21"/>
    <w:rsid w:val="78CF7CC0"/>
    <w:rsid w:val="78D12489"/>
    <w:rsid w:val="78D13B60"/>
    <w:rsid w:val="78D2661A"/>
    <w:rsid w:val="78D5544C"/>
    <w:rsid w:val="78D62ECE"/>
    <w:rsid w:val="78D635FC"/>
    <w:rsid w:val="78DA7590"/>
    <w:rsid w:val="78DB04DE"/>
    <w:rsid w:val="78DB5C48"/>
    <w:rsid w:val="78DC00DC"/>
    <w:rsid w:val="78DC4DD7"/>
    <w:rsid w:val="78DC686C"/>
    <w:rsid w:val="78E026CC"/>
    <w:rsid w:val="78E0447A"/>
    <w:rsid w:val="78E16501"/>
    <w:rsid w:val="78E26444"/>
    <w:rsid w:val="78E330F9"/>
    <w:rsid w:val="78E33F6B"/>
    <w:rsid w:val="78E55F35"/>
    <w:rsid w:val="78E57CE3"/>
    <w:rsid w:val="78E81581"/>
    <w:rsid w:val="78E819E6"/>
    <w:rsid w:val="78E977D3"/>
    <w:rsid w:val="78EA354B"/>
    <w:rsid w:val="78EA70A7"/>
    <w:rsid w:val="78ED0B41"/>
    <w:rsid w:val="78ED46D3"/>
    <w:rsid w:val="78EE11C6"/>
    <w:rsid w:val="78EE303B"/>
    <w:rsid w:val="78EE696A"/>
    <w:rsid w:val="78EE6B97"/>
    <w:rsid w:val="78EF290F"/>
    <w:rsid w:val="78F10436"/>
    <w:rsid w:val="78F345D8"/>
    <w:rsid w:val="78F7045B"/>
    <w:rsid w:val="78F85C68"/>
    <w:rsid w:val="78FA3665"/>
    <w:rsid w:val="78FC1205"/>
    <w:rsid w:val="78FD712F"/>
    <w:rsid w:val="78FE2B52"/>
    <w:rsid w:val="790068CB"/>
    <w:rsid w:val="79017226"/>
    <w:rsid w:val="79017442"/>
    <w:rsid w:val="79030169"/>
    <w:rsid w:val="790740FD"/>
    <w:rsid w:val="79091C23"/>
    <w:rsid w:val="790A7749"/>
    <w:rsid w:val="790C1713"/>
    <w:rsid w:val="790C34C1"/>
    <w:rsid w:val="79112886"/>
    <w:rsid w:val="79116D2A"/>
    <w:rsid w:val="79132AA2"/>
    <w:rsid w:val="791505C8"/>
    <w:rsid w:val="79166B2C"/>
    <w:rsid w:val="79167E9C"/>
    <w:rsid w:val="79196BEE"/>
    <w:rsid w:val="791B1956"/>
    <w:rsid w:val="791B3704"/>
    <w:rsid w:val="7924080B"/>
    <w:rsid w:val="79256331"/>
    <w:rsid w:val="7928582B"/>
    <w:rsid w:val="792B7DEB"/>
    <w:rsid w:val="792E168A"/>
    <w:rsid w:val="79314CD6"/>
    <w:rsid w:val="793238A9"/>
    <w:rsid w:val="79330A4E"/>
    <w:rsid w:val="79330C25"/>
    <w:rsid w:val="7933353D"/>
    <w:rsid w:val="79361156"/>
    <w:rsid w:val="793622EC"/>
    <w:rsid w:val="79370055"/>
    <w:rsid w:val="79381813"/>
    <w:rsid w:val="793A002E"/>
    <w:rsid w:val="793B3DA7"/>
    <w:rsid w:val="793D18CD"/>
    <w:rsid w:val="793F4A83"/>
    <w:rsid w:val="794013BD"/>
    <w:rsid w:val="79426EE3"/>
    <w:rsid w:val="7942728A"/>
    <w:rsid w:val="79490272"/>
    <w:rsid w:val="794964C4"/>
    <w:rsid w:val="794B223C"/>
    <w:rsid w:val="794C0171"/>
    <w:rsid w:val="794E14FB"/>
    <w:rsid w:val="794E3E11"/>
    <w:rsid w:val="794F6CBD"/>
    <w:rsid w:val="795409C4"/>
    <w:rsid w:val="7955121E"/>
    <w:rsid w:val="7956297A"/>
    <w:rsid w:val="7956298E"/>
    <w:rsid w:val="79570020"/>
    <w:rsid w:val="795804B5"/>
    <w:rsid w:val="79584959"/>
    <w:rsid w:val="795A247F"/>
    <w:rsid w:val="795A5FDB"/>
    <w:rsid w:val="795E25FE"/>
    <w:rsid w:val="795F77BB"/>
    <w:rsid w:val="79621333"/>
    <w:rsid w:val="796450AB"/>
    <w:rsid w:val="79652BD2"/>
    <w:rsid w:val="796B01E8"/>
    <w:rsid w:val="79707737"/>
    <w:rsid w:val="79707849"/>
    <w:rsid w:val="7972247C"/>
    <w:rsid w:val="79747548"/>
    <w:rsid w:val="79752E15"/>
    <w:rsid w:val="797846B3"/>
    <w:rsid w:val="797C462E"/>
    <w:rsid w:val="797D13DF"/>
    <w:rsid w:val="797D676F"/>
    <w:rsid w:val="797F1EE5"/>
    <w:rsid w:val="797F465B"/>
    <w:rsid w:val="79815C5D"/>
    <w:rsid w:val="79823784"/>
    <w:rsid w:val="7984574E"/>
    <w:rsid w:val="79856DD0"/>
    <w:rsid w:val="79894B12"/>
    <w:rsid w:val="798C63B0"/>
    <w:rsid w:val="798E267C"/>
    <w:rsid w:val="799040F2"/>
    <w:rsid w:val="79915775"/>
    <w:rsid w:val="799314ED"/>
    <w:rsid w:val="799534B7"/>
    <w:rsid w:val="7997722F"/>
    <w:rsid w:val="79980EA0"/>
    <w:rsid w:val="79984052"/>
    <w:rsid w:val="799900B0"/>
    <w:rsid w:val="799C2A97"/>
    <w:rsid w:val="799C4845"/>
    <w:rsid w:val="799D05BD"/>
    <w:rsid w:val="79A100AE"/>
    <w:rsid w:val="79A11E5C"/>
    <w:rsid w:val="79A2004E"/>
    <w:rsid w:val="79A25BD4"/>
    <w:rsid w:val="79A47B9E"/>
    <w:rsid w:val="79A656C4"/>
    <w:rsid w:val="79A67472"/>
    <w:rsid w:val="79A73866"/>
    <w:rsid w:val="79A74FA7"/>
    <w:rsid w:val="79A951B4"/>
    <w:rsid w:val="79AB21E7"/>
    <w:rsid w:val="79AC0945"/>
    <w:rsid w:val="79AE27CB"/>
    <w:rsid w:val="79AE6327"/>
    <w:rsid w:val="79B102D4"/>
    <w:rsid w:val="79B17BC5"/>
    <w:rsid w:val="79B37DE1"/>
    <w:rsid w:val="79B41898"/>
    <w:rsid w:val="79B54ABA"/>
    <w:rsid w:val="79B60459"/>
    <w:rsid w:val="79B6062C"/>
    <w:rsid w:val="79B7167F"/>
    <w:rsid w:val="79B871A5"/>
    <w:rsid w:val="79BA2F1D"/>
    <w:rsid w:val="79BB3478"/>
    <w:rsid w:val="79BD2A0E"/>
    <w:rsid w:val="79BE53CA"/>
    <w:rsid w:val="79BE6F9F"/>
    <w:rsid w:val="79C124FE"/>
    <w:rsid w:val="79C30024"/>
    <w:rsid w:val="79C43D9C"/>
    <w:rsid w:val="79C478F8"/>
    <w:rsid w:val="79C63670"/>
    <w:rsid w:val="79C67B14"/>
    <w:rsid w:val="79C97604"/>
    <w:rsid w:val="79CB30FD"/>
    <w:rsid w:val="79CB43E5"/>
    <w:rsid w:val="79CC22AB"/>
    <w:rsid w:val="79CC2865"/>
    <w:rsid w:val="79CC49FF"/>
    <w:rsid w:val="79CD0EA3"/>
    <w:rsid w:val="79CE69C9"/>
    <w:rsid w:val="79D044EF"/>
    <w:rsid w:val="79D14874"/>
    <w:rsid w:val="79D83410"/>
    <w:rsid w:val="79DA711C"/>
    <w:rsid w:val="79DB2756"/>
    <w:rsid w:val="79DC10E6"/>
    <w:rsid w:val="79DF2984"/>
    <w:rsid w:val="79E104AA"/>
    <w:rsid w:val="79E1494E"/>
    <w:rsid w:val="79E461EC"/>
    <w:rsid w:val="79E61F64"/>
    <w:rsid w:val="79E63D12"/>
    <w:rsid w:val="79E93803"/>
    <w:rsid w:val="79E955B1"/>
    <w:rsid w:val="79E9620E"/>
    <w:rsid w:val="79E9735F"/>
    <w:rsid w:val="79EB757B"/>
    <w:rsid w:val="79EC41D8"/>
    <w:rsid w:val="79ED7C62"/>
    <w:rsid w:val="79F04B91"/>
    <w:rsid w:val="79F20407"/>
    <w:rsid w:val="79F226B7"/>
    <w:rsid w:val="79F3642F"/>
    <w:rsid w:val="79F503F9"/>
    <w:rsid w:val="79F6735E"/>
    <w:rsid w:val="79F70BF1"/>
    <w:rsid w:val="79F84D2A"/>
    <w:rsid w:val="79FA156C"/>
    <w:rsid w:val="7A016D9E"/>
    <w:rsid w:val="7A036672"/>
    <w:rsid w:val="7A04063C"/>
    <w:rsid w:val="7A0643B5"/>
    <w:rsid w:val="7A066163"/>
    <w:rsid w:val="7A08012D"/>
    <w:rsid w:val="7A081EDB"/>
    <w:rsid w:val="7A087264"/>
    <w:rsid w:val="7A0B19CB"/>
    <w:rsid w:val="7A0C33F0"/>
    <w:rsid w:val="7A101951"/>
    <w:rsid w:val="7A146AD1"/>
    <w:rsid w:val="7A147D16"/>
    <w:rsid w:val="7A150154"/>
    <w:rsid w:val="7A192529"/>
    <w:rsid w:val="7A1940E8"/>
    <w:rsid w:val="7A1A144A"/>
    <w:rsid w:val="7A1B5018"/>
    <w:rsid w:val="7A1C14E2"/>
    <w:rsid w:val="7A212F9C"/>
    <w:rsid w:val="7A22231A"/>
    <w:rsid w:val="7A236D15"/>
    <w:rsid w:val="7A2455EA"/>
    <w:rsid w:val="7A266805"/>
    <w:rsid w:val="7A27753D"/>
    <w:rsid w:val="7A291E51"/>
    <w:rsid w:val="7A293BFF"/>
    <w:rsid w:val="7A2A00A3"/>
    <w:rsid w:val="7A2A5EED"/>
    <w:rsid w:val="7A2B3E1B"/>
    <w:rsid w:val="7A2D1941"/>
    <w:rsid w:val="7A2D36EF"/>
    <w:rsid w:val="7A2E1215"/>
    <w:rsid w:val="7A2E4EAA"/>
    <w:rsid w:val="7A301431"/>
    <w:rsid w:val="7A3031E0"/>
    <w:rsid w:val="7A313550"/>
    <w:rsid w:val="7A321E0F"/>
    <w:rsid w:val="7A3525A4"/>
    <w:rsid w:val="7A364017"/>
    <w:rsid w:val="7A37631C"/>
    <w:rsid w:val="7A3902E6"/>
    <w:rsid w:val="7A3953DF"/>
    <w:rsid w:val="7A396538"/>
    <w:rsid w:val="7A3D7C35"/>
    <w:rsid w:val="7A3E58FC"/>
    <w:rsid w:val="7A3F199D"/>
    <w:rsid w:val="7A401675"/>
    <w:rsid w:val="7A406FE4"/>
    <w:rsid w:val="7A4078C7"/>
    <w:rsid w:val="7A432F13"/>
    <w:rsid w:val="7A434CC1"/>
    <w:rsid w:val="7A48470A"/>
    <w:rsid w:val="7A4B0019"/>
    <w:rsid w:val="7A505630"/>
    <w:rsid w:val="7A5173D7"/>
    <w:rsid w:val="7A523156"/>
    <w:rsid w:val="7A525C3E"/>
    <w:rsid w:val="7A5275FA"/>
    <w:rsid w:val="7A543372"/>
    <w:rsid w:val="7A545120"/>
    <w:rsid w:val="7A552C46"/>
    <w:rsid w:val="7A574C10"/>
    <w:rsid w:val="7A592736"/>
    <w:rsid w:val="7A5944E4"/>
    <w:rsid w:val="7A59460C"/>
    <w:rsid w:val="7A5A4E3D"/>
    <w:rsid w:val="7A6115EB"/>
    <w:rsid w:val="7A6300D6"/>
    <w:rsid w:val="7A652E89"/>
    <w:rsid w:val="7A664E53"/>
    <w:rsid w:val="7A6730A5"/>
    <w:rsid w:val="7A687DE1"/>
    <w:rsid w:val="7A6A66F1"/>
    <w:rsid w:val="7A6B246A"/>
    <w:rsid w:val="7A6C06BC"/>
    <w:rsid w:val="7A6D1D3E"/>
    <w:rsid w:val="7A6F79D8"/>
    <w:rsid w:val="7A715CD2"/>
    <w:rsid w:val="7A7237F8"/>
    <w:rsid w:val="7A7637CE"/>
    <w:rsid w:val="7A7A445B"/>
    <w:rsid w:val="7A7B26AD"/>
    <w:rsid w:val="7A7C01D3"/>
    <w:rsid w:val="7A7C58EE"/>
    <w:rsid w:val="7A7E03EF"/>
    <w:rsid w:val="7A7E0416"/>
    <w:rsid w:val="7A813A3B"/>
    <w:rsid w:val="7A82098B"/>
    <w:rsid w:val="7A8265E1"/>
    <w:rsid w:val="7A831561"/>
    <w:rsid w:val="7A8378C9"/>
    <w:rsid w:val="7A851FF7"/>
    <w:rsid w:val="7A861051"/>
    <w:rsid w:val="7A874E5F"/>
    <w:rsid w:val="7A884DCA"/>
    <w:rsid w:val="7A8C23C7"/>
    <w:rsid w:val="7A8D0632"/>
    <w:rsid w:val="7A8F7F06"/>
    <w:rsid w:val="7A9419C0"/>
    <w:rsid w:val="7A94376E"/>
    <w:rsid w:val="7A97325F"/>
    <w:rsid w:val="7A9814B1"/>
    <w:rsid w:val="7A996FD7"/>
    <w:rsid w:val="7A9C4DB8"/>
    <w:rsid w:val="7A9E283F"/>
    <w:rsid w:val="7AA03EC1"/>
    <w:rsid w:val="7AA360D0"/>
    <w:rsid w:val="7AA421C5"/>
    <w:rsid w:val="7AA80FC8"/>
    <w:rsid w:val="7AA8546C"/>
    <w:rsid w:val="7AAC2EAD"/>
    <w:rsid w:val="7AAC3494"/>
    <w:rsid w:val="7AAC427E"/>
    <w:rsid w:val="7AAD4830"/>
    <w:rsid w:val="7AAD65DE"/>
    <w:rsid w:val="7AAD715B"/>
    <w:rsid w:val="7AB17E65"/>
    <w:rsid w:val="7AB26F5C"/>
    <w:rsid w:val="7AB83901"/>
    <w:rsid w:val="7ABA3126"/>
    <w:rsid w:val="7ABB0CFB"/>
    <w:rsid w:val="7ABC1A6A"/>
    <w:rsid w:val="7ABC4A73"/>
    <w:rsid w:val="7AC06311"/>
    <w:rsid w:val="7AC1208A"/>
    <w:rsid w:val="7AC2652D"/>
    <w:rsid w:val="7AC503EC"/>
    <w:rsid w:val="7AC5146A"/>
    <w:rsid w:val="7AC676A0"/>
    <w:rsid w:val="7AC73B44"/>
    <w:rsid w:val="7AC754CB"/>
    <w:rsid w:val="7AC929BC"/>
    <w:rsid w:val="7ACB50B1"/>
    <w:rsid w:val="7ACC115A"/>
    <w:rsid w:val="7ACF0C4A"/>
    <w:rsid w:val="7AD16771"/>
    <w:rsid w:val="7AD251AF"/>
    <w:rsid w:val="7AD41DBD"/>
    <w:rsid w:val="7AD61FD9"/>
    <w:rsid w:val="7AD623EF"/>
    <w:rsid w:val="7AD80027"/>
    <w:rsid w:val="7AD85D51"/>
    <w:rsid w:val="7ADB314B"/>
    <w:rsid w:val="7ADB75EF"/>
    <w:rsid w:val="7AE00762"/>
    <w:rsid w:val="7AE15424"/>
    <w:rsid w:val="7AE23EAC"/>
    <w:rsid w:val="7AE50A54"/>
    <w:rsid w:val="7AE5221C"/>
    <w:rsid w:val="7AE534E4"/>
    <w:rsid w:val="7AE6195B"/>
    <w:rsid w:val="7AE66897"/>
    <w:rsid w:val="7AEA4F5E"/>
    <w:rsid w:val="7AEC5358"/>
    <w:rsid w:val="7AEF309B"/>
    <w:rsid w:val="7AEF4E49"/>
    <w:rsid w:val="7AEF6BF7"/>
    <w:rsid w:val="7AF1296F"/>
    <w:rsid w:val="7AF16E13"/>
    <w:rsid w:val="7AF33058"/>
    <w:rsid w:val="7AF4245F"/>
    <w:rsid w:val="7AF45447"/>
    <w:rsid w:val="7AF51059"/>
    <w:rsid w:val="7AF661D7"/>
    <w:rsid w:val="7AF72273"/>
    <w:rsid w:val="7AF75AAB"/>
    <w:rsid w:val="7AF76E4E"/>
    <w:rsid w:val="7AF83CFD"/>
    <w:rsid w:val="7AF85A3A"/>
    <w:rsid w:val="7AF91823"/>
    <w:rsid w:val="7AF97A75"/>
    <w:rsid w:val="7AFB1A3F"/>
    <w:rsid w:val="7AFB3BDC"/>
    <w:rsid w:val="7AFD1314"/>
    <w:rsid w:val="7B007056"/>
    <w:rsid w:val="7B036E36"/>
    <w:rsid w:val="7B036FEB"/>
    <w:rsid w:val="7B0408F4"/>
    <w:rsid w:val="7B052AC1"/>
    <w:rsid w:val="7B05466C"/>
    <w:rsid w:val="7B072192"/>
    <w:rsid w:val="7B073F40"/>
    <w:rsid w:val="7B081651"/>
    <w:rsid w:val="7B090462"/>
    <w:rsid w:val="7B09415C"/>
    <w:rsid w:val="7B0B76CA"/>
    <w:rsid w:val="7B0C506C"/>
    <w:rsid w:val="7B0C59FB"/>
    <w:rsid w:val="7B0D52CF"/>
    <w:rsid w:val="7B0E1773"/>
    <w:rsid w:val="7B105150"/>
    <w:rsid w:val="7B114DBF"/>
    <w:rsid w:val="7B1227F8"/>
    <w:rsid w:val="7B1448AF"/>
    <w:rsid w:val="7B160627"/>
    <w:rsid w:val="7B18614D"/>
    <w:rsid w:val="7B1864B3"/>
    <w:rsid w:val="7B1A6488"/>
    <w:rsid w:val="7B1B3E90"/>
    <w:rsid w:val="7B1D7C08"/>
    <w:rsid w:val="7B203254"/>
    <w:rsid w:val="7B203504"/>
    <w:rsid w:val="7B22521E"/>
    <w:rsid w:val="7B25086A"/>
    <w:rsid w:val="7B255EE6"/>
    <w:rsid w:val="7B271F47"/>
    <w:rsid w:val="7B2965AD"/>
    <w:rsid w:val="7B2A7B4E"/>
    <w:rsid w:val="7B2D6604"/>
    <w:rsid w:val="7B2F16E9"/>
    <w:rsid w:val="7B3048BE"/>
    <w:rsid w:val="7B310FBD"/>
    <w:rsid w:val="7B315461"/>
    <w:rsid w:val="7B31720F"/>
    <w:rsid w:val="7B3311D9"/>
    <w:rsid w:val="7B3330BB"/>
    <w:rsid w:val="7B334D35"/>
    <w:rsid w:val="7B362A78"/>
    <w:rsid w:val="7B3804BA"/>
    <w:rsid w:val="7B38059E"/>
    <w:rsid w:val="7B38234C"/>
    <w:rsid w:val="7B3D6D3E"/>
    <w:rsid w:val="7B3E36DA"/>
    <w:rsid w:val="7B3F192C"/>
    <w:rsid w:val="7B4056A4"/>
    <w:rsid w:val="7B424F78"/>
    <w:rsid w:val="7B430CF1"/>
    <w:rsid w:val="7B450F0D"/>
    <w:rsid w:val="7B4C229B"/>
    <w:rsid w:val="7B4C3878"/>
    <w:rsid w:val="7B4E023F"/>
    <w:rsid w:val="7B4E1B6F"/>
    <w:rsid w:val="7B5022DD"/>
    <w:rsid w:val="7B5178B1"/>
    <w:rsid w:val="7B533262"/>
    <w:rsid w:val="7B5353D8"/>
    <w:rsid w:val="7B537186"/>
    <w:rsid w:val="7B551150"/>
    <w:rsid w:val="7B5551A9"/>
    <w:rsid w:val="7B58479C"/>
    <w:rsid w:val="7B5B4B25"/>
    <w:rsid w:val="7B615D46"/>
    <w:rsid w:val="7B62561B"/>
    <w:rsid w:val="7B635E88"/>
    <w:rsid w:val="7B647318"/>
    <w:rsid w:val="7B65510B"/>
    <w:rsid w:val="7B656EB9"/>
    <w:rsid w:val="7B68392C"/>
    <w:rsid w:val="7B686D42"/>
    <w:rsid w:val="7B6A2721"/>
    <w:rsid w:val="7B6A5D5B"/>
    <w:rsid w:val="7B6E2211"/>
    <w:rsid w:val="7B6E46DC"/>
    <w:rsid w:val="7B6E782A"/>
    <w:rsid w:val="7B713AB0"/>
    <w:rsid w:val="7B784E3E"/>
    <w:rsid w:val="7B7D1600"/>
    <w:rsid w:val="7B7D2454"/>
    <w:rsid w:val="7B7E1B28"/>
    <w:rsid w:val="7B7F61CD"/>
    <w:rsid w:val="7B803CF3"/>
    <w:rsid w:val="7B810197"/>
    <w:rsid w:val="7B810D8B"/>
    <w:rsid w:val="7B811F45"/>
    <w:rsid w:val="7B821819"/>
    <w:rsid w:val="7B841746"/>
    <w:rsid w:val="7B841A35"/>
    <w:rsid w:val="7B871525"/>
    <w:rsid w:val="7B8761C5"/>
    <w:rsid w:val="7B890DF9"/>
    <w:rsid w:val="7B897FAC"/>
    <w:rsid w:val="7B8A691F"/>
    <w:rsid w:val="7B8B2DC3"/>
    <w:rsid w:val="7B8B33BC"/>
    <w:rsid w:val="7B8E6410"/>
    <w:rsid w:val="7B8F3F36"/>
    <w:rsid w:val="7B8F5FC8"/>
    <w:rsid w:val="7B914152"/>
    <w:rsid w:val="7B917CAE"/>
    <w:rsid w:val="7B931C78"/>
    <w:rsid w:val="7B933A26"/>
    <w:rsid w:val="7B946335"/>
    <w:rsid w:val="7B9559F0"/>
    <w:rsid w:val="7B9652C4"/>
    <w:rsid w:val="7B9A4DB4"/>
    <w:rsid w:val="7BA14395"/>
    <w:rsid w:val="7BA2010D"/>
    <w:rsid w:val="7BA21EBB"/>
    <w:rsid w:val="7BA45C33"/>
    <w:rsid w:val="7BA50A03"/>
    <w:rsid w:val="7BA619AB"/>
    <w:rsid w:val="7BA774D1"/>
    <w:rsid w:val="7BB12C18"/>
    <w:rsid w:val="7BB57E40"/>
    <w:rsid w:val="7BB75966"/>
    <w:rsid w:val="7BB816DF"/>
    <w:rsid w:val="7BB87930"/>
    <w:rsid w:val="7BBA5457"/>
    <w:rsid w:val="7BBB4173"/>
    <w:rsid w:val="7BBD4F47"/>
    <w:rsid w:val="7BBD6CF5"/>
    <w:rsid w:val="7BBF0CBF"/>
    <w:rsid w:val="7BC2255D"/>
    <w:rsid w:val="7BC32905"/>
    <w:rsid w:val="7BC42323"/>
    <w:rsid w:val="7BC63DFB"/>
    <w:rsid w:val="7BCB1412"/>
    <w:rsid w:val="7BCB31C0"/>
    <w:rsid w:val="7BD06A28"/>
    <w:rsid w:val="7BD74E83"/>
    <w:rsid w:val="7BD77DB7"/>
    <w:rsid w:val="7BD858DD"/>
    <w:rsid w:val="7BDA1655"/>
    <w:rsid w:val="7BDC471C"/>
    <w:rsid w:val="7BDC53CD"/>
    <w:rsid w:val="7BDE6039"/>
    <w:rsid w:val="7BDF0A19"/>
    <w:rsid w:val="7BDF310F"/>
    <w:rsid w:val="7BDF4EBD"/>
    <w:rsid w:val="7BE10C35"/>
    <w:rsid w:val="7BE14791"/>
    <w:rsid w:val="7BE2184C"/>
    <w:rsid w:val="7BE25E9B"/>
    <w:rsid w:val="7BE34019"/>
    <w:rsid w:val="7BE4337B"/>
    <w:rsid w:val="7BE61DA8"/>
    <w:rsid w:val="7BE67FFA"/>
    <w:rsid w:val="7BE72603"/>
    <w:rsid w:val="7BE73D72"/>
    <w:rsid w:val="7BEB5610"/>
    <w:rsid w:val="7BEC2FA1"/>
    <w:rsid w:val="7BEE3352"/>
    <w:rsid w:val="7BF00E78"/>
    <w:rsid w:val="7BF22E42"/>
    <w:rsid w:val="7BF26F57"/>
    <w:rsid w:val="7BF30969"/>
    <w:rsid w:val="7BF404C5"/>
    <w:rsid w:val="7BF70459"/>
    <w:rsid w:val="7BF87D2D"/>
    <w:rsid w:val="7BF97117"/>
    <w:rsid w:val="7BFC1355"/>
    <w:rsid w:val="7BFC15CB"/>
    <w:rsid w:val="7BFC23F6"/>
    <w:rsid w:val="7BFD5343"/>
    <w:rsid w:val="7BFE117C"/>
    <w:rsid w:val="7BFE53B6"/>
    <w:rsid w:val="7BFF25E3"/>
    <w:rsid w:val="7BFF6BFE"/>
    <w:rsid w:val="7C007450"/>
    <w:rsid w:val="7C017C3B"/>
    <w:rsid w:val="7C036DFE"/>
    <w:rsid w:val="7C044924"/>
    <w:rsid w:val="7C045150"/>
    <w:rsid w:val="7C06069C"/>
    <w:rsid w:val="7C0641F8"/>
    <w:rsid w:val="7C070043"/>
    <w:rsid w:val="7C070B86"/>
    <w:rsid w:val="7C086019"/>
    <w:rsid w:val="7C0B180E"/>
    <w:rsid w:val="7C0B3F04"/>
    <w:rsid w:val="7C0B5CB2"/>
    <w:rsid w:val="7C0D1A2A"/>
    <w:rsid w:val="7C0E3995"/>
    <w:rsid w:val="7C1032C9"/>
    <w:rsid w:val="7C116F1A"/>
    <w:rsid w:val="7C142300"/>
    <w:rsid w:val="7C1508DF"/>
    <w:rsid w:val="7C183F2B"/>
    <w:rsid w:val="7C1C3A1B"/>
    <w:rsid w:val="7C1D1DCF"/>
    <w:rsid w:val="7C1D7794"/>
    <w:rsid w:val="7C1F46EF"/>
    <w:rsid w:val="7C1F52BA"/>
    <w:rsid w:val="7C21508F"/>
    <w:rsid w:val="7C2154D6"/>
    <w:rsid w:val="7C240B22"/>
    <w:rsid w:val="7C250561"/>
    <w:rsid w:val="7C274045"/>
    <w:rsid w:val="7C2B43D3"/>
    <w:rsid w:val="7C2B6272"/>
    <w:rsid w:val="7C2E19A1"/>
    <w:rsid w:val="7C2F7BF3"/>
    <w:rsid w:val="7C314E4E"/>
    <w:rsid w:val="7C35247C"/>
    <w:rsid w:val="7C356822"/>
    <w:rsid w:val="7C370855"/>
    <w:rsid w:val="7C386AE4"/>
    <w:rsid w:val="7C39225B"/>
    <w:rsid w:val="7C3B0FE1"/>
    <w:rsid w:val="7C3C2310"/>
    <w:rsid w:val="7C3C5E6C"/>
    <w:rsid w:val="7C43136B"/>
    <w:rsid w:val="7C43369E"/>
    <w:rsid w:val="7C433A3C"/>
    <w:rsid w:val="7C43544C"/>
    <w:rsid w:val="7C4371FA"/>
    <w:rsid w:val="7C444D20"/>
    <w:rsid w:val="7C4518F1"/>
    <w:rsid w:val="7C464F3C"/>
    <w:rsid w:val="7C480D5C"/>
    <w:rsid w:val="7C496AA6"/>
    <w:rsid w:val="7C4D62CB"/>
    <w:rsid w:val="7C572CA5"/>
    <w:rsid w:val="7C5807CC"/>
    <w:rsid w:val="7C597451"/>
    <w:rsid w:val="7C5A08E1"/>
    <w:rsid w:val="7C5A4544"/>
    <w:rsid w:val="7C5C4760"/>
    <w:rsid w:val="7C5E2286"/>
    <w:rsid w:val="7C5F1B5A"/>
    <w:rsid w:val="7C606D66"/>
    <w:rsid w:val="7C6158D2"/>
    <w:rsid w:val="7C66113B"/>
    <w:rsid w:val="7C664024"/>
    <w:rsid w:val="7C684375"/>
    <w:rsid w:val="7C694787"/>
    <w:rsid w:val="7C6C5AC7"/>
    <w:rsid w:val="7C765821"/>
    <w:rsid w:val="7C792C1C"/>
    <w:rsid w:val="7C7970C0"/>
    <w:rsid w:val="7C7B2E38"/>
    <w:rsid w:val="7C7B6E99"/>
    <w:rsid w:val="7C7C270C"/>
    <w:rsid w:val="7C7F334B"/>
    <w:rsid w:val="7C80044E"/>
    <w:rsid w:val="7C831CEC"/>
    <w:rsid w:val="7C8415C1"/>
    <w:rsid w:val="7C8617DD"/>
    <w:rsid w:val="7C8B640D"/>
    <w:rsid w:val="7C8B6DF3"/>
    <w:rsid w:val="7C8C5230"/>
    <w:rsid w:val="7C8E611A"/>
    <w:rsid w:val="7C8F243F"/>
    <w:rsid w:val="7C900DE1"/>
    <w:rsid w:val="7C907F65"/>
    <w:rsid w:val="7C914409"/>
    <w:rsid w:val="7C9378B1"/>
    <w:rsid w:val="7C941F01"/>
    <w:rsid w:val="7C970076"/>
    <w:rsid w:val="7C972A58"/>
    <w:rsid w:val="7C973B16"/>
    <w:rsid w:val="7C977546"/>
    <w:rsid w:val="7C9B5288"/>
    <w:rsid w:val="7C9C2DAE"/>
    <w:rsid w:val="7C9C3264"/>
    <w:rsid w:val="7C9D4FDF"/>
    <w:rsid w:val="7CA0464C"/>
    <w:rsid w:val="7CA05EF4"/>
    <w:rsid w:val="7CA249B6"/>
    <w:rsid w:val="7CA35EEB"/>
    <w:rsid w:val="7CA37C99"/>
    <w:rsid w:val="7CA51C63"/>
    <w:rsid w:val="7CA67789"/>
    <w:rsid w:val="7CAA1288"/>
    <w:rsid w:val="7CAA3813"/>
    <w:rsid w:val="7CAA7279"/>
    <w:rsid w:val="7CAC1243"/>
    <w:rsid w:val="7CAD001B"/>
    <w:rsid w:val="7CAE5679"/>
    <w:rsid w:val="7CB00608"/>
    <w:rsid w:val="7CB24380"/>
    <w:rsid w:val="7CB266A1"/>
    <w:rsid w:val="7CB400F8"/>
    <w:rsid w:val="7CB42261"/>
    <w:rsid w:val="7CB61980"/>
    <w:rsid w:val="7CB65C1E"/>
    <w:rsid w:val="7CB73744"/>
    <w:rsid w:val="7CB77BE8"/>
    <w:rsid w:val="7CB93023"/>
    <w:rsid w:val="7CB93960"/>
    <w:rsid w:val="7CB974BC"/>
    <w:rsid w:val="7CBB50AC"/>
    <w:rsid w:val="7CBC327E"/>
    <w:rsid w:val="7CBC7C7D"/>
    <w:rsid w:val="7CBE0F77"/>
    <w:rsid w:val="7CBE2D25"/>
    <w:rsid w:val="7CBE3E52"/>
    <w:rsid w:val="7CBE4AD3"/>
    <w:rsid w:val="7CBF0CDE"/>
    <w:rsid w:val="7CC04EC7"/>
    <w:rsid w:val="7CC320E9"/>
    <w:rsid w:val="7CC56FEF"/>
    <w:rsid w:val="7CC6544B"/>
    <w:rsid w:val="7CC85951"/>
    <w:rsid w:val="7CCA3477"/>
    <w:rsid w:val="7CCD740C"/>
    <w:rsid w:val="7CCF5FD1"/>
    <w:rsid w:val="7CD10CAA"/>
    <w:rsid w:val="7CD12A58"/>
    <w:rsid w:val="7CD2057E"/>
    <w:rsid w:val="7CD40F40"/>
    <w:rsid w:val="7CD460A4"/>
    <w:rsid w:val="7CD46DBB"/>
    <w:rsid w:val="7CD6006E"/>
    <w:rsid w:val="7CD60F5D"/>
    <w:rsid w:val="7CD90635"/>
    <w:rsid w:val="7CDC13FD"/>
    <w:rsid w:val="7CDE0446"/>
    <w:rsid w:val="7CDE33C7"/>
    <w:rsid w:val="7CDF5591"/>
    <w:rsid w:val="7CE03AFE"/>
    <w:rsid w:val="7CE51A0E"/>
    <w:rsid w:val="7CE54755"/>
    <w:rsid w:val="7CE56503"/>
    <w:rsid w:val="7CE617A9"/>
    <w:rsid w:val="7CE65DD7"/>
    <w:rsid w:val="7CE72263"/>
    <w:rsid w:val="7CE85FF3"/>
    <w:rsid w:val="7CE958B4"/>
    <w:rsid w:val="7CED360A"/>
    <w:rsid w:val="7CF24C2C"/>
    <w:rsid w:val="7CF46746"/>
    <w:rsid w:val="7CF63C9D"/>
    <w:rsid w:val="7CF6426C"/>
    <w:rsid w:val="7CF7272E"/>
    <w:rsid w:val="7CFC5110"/>
    <w:rsid w:val="7CFD1A9F"/>
    <w:rsid w:val="7CFD384D"/>
    <w:rsid w:val="7CFE1373"/>
    <w:rsid w:val="7CFE6B21"/>
    <w:rsid w:val="7D00333D"/>
    <w:rsid w:val="7D017AA5"/>
    <w:rsid w:val="7D0239FF"/>
    <w:rsid w:val="7D0270B5"/>
    <w:rsid w:val="7D052701"/>
    <w:rsid w:val="7D0746CC"/>
    <w:rsid w:val="7D0821F2"/>
    <w:rsid w:val="7D083FA0"/>
    <w:rsid w:val="7D0A0BA4"/>
    <w:rsid w:val="7D0A41BC"/>
    <w:rsid w:val="7D0A5F6A"/>
    <w:rsid w:val="7D0D15B6"/>
    <w:rsid w:val="7D0E4FE0"/>
    <w:rsid w:val="7D0F17D2"/>
    <w:rsid w:val="7D1032D5"/>
    <w:rsid w:val="7D1110A6"/>
    <w:rsid w:val="7D11554A"/>
    <w:rsid w:val="7D126BCC"/>
    <w:rsid w:val="7D142945"/>
    <w:rsid w:val="7D162B61"/>
    <w:rsid w:val="7D163883"/>
    <w:rsid w:val="7D172435"/>
    <w:rsid w:val="7D1868D9"/>
    <w:rsid w:val="7D1961AD"/>
    <w:rsid w:val="7D1E155C"/>
    <w:rsid w:val="7D1E37C3"/>
    <w:rsid w:val="7D1F2BD5"/>
    <w:rsid w:val="7D1F7C67"/>
    <w:rsid w:val="7D20753B"/>
    <w:rsid w:val="7D221166"/>
    <w:rsid w:val="7D225061"/>
    <w:rsid w:val="7D242BDB"/>
    <w:rsid w:val="7D2708CA"/>
    <w:rsid w:val="7D285559"/>
    <w:rsid w:val="7D294710"/>
    <w:rsid w:val="7D2C4132"/>
    <w:rsid w:val="7D2C69EB"/>
    <w:rsid w:val="7D2C7C8E"/>
    <w:rsid w:val="7D2E0D36"/>
    <w:rsid w:val="7D2F59D0"/>
    <w:rsid w:val="7D311748"/>
    <w:rsid w:val="7D312E86"/>
    <w:rsid w:val="7D315490"/>
    <w:rsid w:val="7D316B8F"/>
    <w:rsid w:val="7D31799A"/>
    <w:rsid w:val="7D3251DF"/>
    <w:rsid w:val="7D3354C1"/>
    <w:rsid w:val="7D337EF4"/>
    <w:rsid w:val="7D353D37"/>
    <w:rsid w:val="7D366D5F"/>
    <w:rsid w:val="7D382AD7"/>
    <w:rsid w:val="7D3B1175"/>
    <w:rsid w:val="7D3E6353"/>
    <w:rsid w:val="7D40373A"/>
    <w:rsid w:val="7D40412D"/>
    <w:rsid w:val="7D42205C"/>
    <w:rsid w:val="7D4278A5"/>
    <w:rsid w:val="7D454D96"/>
    <w:rsid w:val="7D480276"/>
    <w:rsid w:val="7D484972"/>
    <w:rsid w:val="7D494CE4"/>
    <w:rsid w:val="7D496A92"/>
    <w:rsid w:val="7D4A6037"/>
    <w:rsid w:val="7D4B3A85"/>
    <w:rsid w:val="7D4C6582"/>
    <w:rsid w:val="7D4D5E56"/>
    <w:rsid w:val="7D513B99"/>
    <w:rsid w:val="7D556349"/>
    <w:rsid w:val="7D590134"/>
    <w:rsid w:val="7D592A4D"/>
    <w:rsid w:val="7D5B0573"/>
    <w:rsid w:val="7D5C044C"/>
    <w:rsid w:val="7D5E0064"/>
    <w:rsid w:val="7D5E0448"/>
    <w:rsid w:val="7D5E40CD"/>
    <w:rsid w:val="7D625DA6"/>
    <w:rsid w:val="7D6531A0"/>
    <w:rsid w:val="7D653F46"/>
    <w:rsid w:val="7D6546D4"/>
    <w:rsid w:val="7D667F1E"/>
    <w:rsid w:val="7D6733BC"/>
    <w:rsid w:val="7D6A07B6"/>
    <w:rsid w:val="7D6A21E0"/>
    <w:rsid w:val="7D6C47B9"/>
    <w:rsid w:val="7D6D04F4"/>
    <w:rsid w:val="7D6F48D9"/>
    <w:rsid w:val="7D7004C3"/>
    <w:rsid w:val="7D7020D1"/>
    <w:rsid w:val="7D703933"/>
    <w:rsid w:val="7D72105E"/>
    <w:rsid w:val="7D733B0F"/>
    <w:rsid w:val="7D741635"/>
    <w:rsid w:val="7D7635FF"/>
    <w:rsid w:val="7D7B6E68"/>
    <w:rsid w:val="7D7C30CE"/>
    <w:rsid w:val="7D7D2BE0"/>
    <w:rsid w:val="7D7E4262"/>
    <w:rsid w:val="7D7F5A5F"/>
    <w:rsid w:val="7D8255AF"/>
    <w:rsid w:val="7D827130"/>
    <w:rsid w:val="7D8442D5"/>
    <w:rsid w:val="7D850AE8"/>
    <w:rsid w:val="7D8775BA"/>
    <w:rsid w:val="7D8D09BB"/>
    <w:rsid w:val="7D8E0949"/>
    <w:rsid w:val="7D8E6B9B"/>
    <w:rsid w:val="7D8F44D2"/>
    <w:rsid w:val="7D9013BB"/>
    <w:rsid w:val="7D910439"/>
    <w:rsid w:val="7D912C27"/>
    <w:rsid w:val="7D91734A"/>
    <w:rsid w:val="7D924B46"/>
    <w:rsid w:val="7D945CD3"/>
    <w:rsid w:val="7D9677FD"/>
    <w:rsid w:val="7D9B3066"/>
    <w:rsid w:val="7D9D6725"/>
    <w:rsid w:val="7D9F2B56"/>
    <w:rsid w:val="7DA0067C"/>
    <w:rsid w:val="7DA0242A"/>
    <w:rsid w:val="7DA414A1"/>
    <w:rsid w:val="7DA41F1A"/>
    <w:rsid w:val="7DA63EE4"/>
    <w:rsid w:val="7DA725DD"/>
    <w:rsid w:val="7DA737B9"/>
    <w:rsid w:val="7DAA5057"/>
    <w:rsid w:val="7DAC5273"/>
    <w:rsid w:val="7DAF266D"/>
    <w:rsid w:val="7DB008BF"/>
    <w:rsid w:val="7DB06B11"/>
    <w:rsid w:val="7DB12205"/>
    <w:rsid w:val="7DB303AF"/>
    <w:rsid w:val="7DB3215D"/>
    <w:rsid w:val="7DB33B66"/>
    <w:rsid w:val="7DB47549"/>
    <w:rsid w:val="7DB55ED6"/>
    <w:rsid w:val="7DB85E6C"/>
    <w:rsid w:val="7DBA7990"/>
    <w:rsid w:val="7DBD122E"/>
    <w:rsid w:val="7DBD2FDC"/>
    <w:rsid w:val="7DBF0B02"/>
    <w:rsid w:val="7DBF41DB"/>
    <w:rsid w:val="7DC0487A"/>
    <w:rsid w:val="7DC205F3"/>
    <w:rsid w:val="7DC223A1"/>
    <w:rsid w:val="7DC30A8A"/>
    <w:rsid w:val="7DC47D5A"/>
    <w:rsid w:val="7DC56122"/>
    <w:rsid w:val="7DC600E3"/>
    <w:rsid w:val="7DC9372F"/>
    <w:rsid w:val="7DC93EE9"/>
    <w:rsid w:val="7DCA74A7"/>
    <w:rsid w:val="7DCC321F"/>
    <w:rsid w:val="7DCD56F2"/>
    <w:rsid w:val="7DCD73FA"/>
    <w:rsid w:val="7DD24CD9"/>
    <w:rsid w:val="7DD30A52"/>
    <w:rsid w:val="7DD445E0"/>
    <w:rsid w:val="7DD520D4"/>
    <w:rsid w:val="7DD54E72"/>
    <w:rsid w:val="7DD65A11"/>
    <w:rsid w:val="7DDB22AD"/>
    <w:rsid w:val="7DDC7906"/>
    <w:rsid w:val="7DDE0263"/>
    <w:rsid w:val="7DDF2F52"/>
    <w:rsid w:val="7DE1316F"/>
    <w:rsid w:val="7DE14F1D"/>
    <w:rsid w:val="7DE22A43"/>
    <w:rsid w:val="7DE40569"/>
    <w:rsid w:val="7DE44A0D"/>
    <w:rsid w:val="7DE62533"/>
    <w:rsid w:val="7DE642E1"/>
    <w:rsid w:val="7DE844FD"/>
    <w:rsid w:val="7DE84520"/>
    <w:rsid w:val="7DE859ED"/>
    <w:rsid w:val="7DE95B7F"/>
    <w:rsid w:val="7DEB18F7"/>
    <w:rsid w:val="7DEB5D9B"/>
    <w:rsid w:val="7DEE3196"/>
    <w:rsid w:val="7DF764EE"/>
    <w:rsid w:val="7DF77267"/>
    <w:rsid w:val="7DF86EFC"/>
    <w:rsid w:val="7DFC1D56"/>
    <w:rsid w:val="7DFE2E40"/>
    <w:rsid w:val="7DFF6410"/>
    <w:rsid w:val="7E002EC9"/>
    <w:rsid w:val="7E0155BF"/>
    <w:rsid w:val="7E0429B9"/>
    <w:rsid w:val="7E06188F"/>
    <w:rsid w:val="7E062BD5"/>
    <w:rsid w:val="7E064983"/>
    <w:rsid w:val="7E0724A9"/>
    <w:rsid w:val="7E087814"/>
    <w:rsid w:val="7E0A24D6"/>
    <w:rsid w:val="7E0B727F"/>
    <w:rsid w:val="7E0D0EDC"/>
    <w:rsid w:val="7E10135E"/>
    <w:rsid w:val="7E105802"/>
    <w:rsid w:val="7E1075B0"/>
    <w:rsid w:val="7E1179CD"/>
    <w:rsid w:val="7E130E4E"/>
    <w:rsid w:val="7E1352F2"/>
    <w:rsid w:val="7E1370A0"/>
    <w:rsid w:val="7E192908"/>
    <w:rsid w:val="7E192CA0"/>
    <w:rsid w:val="7E196EF9"/>
    <w:rsid w:val="7E1A21DD"/>
    <w:rsid w:val="7E1A41A3"/>
    <w:rsid w:val="7E1B6D74"/>
    <w:rsid w:val="7E1C1010"/>
    <w:rsid w:val="7E1C41A7"/>
    <w:rsid w:val="7E1F5A45"/>
    <w:rsid w:val="7E200015"/>
    <w:rsid w:val="7E215319"/>
    <w:rsid w:val="7E220BE7"/>
    <w:rsid w:val="7E25732C"/>
    <w:rsid w:val="7E260B81"/>
    <w:rsid w:val="7E266DD3"/>
    <w:rsid w:val="7E325778"/>
    <w:rsid w:val="7E36223B"/>
    <w:rsid w:val="7E394D59"/>
    <w:rsid w:val="7E3F1C43"/>
    <w:rsid w:val="7E402DC1"/>
    <w:rsid w:val="7E437985"/>
    <w:rsid w:val="7E442357"/>
    <w:rsid w:val="7E462FD2"/>
    <w:rsid w:val="7E474901"/>
    <w:rsid w:val="7E482B1F"/>
    <w:rsid w:val="7E4E00D8"/>
    <w:rsid w:val="7E4F632A"/>
    <w:rsid w:val="7E521976"/>
    <w:rsid w:val="7E525E1A"/>
    <w:rsid w:val="7E5356EF"/>
    <w:rsid w:val="7E543940"/>
    <w:rsid w:val="7E576F8D"/>
    <w:rsid w:val="7E582D05"/>
    <w:rsid w:val="7E597C4B"/>
    <w:rsid w:val="7E5A082B"/>
    <w:rsid w:val="7E5B673C"/>
    <w:rsid w:val="7E5B6A5D"/>
    <w:rsid w:val="7E5C0A47"/>
    <w:rsid w:val="7E5E18F9"/>
    <w:rsid w:val="7E5E47BF"/>
    <w:rsid w:val="7E5F22E5"/>
    <w:rsid w:val="7E5F6E30"/>
    <w:rsid w:val="7E5F781B"/>
    <w:rsid w:val="7E607661"/>
    <w:rsid w:val="7E610966"/>
    <w:rsid w:val="7E616B3D"/>
    <w:rsid w:val="7E663674"/>
    <w:rsid w:val="7E6873EC"/>
    <w:rsid w:val="7E6924EF"/>
    <w:rsid w:val="7E696CC0"/>
    <w:rsid w:val="7E6D4EDB"/>
    <w:rsid w:val="7E722019"/>
    <w:rsid w:val="7E723DC7"/>
    <w:rsid w:val="7E730D86"/>
    <w:rsid w:val="7E747B3F"/>
    <w:rsid w:val="7E751B09"/>
    <w:rsid w:val="7E77762F"/>
    <w:rsid w:val="7E7A3A8F"/>
    <w:rsid w:val="7E7A62B1"/>
    <w:rsid w:val="7E7B38B3"/>
    <w:rsid w:val="7E7B3A68"/>
    <w:rsid w:val="7E7C4C45"/>
    <w:rsid w:val="7E800E61"/>
    <w:rsid w:val="7E8104AE"/>
    <w:rsid w:val="7E8421C3"/>
    <w:rsid w:val="7E861620"/>
    <w:rsid w:val="7E88183C"/>
    <w:rsid w:val="7E88416C"/>
    <w:rsid w:val="7E8F6091"/>
    <w:rsid w:val="7E906943"/>
    <w:rsid w:val="7E926217"/>
    <w:rsid w:val="7E926F37"/>
    <w:rsid w:val="7E930337"/>
    <w:rsid w:val="7E94444F"/>
    <w:rsid w:val="7E944638"/>
    <w:rsid w:val="7E953F59"/>
    <w:rsid w:val="7E971A7F"/>
    <w:rsid w:val="7E985A65"/>
    <w:rsid w:val="7E9975A5"/>
    <w:rsid w:val="7E9B156F"/>
    <w:rsid w:val="7E9B7F59"/>
    <w:rsid w:val="7E9F29C9"/>
    <w:rsid w:val="7EA427DA"/>
    <w:rsid w:val="7EA459AB"/>
    <w:rsid w:val="7EA45F4A"/>
    <w:rsid w:val="7EA47CF8"/>
    <w:rsid w:val="7EA52354"/>
    <w:rsid w:val="7EA61CC2"/>
    <w:rsid w:val="7EA82D87"/>
    <w:rsid w:val="7EA84322"/>
    <w:rsid w:val="7EA9276E"/>
    <w:rsid w:val="7EAA17B2"/>
    <w:rsid w:val="7EAD3AAF"/>
    <w:rsid w:val="7EAF6DC9"/>
    <w:rsid w:val="7EB20667"/>
    <w:rsid w:val="7EB22415"/>
    <w:rsid w:val="7EB47670"/>
    <w:rsid w:val="7EB63B67"/>
    <w:rsid w:val="7EB663A9"/>
    <w:rsid w:val="7EB737AD"/>
    <w:rsid w:val="7EB919F5"/>
    <w:rsid w:val="7EBE32F3"/>
    <w:rsid w:val="7EBF4B32"/>
    <w:rsid w:val="7EC16AFC"/>
    <w:rsid w:val="7EC565EC"/>
    <w:rsid w:val="7EC64112"/>
    <w:rsid w:val="7EC65EC0"/>
    <w:rsid w:val="7EC81C39"/>
    <w:rsid w:val="7ECB34D7"/>
    <w:rsid w:val="7ECB7038"/>
    <w:rsid w:val="7ECD5A97"/>
    <w:rsid w:val="7ED10D4F"/>
    <w:rsid w:val="7ED14F91"/>
    <w:rsid w:val="7ED405DD"/>
    <w:rsid w:val="7ED54665"/>
    <w:rsid w:val="7ED625A7"/>
    <w:rsid w:val="7ED700CE"/>
    <w:rsid w:val="7ED9191C"/>
    <w:rsid w:val="7EDF6548"/>
    <w:rsid w:val="7EE30820"/>
    <w:rsid w:val="7EE54599"/>
    <w:rsid w:val="7EE66563"/>
    <w:rsid w:val="7EE822DB"/>
    <w:rsid w:val="7EE84089"/>
    <w:rsid w:val="7EED169F"/>
    <w:rsid w:val="7EED44D2"/>
    <w:rsid w:val="7EEF57CB"/>
    <w:rsid w:val="7EEF71C5"/>
    <w:rsid w:val="7EF14CDF"/>
    <w:rsid w:val="7EF24F07"/>
    <w:rsid w:val="7EF3475B"/>
    <w:rsid w:val="7EF50554"/>
    <w:rsid w:val="7EF72300"/>
    <w:rsid w:val="7EF84914"/>
    <w:rsid w:val="7EFA0975"/>
    <w:rsid w:val="7EFA252B"/>
    <w:rsid w:val="7EFB00DD"/>
    <w:rsid w:val="7EFC5D86"/>
    <w:rsid w:val="7EFD11CC"/>
    <w:rsid w:val="7F001CE7"/>
    <w:rsid w:val="7F007624"/>
    <w:rsid w:val="7F01514B"/>
    <w:rsid w:val="7F052E8D"/>
    <w:rsid w:val="7F062761"/>
    <w:rsid w:val="7F0710F4"/>
    <w:rsid w:val="7F08297D"/>
    <w:rsid w:val="7F0B7D77"/>
    <w:rsid w:val="7F0C2270"/>
    <w:rsid w:val="7F0C5FC9"/>
    <w:rsid w:val="7F0D3AEF"/>
    <w:rsid w:val="7F0D7F93"/>
    <w:rsid w:val="7F0E26E3"/>
    <w:rsid w:val="7F124F07"/>
    <w:rsid w:val="7F1255AA"/>
    <w:rsid w:val="7F127358"/>
    <w:rsid w:val="7F141090"/>
    <w:rsid w:val="7F160BF6"/>
    <w:rsid w:val="7F172FFA"/>
    <w:rsid w:val="7F174C12"/>
    <w:rsid w:val="7F1906E6"/>
    <w:rsid w:val="7F196938"/>
    <w:rsid w:val="7F196B0E"/>
    <w:rsid w:val="7F1C3BD4"/>
    <w:rsid w:val="7F2257ED"/>
    <w:rsid w:val="7F231565"/>
    <w:rsid w:val="7F253E0B"/>
    <w:rsid w:val="7F2C173B"/>
    <w:rsid w:val="7F2D5F40"/>
    <w:rsid w:val="7F2D7CEE"/>
    <w:rsid w:val="7F2E4837"/>
    <w:rsid w:val="7F313C82"/>
    <w:rsid w:val="7F315A30"/>
    <w:rsid w:val="7F323556"/>
    <w:rsid w:val="7F3379FA"/>
    <w:rsid w:val="7F343772"/>
    <w:rsid w:val="7F361298"/>
    <w:rsid w:val="7F364DF4"/>
    <w:rsid w:val="7F37335C"/>
    <w:rsid w:val="7F376DBE"/>
    <w:rsid w:val="7F3A68A1"/>
    <w:rsid w:val="7F3B065C"/>
    <w:rsid w:val="7F3E49CB"/>
    <w:rsid w:val="7F403EC5"/>
    <w:rsid w:val="7F427C3D"/>
    <w:rsid w:val="7F4339B5"/>
    <w:rsid w:val="7F453289"/>
    <w:rsid w:val="7F471C5D"/>
    <w:rsid w:val="7F475253"/>
    <w:rsid w:val="7F4936A3"/>
    <w:rsid w:val="7F4A4D43"/>
    <w:rsid w:val="7F4C286A"/>
    <w:rsid w:val="7F4D0B11"/>
    <w:rsid w:val="7F4F46DF"/>
    <w:rsid w:val="7F4F5EB6"/>
    <w:rsid w:val="7F51405C"/>
    <w:rsid w:val="7F5160D2"/>
    <w:rsid w:val="7F5636E8"/>
    <w:rsid w:val="7F5931D8"/>
    <w:rsid w:val="7F594F87"/>
    <w:rsid w:val="7F5C05D3"/>
    <w:rsid w:val="7F5E434B"/>
    <w:rsid w:val="7F5F7E0E"/>
    <w:rsid w:val="7F602A87"/>
    <w:rsid w:val="7F604567"/>
    <w:rsid w:val="7F6317BF"/>
    <w:rsid w:val="7F6531DB"/>
    <w:rsid w:val="7F6556D9"/>
    <w:rsid w:val="7F6628EB"/>
    <w:rsid w:val="7F6A7194"/>
    <w:rsid w:val="7F6E0A32"/>
    <w:rsid w:val="7F6E6713"/>
    <w:rsid w:val="7F6F0306"/>
    <w:rsid w:val="7F701355"/>
    <w:rsid w:val="7F726B32"/>
    <w:rsid w:val="7F7333C7"/>
    <w:rsid w:val="7F74591C"/>
    <w:rsid w:val="7F765B38"/>
    <w:rsid w:val="7F7678E7"/>
    <w:rsid w:val="7F78365F"/>
    <w:rsid w:val="7F791185"/>
    <w:rsid w:val="7F794455"/>
    <w:rsid w:val="7F7973D7"/>
    <w:rsid w:val="7F7B1BA6"/>
    <w:rsid w:val="7F7B314F"/>
    <w:rsid w:val="7F7B6CAB"/>
    <w:rsid w:val="7F7C078B"/>
    <w:rsid w:val="7F7D6EC7"/>
    <w:rsid w:val="7F7F2C3F"/>
    <w:rsid w:val="7F8042C1"/>
    <w:rsid w:val="7F805353"/>
    <w:rsid w:val="7F840255"/>
    <w:rsid w:val="7F842003"/>
    <w:rsid w:val="7F8457DC"/>
    <w:rsid w:val="7F855D7C"/>
    <w:rsid w:val="7F875650"/>
    <w:rsid w:val="7F876672"/>
    <w:rsid w:val="7F89761A"/>
    <w:rsid w:val="7F8A3392"/>
    <w:rsid w:val="7F8A5140"/>
    <w:rsid w:val="7F8B6974"/>
    <w:rsid w:val="7F8C0EB8"/>
    <w:rsid w:val="7F8C2D5F"/>
    <w:rsid w:val="7F8C35A7"/>
    <w:rsid w:val="7F923FF5"/>
    <w:rsid w:val="7F9822CF"/>
    <w:rsid w:val="7F9935D5"/>
    <w:rsid w:val="7F9A1827"/>
    <w:rsid w:val="7F9B4A3D"/>
    <w:rsid w:val="7F9B559F"/>
    <w:rsid w:val="7F9E036E"/>
    <w:rsid w:val="7FA14865"/>
    <w:rsid w:val="7FA1661A"/>
    <w:rsid w:val="7FA36202"/>
    <w:rsid w:val="7FA726DD"/>
    <w:rsid w:val="7FA93818"/>
    <w:rsid w:val="7FAA4181"/>
    <w:rsid w:val="7FAB1C02"/>
    <w:rsid w:val="7FAD2B87"/>
    <w:rsid w:val="7FAE0E2E"/>
    <w:rsid w:val="7FB34CE5"/>
    <w:rsid w:val="7FB56661"/>
    <w:rsid w:val="7FBA3C77"/>
    <w:rsid w:val="7FBA75D6"/>
    <w:rsid w:val="7FBB354B"/>
    <w:rsid w:val="7FBD72C3"/>
    <w:rsid w:val="7FBF303C"/>
    <w:rsid w:val="7FC44AF6"/>
    <w:rsid w:val="7FC62727"/>
    <w:rsid w:val="7FC82489"/>
    <w:rsid w:val="7FC90E51"/>
    <w:rsid w:val="7FC93EBA"/>
    <w:rsid w:val="7FC95C68"/>
    <w:rsid w:val="7FCA6AE1"/>
    <w:rsid w:val="7FCB5E84"/>
    <w:rsid w:val="7FCB7CDC"/>
    <w:rsid w:val="7FCB7F71"/>
    <w:rsid w:val="7FCC5758"/>
    <w:rsid w:val="7FCC7A47"/>
    <w:rsid w:val="7FCE7723"/>
    <w:rsid w:val="7FD003CD"/>
    <w:rsid w:val="7FD01E11"/>
    <w:rsid w:val="7FD41C26"/>
    <w:rsid w:val="7FDB7A66"/>
    <w:rsid w:val="7FDF723A"/>
    <w:rsid w:val="7FE02FB2"/>
    <w:rsid w:val="7FE26D2A"/>
    <w:rsid w:val="7FE47E50"/>
    <w:rsid w:val="7FE74340"/>
    <w:rsid w:val="7FE74CF3"/>
    <w:rsid w:val="7FEA5BDF"/>
    <w:rsid w:val="7FEC1957"/>
    <w:rsid w:val="7FEC6AD2"/>
    <w:rsid w:val="7FED00ED"/>
    <w:rsid w:val="7FF058EB"/>
    <w:rsid w:val="7FF303D4"/>
    <w:rsid w:val="7FF32CE5"/>
    <w:rsid w:val="7FF479DA"/>
    <w:rsid w:val="7FF52F01"/>
    <w:rsid w:val="7FF60A27"/>
    <w:rsid w:val="7FF64583"/>
    <w:rsid w:val="7FF74BAA"/>
    <w:rsid w:val="7FFA22C6"/>
    <w:rsid w:val="7FFF388A"/>
    <w:rsid w:val="7FFF78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iPriority="0" w:semiHidden="0" w:name="heading 2" w:locked="1"/>
    <w:lsdException w:qFormat="1" w:uiPriority="0" w:semiHidden="0" w:name="heading 3" w:locked="1"/>
    <w:lsdException w:qFormat="1" w:uiPriority="0" w:semiHidden="0" w:name="heading 4" w:locked="1"/>
    <w:lsdException w:qFormat="1" w:uiPriority="0" w:semiHidden="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ocked="1"/>
    <w:lsdException w:unhideWhenUsed="0" w:uiPriority="0" w:semiHidden="0" w:name="index 2" w:locked="1"/>
    <w:lsdException w:unhideWhenUsed="0" w:uiPriority="0" w:semiHidden="0" w:name="index 3" w:locked="1"/>
    <w:lsdException w:unhideWhenUsed="0" w:uiPriority="0" w:semiHidden="0" w:name="index 4" w:locked="1"/>
    <w:lsdException w:unhideWhenUsed="0" w:uiPriority="0" w:semiHidden="0" w:name="index 5" w:locked="1"/>
    <w:lsdException w:unhideWhenUsed="0" w:uiPriority="0" w:semiHidden="0" w:name="index 6" w:locked="1"/>
    <w:lsdException w:unhideWhenUsed="0" w:uiPriority="0" w:semiHidden="0" w:name="index 7" w:locked="1"/>
    <w:lsdException w:unhideWhenUsed="0" w:uiPriority="0" w:semiHidden="0" w:name="index 8" w:locked="1"/>
    <w:lsdException w:qFormat="1" w:unhideWhenUsed="0" w:uiPriority="99" w:name="index 9" w:locked="1"/>
    <w:lsdException w:unhideWhenUsed="0" w:uiPriority="0" w:semiHidden="0" w:name="toc 1" w:locked="1"/>
    <w:lsdException w:unhideWhenUsed="0" w:uiPriority="0" w:semiHidden="0" w:name="toc 2" w:locked="1"/>
    <w:lsdException w:unhideWhenUsed="0" w:uiPriority="0" w:semiHidden="0" w:name="toc 3" w:locked="1"/>
    <w:lsdException w:qFormat="1"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0" w:semiHidden="0" w:name="Normal Indent" w:locked="1"/>
    <w:lsdException w:unhideWhenUsed="0" w:uiPriority="0" w:semiHidden="0" w:name="footnote text" w:locked="1"/>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ocked="1"/>
    <w:lsdException w:qFormat="1" w:uiPriority="0" w:name="caption" w:locked="1"/>
    <w:lsdException w:unhideWhenUsed="0" w:uiPriority="0" w:semiHidden="0" w:name="table of figures" w:locked="1"/>
    <w:lsdException w:unhideWhenUsed="0" w:uiPriority="0" w:semiHidden="0" w:name="envelope address" w:locked="1"/>
    <w:lsdException w:unhideWhenUsed="0" w:uiPriority="0" w:semiHidden="0" w:name="envelope return" w:locked="1"/>
    <w:lsdException w:unhideWhenUsed="0" w:uiPriority="0" w:semiHidden="0" w:name="footnote reference" w:locked="1"/>
    <w:lsdException w:qFormat="1" w:unhideWhenUsed="0" w:uiPriority="0" w:name="annotation reference"/>
    <w:lsdException w:unhideWhenUsed="0" w:uiPriority="0" w:semiHidden="0" w:name="line number" w:locked="1"/>
    <w:lsdException w:qFormat="1" w:unhideWhenUsed="0" w:uiPriority="0" w:semiHidden="0" w:name="page number" w:locked="1"/>
    <w:lsdException w:unhideWhenUsed="0" w:uiPriority="0" w:semiHidden="0" w:name="endnote reference" w:locked="1"/>
    <w:lsdException w:unhideWhenUsed="0" w:uiPriority="0" w:semiHidden="0" w:name="endnote text" w:locked="1"/>
    <w:lsdException w:unhideWhenUsed="0" w:uiPriority="0" w:semiHidden="0" w:name="table of authorities" w:locked="1"/>
    <w:lsdException w:unhideWhenUsed="0" w:uiPriority="0" w:semiHidden="0" w:name="macro" w:locked="1"/>
    <w:lsdException w:qFormat="1" w:unhideWhenUsed="0" w:uiPriority="0" w:semiHidden="0" w:name="toa heading" w:locked="1"/>
    <w:lsdException w:qFormat="1" w:unhideWhenUsed="0" w:uiPriority="0" w:semiHidden="0" w:name="List" w:locked="1"/>
    <w:lsdException w:unhideWhenUsed="0" w:uiPriority="0" w:semiHidden="0" w:name="List Bullet" w:locked="1"/>
    <w:lsdException w:unhideWhenUsed="0" w:uiPriority="0" w:semiHidden="0" w:name="List Number" w:locked="1"/>
    <w:lsdException w:qFormat="1" w:unhideWhenUsed="0" w:uiPriority="0" w:semiHidden="0" w:name="List 2" w:locked="1"/>
    <w:lsdException w:unhideWhenUsed="0" w:uiPriority="0" w:semiHidden="0" w:name="List 3" w:locked="1"/>
    <w:lsdException w:unhideWhenUsed="0" w:uiPriority="0" w:semiHidden="0" w:name="List 4" w:locked="1"/>
    <w:lsdException w:unhideWhenUsed="0" w:uiPriority="0" w:semiHidden="0" w:name="List 5" w:locked="1"/>
    <w:lsdException w:unhideWhenUsed="0" w:uiPriority="0" w:semiHidden="0" w:name="List Bullet 2" w:locked="1"/>
    <w:lsdException w:unhideWhenUsed="0" w:uiPriority="0" w:semiHidden="0" w:name="List Bullet 3" w:locked="1"/>
    <w:lsdException w:unhideWhenUsed="0" w:uiPriority="0" w:semiHidden="0" w:name="List Bullet 4" w:locked="1"/>
    <w:lsdException w:unhideWhenUsed="0" w:uiPriority="0" w:semiHidden="0" w:name="List Bullet 5" w:locked="1"/>
    <w:lsdException w:unhideWhenUsed="0" w:uiPriority="0" w:semiHidden="0" w:name="List Number 2" w:locked="1"/>
    <w:lsdException w:unhideWhenUsed="0" w:uiPriority="0" w:semiHidden="0" w:name="List Number 3" w:locked="1"/>
    <w:lsdException w:unhideWhenUsed="0" w:uiPriority="0" w:semiHidden="0" w:name="List Number 4" w:locked="1"/>
    <w:lsdException w:unhideWhenUsed="0" w:uiPriority="0" w:semiHidden="0" w:name="List Number 5" w:locked="1"/>
    <w:lsdException w:qFormat="1" w:unhideWhenUsed="0" w:uiPriority="0" w:semiHidden="0" w:name="Title" w:locked="1"/>
    <w:lsdException w:unhideWhenUsed="0" w:uiPriority="0" w:semiHidden="0" w:name="Closing" w:locked="1"/>
    <w:lsdException w:unhideWhenUsed="0" w:uiPriority="0" w:semiHidden="0" w:name="Signature" w:locked="1"/>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ocked="1"/>
    <w:lsdException w:unhideWhenUsed="0" w:uiPriority="0" w:semiHidden="0" w:name="List Continue 2" w:locked="1"/>
    <w:lsdException w:unhideWhenUsed="0" w:uiPriority="0" w:semiHidden="0" w:name="List Continue 3" w:locked="1"/>
    <w:lsdException w:unhideWhenUsed="0" w:uiPriority="0" w:semiHidden="0" w:name="List Continue 4" w:locked="1"/>
    <w:lsdException w:unhideWhenUsed="0" w:uiPriority="0" w:semiHidden="0" w:name="List Continue 5" w:locked="1"/>
    <w:lsdException w:unhideWhenUsed="0" w:uiPriority="0" w:semiHidden="0" w:name="Message Header" w:locked="1"/>
    <w:lsdException w:qFormat="1" w:unhideWhenUsed="0" w:uiPriority="0" w:semiHidden="0" w:name="Subtitle" w:locked="1"/>
    <w:lsdException w:unhideWhenUsed="0" w:uiPriority="0" w:semiHidden="0" w:name="Salutation" w:locked="1"/>
    <w:lsdException w:qFormat="1" w:unhideWhenUsed="0" w:uiPriority="0" w:semiHidden="0" w:name="Date"/>
    <w:lsdException w:qFormat="1" w:unhideWhenUsed="0" w:uiPriority="0" w:semiHidden="0" w:name="Body Text First Indent" w:locked="1"/>
    <w:lsdException w:qFormat="1" w:unhideWhenUsed="0" w:uiPriority="0" w:semiHidden="0" w:name="Body Text First Indent 2" w:locked="1"/>
    <w:lsdException w:unhideWhenUsed="0" w:uiPriority="0" w:semiHidden="0" w:name="Note Heading" w:locked="1"/>
    <w:lsdException w:qFormat="1" w:unhideWhenUsed="0" w:uiPriority="0" w:semiHidden="0" w:name="Body Text 2" w:locked="1"/>
    <w:lsdException w:unhideWhenUsed="0" w:uiPriority="0" w:semiHidden="0" w:name="Body Text 3" w:locked="1"/>
    <w:lsdException w:qFormat="1" w:unhideWhenUsed="0" w:uiPriority="0" w:semiHidden="0" w:name="Body Text Indent 2" w:locked="1"/>
    <w:lsdException w:qFormat="1" w:unhideWhenUsed="0" w:uiPriority="0" w:semiHidden="0" w:name="Body Text Indent 3" w:locked="1"/>
    <w:lsdException w:qFormat="1" w:unhideWhenUsed="0" w:uiPriority="0" w:semiHidden="0" w:name="Block Text" w:locked="1"/>
    <w:lsdException w:qFormat="1" w:uiPriority="99" w:semiHidden="0" w:name="Hyperlink" w:locked="1"/>
    <w:lsdException w:unhideWhenUsed="0" w:uiPriority="0" w:semiHidden="0" w:name="FollowedHyperlink" w:locked="1"/>
    <w:lsdException w:qFormat="1" w:unhideWhenUsed="0" w:uiPriority="0" w:semiHidden="0" w:name="Strong" w:locked="1"/>
    <w:lsdException w:qFormat="1" w:unhideWhenUsed="0" w:uiPriority="0" w:semiHidden="0" w:name="Emphasis" w:locked="1"/>
    <w:lsdException w:unhideWhenUsed="0" w:uiPriority="0" w:semiHidden="0" w:name="Document Map" w:locked="1"/>
    <w:lsdException w:qFormat="1" w:unhideWhenUsed="0" w:uiPriority="0" w:semiHidden="0" w:name="Plain Text" w:locked="1"/>
    <w:lsdException w:unhideWhenUsed="0" w:uiPriority="0" w:semiHidden="0" w:name="E-mail Signature" w:locked="1"/>
    <w:lsdException w:qFormat="1" w:unhideWhenUsed="0" w:uiPriority="0" w:semiHidden="0" w:name="Normal (Web)"/>
    <w:lsdException w:unhideWhenUsed="0" w:uiPriority="0" w:semiHidden="0" w:name="HTML Acronym" w:locked="1"/>
    <w:lsdException w:unhideWhenUsed="0" w:uiPriority="0" w:semiHidden="0" w:name="HTML Address" w:locked="1"/>
    <w:lsdException w:unhideWhenUsed="0" w:uiPriority="0" w:semiHidden="0" w:name="HTML Cite" w:locked="1"/>
    <w:lsdException w:unhideWhenUsed="0" w:uiPriority="0" w:semiHidden="0" w:name="HTML Code" w:locked="1"/>
    <w:lsdException w:unhideWhenUsed="0" w:uiPriority="0" w:semiHidden="0" w:name="HTML Definition" w:locked="1"/>
    <w:lsdException w:unhideWhenUsed="0" w:uiPriority="0" w:semiHidden="0" w:name="HTML Keyboard" w:locked="1"/>
    <w:lsdException w:qFormat="1" w:unhideWhenUsed="0" w:uiPriority="0" w:semiHidden="0" w:name="HTML Preformatted" w:locked="1"/>
    <w:lsdException w:unhideWhenUsed="0" w:uiPriority="0" w:semiHidden="0" w:name="HTML Sample" w:locked="1"/>
    <w:lsdException w:unhideWhenUsed="0" w:uiPriority="0" w:semiHidden="0" w:name="HTML Typewriter" w:locked="1"/>
    <w:lsdException w:unhideWhenUsed="0" w:uiPriority="0" w:semiHidden="0" w:name="HTML Variable" w:locked="1"/>
    <w:lsdException w:qFormat="1" w:uiPriority="99" w:name="Normal Table"/>
    <w:lsdException w:qFormat="1" w:unhideWhenUsed="0" w:uiPriority="0" w:name="annotation subject"/>
    <w:lsdException w:unhideWhenUsed="0" w:uiPriority="0" w:semiHidden="0" w:name="Table Simple 1" w:locked="1"/>
    <w:lsdException w:unhideWhenUsed="0" w:uiPriority="0" w:semiHidden="0" w:name="Table Simple 2" w:locked="1"/>
    <w:lsdException w:unhideWhenUsed="0" w:uiPriority="0" w:semiHidden="0" w:name="Table Simple 3" w:locked="1"/>
    <w:lsdException w:unhideWhenUsed="0" w:uiPriority="0" w:semiHidden="0" w:name="Table Classic 1" w:locked="1"/>
    <w:lsdException w:unhideWhenUsed="0" w:uiPriority="0" w:semiHidden="0" w:name="Table Classic 2" w:locked="1"/>
    <w:lsdException w:unhideWhenUsed="0" w:uiPriority="0" w:semiHidden="0" w:name="Table Classic 3" w:locked="1"/>
    <w:lsdException w:unhideWhenUsed="0" w:uiPriority="0" w:semiHidden="0" w:name="Table Classic 4" w:locked="1"/>
    <w:lsdException w:unhideWhenUsed="0" w:uiPriority="0" w:semiHidden="0" w:name="Table Colorful 1" w:locked="1"/>
    <w:lsdException w:unhideWhenUsed="0" w:uiPriority="0" w:semiHidden="0" w:name="Table Colorful 2" w:locked="1"/>
    <w:lsdException w:unhideWhenUsed="0" w:uiPriority="0" w:semiHidden="0" w:name="Table Colorful 3" w:locked="1"/>
    <w:lsdException w:unhideWhenUsed="0" w:uiPriority="0" w:semiHidden="0" w:name="Table Columns 1" w:locked="1"/>
    <w:lsdException w:unhideWhenUsed="0" w:uiPriority="0" w:semiHidden="0" w:name="Table Columns 2" w:locked="1"/>
    <w:lsdException w:unhideWhenUsed="0" w:uiPriority="0" w:semiHidden="0" w:name="Table Columns 3" w:locked="1"/>
    <w:lsdException w:unhideWhenUsed="0" w:uiPriority="0" w:semiHidden="0" w:name="Table Columns 4" w:locked="1"/>
    <w:lsdException w:unhideWhenUsed="0" w:uiPriority="0" w:semiHidden="0" w:name="Table Columns 5" w:locked="1"/>
    <w:lsdException w:unhideWhenUsed="0" w:uiPriority="0" w:semiHidden="0" w:name="Table Grid 1" w:locked="1"/>
    <w:lsdException w:unhideWhenUsed="0" w:uiPriority="0" w:semiHidden="0" w:name="Table Grid 2" w:locked="1"/>
    <w:lsdException w:unhideWhenUsed="0" w:uiPriority="0" w:semiHidden="0" w:name="Table Grid 3" w:locked="1"/>
    <w:lsdException w:unhideWhenUsed="0" w:uiPriority="0" w:semiHidden="0" w:name="Table Grid 4" w:locked="1"/>
    <w:lsdException w:unhideWhenUsed="0" w:uiPriority="0" w:semiHidden="0" w:name="Table Grid 5" w:locked="1"/>
    <w:lsdException w:unhideWhenUsed="0" w:uiPriority="0" w:semiHidden="0" w:name="Table Grid 6" w:locked="1"/>
    <w:lsdException w:unhideWhenUsed="0" w:uiPriority="0" w:semiHidden="0" w:name="Table Grid 7" w:locked="1"/>
    <w:lsdException w:unhideWhenUsed="0" w:uiPriority="0" w:semiHidden="0" w:name="Table Grid 8" w:locked="1"/>
    <w:lsdException w:unhideWhenUsed="0" w:uiPriority="0" w:semiHidden="0" w:name="Table List 1" w:locked="1"/>
    <w:lsdException w:unhideWhenUsed="0" w:uiPriority="0" w:semiHidden="0" w:name="Table List 2" w:locked="1"/>
    <w:lsdException w:unhideWhenUsed="0" w:uiPriority="0" w:semiHidden="0" w:name="Table List 3" w:locked="1"/>
    <w:lsdException w:unhideWhenUsed="0" w:uiPriority="0" w:semiHidden="0" w:name="Table List 4" w:locked="1"/>
    <w:lsdException w:unhideWhenUsed="0" w:uiPriority="0" w:semiHidden="0" w:name="Table List 5" w:locked="1"/>
    <w:lsdException w:unhideWhenUsed="0" w:uiPriority="0" w:semiHidden="0" w:name="Table List 6" w:locked="1"/>
    <w:lsdException w:unhideWhenUsed="0" w:uiPriority="0" w:semiHidden="0" w:name="Table List 7" w:locked="1"/>
    <w:lsdException w:unhideWhenUsed="0" w:uiPriority="0" w:semiHidden="0" w:name="Table List 8" w:locked="1"/>
    <w:lsdException w:unhideWhenUsed="0" w:uiPriority="0" w:semiHidden="0" w:name="Table 3D effects 1" w:locked="1"/>
    <w:lsdException w:unhideWhenUsed="0" w:uiPriority="0" w:semiHidden="0" w:name="Table 3D effects 2" w:locked="1"/>
    <w:lsdException w:unhideWhenUsed="0" w:uiPriority="0" w:semiHidden="0" w:name="Table 3D effects 3" w:locked="1"/>
    <w:lsdException w:unhideWhenUsed="0" w:uiPriority="0" w:semiHidden="0" w:name="Table Contemporary" w:locked="1"/>
    <w:lsdException w:unhideWhenUsed="0" w:uiPriority="0" w:semiHidden="0" w:name="Table Elegant" w:locked="1"/>
    <w:lsdException w:unhideWhenUsed="0" w:uiPriority="0" w:semiHidden="0" w:name="Table Professional" w:locked="1"/>
    <w:lsdException w:unhideWhenUsed="0" w:uiPriority="0" w:semiHidden="0" w:name="Table Subtle 1" w:locked="1"/>
    <w:lsdException w:unhideWhenUsed="0" w:uiPriority="0" w:semiHidden="0" w:name="Table Subtle 2" w:locked="1"/>
    <w:lsdException w:unhideWhenUsed="0" w:uiPriority="0" w:semiHidden="0" w:name="Table Web 1" w:locked="1"/>
    <w:lsdException w:unhideWhenUsed="0" w:uiPriority="0" w:semiHidden="0" w:name="Table Web 2" w:locked="1"/>
    <w:lsdException w:unhideWhenUsed="0" w:uiPriority="0" w:semiHidden="0" w:name="Table Web 3" w:locked="1"/>
    <w:lsdException w:qFormat="1" w:unhideWhenUsed="0" w:uiPriority="0" w:name="Balloon Text"/>
    <w:lsdException w:qFormat="1" w:unhideWhenUsed="0" w:uiPriority="0" w:semiHidden="0" w:name="Table Grid"/>
    <w:lsdException w:unhideWhenUsed="0" w:uiPriority="0" w:semiHidden="0"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spacing w:line="360" w:lineRule="auto"/>
    </w:pPr>
    <w:rPr>
      <w:rFonts w:ascii="Times New Roman" w:hAnsi="Times New Roman" w:eastAsia="宋体" w:cs="Times New Roman"/>
      <w:kern w:val="2"/>
      <w:sz w:val="24"/>
      <w:szCs w:val="24"/>
      <w:lang w:val="en-US" w:eastAsia="zh-CN" w:bidi="ar-SA"/>
    </w:rPr>
  </w:style>
  <w:style w:type="paragraph" w:styleId="6">
    <w:name w:val="heading 1"/>
    <w:basedOn w:val="1"/>
    <w:next w:val="1"/>
    <w:link w:val="70"/>
    <w:autoRedefine/>
    <w:qFormat/>
    <w:locked/>
    <w:uiPriority w:val="99"/>
    <w:pPr>
      <w:keepNext/>
      <w:overflowPunct w:val="0"/>
      <w:snapToGrid w:val="0"/>
      <w:spacing w:line="240" w:lineRule="auto"/>
      <w:jc w:val="center"/>
      <w:outlineLvl w:val="0"/>
    </w:pPr>
    <w:rPr>
      <w:rFonts w:eastAsia="黑体"/>
      <w:bCs/>
      <w:color w:val="000000"/>
      <w:kern w:val="44"/>
      <w:sz w:val="30"/>
      <w:szCs w:val="30"/>
    </w:rPr>
  </w:style>
  <w:style w:type="paragraph" w:styleId="7">
    <w:name w:val="heading 2"/>
    <w:basedOn w:val="1"/>
    <w:next w:val="2"/>
    <w:autoRedefine/>
    <w:unhideWhenUsed/>
    <w:qFormat/>
    <w:locked/>
    <w:uiPriority w:val="0"/>
    <w:pPr>
      <w:keepNext/>
      <w:keepLines/>
      <w:spacing w:line="312" w:lineRule="auto"/>
      <w:jc w:val="center"/>
      <w:outlineLvl w:val="1"/>
    </w:pPr>
    <w:rPr>
      <w:b/>
      <w:szCs w:val="21"/>
    </w:rPr>
  </w:style>
  <w:style w:type="paragraph" w:styleId="8">
    <w:name w:val="heading 3"/>
    <w:basedOn w:val="1"/>
    <w:next w:val="1"/>
    <w:autoRedefine/>
    <w:unhideWhenUsed/>
    <w:qFormat/>
    <w:locked/>
    <w:uiPriority w:val="0"/>
    <w:pPr>
      <w:keepNext/>
      <w:keepLines/>
      <w:outlineLvl w:val="2"/>
    </w:pPr>
    <w:rPr>
      <w:b/>
      <w:sz w:val="28"/>
    </w:rPr>
  </w:style>
  <w:style w:type="paragraph" w:styleId="9">
    <w:name w:val="heading 4"/>
    <w:basedOn w:val="1"/>
    <w:next w:val="1"/>
    <w:autoRedefine/>
    <w:unhideWhenUsed/>
    <w:qFormat/>
    <w:locked/>
    <w:uiPriority w:val="0"/>
    <w:pPr>
      <w:keepNext/>
      <w:keepLines/>
      <w:outlineLvl w:val="3"/>
    </w:pPr>
    <w:rPr>
      <w:b/>
      <w:szCs w:val="21"/>
    </w:rPr>
  </w:style>
  <w:style w:type="paragraph" w:styleId="10">
    <w:name w:val="heading 5"/>
    <w:basedOn w:val="1"/>
    <w:next w:val="1"/>
    <w:autoRedefine/>
    <w:unhideWhenUsed/>
    <w:qFormat/>
    <w:locked/>
    <w:uiPriority w:val="0"/>
    <w:pPr>
      <w:snapToGrid w:val="0"/>
      <w:outlineLvl w:val="4"/>
    </w:pPr>
    <w:rPr>
      <w:rFonts w:hint="eastAsia"/>
      <w:szCs w:val="21"/>
    </w:rPr>
  </w:style>
  <w:style w:type="character" w:default="1" w:styleId="36">
    <w:name w:val="Default Paragraph Font"/>
    <w:autoRedefine/>
    <w:semiHidden/>
    <w:unhideWhenUsed/>
    <w:qFormat/>
    <w:uiPriority w:val="1"/>
  </w:style>
  <w:style w:type="table" w:default="1" w:styleId="34">
    <w:name w:val="Normal Table"/>
    <w:autoRedefine/>
    <w:semiHidden/>
    <w:unhideWhenUsed/>
    <w:qFormat/>
    <w:uiPriority w:val="99"/>
    <w:tblPr>
      <w:tblCellMar>
        <w:top w:w="0" w:type="dxa"/>
        <w:left w:w="108" w:type="dxa"/>
        <w:bottom w:w="0" w:type="dxa"/>
        <w:right w:w="108" w:type="dxa"/>
      </w:tblCellMar>
    </w:tblPr>
  </w:style>
  <w:style w:type="paragraph" w:styleId="2">
    <w:name w:val="Normal Indent"/>
    <w:basedOn w:val="1"/>
    <w:next w:val="3"/>
    <w:autoRedefine/>
    <w:qFormat/>
    <w:locked/>
    <w:uiPriority w:val="0"/>
    <w:pPr>
      <w:ind w:firstLine="420"/>
    </w:pPr>
  </w:style>
  <w:style w:type="paragraph" w:customStyle="1" w:styleId="3">
    <w:name w:val="样式 正文文本 + 首行缩进:  2 字符"/>
    <w:basedOn w:val="4"/>
    <w:autoRedefine/>
    <w:qFormat/>
    <w:uiPriority w:val="99"/>
    <w:pPr>
      <w:spacing w:after="200" w:line="480" w:lineRule="exact"/>
      <w:ind w:firstLine="480"/>
    </w:pPr>
    <w:rPr>
      <w:rFonts w:ascii="宋体" w:hAnsi="宋体"/>
      <w:sz w:val="24"/>
    </w:rPr>
  </w:style>
  <w:style w:type="paragraph" w:styleId="4">
    <w:name w:val="Body Text"/>
    <w:basedOn w:val="1"/>
    <w:next w:val="5"/>
    <w:link w:val="50"/>
    <w:autoRedefine/>
    <w:qFormat/>
    <w:uiPriority w:val="0"/>
    <w:pPr>
      <w:widowControl/>
      <w:snapToGrid w:val="0"/>
      <w:spacing w:before="60" w:after="160" w:line="259" w:lineRule="auto"/>
      <w:ind w:right="113"/>
    </w:pPr>
    <w:rPr>
      <w:kern w:val="0"/>
      <w:sz w:val="18"/>
      <w:szCs w:val="20"/>
    </w:rPr>
  </w:style>
  <w:style w:type="paragraph" w:customStyle="1" w:styleId="5">
    <w:name w:val="默认段落"/>
    <w:basedOn w:val="1"/>
    <w:autoRedefine/>
    <w:qFormat/>
    <w:uiPriority w:val="0"/>
  </w:style>
  <w:style w:type="paragraph" w:styleId="11">
    <w:name w:val="toa heading"/>
    <w:basedOn w:val="1"/>
    <w:next w:val="1"/>
    <w:autoRedefine/>
    <w:qFormat/>
    <w:locked/>
    <w:uiPriority w:val="0"/>
    <w:pPr>
      <w:spacing w:before="120" w:after="120"/>
      <w:ind w:firstLine="200" w:firstLineChars="200"/>
    </w:pPr>
    <w:rPr>
      <w:u w:val="single"/>
    </w:rPr>
  </w:style>
  <w:style w:type="paragraph" w:styleId="12">
    <w:name w:val="annotation text"/>
    <w:basedOn w:val="1"/>
    <w:link w:val="49"/>
    <w:autoRedefine/>
    <w:semiHidden/>
    <w:qFormat/>
    <w:uiPriority w:val="0"/>
    <w:rPr>
      <w:kern w:val="0"/>
      <w:szCs w:val="20"/>
    </w:rPr>
  </w:style>
  <w:style w:type="paragraph" w:styleId="13">
    <w:name w:val="Body Text Indent"/>
    <w:basedOn w:val="1"/>
    <w:link w:val="48"/>
    <w:autoRedefine/>
    <w:qFormat/>
    <w:uiPriority w:val="0"/>
    <w:pPr>
      <w:spacing w:after="120"/>
      <w:ind w:left="420" w:leftChars="200"/>
    </w:pPr>
    <w:rPr>
      <w:kern w:val="0"/>
      <w:szCs w:val="20"/>
    </w:rPr>
  </w:style>
  <w:style w:type="paragraph" w:styleId="14">
    <w:name w:val="List 2"/>
    <w:basedOn w:val="1"/>
    <w:autoRedefine/>
    <w:qFormat/>
    <w:locked/>
    <w:uiPriority w:val="0"/>
    <w:pPr>
      <w:spacing w:line="320" w:lineRule="exact"/>
      <w:jc w:val="center"/>
    </w:pPr>
    <w:rPr>
      <w:b/>
    </w:rPr>
  </w:style>
  <w:style w:type="paragraph" w:styleId="15">
    <w:name w:val="Block Text"/>
    <w:basedOn w:val="1"/>
    <w:autoRedefine/>
    <w:qFormat/>
    <w:locked/>
    <w:uiPriority w:val="0"/>
    <w:pPr>
      <w:wordWrap/>
      <w:snapToGrid w:val="0"/>
      <w:spacing w:line="0" w:lineRule="atLeast"/>
      <w:ind w:left="-57" w:right="-57"/>
      <w:jc w:val="center"/>
    </w:pPr>
    <w:rPr>
      <w:spacing w:val="-12"/>
      <w:w w:val="90"/>
      <w:sz w:val="21"/>
    </w:rPr>
  </w:style>
  <w:style w:type="paragraph" w:styleId="16">
    <w:name w:val="Plain Text"/>
    <w:basedOn w:val="1"/>
    <w:next w:val="17"/>
    <w:autoRedefine/>
    <w:qFormat/>
    <w:locked/>
    <w:uiPriority w:val="0"/>
    <w:rPr>
      <w:rFonts w:ascii="宋体" w:hAnsi="Courier New"/>
      <w:szCs w:val="20"/>
    </w:rPr>
  </w:style>
  <w:style w:type="paragraph" w:customStyle="1" w:styleId="17">
    <w:name w:val="表内文字"/>
    <w:basedOn w:val="1"/>
    <w:next w:val="18"/>
    <w:autoRedefine/>
    <w:qFormat/>
    <w:uiPriority w:val="0"/>
    <w:pPr>
      <w:spacing w:line="360" w:lineRule="atLeast"/>
      <w:jc w:val="center"/>
    </w:pPr>
  </w:style>
  <w:style w:type="paragraph" w:customStyle="1" w:styleId="18">
    <w:name w:val="+正文"/>
    <w:basedOn w:val="1"/>
    <w:autoRedefine/>
    <w:qFormat/>
    <w:uiPriority w:val="0"/>
    <w:pPr>
      <w:spacing w:line="360" w:lineRule="auto"/>
      <w:ind w:firstLine="560" w:firstLineChars="200"/>
      <w:outlineLvl w:val="0"/>
    </w:pPr>
    <w:rPr>
      <w:rFonts w:ascii="宋体"/>
      <w:sz w:val="28"/>
      <w:szCs w:val="28"/>
    </w:rPr>
  </w:style>
  <w:style w:type="paragraph" w:styleId="19">
    <w:name w:val="Date"/>
    <w:basedOn w:val="1"/>
    <w:next w:val="1"/>
    <w:link w:val="51"/>
    <w:autoRedefine/>
    <w:qFormat/>
    <w:uiPriority w:val="0"/>
    <w:pPr>
      <w:ind w:left="100" w:leftChars="2500"/>
    </w:pPr>
    <w:rPr>
      <w:kern w:val="0"/>
      <w:szCs w:val="20"/>
    </w:rPr>
  </w:style>
  <w:style w:type="paragraph" w:styleId="20">
    <w:name w:val="Body Text Indent 2"/>
    <w:basedOn w:val="1"/>
    <w:next w:val="11"/>
    <w:autoRedefine/>
    <w:qFormat/>
    <w:locked/>
    <w:uiPriority w:val="0"/>
    <w:pPr>
      <w:ind w:firstLine="425"/>
    </w:pPr>
    <w:rPr>
      <w:sz w:val="28"/>
      <w:szCs w:val="20"/>
    </w:rPr>
  </w:style>
  <w:style w:type="paragraph" w:styleId="21">
    <w:name w:val="Balloon Text"/>
    <w:basedOn w:val="1"/>
    <w:link w:val="52"/>
    <w:autoRedefine/>
    <w:semiHidden/>
    <w:qFormat/>
    <w:uiPriority w:val="0"/>
    <w:rPr>
      <w:kern w:val="0"/>
      <w:sz w:val="18"/>
      <w:szCs w:val="20"/>
    </w:rPr>
  </w:style>
  <w:style w:type="paragraph" w:styleId="22">
    <w:name w:val="footer"/>
    <w:basedOn w:val="1"/>
    <w:link w:val="53"/>
    <w:autoRedefine/>
    <w:qFormat/>
    <w:uiPriority w:val="99"/>
    <w:pPr>
      <w:tabs>
        <w:tab w:val="center" w:pos="4153"/>
        <w:tab w:val="right" w:pos="8306"/>
      </w:tabs>
      <w:snapToGrid w:val="0"/>
    </w:pPr>
    <w:rPr>
      <w:kern w:val="0"/>
      <w:sz w:val="18"/>
      <w:szCs w:val="20"/>
    </w:rPr>
  </w:style>
  <w:style w:type="paragraph" w:styleId="23">
    <w:name w:val="header"/>
    <w:basedOn w:val="1"/>
    <w:link w:val="54"/>
    <w:autoRedefine/>
    <w:qFormat/>
    <w:uiPriority w:val="0"/>
    <w:pPr>
      <w:pBdr>
        <w:bottom w:val="single" w:color="auto" w:sz="6" w:space="1"/>
      </w:pBdr>
      <w:tabs>
        <w:tab w:val="center" w:pos="4153"/>
        <w:tab w:val="right" w:pos="8306"/>
      </w:tabs>
      <w:snapToGrid w:val="0"/>
      <w:jc w:val="center"/>
    </w:pPr>
    <w:rPr>
      <w:kern w:val="0"/>
      <w:sz w:val="18"/>
      <w:szCs w:val="20"/>
    </w:rPr>
  </w:style>
  <w:style w:type="paragraph" w:styleId="24">
    <w:name w:val="toc 4"/>
    <w:basedOn w:val="1"/>
    <w:next w:val="1"/>
    <w:autoRedefine/>
    <w:qFormat/>
    <w:locked/>
    <w:uiPriority w:val="0"/>
    <w:pPr>
      <w:ind w:left="1260" w:leftChars="600"/>
    </w:pPr>
  </w:style>
  <w:style w:type="paragraph" w:styleId="25">
    <w:name w:val="List"/>
    <w:basedOn w:val="1"/>
    <w:autoRedefine/>
    <w:qFormat/>
    <w:locked/>
    <w:uiPriority w:val="0"/>
    <w:pPr>
      <w:ind w:left="200" w:hanging="200" w:hangingChars="200"/>
    </w:pPr>
  </w:style>
  <w:style w:type="paragraph" w:styleId="26">
    <w:name w:val="Body Text Indent 3"/>
    <w:basedOn w:val="1"/>
    <w:autoRedefine/>
    <w:qFormat/>
    <w:locked/>
    <w:uiPriority w:val="0"/>
    <w:pPr>
      <w:ind w:left="600"/>
    </w:pPr>
    <w:rPr>
      <w:rFonts w:ascii="宋体"/>
      <w:szCs w:val="20"/>
    </w:rPr>
  </w:style>
  <w:style w:type="paragraph" w:styleId="27">
    <w:name w:val="index 9"/>
    <w:basedOn w:val="1"/>
    <w:next w:val="1"/>
    <w:autoRedefine/>
    <w:semiHidden/>
    <w:qFormat/>
    <w:locked/>
    <w:uiPriority w:val="99"/>
    <w:pPr>
      <w:ind w:left="3360"/>
      <w:jc w:val="left"/>
    </w:pPr>
  </w:style>
  <w:style w:type="paragraph" w:styleId="28">
    <w:name w:val="Body Text 2"/>
    <w:basedOn w:val="1"/>
    <w:autoRedefine/>
    <w:qFormat/>
    <w:locked/>
    <w:uiPriority w:val="0"/>
    <w:rPr>
      <w:rFonts w:ascii="宋体" w:hAnsi="宋体"/>
      <w:sz w:val="28"/>
      <w:szCs w:val="20"/>
    </w:rPr>
  </w:style>
  <w:style w:type="paragraph" w:styleId="29">
    <w:name w:val="HTML Preformatted"/>
    <w:basedOn w:val="1"/>
    <w:autoRedefine/>
    <w:qFormat/>
    <w:locked/>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hint="eastAsia" w:ascii="宋体" w:hAnsi="宋体"/>
      <w:kern w:val="0"/>
    </w:rPr>
  </w:style>
  <w:style w:type="paragraph" w:styleId="30">
    <w:name w:val="Normal (Web)"/>
    <w:basedOn w:val="1"/>
    <w:link w:val="55"/>
    <w:autoRedefine/>
    <w:qFormat/>
    <w:uiPriority w:val="0"/>
    <w:pPr>
      <w:widowControl/>
      <w:spacing w:before="100" w:beforeAutospacing="1" w:after="100" w:afterAutospacing="1"/>
    </w:pPr>
    <w:rPr>
      <w:rFonts w:ascii="宋体" w:hAnsi="宋体"/>
      <w:kern w:val="0"/>
      <w:szCs w:val="20"/>
    </w:rPr>
  </w:style>
  <w:style w:type="paragraph" w:styleId="31">
    <w:name w:val="annotation subject"/>
    <w:basedOn w:val="12"/>
    <w:next w:val="12"/>
    <w:link w:val="56"/>
    <w:autoRedefine/>
    <w:semiHidden/>
    <w:qFormat/>
    <w:uiPriority w:val="0"/>
    <w:rPr>
      <w:b/>
    </w:rPr>
  </w:style>
  <w:style w:type="paragraph" w:styleId="32">
    <w:name w:val="Body Text First Indent"/>
    <w:basedOn w:val="4"/>
    <w:autoRedefine/>
    <w:qFormat/>
    <w:locked/>
    <w:uiPriority w:val="0"/>
    <w:pPr>
      <w:spacing w:after="120"/>
      <w:ind w:firstLine="420" w:firstLineChars="100"/>
    </w:pPr>
    <w:rPr>
      <w:sz w:val="21"/>
      <w:szCs w:val="24"/>
    </w:rPr>
  </w:style>
  <w:style w:type="paragraph" w:styleId="33">
    <w:name w:val="Body Text First Indent 2"/>
    <w:basedOn w:val="13"/>
    <w:next w:val="32"/>
    <w:autoRedefine/>
    <w:qFormat/>
    <w:locked/>
    <w:uiPriority w:val="0"/>
    <w:pPr>
      <w:ind w:firstLine="420" w:firstLineChars="200"/>
    </w:pPr>
  </w:style>
  <w:style w:type="table" w:styleId="35">
    <w:name w:val="Table Grid"/>
    <w:basedOn w:val="34"/>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7">
    <w:name w:val="Strong"/>
    <w:basedOn w:val="36"/>
    <w:autoRedefine/>
    <w:qFormat/>
    <w:locked/>
    <w:uiPriority w:val="0"/>
    <w:rPr>
      <w:b/>
    </w:rPr>
  </w:style>
  <w:style w:type="character" w:styleId="38">
    <w:name w:val="page number"/>
    <w:basedOn w:val="36"/>
    <w:autoRedefine/>
    <w:qFormat/>
    <w:locked/>
    <w:uiPriority w:val="0"/>
  </w:style>
  <w:style w:type="character" w:styleId="39">
    <w:name w:val="Emphasis"/>
    <w:basedOn w:val="36"/>
    <w:autoRedefine/>
    <w:qFormat/>
    <w:locked/>
    <w:uiPriority w:val="0"/>
    <w:rPr>
      <w:i/>
    </w:rPr>
  </w:style>
  <w:style w:type="character" w:styleId="40">
    <w:name w:val="Hyperlink"/>
    <w:autoRedefine/>
    <w:unhideWhenUsed/>
    <w:qFormat/>
    <w:locked/>
    <w:uiPriority w:val="99"/>
    <w:rPr>
      <w:rFonts w:ascii="Arial" w:hAnsi="Arial" w:cs="Arial"/>
      <w:color w:val="0331BC"/>
      <w:u w:val="single"/>
    </w:rPr>
  </w:style>
  <w:style w:type="character" w:styleId="41">
    <w:name w:val="annotation reference"/>
    <w:autoRedefine/>
    <w:semiHidden/>
    <w:qFormat/>
    <w:uiPriority w:val="0"/>
    <w:rPr>
      <w:sz w:val="21"/>
    </w:rPr>
  </w:style>
  <w:style w:type="paragraph" w:customStyle="1" w:styleId="42">
    <w:name w:val="xl27"/>
    <w:basedOn w:val="1"/>
    <w:autoRedefine/>
    <w:qFormat/>
    <w:uiPriority w:val="0"/>
    <w:pPr>
      <w:widowControl/>
      <w:pBdr>
        <w:bottom w:val="single" w:color="auto" w:sz="4" w:space="0"/>
        <w:right w:val="single" w:color="auto" w:sz="4" w:space="0"/>
      </w:pBdr>
      <w:spacing w:before="100" w:beforeAutospacing="1" w:after="100" w:afterAutospacing="1"/>
      <w:jc w:val="center"/>
    </w:pPr>
    <w:rPr>
      <w:kern w:val="0"/>
      <w:sz w:val="24"/>
    </w:rPr>
  </w:style>
  <w:style w:type="paragraph" w:customStyle="1" w:styleId="43">
    <w:name w:val="样式 样式 样式 四号 左侧:  1.53 厘米 + 首行缩进:  2 字符 + 居中 左侧:  2 字符 首行缩进:  2..."/>
    <w:basedOn w:val="44"/>
    <w:autoRedefine/>
    <w:qFormat/>
    <w:uiPriority w:val="0"/>
    <w:pPr>
      <w:jc w:val="center"/>
    </w:pPr>
  </w:style>
  <w:style w:type="paragraph" w:customStyle="1" w:styleId="44">
    <w:name w:val="样式 样式 四号 左侧:  1.53 厘米 + 首行缩进:  2 字符"/>
    <w:basedOn w:val="45"/>
    <w:autoRedefine/>
    <w:qFormat/>
    <w:uiPriority w:val="0"/>
    <w:pPr>
      <w:ind w:left="200" w:leftChars="200"/>
    </w:pPr>
    <w:rPr>
      <w:szCs w:val="20"/>
    </w:rPr>
  </w:style>
  <w:style w:type="paragraph" w:customStyle="1" w:styleId="45">
    <w:name w:val="样式 四号 左侧:  1.53 厘米"/>
    <w:basedOn w:val="1"/>
    <w:autoRedefine/>
    <w:qFormat/>
    <w:uiPriority w:val="0"/>
    <w:pPr>
      <w:adjustRightInd w:val="0"/>
    </w:pPr>
    <w:rPr>
      <w:w w:val="90"/>
      <w:sz w:val="28"/>
      <w:szCs w:val="28"/>
    </w:rPr>
  </w:style>
  <w:style w:type="paragraph" w:customStyle="1" w:styleId="46">
    <w:name w:val="Default"/>
    <w:autoRedefine/>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47">
    <w:name w:val="表头"/>
    <w:basedOn w:val="25"/>
    <w:next w:val="1"/>
    <w:link w:val="80"/>
    <w:autoRedefine/>
    <w:qFormat/>
    <w:uiPriority w:val="0"/>
    <w:pPr>
      <w:keepNext/>
      <w:keepLines/>
      <w:autoSpaceDE w:val="0"/>
      <w:autoSpaceDN w:val="0"/>
      <w:adjustRightInd w:val="0"/>
      <w:spacing w:line="240" w:lineRule="auto"/>
      <w:jc w:val="center"/>
    </w:pPr>
    <w:rPr>
      <w:b/>
      <w:kern w:val="21"/>
      <w:szCs w:val="20"/>
    </w:rPr>
  </w:style>
  <w:style w:type="character" w:customStyle="1" w:styleId="48">
    <w:name w:val="正文文本缩进 Char"/>
    <w:link w:val="13"/>
    <w:autoRedefine/>
    <w:semiHidden/>
    <w:qFormat/>
    <w:locked/>
    <w:uiPriority w:val="0"/>
    <w:rPr>
      <w:rFonts w:ascii="Times New Roman" w:hAnsi="Times New Roman" w:eastAsia="宋体"/>
      <w:sz w:val="24"/>
    </w:rPr>
  </w:style>
  <w:style w:type="character" w:customStyle="1" w:styleId="49">
    <w:name w:val="批注文字 Char"/>
    <w:link w:val="12"/>
    <w:autoRedefine/>
    <w:qFormat/>
    <w:locked/>
    <w:uiPriority w:val="0"/>
    <w:rPr>
      <w:rFonts w:ascii="Times New Roman" w:hAnsi="Times New Roman" w:eastAsia="宋体"/>
      <w:sz w:val="24"/>
    </w:rPr>
  </w:style>
  <w:style w:type="character" w:customStyle="1" w:styleId="50">
    <w:name w:val="正文文本 Char"/>
    <w:link w:val="4"/>
    <w:autoRedefine/>
    <w:qFormat/>
    <w:locked/>
    <w:uiPriority w:val="0"/>
    <w:rPr>
      <w:sz w:val="18"/>
    </w:rPr>
  </w:style>
  <w:style w:type="character" w:customStyle="1" w:styleId="51">
    <w:name w:val="日期 Char"/>
    <w:link w:val="19"/>
    <w:autoRedefine/>
    <w:qFormat/>
    <w:locked/>
    <w:uiPriority w:val="0"/>
    <w:rPr>
      <w:rFonts w:ascii="Times New Roman" w:hAnsi="Times New Roman" w:eastAsia="宋体"/>
      <w:sz w:val="24"/>
    </w:rPr>
  </w:style>
  <w:style w:type="character" w:customStyle="1" w:styleId="52">
    <w:name w:val="批注框文本 Char"/>
    <w:link w:val="21"/>
    <w:autoRedefine/>
    <w:semiHidden/>
    <w:qFormat/>
    <w:locked/>
    <w:uiPriority w:val="0"/>
    <w:rPr>
      <w:rFonts w:ascii="Times New Roman" w:hAnsi="Times New Roman" w:eastAsia="宋体"/>
      <w:sz w:val="18"/>
    </w:rPr>
  </w:style>
  <w:style w:type="character" w:customStyle="1" w:styleId="53">
    <w:name w:val="页脚 Char"/>
    <w:link w:val="22"/>
    <w:autoRedefine/>
    <w:qFormat/>
    <w:locked/>
    <w:uiPriority w:val="99"/>
    <w:rPr>
      <w:sz w:val="18"/>
    </w:rPr>
  </w:style>
  <w:style w:type="character" w:customStyle="1" w:styleId="54">
    <w:name w:val="页眉 Char"/>
    <w:link w:val="23"/>
    <w:autoRedefine/>
    <w:qFormat/>
    <w:locked/>
    <w:uiPriority w:val="0"/>
    <w:rPr>
      <w:sz w:val="18"/>
    </w:rPr>
  </w:style>
  <w:style w:type="character" w:customStyle="1" w:styleId="55">
    <w:name w:val="普通(网站) Char"/>
    <w:link w:val="30"/>
    <w:autoRedefine/>
    <w:qFormat/>
    <w:locked/>
    <w:uiPriority w:val="0"/>
    <w:rPr>
      <w:rFonts w:ascii="宋体" w:hAnsi="宋体" w:eastAsia="宋体"/>
      <w:sz w:val="24"/>
    </w:rPr>
  </w:style>
  <w:style w:type="character" w:customStyle="1" w:styleId="56">
    <w:name w:val="批注主题 Char"/>
    <w:link w:val="31"/>
    <w:autoRedefine/>
    <w:semiHidden/>
    <w:qFormat/>
    <w:locked/>
    <w:uiPriority w:val="0"/>
    <w:rPr>
      <w:rFonts w:ascii="Times New Roman" w:hAnsi="Times New Roman" w:eastAsia="宋体"/>
      <w:b/>
      <w:kern w:val="2"/>
      <w:sz w:val="24"/>
    </w:rPr>
  </w:style>
  <w:style w:type="character" w:customStyle="1" w:styleId="57">
    <w:name w:val="表格 Char"/>
    <w:link w:val="58"/>
    <w:autoRedefine/>
    <w:qFormat/>
    <w:locked/>
    <w:uiPriority w:val="0"/>
    <w:rPr>
      <w:rFonts w:ascii="宋体" w:hAnsi="宋体" w:eastAsia="宋体"/>
      <w:sz w:val="21"/>
    </w:rPr>
  </w:style>
  <w:style w:type="paragraph" w:customStyle="1" w:styleId="58">
    <w:name w:val="表格"/>
    <w:basedOn w:val="2"/>
    <w:next w:val="1"/>
    <w:link w:val="57"/>
    <w:autoRedefine/>
    <w:qFormat/>
    <w:uiPriority w:val="0"/>
    <w:pPr>
      <w:adjustRightInd w:val="0"/>
      <w:snapToGrid w:val="0"/>
      <w:spacing w:line="240" w:lineRule="auto"/>
      <w:jc w:val="center"/>
    </w:pPr>
    <w:rPr>
      <w:rFonts w:ascii="宋体" w:hAnsi="宋体"/>
      <w:kern w:val="0"/>
      <w:sz w:val="21"/>
      <w:szCs w:val="20"/>
    </w:rPr>
  </w:style>
  <w:style w:type="character" w:customStyle="1" w:styleId="59">
    <w:name w:val="正文文本 字符1"/>
    <w:autoRedefine/>
    <w:semiHidden/>
    <w:qFormat/>
    <w:uiPriority w:val="0"/>
    <w:rPr>
      <w:rFonts w:ascii="Times New Roman" w:hAnsi="Times New Roman" w:eastAsia="宋体"/>
      <w:sz w:val="24"/>
    </w:rPr>
  </w:style>
  <w:style w:type="character" w:customStyle="1" w:styleId="60">
    <w:name w:val="页脚 字符"/>
    <w:basedOn w:val="36"/>
    <w:autoRedefine/>
    <w:qFormat/>
    <w:uiPriority w:val="99"/>
  </w:style>
  <w:style w:type="paragraph" w:customStyle="1" w:styleId="61">
    <w:name w:val="正文_25"/>
    <w:autoRedefine/>
    <w:qFormat/>
    <w:uiPriority w:val="0"/>
    <w:pPr>
      <w:widowControl w:val="0"/>
      <w:jc w:val="both"/>
    </w:pPr>
    <w:rPr>
      <w:rFonts w:ascii="Calibri" w:hAnsi="Calibri" w:eastAsia="宋体" w:cs="Times New Roman"/>
      <w:kern w:val="2"/>
      <w:sz w:val="21"/>
      <w:lang w:val="en-US" w:eastAsia="zh-CN" w:bidi="ar-SA"/>
    </w:rPr>
  </w:style>
  <w:style w:type="paragraph" w:customStyle="1" w:styleId="62">
    <w:name w:val="表格正文"/>
    <w:basedOn w:val="1"/>
    <w:autoRedefine/>
    <w:qFormat/>
    <w:uiPriority w:val="0"/>
    <w:pPr>
      <w:spacing w:line="360" w:lineRule="exact"/>
      <w:jc w:val="center"/>
    </w:pPr>
  </w:style>
  <w:style w:type="paragraph" w:customStyle="1" w:styleId="63">
    <w:name w:val="正文 首行缩进:  2 字符"/>
    <w:basedOn w:val="1"/>
    <w:autoRedefine/>
    <w:semiHidden/>
    <w:qFormat/>
    <w:uiPriority w:val="0"/>
    <w:pPr>
      <w:spacing w:line="520" w:lineRule="exact"/>
      <w:ind w:firstLine="480" w:firstLineChars="200"/>
    </w:pPr>
    <w:rPr>
      <w:kern w:val="44"/>
    </w:rPr>
  </w:style>
  <w:style w:type="paragraph" w:customStyle="1" w:styleId="64">
    <w:name w:val="正文_28"/>
    <w:autoRedefine/>
    <w:qFormat/>
    <w:uiPriority w:val="0"/>
    <w:pPr>
      <w:widowControl w:val="0"/>
      <w:jc w:val="both"/>
    </w:pPr>
    <w:rPr>
      <w:rFonts w:ascii="Calibri" w:hAnsi="Calibri" w:eastAsia="宋体" w:cs="Times New Roman"/>
      <w:kern w:val="2"/>
      <w:sz w:val="21"/>
      <w:lang w:val="en-US" w:eastAsia="zh-CN" w:bidi="ar-SA"/>
    </w:rPr>
  </w:style>
  <w:style w:type="paragraph" w:customStyle="1" w:styleId="65">
    <w:name w:val="普通(网站)2"/>
    <w:basedOn w:val="1"/>
    <w:autoRedefine/>
    <w:qFormat/>
    <w:uiPriority w:val="0"/>
    <w:pPr>
      <w:widowControl/>
      <w:spacing w:before="100" w:beforeAutospacing="1" w:after="100" w:afterAutospacing="1"/>
    </w:pPr>
    <w:rPr>
      <w:rFonts w:ascii="宋体" w:hAnsi="宋体"/>
      <w:szCs w:val="20"/>
    </w:rPr>
  </w:style>
  <w:style w:type="paragraph" w:customStyle="1" w:styleId="66">
    <w:name w:val="正文_26"/>
    <w:autoRedefine/>
    <w:qFormat/>
    <w:uiPriority w:val="0"/>
    <w:pPr>
      <w:widowControl w:val="0"/>
      <w:jc w:val="both"/>
    </w:pPr>
    <w:rPr>
      <w:rFonts w:ascii="Calibri" w:hAnsi="Calibri" w:eastAsia="宋体" w:cs="Times New Roman"/>
      <w:kern w:val="2"/>
      <w:sz w:val="21"/>
      <w:lang w:val="en-US" w:eastAsia="zh-CN" w:bidi="ar-SA"/>
    </w:rPr>
  </w:style>
  <w:style w:type="paragraph" w:customStyle="1" w:styleId="67">
    <w:name w:val="正文_10"/>
    <w:autoRedefine/>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68">
    <w:name w:val="1.1.1.1"/>
    <w:basedOn w:val="1"/>
    <w:next w:val="1"/>
    <w:autoRedefine/>
    <w:qFormat/>
    <w:uiPriority w:val="0"/>
    <w:pPr>
      <w:keepNext/>
      <w:keepLines/>
      <w:outlineLvl w:val="2"/>
    </w:pPr>
  </w:style>
  <w:style w:type="paragraph" w:customStyle="1" w:styleId="69">
    <w:name w:val="策表格"/>
    <w:autoRedefine/>
    <w:qFormat/>
    <w:uiPriority w:val="0"/>
    <w:pPr>
      <w:adjustRightInd w:val="0"/>
      <w:snapToGrid w:val="0"/>
      <w:jc w:val="center"/>
    </w:pPr>
    <w:rPr>
      <w:rFonts w:ascii="Times New Roman" w:hAnsi="Times New Roman" w:eastAsia="宋体" w:cstheme="minorBidi"/>
      <w:sz w:val="21"/>
      <w:szCs w:val="21"/>
      <w:lang w:val="en-US" w:eastAsia="zh-CN" w:bidi="ar-SA"/>
    </w:rPr>
  </w:style>
  <w:style w:type="character" w:customStyle="1" w:styleId="70">
    <w:name w:val="标题 1 Char"/>
    <w:link w:val="6"/>
    <w:autoRedefine/>
    <w:qFormat/>
    <w:uiPriority w:val="99"/>
    <w:rPr>
      <w:rFonts w:ascii="Times New Roman" w:hAnsi="Times New Roman" w:eastAsia="黑体"/>
      <w:bCs/>
      <w:color w:val="000000"/>
      <w:kern w:val="44"/>
      <w:sz w:val="30"/>
      <w:szCs w:val="30"/>
    </w:rPr>
  </w:style>
  <w:style w:type="paragraph" w:customStyle="1" w:styleId="71">
    <w:name w:val="策正文"/>
    <w:basedOn w:val="1"/>
    <w:autoRedefine/>
    <w:qFormat/>
    <w:uiPriority w:val="0"/>
    <w:pPr>
      <w:adjustRightInd w:val="0"/>
      <w:ind w:firstLine="420" w:firstLineChars="200"/>
    </w:pPr>
    <w:rPr>
      <w:rFonts w:asciiTheme="minorHAnsi" w:hAnsiTheme="minorHAnsi"/>
      <w:color w:val="000000"/>
      <w:lang w:eastAsia="en-US" w:bidi="en-US"/>
    </w:rPr>
  </w:style>
  <w:style w:type="character" w:customStyle="1" w:styleId="72">
    <w:name w:val="font11"/>
    <w:basedOn w:val="36"/>
    <w:autoRedefine/>
    <w:qFormat/>
    <w:uiPriority w:val="0"/>
    <w:rPr>
      <w:rFonts w:hint="eastAsia" w:ascii="宋体" w:hAnsi="宋体" w:eastAsia="宋体" w:cs="宋体"/>
      <w:color w:val="FF0000"/>
      <w:sz w:val="21"/>
      <w:szCs w:val="21"/>
      <w:u w:val="none"/>
    </w:rPr>
  </w:style>
  <w:style w:type="character" w:customStyle="1" w:styleId="73">
    <w:name w:val="font31"/>
    <w:basedOn w:val="36"/>
    <w:autoRedefine/>
    <w:qFormat/>
    <w:uiPriority w:val="0"/>
    <w:rPr>
      <w:rFonts w:hint="eastAsia" w:ascii="宋体" w:hAnsi="宋体" w:eastAsia="宋体" w:cs="宋体"/>
      <w:color w:val="000000"/>
      <w:sz w:val="21"/>
      <w:szCs w:val="21"/>
      <w:u w:val="none"/>
    </w:rPr>
  </w:style>
  <w:style w:type="character" w:customStyle="1" w:styleId="74">
    <w:name w:val="font21"/>
    <w:basedOn w:val="36"/>
    <w:autoRedefine/>
    <w:qFormat/>
    <w:uiPriority w:val="0"/>
    <w:rPr>
      <w:rFonts w:hint="eastAsia" w:ascii="宋体" w:hAnsi="宋体" w:eastAsia="宋体" w:cs="宋体"/>
      <w:color w:val="000000"/>
      <w:sz w:val="21"/>
      <w:szCs w:val="21"/>
      <w:u w:val="none"/>
    </w:rPr>
  </w:style>
  <w:style w:type="character" w:customStyle="1" w:styleId="75">
    <w:name w:val="font01"/>
    <w:basedOn w:val="36"/>
    <w:autoRedefine/>
    <w:qFormat/>
    <w:uiPriority w:val="0"/>
    <w:rPr>
      <w:rFonts w:hint="eastAsia" w:ascii="宋体" w:hAnsi="宋体" w:eastAsia="宋体" w:cs="宋体"/>
      <w:color w:val="00CCFF"/>
      <w:sz w:val="21"/>
      <w:szCs w:val="21"/>
      <w:u w:val="none"/>
    </w:rPr>
  </w:style>
  <w:style w:type="character" w:customStyle="1" w:styleId="76">
    <w:name w:val="font41"/>
    <w:basedOn w:val="36"/>
    <w:autoRedefine/>
    <w:qFormat/>
    <w:uiPriority w:val="0"/>
    <w:rPr>
      <w:rFonts w:hint="eastAsia" w:ascii="宋体" w:hAnsi="宋体" w:eastAsia="宋体" w:cs="宋体"/>
      <w:color w:val="FF0000"/>
      <w:sz w:val="24"/>
      <w:szCs w:val="24"/>
      <w:u w:val="none"/>
    </w:rPr>
  </w:style>
  <w:style w:type="character" w:customStyle="1" w:styleId="77">
    <w:name w:val="font71"/>
    <w:basedOn w:val="36"/>
    <w:autoRedefine/>
    <w:qFormat/>
    <w:uiPriority w:val="0"/>
    <w:rPr>
      <w:rFonts w:hint="eastAsia" w:ascii="宋体" w:hAnsi="宋体" w:eastAsia="宋体" w:cs="宋体"/>
      <w:color w:val="FF0000"/>
      <w:sz w:val="22"/>
      <w:szCs w:val="22"/>
      <w:u w:val="none"/>
    </w:rPr>
  </w:style>
  <w:style w:type="character" w:customStyle="1" w:styleId="78">
    <w:name w:val="font61"/>
    <w:basedOn w:val="36"/>
    <w:autoRedefine/>
    <w:qFormat/>
    <w:uiPriority w:val="0"/>
    <w:rPr>
      <w:rFonts w:hint="eastAsia" w:ascii="宋体" w:hAnsi="宋体" w:eastAsia="宋体" w:cs="宋体"/>
      <w:color w:val="FF0000"/>
      <w:sz w:val="22"/>
      <w:szCs w:val="22"/>
      <w:u w:val="none"/>
    </w:rPr>
  </w:style>
  <w:style w:type="paragraph" w:customStyle="1" w:styleId="79">
    <w:name w:val="WPSOffice手动目录 1"/>
    <w:autoRedefine/>
    <w:qFormat/>
    <w:uiPriority w:val="0"/>
    <w:pPr>
      <w:ind w:leftChars="0"/>
    </w:pPr>
    <w:rPr>
      <w:rFonts w:ascii="Times New Roman" w:hAnsi="Times New Roman" w:eastAsia="宋体" w:cs="Times New Roman"/>
      <w:sz w:val="20"/>
      <w:szCs w:val="20"/>
    </w:rPr>
  </w:style>
  <w:style w:type="character" w:customStyle="1" w:styleId="80">
    <w:name w:val="表头 Char1"/>
    <w:link w:val="47"/>
    <w:autoRedefine/>
    <w:qFormat/>
    <w:uiPriority w:val="0"/>
    <w:rPr>
      <w:b/>
      <w:kern w:val="21"/>
      <w:szCs w:val="20"/>
    </w:rPr>
  </w:style>
  <w:style w:type="paragraph" w:customStyle="1" w:styleId="81">
    <w:name w:val="1-正文"/>
    <w:basedOn w:val="1"/>
    <w:autoRedefine/>
    <w:qFormat/>
    <w:uiPriority w:val="0"/>
    <w:pPr>
      <w:spacing w:line="360" w:lineRule="auto"/>
      <w:ind w:firstLine="480" w:firstLineChars="200"/>
    </w:pPr>
    <w:rPr>
      <w:rFonts w:ascii="宋体" w:hAnsi="宋体"/>
      <w:sz w:val="24"/>
    </w:rPr>
  </w:style>
  <w:style w:type="paragraph" w:customStyle="1" w:styleId="82">
    <w:name w:val="表"/>
    <w:basedOn w:val="83"/>
    <w:autoRedefine/>
    <w:qFormat/>
    <w:uiPriority w:val="0"/>
    <w:pPr>
      <w:spacing w:line="440" w:lineRule="exact"/>
      <w:ind w:firstLine="200" w:firstLineChars="200"/>
      <w:jc w:val="both"/>
    </w:pPr>
    <w:rPr>
      <w:sz w:val="24"/>
      <w:szCs w:val="22"/>
      <w:lang w:val="en-US" w:eastAsia="zh-CN" w:bidi="ar-SA"/>
    </w:rPr>
  </w:style>
  <w:style w:type="paragraph" w:customStyle="1" w:styleId="83">
    <w:name w:val="Char Char Char Char"/>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84">
    <w:name w:val=" Char Char Char Char"/>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85">
    <w:name w:val="正文文本1"/>
    <w:basedOn w:val="86"/>
    <w:autoRedefine/>
    <w:qFormat/>
    <w:uiPriority w:val="0"/>
    <w:pPr>
      <w:suppressAutoHyphens w:val="0"/>
      <w:adjustRightInd w:val="0"/>
      <w:snapToGrid w:val="0"/>
      <w:ind w:firstLine="200" w:firstLineChars="200"/>
      <w:jc w:val="left"/>
    </w:pPr>
    <w:rPr>
      <w:rFonts w:cs="Times New Roman"/>
      <w:b w:val="0"/>
      <w:kern w:val="2"/>
      <w:sz w:val="24"/>
      <w:szCs w:val="21"/>
    </w:rPr>
  </w:style>
  <w:style w:type="paragraph" w:customStyle="1" w:styleId="86">
    <w:name w:val="标题2"/>
    <w:basedOn w:val="87"/>
    <w:autoRedefine/>
    <w:qFormat/>
    <w:uiPriority w:val="0"/>
    <w:pPr>
      <w:spacing w:line="360" w:lineRule="auto"/>
    </w:pPr>
    <w:rPr>
      <w:rFonts w:cs="宋体"/>
      <w:b/>
      <w:bCs/>
      <w:spacing w:val="0"/>
      <w:sz w:val="30"/>
    </w:rPr>
  </w:style>
  <w:style w:type="paragraph" w:customStyle="1" w:styleId="87">
    <w:name w:val="样式1"/>
    <w:basedOn w:val="88"/>
    <w:autoRedefine/>
    <w:qFormat/>
    <w:uiPriority w:val="0"/>
    <w:pPr>
      <w:ind w:firstLine="0"/>
    </w:pPr>
  </w:style>
  <w:style w:type="paragraph" w:customStyle="1" w:styleId="88">
    <w:name w:val="正文2"/>
    <w:autoRedefine/>
    <w:qFormat/>
    <w:uiPriority w:val="0"/>
    <w:pPr>
      <w:widowControl w:val="0"/>
      <w:suppressAutoHyphens/>
      <w:spacing w:line="520" w:lineRule="atLeast"/>
      <w:ind w:firstLine="680"/>
      <w:jc w:val="both"/>
    </w:pPr>
    <w:rPr>
      <w:rFonts w:ascii="Times New Roman" w:hAnsi="Times New Roman" w:eastAsia="宋体" w:cs="Times New Roman"/>
      <w:spacing w:val="18"/>
      <w:sz w:val="32"/>
      <w:lang w:val="en-US" w:eastAsia="zh-CN" w:bidi="ar-SA"/>
    </w:rPr>
  </w:style>
  <w:style w:type="paragraph" w:customStyle="1" w:styleId="89">
    <w:name w:val="Body text|1"/>
    <w:basedOn w:val="1"/>
    <w:autoRedefine/>
    <w:qFormat/>
    <w:uiPriority w:val="0"/>
    <w:pPr>
      <w:widowControl w:val="0"/>
      <w:shd w:val="clear" w:color="auto" w:fill="auto"/>
      <w:spacing w:line="312" w:lineRule="auto"/>
    </w:pPr>
    <w:rPr>
      <w:rFonts w:ascii="宋体" w:hAnsi="宋体" w:eastAsia="宋体" w:cs="宋体"/>
      <w:u w:val="none"/>
      <w:shd w:val="clear" w:color="auto" w:fill="auto"/>
      <w:lang w:val="zh-TW" w:eastAsia="zh-TW" w:bidi="zh-TW"/>
    </w:rPr>
  </w:style>
  <w:style w:type="paragraph" w:customStyle="1" w:styleId="90">
    <w:name w:val="Table Paragraph"/>
    <w:basedOn w:val="1"/>
    <w:autoRedefine/>
    <w:qFormat/>
    <w:uiPriority w:val="1"/>
    <w:pPr>
      <w:suppressAutoHyphens w:val="0"/>
      <w:wordWrap/>
      <w:spacing w:line="240" w:lineRule="auto"/>
      <w:ind w:firstLine="0" w:firstLineChars="0"/>
      <w:jc w:val="left"/>
    </w:pPr>
    <w:rPr>
      <w:rFonts w:ascii="Calibri" w:hAnsi="Calibri"/>
      <w:sz w:val="22"/>
      <w:szCs w:val="22"/>
      <w:lang w:eastAsia="en-US"/>
    </w:rPr>
  </w:style>
  <w:style w:type="paragraph" w:customStyle="1" w:styleId="91">
    <w:name w:val="图图"/>
    <w:basedOn w:val="1"/>
    <w:autoRedefine/>
    <w:qFormat/>
    <w:uiPriority w:val="0"/>
    <w:pPr>
      <w:spacing w:line="240" w:lineRule="auto"/>
      <w:ind w:firstLine="0" w:firstLineChars="0"/>
      <w:jc w:val="center"/>
    </w:pPr>
    <w:rPr>
      <w:sz w:val="21"/>
    </w:rPr>
  </w:style>
  <w:style w:type="paragraph" w:customStyle="1" w:styleId="92">
    <w:name w:val="表格内容"/>
    <w:basedOn w:val="1"/>
    <w:autoRedefine/>
    <w:qFormat/>
    <w:uiPriority w:val="0"/>
    <w:pPr>
      <w:jc w:val="center"/>
    </w:pPr>
    <w:rPr>
      <w:kern w:val="24"/>
      <w:szCs w:val="21"/>
    </w:rPr>
  </w:style>
  <w:style w:type="paragraph" w:customStyle="1" w:styleId="93">
    <w:name w:val="表标题的"/>
    <w:basedOn w:val="1"/>
    <w:autoRedefine/>
    <w:qFormat/>
    <w:uiPriority w:val="0"/>
    <w:pPr>
      <w:spacing w:line="480" w:lineRule="exact"/>
      <w:jc w:val="center"/>
    </w:pPr>
    <w:rPr>
      <w:b/>
      <w:lang w:val="zh-CN"/>
    </w:rPr>
  </w:style>
  <w:style w:type="paragraph" w:customStyle="1" w:styleId="94">
    <w:name w:val="表格1"/>
    <w:basedOn w:val="1"/>
    <w:autoRedefine/>
    <w:semiHidden/>
    <w:qFormat/>
    <w:uiPriority w:val="0"/>
    <w:pPr>
      <w:adjustRightInd w:val="0"/>
      <w:spacing w:line="400" w:lineRule="atLeast"/>
      <w:ind w:firstLine="0" w:firstLineChars="0"/>
      <w:jc w:val="center"/>
      <w:textAlignment w:val="baseline"/>
    </w:pPr>
    <w:rPr>
      <w:kern w:val="0"/>
    </w:rPr>
  </w:style>
  <w:style w:type="paragraph" w:customStyle="1" w:styleId="95">
    <w:name w:val="reader-word-layer"/>
    <w:basedOn w:val="1"/>
    <w:autoRedefine/>
    <w:qFormat/>
    <w:uiPriority w:val="0"/>
    <w:pPr>
      <w:widowControl/>
      <w:adjustRightInd/>
      <w:spacing w:before="100" w:beforeAutospacing="1" w:after="100" w:afterAutospacing="1" w:line="240" w:lineRule="auto"/>
      <w:textAlignment w:val="auto"/>
    </w:pPr>
    <w:rPr>
      <w:rFonts w:ascii="宋体" w:hAnsi="宋体" w:cs="宋体"/>
    </w:rPr>
  </w:style>
  <w:style w:type="paragraph" w:customStyle="1" w:styleId="96">
    <w:name w:val="表头及表尾"/>
    <w:autoRedefine/>
    <w:qFormat/>
    <w:uiPriority w:val="0"/>
    <w:pPr>
      <w:tabs>
        <w:tab w:val="center" w:pos="4200"/>
        <w:tab w:val="right" w:pos="8400"/>
      </w:tabs>
      <w:adjustRightInd w:val="0"/>
      <w:snapToGrid w:val="0"/>
      <w:spacing w:line="360" w:lineRule="auto"/>
      <w:jc w:val="center"/>
    </w:pPr>
    <w:rPr>
      <w:rFonts w:ascii="Calibri" w:hAnsi="Calibri" w:eastAsia="宋体" w:cs="Times New Roman"/>
      <w:b/>
      <w:snapToGrid w:val="0"/>
      <w:sz w:val="21"/>
      <w:szCs w:val="21"/>
      <w:lang w:val="en-US" w:eastAsia="zh-CN" w:bidi="ar-SA"/>
    </w:rPr>
  </w:style>
  <w:style w:type="paragraph" w:customStyle="1" w:styleId="97">
    <w:name w:val="样式 正文缩进正文缩进2正文缩进 Char Char正文缩进 Char Char Char Char正文缩进 Char ..."/>
    <w:basedOn w:val="2"/>
    <w:autoRedefine/>
    <w:qFormat/>
    <w:uiPriority w:val="0"/>
    <w:rPr>
      <w:rFonts w:cs="宋体"/>
    </w:rPr>
  </w:style>
  <w:style w:type="paragraph" w:customStyle="1" w:styleId="98">
    <w:name w:val="样式2"/>
    <w:basedOn w:val="99"/>
    <w:autoRedefine/>
    <w:qFormat/>
    <w:uiPriority w:val="0"/>
    <w:pPr>
      <w:autoSpaceDE w:val="0"/>
      <w:autoSpaceDN w:val="0"/>
      <w:adjustRightInd w:val="0"/>
      <w:spacing w:before="46" w:after="46" w:line="0" w:lineRule="atLeast"/>
    </w:pPr>
    <w:rPr>
      <w:rFonts w:hAnsi="宋体"/>
      <w:szCs w:val="24"/>
    </w:rPr>
  </w:style>
  <w:style w:type="paragraph" w:customStyle="1" w:styleId="99">
    <w:name w:val="表格文字"/>
    <w:basedOn w:val="100"/>
    <w:next w:val="1"/>
    <w:autoRedefine/>
    <w:qFormat/>
    <w:uiPriority w:val="0"/>
    <w:pPr>
      <w:adjustRightInd/>
      <w:spacing w:line="240" w:lineRule="auto"/>
      <w:jc w:val="center"/>
    </w:pPr>
    <w:rPr>
      <w:rFonts w:hAnsi="黑体"/>
      <w:kern w:val="44"/>
      <w:szCs w:val="20"/>
    </w:rPr>
  </w:style>
  <w:style w:type="paragraph" w:customStyle="1" w:styleId="100">
    <w:name w:val="正文1"/>
    <w:basedOn w:val="13"/>
    <w:next w:val="1"/>
    <w:autoRedefine/>
    <w:qFormat/>
    <w:uiPriority w:val="0"/>
    <w:pPr>
      <w:adjustRightInd w:val="0"/>
      <w:spacing w:line="360" w:lineRule="atLeast"/>
      <w:textAlignment w:val="baseline"/>
    </w:pPr>
    <w:rPr>
      <w:rFonts w:ascii="宋体"/>
      <w:szCs w:val="22"/>
    </w:rPr>
  </w:style>
  <w:style w:type="paragraph" w:customStyle="1" w:styleId="101">
    <w:name w:val="中文报告书样式"/>
    <w:basedOn w:val="1"/>
    <w:autoRedefine/>
    <w:qFormat/>
    <w:uiPriority w:val="0"/>
    <w:pPr>
      <w:suppressAutoHyphens w:val="0"/>
      <w:wordWrap/>
      <w:adjustRightInd w:val="0"/>
      <w:spacing w:line="480" w:lineRule="atLeast"/>
      <w:ind w:firstLine="482" w:firstLineChars="0"/>
      <w:textAlignment w:val="baseline"/>
    </w:pPr>
    <w:rPr>
      <w:kern w:val="24"/>
      <w:szCs w:val="20"/>
    </w:rPr>
  </w:style>
  <w:style w:type="paragraph" w:customStyle="1" w:styleId="102">
    <w:name w:val="正文 宋体4号"/>
    <w:basedOn w:val="1"/>
    <w:autoRedefine/>
    <w:qFormat/>
    <w:uiPriority w:val="0"/>
    <w:pPr>
      <w:adjustRightInd w:val="0"/>
      <w:snapToGrid w:val="0"/>
      <w:spacing w:before="156" w:beforeLines="50" w:line="360" w:lineRule="auto"/>
      <w:ind w:firstLine="538" w:firstLineChars="192"/>
    </w:pPr>
    <w:rPr>
      <w:color w:val="000000"/>
      <w:kern w:val="0"/>
    </w:rPr>
  </w:style>
  <w:style w:type="paragraph" w:customStyle="1" w:styleId="103">
    <w:name w:val="表标题"/>
    <w:basedOn w:val="1"/>
    <w:autoRedefine/>
    <w:qFormat/>
    <w:uiPriority w:val="0"/>
    <w:pPr>
      <w:spacing w:line="360" w:lineRule="auto"/>
      <w:jc w:val="center"/>
    </w:pPr>
    <w:rPr>
      <w:b/>
    </w:rPr>
  </w:style>
  <w:style w:type="paragraph" w:customStyle="1" w:styleId="104">
    <w:name w:val="List Paragraph"/>
    <w:basedOn w:val="1"/>
    <w:autoRedefine/>
    <w:qFormat/>
    <w:uiPriority w:val="34"/>
    <w:pPr>
      <w:ind w:firstLine="420" w:firstLineChars="200"/>
    </w:pPr>
    <w:rPr>
      <w:szCs w:val="24"/>
    </w:rPr>
  </w:style>
  <w:style w:type="paragraph" w:customStyle="1" w:styleId="105">
    <w:name w:val="兰天新建，正文字体，蓝色"/>
    <w:basedOn w:val="1"/>
    <w:autoRedefine/>
    <w:qFormat/>
    <w:uiPriority w:val="0"/>
    <w:pPr>
      <w:spacing w:line="500" w:lineRule="exact"/>
      <w:ind w:firstLine="200" w:firstLineChars="200"/>
    </w:pPr>
    <w:rPr>
      <w:color w:val="0070C0"/>
      <w:sz w:val="24"/>
      <w:szCs w:val="24"/>
    </w:rPr>
  </w:style>
  <w:style w:type="paragraph" w:customStyle="1" w:styleId="106">
    <w:name w:val="表格   环评"/>
    <w:basedOn w:val="1"/>
    <w:next w:val="1"/>
    <w:autoRedefine/>
    <w:qFormat/>
    <w:uiPriority w:val="0"/>
    <w:pPr>
      <w:keepNext/>
      <w:keepLines/>
      <w:spacing w:line="360" w:lineRule="auto"/>
      <w:jc w:val="center"/>
      <w:outlineLvl w:val="3"/>
    </w:pPr>
    <w:rPr>
      <w:rFonts w:hint="eastAsia"/>
      <w:szCs w:val="21"/>
    </w:rPr>
  </w:style>
</w:styles>
</file>

<file path=word/_rels/document.xml.rels><?xml version="1.0" encoding="UTF-8" standalone="yes"?>
<Relationships xmlns="http://schemas.openxmlformats.org/package/2006/relationships"><Relationship Id="rId99" Type="http://schemas.openxmlformats.org/officeDocument/2006/relationships/oleObject" Target="embeddings/oleObject41.bin"/><Relationship Id="rId98" Type="http://schemas.openxmlformats.org/officeDocument/2006/relationships/oleObject" Target="embeddings/oleObject40.bin"/><Relationship Id="rId97" Type="http://schemas.openxmlformats.org/officeDocument/2006/relationships/image" Target="media/image47.wmf"/><Relationship Id="rId96" Type="http://schemas.openxmlformats.org/officeDocument/2006/relationships/oleObject" Target="embeddings/oleObject39.bin"/><Relationship Id="rId95" Type="http://schemas.openxmlformats.org/officeDocument/2006/relationships/image" Target="media/image46.wmf"/><Relationship Id="rId94" Type="http://schemas.openxmlformats.org/officeDocument/2006/relationships/oleObject" Target="embeddings/oleObject38.bin"/><Relationship Id="rId93" Type="http://schemas.openxmlformats.org/officeDocument/2006/relationships/image" Target="media/image45.wmf"/><Relationship Id="rId92" Type="http://schemas.openxmlformats.org/officeDocument/2006/relationships/oleObject" Target="embeddings/oleObject37.bin"/><Relationship Id="rId91" Type="http://schemas.openxmlformats.org/officeDocument/2006/relationships/image" Target="media/image44.wmf"/><Relationship Id="rId90" Type="http://schemas.openxmlformats.org/officeDocument/2006/relationships/oleObject" Target="embeddings/oleObject36.bin"/><Relationship Id="rId9" Type="http://schemas.openxmlformats.org/officeDocument/2006/relationships/footer" Target="footer4.xml"/><Relationship Id="rId89" Type="http://schemas.openxmlformats.org/officeDocument/2006/relationships/image" Target="media/image43.wmf"/><Relationship Id="rId88" Type="http://schemas.openxmlformats.org/officeDocument/2006/relationships/oleObject" Target="embeddings/oleObject35.bin"/><Relationship Id="rId87" Type="http://schemas.openxmlformats.org/officeDocument/2006/relationships/image" Target="media/image42.wmf"/><Relationship Id="rId86" Type="http://schemas.openxmlformats.org/officeDocument/2006/relationships/oleObject" Target="embeddings/oleObject34.bin"/><Relationship Id="rId85" Type="http://schemas.openxmlformats.org/officeDocument/2006/relationships/image" Target="media/image41.wmf"/><Relationship Id="rId84" Type="http://schemas.openxmlformats.org/officeDocument/2006/relationships/oleObject" Target="embeddings/oleObject33.bin"/><Relationship Id="rId83" Type="http://schemas.openxmlformats.org/officeDocument/2006/relationships/image" Target="media/image40.wmf"/><Relationship Id="rId82" Type="http://schemas.openxmlformats.org/officeDocument/2006/relationships/oleObject" Target="embeddings/oleObject32.bin"/><Relationship Id="rId81" Type="http://schemas.openxmlformats.org/officeDocument/2006/relationships/image" Target="media/image39.wmf"/><Relationship Id="rId80" Type="http://schemas.openxmlformats.org/officeDocument/2006/relationships/oleObject" Target="embeddings/oleObject31.bin"/><Relationship Id="rId8" Type="http://schemas.openxmlformats.org/officeDocument/2006/relationships/footer" Target="footer3.xml"/><Relationship Id="rId79" Type="http://schemas.openxmlformats.org/officeDocument/2006/relationships/image" Target="media/image38.wmf"/><Relationship Id="rId78" Type="http://schemas.openxmlformats.org/officeDocument/2006/relationships/oleObject" Target="embeddings/oleObject30.bin"/><Relationship Id="rId77" Type="http://schemas.openxmlformats.org/officeDocument/2006/relationships/oleObject" Target="embeddings/oleObject29.bin"/><Relationship Id="rId76" Type="http://schemas.openxmlformats.org/officeDocument/2006/relationships/image" Target="media/image37.wmf"/><Relationship Id="rId75" Type="http://schemas.openxmlformats.org/officeDocument/2006/relationships/oleObject" Target="embeddings/oleObject28.bin"/><Relationship Id="rId74" Type="http://schemas.openxmlformats.org/officeDocument/2006/relationships/image" Target="media/image36.wmf"/><Relationship Id="rId73" Type="http://schemas.openxmlformats.org/officeDocument/2006/relationships/oleObject" Target="embeddings/oleObject27.bin"/><Relationship Id="rId72" Type="http://schemas.openxmlformats.org/officeDocument/2006/relationships/image" Target="media/image35.wmf"/><Relationship Id="rId71" Type="http://schemas.openxmlformats.org/officeDocument/2006/relationships/oleObject" Target="embeddings/oleObject26.bin"/><Relationship Id="rId70" Type="http://schemas.openxmlformats.org/officeDocument/2006/relationships/oleObject" Target="embeddings/oleObject25.bin"/><Relationship Id="rId7" Type="http://schemas.openxmlformats.org/officeDocument/2006/relationships/footer" Target="footer2.xml"/><Relationship Id="rId69" Type="http://schemas.openxmlformats.org/officeDocument/2006/relationships/image" Target="media/image34.wmf"/><Relationship Id="rId68" Type="http://schemas.openxmlformats.org/officeDocument/2006/relationships/oleObject" Target="embeddings/oleObject24.bin"/><Relationship Id="rId67" Type="http://schemas.openxmlformats.org/officeDocument/2006/relationships/image" Target="media/image33.wmf"/><Relationship Id="rId66" Type="http://schemas.openxmlformats.org/officeDocument/2006/relationships/oleObject" Target="embeddings/oleObject23.bin"/><Relationship Id="rId65" Type="http://schemas.openxmlformats.org/officeDocument/2006/relationships/image" Target="media/image32.wmf"/><Relationship Id="rId64" Type="http://schemas.openxmlformats.org/officeDocument/2006/relationships/oleObject" Target="embeddings/oleObject22.bin"/><Relationship Id="rId63" Type="http://schemas.openxmlformats.org/officeDocument/2006/relationships/image" Target="media/image31.wmf"/><Relationship Id="rId62" Type="http://schemas.openxmlformats.org/officeDocument/2006/relationships/oleObject" Target="embeddings/oleObject21.bin"/><Relationship Id="rId61" Type="http://schemas.openxmlformats.org/officeDocument/2006/relationships/image" Target="media/image30.wmf"/><Relationship Id="rId60" Type="http://schemas.openxmlformats.org/officeDocument/2006/relationships/oleObject" Target="embeddings/oleObject20.bin"/><Relationship Id="rId6" Type="http://schemas.openxmlformats.org/officeDocument/2006/relationships/footer" Target="footer1.xml"/><Relationship Id="rId59" Type="http://schemas.openxmlformats.org/officeDocument/2006/relationships/image" Target="media/image29.wmf"/><Relationship Id="rId58" Type="http://schemas.openxmlformats.org/officeDocument/2006/relationships/oleObject" Target="embeddings/oleObject19.bin"/><Relationship Id="rId57" Type="http://schemas.openxmlformats.org/officeDocument/2006/relationships/image" Target="media/image28.wmf"/><Relationship Id="rId56" Type="http://schemas.openxmlformats.org/officeDocument/2006/relationships/oleObject" Target="embeddings/oleObject18.bin"/><Relationship Id="rId55" Type="http://schemas.openxmlformats.org/officeDocument/2006/relationships/image" Target="media/image27.wmf"/><Relationship Id="rId54" Type="http://schemas.openxmlformats.org/officeDocument/2006/relationships/oleObject" Target="embeddings/oleObject17.bin"/><Relationship Id="rId53" Type="http://schemas.openxmlformats.org/officeDocument/2006/relationships/image" Target="media/image26.wmf"/><Relationship Id="rId52" Type="http://schemas.openxmlformats.org/officeDocument/2006/relationships/oleObject" Target="embeddings/oleObject16.bin"/><Relationship Id="rId51" Type="http://schemas.openxmlformats.org/officeDocument/2006/relationships/image" Target="media/image25.wmf"/><Relationship Id="rId50" Type="http://schemas.openxmlformats.org/officeDocument/2006/relationships/oleObject" Target="embeddings/oleObject15.bin"/><Relationship Id="rId5" Type="http://schemas.openxmlformats.org/officeDocument/2006/relationships/header" Target="header1.xml"/><Relationship Id="rId49" Type="http://schemas.openxmlformats.org/officeDocument/2006/relationships/image" Target="media/image24.wmf"/><Relationship Id="rId48" Type="http://schemas.openxmlformats.org/officeDocument/2006/relationships/oleObject" Target="embeddings/oleObject14.bin"/><Relationship Id="rId47" Type="http://schemas.openxmlformats.org/officeDocument/2006/relationships/image" Target="media/image23.wmf"/><Relationship Id="rId46" Type="http://schemas.openxmlformats.org/officeDocument/2006/relationships/oleObject" Target="embeddings/oleObject13.bin"/><Relationship Id="rId45" Type="http://schemas.openxmlformats.org/officeDocument/2006/relationships/image" Target="media/image22.wmf"/><Relationship Id="rId44" Type="http://schemas.openxmlformats.org/officeDocument/2006/relationships/oleObject" Target="embeddings/oleObject12.bin"/><Relationship Id="rId43" Type="http://schemas.openxmlformats.org/officeDocument/2006/relationships/image" Target="media/image21.wmf"/><Relationship Id="rId42" Type="http://schemas.openxmlformats.org/officeDocument/2006/relationships/oleObject" Target="embeddings/oleObject11.bin"/><Relationship Id="rId41" Type="http://schemas.openxmlformats.org/officeDocument/2006/relationships/image" Target="media/image20.wmf"/><Relationship Id="rId40" Type="http://schemas.openxmlformats.org/officeDocument/2006/relationships/oleObject" Target="embeddings/oleObject10.bin"/><Relationship Id="rId4" Type="http://schemas.openxmlformats.org/officeDocument/2006/relationships/endnotes" Target="endnotes.xml"/><Relationship Id="rId39" Type="http://schemas.openxmlformats.org/officeDocument/2006/relationships/image" Target="media/image19.wmf"/><Relationship Id="rId38" Type="http://schemas.openxmlformats.org/officeDocument/2006/relationships/oleObject" Target="embeddings/oleObject9.bin"/><Relationship Id="rId37" Type="http://schemas.openxmlformats.org/officeDocument/2006/relationships/image" Target="media/image18.wmf"/><Relationship Id="rId36" Type="http://schemas.openxmlformats.org/officeDocument/2006/relationships/oleObject" Target="embeddings/oleObject8.bin"/><Relationship Id="rId35" Type="http://schemas.openxmlformats.org/officeDocument/2006/relationships/image" Target="media/image17.wmf"/><Relationship Id="rId34" Type="http://schemas.openxmlformats.org/officeDocument/2006/relationships/oleObject" Target="embeddings/oleObject7.bin"/><Relationship Id="rId33" Type="http://schemas.openxmlformats.org/officeDocument/2006/relationships/image" Target="media/image16.wmf"/><Relationship Id="rId32" Type="http://schemas.openxmlformats.org/officeDocument/2006/relationships/oleObject" Target="embeddings/oleObject6.bin"/><Relationship Id="rId31" Type="http://schemas.openxmlformats.org/officeDocument/2006/relationships/image" Target="media/image15.wmf"/><Relationship Id="rId30" Type="http://schemas.openxmlformats.org/officeDocument/2006/relationships/oleObject" Target="embeddings/oleObject5.bin"/><Relationship Id="rId3" Type="http://schemas.openxmlformats.org/officeDocument/2006/relationships/footnotes" Target="footnotes.xml"/><Relationship Id="rId29" Type="http://schemas.openxmlformats.org/officeDocument/2006/relationships/image" Target="media/image14.wmf"/><Relationship Id="rId28" Type="http://schemas.openxmlformats.org/officeDocument/2006/relationships/oleObject" Target="embeddings/oleObject4.bin"/><Relationship Id="rId27" Type="http://schemas.openxmlformats.org/officeDocument/2006/relationships/image" Target="media/image13.wmf"/><Relationship Id="rId26" Type="http://schemas.openxmlformats.org/officeDocument/2006/relationships/oleObject" Target="embeddings/oleObject3.bin"/><Relationship Id="rId25" Type="http://schemas.openxmlformats.org/officeDocument/2006/relationships/image" Target="media/image12.wmf"/><Relationship Id="rId24" Type="http://schemas.openxmlformats.org/officeDocument/2006/relationships/oleObject" Target="embeddings/oleObject2.bin"/><Relationship Id="rId23" Type="http://schemas.openxmlformats.org/officeDocument/2006/relationships/image" Target="media/image11.wmf"/><Relationship Id="rId22" Type="http://schemas.openxmlformats.org/officeDocument/2006/relationships/oleObject" Target="embeddings/oleObject1.bin"/><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jpeg"/><Relationship Id="rId13" Type="http://schemas.openxmlformats.org/officeDocument/2006/relationships/image" Target="media/image2.png"/><Relationship Id="rId126" Type="http://schemas.openxmlformats.org/officeDocument/2006/relationships/fontTable" Target="fontTable.xml"/><Relationship Id="rId125" Type="http://schemas.openxmlformats.org/officeDocument/2006/relationships/numbering" Target="numbering.xml"/><Relationship Id="rId124" Type="http://schemas.openxmlformats.org/officeDocument/2006/relationships/customXml" Target="../customXml/item1.xml"/><Relationship Id="rId123" Type="http://schemas.openxmlformats.org/officeDocument/2006/relationships/image" Target="media/image63.png"/><Relationship Id="rId122" Type="http://schemas.openxmlformats.org/officeDocument/2006/relationships/image" Target="media/image62.png"/><Relationship Id="rId121" Type="http://schemas.openxmlformats.org/officeDocument/2006/relationships/image" Target="media/image61.png"/><Relationship Id="rId120" Type="http://schemas.openxmlformats.org/officeDocument/2006/relationships/image" Target="media/image60.png"/><Relationship Id="rId12" Type="http://schemas.openxmlformats.org/officeDocument/2006/relationships/image" Target="media/image1.jpeg"/><Relationship Id="rId119" Type="http://schemas.openxmlformats.org/officeDocument/2006/relationships/image" Target="media/image59.png"/><Relationship Id="rId118" Type="http://schemas.openxmlformats.org/officeDocument/2006/relationships/image" Target="media/image58.png"/><Relationship Id="rId117" Type="http://schemas.openxmlformats.org/officeDocument/2006/relationships/image" Target="media/image57.wmf"/><Relationship Id="rId116" Type="http://schemas.openxmlformats.org/officeDocument/2006/relationships/oleObject" Target="embeddings/oleObject49.bin"/><Relationship Id="rId115" Type="http://schemas.openxmlformats.org/officeDocument/2006/relationships/image" Target="media/image56.wmf"/><Relationship Id="rId114" Type="http://schemas.openxmlformats.org/officeDocument/2006/relationships/oleObject" Target="embeddings/oleObject48.bin"/><Relationship Id="rId113" Type="http://schemas.openxmlformats.org/officeDocument/2006/relationships/image" Target="media/image55.wmf"/><Relationship Id="rId112" Type="http://schemas.openxmlformats.org/officeDocument/2006/relationships/oleObject" Target="embeddings/oleObject47.bin"/><Relationship Id="rId111" Type="http://schemas.openxmlformats.org/officeDocument/2006/relationships/image" Target="media/image54.wmf"/><Relationship Id="rId110" Type="http://schemas.openxmlformats.org/officeDocument/2006/relationships/image" Target="media/image53.wmf"/><Relationship Id="rId11" Type="http://schemas.openxmlformats.org/officeDocument/2006/relationships/theme" Target="theme/theme1.xml"/><Relationship Id="rId109" Type="http://schemas.openxmlformats.org/officeDocument/2006/relationships/oleObject" Target="embeddings/oleObject46.bin"/><Relationship Id="rId108" Type="http://schemas.openxmlformats.org/officeDocument/2006/relationships/image" Target="media/image52.wmf"/><Relationship Id="rId107" Type="http://schemas.openxmlformats.org/officeDocument/2006/relationships/oleObject" Target="embeddings/oleObject45.bin"/><Relationship Id="rId106" Type="http://schemas.openxmlformats.org/officeDocument/2006/relationships/image" Target="media/image51.wmf"/><Relationship Id="rId105" Type="http://schemas.openxmlformats.org/officeDocument/2006/relationships/oleObject" Target="embeddings/oleObject44.bin"/><Relationship Id="rId104" Type="http://schemas.openxmlformats.org/officeDocument/2006/relationships/image" Target="media/image50.wmf"/><Relationship Id="rId103" Type="http://schemas.openxmlformats.org/officeDocument/2006/relationships/oleObject" Target="embeddings/oleObject43.bin"/><Relationship Id="rId102" Type="http://schemas.openxmlformats.org/officeDocument/2006/relationships/image" Target="media/image49.wmf"/><Relationship Id="rId101" Type="http://schemas.openxmlformats.org/officeDocument/2006/relationships/oleObject" Target="embeddings/oleObject42.bin"/><Relationship Id="rId100" Type="http://schemas.openxmlformats.org/officeDocument/2006/relationships/image" Target="media/image48.wmf"/><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extobjs>
    <extobj name="ECB019B1-382A-4266-B25C-5B523AA43C14-1">
      <extobjdata type="ECB019B1-382A-4266-B25C-5B523AA43C14" data="ewoJIkZpbGVJZCIgOiAiMzQyNTAwNDY0NTc2IiwKCSJHcm91cElkIiA6ICIxMzUyMzI0NjMiLAoJIkltYWdlIiA6ICJpVkJPUncwS0dnb0FBQUFOU1VoRVVnQUFBejBBQUFEOENBWUFBQUJkTk1yNUFBQUFBWE5TUjBJQXJzNGM2UUFBSUFCSlJFRlVlSnpzM1hkNEhPVzVOdkQ3ZVdlMVdya0lXemFpUklBSkJodlowczQ3Uy8rU1VBSUpHQUlrZE1paG1nQ2hCMElOSEVnQ2dRQWhBVUlKb1I0Z3NTbWhGOU03Qm5abUpjc09CaG1NYmNCZ3NIRlYyNTNuKzBNcnNWcXZaTWxXTWViK1hkZTUwTDV0bnRHSlYvdnNXd1ln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m5VRC9ENlhiS0M2cnZIR3VBQUFBQUVsRlRrU3VRbUNDIiwKCSJUaGVtZSIgOiAiIiwKCSJUeXBlIiA6ICJmbG93IiwKCSJWZXJzaW9uIiA6ICI0Igp9Cg=="/>
    </extobj>
    <extobj name="ECB019B1-382A-4266-B25C-5B523AA43C14-2">
      <extobjdata type="ECB019B1-382A-4266-B25C-5B523AA43C14" data="ewoJIkZpbGVJZCIgOiAiMzQyNDk5NDE5NDI4IiwKCSJHcm91cElkIiA6ICIxMzUyMzI0NjMiLAoJIkltYWdlIiA6ICJpVkJPUncwS0dnb0FBQUFOU1VoRVVnQUFBdkVBQUFFTENBWUFBQUJRMmRrREFBQUFBWE5TUjBJQXJzNGM2UUFBSUFCSlJFRlVlSnpzM1hsOFhGWDVQL0RQYys1TU1rbWJ0dWxHZ1NJUkNpMGh6ZHh6aDBVRVpCSDRzVWdGRk1vaUlFdFJRQUVGUVJEMy9ldUNJaWl5THlxTExBcUtLMWErQ0NxUWV5ZlRFbG9vV0w2TkZpaTFLMWxuN3ZQN0kzZkNaREpKa3pSdG12VHpmcjE0TVRubjNIdlBUTnZKYzg4OTV6a0F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"/>
    </extobj>
    <extobj name="ECB019B1-382A-4266-B25C-5B523AA43C14-3">
      <extobjdata type="ECB019B1-382A-4266-B25C-5B523AA43C14" data="ewoJIkZpbGVJZCIgOiAiMzQyNTE5OTY5NjkyIiwKCSJHcm91cElkIiA6ICIxMzUyMzI0NjMiLAoJIkltYWdlIiA6ICJpVkJPUncwS0dnb0FBQUFOU1VoRVVnQUFBcmtBQUFIZUNBWUFBQUNmUnhQTEFBQUFBWE5TUjBJQXJzNGM2UUFBSUFCSlJFRlVlSnpzM1hsNFZPWFpQL0R2ZmVaa0pVR1JWY1NLZ2lZRU1wbHpSdHlYNm8rNnRpNnQxVmVyVXJVV1c2SEZwZFRhb3ErZ3RsTFVhdFcyS05VSzJyclFXbHhRWHkzMDdldENKWE5PSnBBYWRqVEt2a09XeWN5NWYzOWtacHdra3hBUW1EQjhQOWVWaThsNWxuT2ZlRjE0OCtRNTl3TVF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"/>
    </extobj>
    <extobj name="ECB019B1-382A-4266-B25C-5B523AA43C14-4">
      <extobjdata type="ECB019B1-382A-4266-B25C-5B523AA43C14" data="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"/>
    </extobj>
    <extobj name="ECB019B1-382A-4266-B25C-5B523AA43C14-5">
      <extobjdata type="ECB019B1-382A-4266-B25C-5B523AA43C14" data="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"/>
    </extobj>
    <extobj name="ECB019B1-382A-4266-B25C-5B523AA43C14-6">
      <extobjdata type="ECB019B1-382A-4266-B25C-5B523AA43C14" data="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"/>
    </extobj>
  </extobj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wdzx97</Template>
  <Company>微软中国</Company>
  <Pages>66</Pages>
  <Words>12858</Words>
  <Characters>14501</Characters>
  <Lines>346</Lines>
  <Paragraphs>97</Paragraphs>
  <TotalTime>9</TotalTime>
  <ScaleCrop>false</ScaleCrop>
  <LinksUpToDate>false</LinksUpToDate>
  <CharactersWithSpaces>14715</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2020-12-24T01:29:00Z</dcterms:created>
  <dc:creator>lhj</dc:creator>
  <cp:lastModifiedBy>永乐会</cp:lastModifiedBy>
  <cp:lastPrinted>2022-05-21T03:46:00Z</cp:lastPrinted>
  <dcterms:modified xsi:type="dcterms:W3CDTF">2024-11-21T09:48:28Z</dcterms:modified>
  <dc:title>附件2</dc:title>
  <cp:revision>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2D553076DBFA4B1DBAD9EA5ACA3B8BE5_13</vt:lpwstr>
  </property>
</Properties>
</file>