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7068C9">
      <w:pPr>
        <w:jc w:val="center"/>
        <w:rPr>
          <w:rFonts w:hint="default"/>
          <w:b/>
          <w:bCs/>
          <w:sz w:val="44"/>
          <w:szCs w:val="44"/>
          <w:lang w:val="en-US" w:eastAsia="zh-CN"/>
        </w:rPr>
      </w:pPr>
      <w:r>
        <w:rPr>
          <w:rFonts w:hint="eastAsia"/>
          <w:b/>
          <w:bCs/>
          <w:sz w:val="44"/>
          <w:szCs w:val="44"/>
          <w:lang w:val="en-US" w:eastAsia="zh-CN"/>
        </w:rPr>
        <w:t>财务咨询服务比选公告（一）</w:t>
      </w:r>
    </w:p>
    <w:p w14:paraId="5773490E">
      <w:pPr>
        <w:rPr>
          <w:rFonts w:hint="eastAsia"/>
          <w:sz w:val="36"/>
          <w:szCs w:val="36"/>
          <w:lang w:val="en-US" w:eastAsia="zh-CN"/>
        </w:rPr>
      </w:pPr>
    </w:p>
    <w:p w14:paraId="362B4DF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根据工作需要，我单位拟通过比选方式确定第三方服务机构提供驸马寨水库建设项目的财务咨询服务。</w:t>
      </w:r>
    </w:p>
    <w:p w14:paraId="0A43A2A8">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一、基本情况</w:t>
      </w:r>
    </w:p>
    <w:p w14:paraId="658416D9">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（一）项目名称：驸马寨水库建设项目财务咨询服务。</w:t>
      </w:r>
    </w:p>
    <w:p w14:paraId="3B4CEE36">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二）服务内容：1、代理记账服务。做好基本建设财务管理基础工作，按照批准的概算建设内容，做好财务设置和财务核算。项目资金专款专用，指导和监督项目建设单位按照相关规定申请、管理和使用项目资金，确保项目资金安全、合理使用。2、财务管理服务。随时为项目建设单位提供财务咨询服务，解答财务管理中的疑难问题。对项目合同中的财务条款进行审核，避免潜在的财务风险。3、审计服务。资金的收支管理、预算执行控制、资金拨付审批等环节，对资金进行实时监督，及时发现和解决资金使用中的问题。</w:t>
      </w:r>
    </w:p>
    <w:p w14:paraId="44FE5C4A">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（三）服务期限：两年</w:t>
      </w:r>
    </w:p>
    <w:p w14:paraId="1BE508B5">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（四）服务方式：服务方需指定注册会计师提供技术服务，每周不少于8小时来现场指导业务，其他时间提供电话或远程服务。</w:t>
      </w:r>
    </w:p>
    <w:p w14:paraId="18CD9F7A">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二、申请人资质要求</w:t>
      </w:r>
    </w:p>
    <w:p w14:paraId="1130B0C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1、服务方必须在中国境内注册，具有独立法人资格，具有独立承担民事责任的能力，有履行合同所必需的能力。</w:t>
      </w:r>
    </w:p>
    <w:p w14:paraId="1A573907">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2、服务方要有财务、审计咨询资质，熟悉掌握政府部门预算财务管理、绩效管理工作的特点与程序；在服务期间内需要配备专业人员，负责参与财务管理咨询工作。</w:t>
      </w:r>
    </w:p>
    <w:p w14:paraId="50797185">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3、服务方近三年在经营活动和政府采购中没有重大违法、违纪行为，具有良好的经营状况和提供优质服务的能力。</w:t>
      </w:r>
    </w:p>
    <w:p w14:paraId="21D57B3C">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4、本项目不接受联合体，不得分包或转包。</w:t>
      </w:r>
    </w:p>
    <w:p w14:paraId="3554273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三、项目费用控制价</w:t>
      </w:r>
    </w:p>
    <w:p w14:paraId="175C3777">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根据《河北省会计师事务所服务收费管理办法》相关标准</w:t>
      </w:r>
      <w:bookmarkStart w:id="0" w:name="_GoBack"/>
      <w:bookmarkEnd w:id="0"/>
      <w:r>
        <w:rPr>
          <w:rFonts w:hint="eastAsia" w:ascii="华文仿宋" w:hAnsi="华文仿宋" w:eastAsia="华文仿宋" w:cs="华文仿宋"/>
          <w:sz w:val="32"/>
          <w:szCs w:val="32"/>
          <w:lang w:val="en-US" w:eastAsia="zh-CN"/>
        </w:rPr>
        <w:t>，每月费用不超过7680元。</w:t>
      </w:r>
    </w:p>
    <w:p w14:paraId="5CE560F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四、需提供的材料</w:t>
      </w:r>
    </w:p>
    <w:p w14:paraId="69503DB3">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详见比选文件</w:t>
      </w:r>
    </w:p>
    <w:p w14:paraId="34FCCEE0">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五、评选方式</w:t>
      </w:r>
    </w:p>
    <w:p w14:paraId="64F1CD8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综合评选法。</w:t>
      </w:r>
    </w:p>
    <w:p w14:paraId="034E0CA4">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六、报名时间：</w:t>
      </w:r>
    </w:p>
    <w:p w14:paraId="419FB3E9">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参与比选的服务方请于2024年12月20日下午14:00前将密封的比选文件资料递交至秦皇岛市抚宁区水务局办公室，地点：秦皇岛市抚宁区迎宾路178号。联系人：程伟，电话：7811089，6682538。</w:t>
      </w:r>
    </w:p>
    <w:p w14:paraId="14062076">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附：财务咨询服务比选文件</w:t>
      </w:r>
    </w:p>
    <w:p w14:paraId="0850A546">
      <w:pPr>
        <w:ind w:firstLine="640" w:firstLineChars="200"/>
        <w:rPr>
          <w:rFonts w:hint="eastAsia" w:ascii="华文仿宋" w:hAnsi="华文仿宋" w:eastAsia="华文仿宋" w:cs="华文仿宋"/>
          <w:sz w:val="32"/>
          <w:szCs w:val="32"/>
          <w:lang w:val="en-US" w:eastAsia="zh-CN"/>
        </w:rPr>
      </w:pPr>
    </w:p>
    <w:p w14:paraId="15617D06">
      <w:pPr>
        <w:ind w:firstLine="640" w:firstLineChars="200"/>
        <w:jc w:val="right"/>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秦皇岛市抚宁区河道服务中心</w:t>
      </w:r>
    </w:p>
    <w:p w14:paraId="53C87DFD">
      <w:pPr>
        <w:ind w:firstLine="640" w:firstLineChars="200"/>
        <w:jc w:val="center"/>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                         2024年12月16日</w:t>
      </w:r>
    </w:p>
    <w:p w14:paraId="2292633E">
      <w:pPr>
        <w:rPr>
          <w:rFonts w:hint="eastAsia" w:ascii="华文仿宋" w:hAnsi="华文仿宋" w:eastAsia="华文仿宋" w:cs="华文仿宋"/>
          <w:sz w:val="32"/>
          <w:szCs w:val="32"/>
          <w:lang w:val="en-US" w:eastAsia="zh-CN"/>
        </w:rPr>
      </w:pPr>
    </w:p>
    <w:p w14:paraId="50FB74A3">
      <w:pPr>
        <w:ind w:firstLine="640" w:firstLineChars="200"/>
        <w:rPr>
          <w:rFonts w:hint="eastAsia" w:ascii="华文仿宋" w:hAnsi="华文仿宋" w:eastAsia="华文仿宋" w:cs="华文仿宋"/>
          <w:sz w:val="32"/>
          <w:szCs w:val="32"/>
          <w:lang w:val="en-US" w:eastAsia="zh-CN"/>
        </w:rPr>
      </w:pPr>
    </w:p>
    <w:p w14:paraId="7F15B1C3">
      <w:pPr>
        <w:ind w:firstLine="640" w:firstLineChars="200"/>
        <w:rPr>
          <w:rFonts w:hint="eastAsia" w:ascii="华文仿宋" w:hAnsi="华文仿宋" w:eastAsia="华文仿宋" w:cs="华文仿宋"/>
          <w:sz w:val="32"/>
          <w:szCs w:val="32"/>
          <w:lang w:val="en-US" w:eastAsia="zh-CN"/>
        </w:rPr>
      </w:pPr>
    </w:p>
    <w:p w14:paraId="37579FE2">
      <w:pPr>
        <w:ind w:firstLine="640" w:firstLineChars="200"/>
        <w:rPr>
          <w:rFonts w:hint="eastAsia" w:ascii="华文仿宋" w:hAnsi="华文仿宋" w:eastAsia="华文仿宋" w:cs="华文仿宋"/>
          <w:sz w:val="32"/>
          <w:szCs w:val="32"/>
          <w:lang w:val="en-US" w:eastAsia="zh-CN"/>
        </w:rPr>
      </w:pPr>
    </w:p>
    <w:p w14:paraId="10F796E4">
      <w:pPr>
        <w:ind w:firstLine="640" w:firstLineChars="200"/>
        <w:rPr>
          <w:rFonts w:hint="eastAsia" w:ascii="华文仿宋" w:hAnsi="华文仿宋" w:eastAsia="华文仿宋" w:cs="华文仿宋"/>
          <w:sz w:val="32"/>
          <w:szCs w:val="32"/>
          <w:lang w:val="en-US" w:eastAsia="zh-CN"/>
        </w:rPr>
      </w:pPr>
    </w:p>
    <w:p w14:paraId="221372A8">
      <w:pPr>
        <w:ind w:firstLine="640" w:firstLineChars="200"/>
        <w:rPr>
          <w:rFonts w:hint="eastAsia" w:ascii="华文仿宋" w:hAnsi="华文仿宋" w:eastAsia="华文仿宋" w:cs="华文仿宋"/>
          <w:sz w:val="32"/>
          <w:szCs w:val="32"/>
          <w:lang w:val="en-US" w:eastAsia="zh-CN"/>
        </w:rPr>
      </w:pPr>
    </w:p>
    <w:p w14:paraId="7823315B">
      <w:pPr>
        <w:jc w:val="center"/>
        <w:rPr>
          <w:rFonts w:hint="eastAsia"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财务咨询服务比选文件</w:t>
      </w:r>
    </w:p>
    <w:p w14:paraId="14F744B9">
      <w:pPr>
        <w:ind w:firstLine="640" w:firstLineChars="200"/>
        <w:rPr>
          <w:rFonts w:hint="eastAsia" w:ascii="华文仿宋" w:hAnsi="华文仿宋" w:eastAsia="华文仿宋" w:cs="华文仿宋"/>
          <w:sz w:val="32"/>
          <w:szCs w:val="32"/>
          <w:lang w:val="en-US" w:eastAsia="zh-CN"/>
        </w:rPr>
      </w:pPr>
    </w:p>
    <w:p w14:paraId="6EA6FA37">
      <w:pPr>
        <w:ind w:firstLine="640" w:firstLineChars="200"/>
        <w:rPr>
          <w:rFonts w:hint="eastAsia" w:ascii="华文仿宋" w:hAnsi="华文仿宋" w:eastAsia="华文仿宋" w:cs="华文仿宋"/>
          <w:sz w:val="32"/>
          <w:szCs w:val="32"/>
          <w:lang w:val="en-US" w:eastAsia="zh-CN"/>
        </w:rPr>
      </w:pPr>
    </w:p>
    <w:p w14:paraId="4B2C1226">
      <w:pPr>
        <w:ind w:firstLine="640" w:firstLineChars="200"/>
        <w:rPr>
          <w:rFonts w:hint="eastAsia" w:ascii="华文仿宋" w:hAnsi="华文仿宋" w:eastAsia="华文仿宋" w:cs="华文仿宋"/>
          <w:sz w:val="32"/>
          <w:szCs w:val="32"/>
          <w:lang w:val="en-US" w:eastAsia="zh-CN"/>
        </w:rPr>
      </w:pPr>
    </w:p>
    <w:p w14:paraId="20F8F4DA">
      <w:pPr>
        <w:ind w:firstLine="640" w:firstLineChars="200"/>
        <w:rPr>
          <w:rFonts w:hint="eastAsia" w:ascii="华文仿宋" w:hAnsi="华文仿宋" w:eastAsia="华文仿宋" w:cs="华文仿宋"/>
          <w:sz w:val="32"/>
          <w:szCs w:val="32"/>
          <w:lang w:val="en-US" w:eastAsia="zh-CN"/>
        </w:rPr>
      </w:pPr>
    </w:p>
    <w:p w14:paraId="398E4441">
      <w:pPr>
        <w:ind w:firstLine="640" w:firstLineChars="200"/>
        <w:rPr>
          <w:rFonts w:hint="eastAsia" w:ascii="华文仿宋" w:hAnsi="华文仿宋" w:eastAsia="华文仿宋" w:cs="华文仿宋"/>
          <w:sz w:val="32"/>
          <w:szCs w:val="32"/>
          <w:lang w:val="en-US" w:eastAsia="zh-CN"/>
        </w:rPr>
      </w:pPr>
    </w:p>
    <w:p w14:paraId="41E8573F">
      <w:pPr>
        <w:ind w:firstLine="640" w:firstLineChars="200"/>
        <w:rPr>
          <w:rFonts w:hint="eastAsia" w:ascii="华文仿宋" w:hAnsi="华文仿宋" w:eastAsia="华文仿宋" w:cs="华文仿宋"/>
          <w:sz w:val="32"/>
          <w:szCs w:val="32"/>
          <w:lang w:val="en-US" w:eastAsia="zh-CN"/>
        </w:rPr>
      </w:pPr>
    </w:p>
    <w:p w14:paraId="15A89D16">
      <w:pPr>
        <w:ind w:firstLine="640" w:firstLineChars="200"/>
        <w:rPr>
          <w:rFonts w:hint="eastAsia" w:ascii="华文仿宋" w:hAnsi="华文仿宋" w:eastAsia="华文仿宋" w:cs="华文仿宋"/>
          <w:sz w:val="32"/>
          <w:szCs w:val="32"/>
          <w:lang w:val="en-US" w:eastAsia="zh-CN"/>
        </w:rPr>
      </w:pPr>
    </w:p>
    <w:p w14:paraId="39B0D1AB">
      <w:pPr>
        <w:ind w:firstLine="640" w:firstLineChars="200"/>
        <w:rPr>
          <w:rFonts w:hint="eastAsia" w:ascii="华文仿宋" w:hAnsi="华文仿宋" w:eastAsia="华文仿宋" w:cs="华文仿宋"/>
          <w:sz w:val="32"/>
          <w:szCs w:val="32"/>
          <w:lang w:val="en-US" w:eastAsia="zh-CN"/>
        </w:rPr>
      </w:pPr>
    </w:p>
    <w:p w14:paraId="05C14E50">
      <w:pPr>
        <w:ind w:firstLine="640" w:firstLineChars="200"/>
        <w:rPr>
          <w:rFonts w:hint="eastAsia" w:ascii="华文仿宋" w:hAnsi="华文仿宋" w:eastAsia="华文仿宋" w:cs="华文仿宋"/>
          <w:sz w:val="32"/>
          <w:szCs w:val="32"/>
          <w:lang w:val="en-US" w:eastAsia="zh-CN"/>
        </w:rPr>
      </w:pPr>
    </w:p>
    <w:p w14:paraId="49619A00">
      <w:pPr>
        <w:ind w:firstLine="640" w:firstLineChars="200"/>
        <w:rPr>
          <w:rFonts w:hint="eastAsia" w:ascii="华文仿宋" w:hAnsi="华文仿宋" w:eastAsia="华文仿宋" w:cs="华文仿宋"/>
          <w:sz w:val="32"/>
          <w:szCs w:val="32"/>
          <w:lang w:val="en-US" w:eastAsia="zh-CN"/>
        </w:rPr>
      </w:pPr>
    </w:p>
    <w:p w14:paraId="7EBF7D88">
      <w:pPr>
        <w:ind w:firstLine="640" w:firstLineChars="200"/>
        <w:rPr>
          <w:rFonts w:hint="eastAsia" w:ascii="华文仿宋" w:hAnsi="华文仿宋" w:eastAsia="华文仿宋" w:cs="华文仿宋"/>
          <w:sz w:val="32"/>
          <w:szCs w:val="32"/>
          <w:lang w:val="en-US" w:eastAsia="zh-CN"/>
        </w:rPr>
      </w:pPr>
    </w:p>
    <w:p w14:paraId="55399D2C">
      <w:pPr>
        <w:ind w:firstLine="640" w:firstLineChars="200"/>
        <w:rPr>
          <w:rFonts w:hint="eastAsia" w:ascii="华文仿宋" w:hAnsi="华文仿宋" w:eastAsia="华文仿宋" w:cs="华文仿宋"/>
          <w:sz w:val="32"/>
          <w:szCs w:val="32"/>
          <w:lang w:val="en-US" w:eastAsia="zh-CN"/>
        </w:rPr>
      </w:pPr>
    </w:p>
    <w:p w14:paraId="71A42B77">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报价单位：                               （盖章） </w:t>
      </w:r>
    </w:p>
    <w:p w14:paraId="07DC9D1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日 期：   年   月  日</w:t>
      </w:r>
    </w:p>
    <w:p w14:paraId="41959B62">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w:t>
      </w:r>
    </w:p>
    <w:p w14:paraId="1DA03EB9">
      <w:pPr>
        <w:pStyle w:val="2"/>
        <w:pageBreakBefore w:val="0"/>
        <w:suppressAutoHyphens/>
        <w:kinsoku/>
        <w:wordWrap/>
        <w:overflowPunct/>
        <w:topLinePunct w:val="0"/>
        <w:autoSpaceDE/>
        <w:autoSpaceDN/>
        <w:bidi w:val="0"/>
        <w:adjustRightInd/>
        <w:snapToGrid/>
        <w:spacing w:before="0" w:after="0" w:line="520" w:lineRule="exact"/>
        <w:ind w:firstLine="640" w:firstLineChars="200"/>
        <w:jc w:val="both"/>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b w:val="0"/>
          <w:bCs w:val="0"/>
          <w:kern w:val="0"/>
          <w:sz w:val="32"/>
          <w:szCs w:val="32"/>
        </w:rPr>
        <w:t>一、比选申请函</w:t>
      </w:r>
    </w:p>
    <w:p w14:paraId="4C810AA1">
      <w:pPr>
        <w:pageBreakBefore w:val="0"/>
        <w:widowControl/>
        <w:shd w:val="clear" w:color="auto" w:fill="FFFFFF"/>
        <w:suppressAutoHyphens/>
        <w:kinsoku/>
        <w:wordWrap/>
        <w:overflowPunct/>
        <w:topLinePunct w:val="0"/>
        <w:autoSpaceDE/>
        <w:autoSpaceDN/>
        <w:bidi w:val="0"/>
        <w:adjustRightInd/>
        <w:snapToGrid/>
        <w:spacing w:line="520" w:lineRule="exact"/>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0"/>
          <w:szCs w:val="30"/>
          <w:u w:val="single"/>
        </w:rPr>
        <w:t xml:space="preserve"> </w:t>
      </w:r>
      <w:r>
        <w:rPr>
          <w:rFonts w:hint="eastAsia" w:ascii="仿宋_GB2312" w:hAnsi="仿宋_GB2312" w:eastAsia="仿宋_GB2312" w:cs="仿宋_GB2312"/>
          <w:color w:val="000000"/>
          <w:kern w:val="0"/>
          <w:sz w:val="32"/>
          <w:szCs w:val="32"/>
          <w:u w:val="single"/>
          <w:lang w:val="en-US" w:eastAsia="zh-CN"/>
        </w:rPr>
        <w:t>秦皇岛市抚宁区河道服务中心</w:t>
      </w:r>
      <w:r>
        <w:rPr>
          <w:rFonts w:hint="eastAsia" w:ascii="仿宋_GB2312" w:hAnsi="仿宋_GB2312" w:eastAsia="仿宋_GB2312" w:cs="仿宋_GB2312"/>
          <w:color w:val="000000"/>
          <w:kern w:val="0"/>
          <w:sz w:val="32"/>
          <w:szCs w:val="32"/>
        </w:rPr>
        <w:t>：</w:t>
      </w:r>
    </w:p>
    <w:p w14:paraId="35007805">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我方已仔细研究了</w:t>
      </w:r>
      <w:r>
        <w:rPr>
          <w:rFonts w:hint="eastAsia" w:ascii="仿宋_GB2312" w:hAnsi="仿宋_GB2312" w:eastAsia="仿宋_GB2312" w:cs="仿宋_GB2312"/>
          <w:color w:val="000000"/>
          <w:sz w:val="32"/>
          <w:szCs w:val="32"/>
          <w:lang w:val="en-US" w:eastAsia="zh-CN"/>
        </w:rPr>
        <w:t>贵方发布的</w:t>
      </w:r>
      <w:r>
        <w:rPr>
          <w:rFonts w:hint="eastAsia" w:ascii="华文仿宋" w:hAnsi="华文仿宋" w:eastAsia="华文仿宋" w:cs="华文仿宋"/>
          <w:sz w:val="32"/>
          <w:szCs w:val="32"/>
          <w:lang w:val="en-US" w:eastAsia="zh-CN"/>
        </w:rPr>
        <w:t>财务咨询服务比选</w:t>
      </w:r>
      <w:r>
        <w:rPr>
          <w:rFonts w:hint="eastAsia" w:ascii="仿宋_GB2312" w:hAnsi="仿宋_GB2312" w:eastAsia="仿宋_GB2312" w:cs="仿宋_GB2312"/>
          <w:color w:val="000000"/>
          <w:sz w:val="32"/>
          <w:szCs w:val="32"/>
        </w:rPr>
        <w:t xml:space="preserve">公告，在完全理解并严格遵守比选公告的各项规定和要求的前提下，自愿参加本次比选活动。 </w:t>
      </w:r>
    </w:p>
    <w:p w14:paraId="30A646FA">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我方承诺：</w:t>
      </w:r>
    </w:p>
    <w:p w14:paraId="67BFBFF0">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rPr>
        <w:t>1、</w:t>
      </w:r>
      <w:r>
        <w:rPr>
          <w:rFonts w:hint="eastAsia" w:ascii="仿宋_GB2312" w:hAnsi="仿宋_GB2312" w:eastAsia="仿宋_GB2312" w:cs="仿宋_GB2312"/>
          <w:color w:val="000000"/>
          <w:sz w:val="32"/>
          <w:szCs w:val="32"/>
          <w:lang w:val="en-US" w:eastAsia="zh-CN"/>
        </w:rPr>
        <w:t>申请人具有独立承担民事责任的能力；</w:t>
      </w:r>
    </w:p>
    <w:p w14:paraId="69BDA900">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val="en" w:eastAsia="zh-CN"/>
        </w:rPr>
        <w:t>、</w:t>
      </w:r>
      <w:r>
        <w:rPr>
          <w:rFonts w:hint="eastAsia" w:ascii="仿宋_GB2312" w:hAnsi="仿宋_GB2312" w:eastAsia="仿宋_GB2312" w:cs="仿宋_GB2312"/>
          <w:color w:val="000000"/>
          <w:sz w:val="32"/>
          <w:szCs w:val="32"/>
          <w:lang w:val="en-US" w:eastAsia="zh-CN"/>
        </w:rPr>
        <w:t>具有良好的商业信誉和健全的财务会计制度；</w:t>
      </w:r>
    </w:p>
    <w:p w14:paraId="184210DF">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3、具有履行合同所必需的设备和专业技术能力；</w:t>
      </w:r>
    </w:p>
    <w:p w14:paraId="3A3369E6">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4、有依法缴纳税收和社会保障资金的良好记录；</w:t>
      </w:r>
    </w:p>
    <w:p w14:paraId="53829546">
      <w:pPr>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5、</w:t>
      </w:r>
      <w:r>
        <w:rPr>
          <w:rFonts w:hint="eastAsia" w:ascii="华文仿宋" w:hAnsi="华文仿宋" w:eastAsia="华文仿宋" w:cs="华文仿宋"/>
          <w:sz w:val="32"/>
          <w:szCs w:val="32"/>
          <w:lang w:val="en-US" w:eastAsia="zh-CN"/>
        </w:rPr>
        <w:t>近三年在经营活动和政府采购中没有重大违法、违纪行为；</w:t>
      </w:r>
    </w:p>
    <w:p w14:paraId="539C27F5">
      <w:pPr>
        <w:keepNext w:val="0"/>
        <w:keepLines w:val="0"/>
        <w:pageBreakBefore w:val="0"/>
        <w:widowControl w:val="0"/>
        <w:numPr>
          <w:ilvl w:val="0"/>
          <w:numId w:val="0"/>
        </w:numPr>
        <w:suppressAutoHyphens/>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6</w:t>
      </w:r>
      <w:r>
        <w:rPr>
          <w:rFonts w:hint="eastAsia" w:ascii="仿宋_GB2312" w:hAnsi="仿宋_GB2312" w:eastAsia="仿宋_GB2312" w:cs="仿宋_GB2312"/>
          <w:color w:val="000000"/>
          <w:sz w:val="32"/>
          <w:szCs w:val="32"/>
        </w:rPr>
        <w:t>、我方愿意完全按照比选人通过比选公告、合同样本提出的要约及价格签订正式合同，并按合同约定的时间完成</w:t>
      </w:r>
      <w:r>
        <w:rPr>
          <w:rFonts w:hint="eastAsia" w:ascii="仿宋_GB2312" w:hAnsi="仿宋_GB2312" w:eastAsia="仿宋_GB2312" w:cs="仿宋_GB2312"/>
          <w:color w:val="000000"/>
          <w:sz w:val="32"/>
          <w:szCs w:val="32"/>
          <w:lang w:val="en-US" w:eastAsia="zh-CN"/>
        </w:rPr>
        <w:t>服务</w:t>
      </w:r>
      <w:r>
        <w:rPr>
          <w:rFonts w:hint="eastAsia" w:ascii="仿宋_GB2312" w:hAnsi="仿宋_GB2312" w:eastAsia="仿宋_GB2312" w:cs="仿宋_GB2312"/>
          <w:color w:val="000000"/>
          <w:sz w:val="32"/>
          <w:szCs w:val="32"/>
        </w:rPr>
        <w:t>任务。</w:t>
      </w:r>
    </w:p>
    <w:p w14:paraId="33DFBD3F">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sz w:val="32"/>
          <w:szCs w:val="32"/>
        </w:rPr>
        <w:t>以上为我方参加比选的申请，如有违反，则自行承担相应法律责任，自愿按照相关规定接受处罚。</w:t>
      </w:r>
    </w:p>
    <w:p w14:paraId="0E976591">
      <w:pPr>
        <w:pageBreakBefore w:val="0"/>
        <w:widowControl/>
        <w:shd w:val="clear" w:color="auto" w:fill="FFFFFF"/>
        <w:suppressAutoHyphens/>
        <w:kinsoku/>
        <w:wordWrap/>
        <w:overflowPunct/>
        <w:topLinePunct w:val="0"/>
        <w:autoSpaceDE/>
        <w:autoSpaceDN/>
        <w:bidi w:val="0"/>
        <w:adjustRightInd/>
        <w:snapToGrid/>
        <w:spacing w:line="520" w:lineRule="exact"/>
        <w:ind w:right="26" w:firstLine="1600" w:firstLineChars="5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比选申请人：</w:t>
      </w:r>
      <w:r>
        <w:rPr>
          <w:rFonts w:hint="eastAsia" w:ascii="仿宋_GB2312" w:hAnsi="仿宋_GB2312" w:eastAsia="仿宋_GB2312" w:cs="仿宋_GB2312"/>
          <w:color w:val="000000"/>
          <w:kern w:val="0"/>
          <w:sz w:val="32"/>
          <w:szCs w:val="32"/>
          <w:u w:val="thick"/>
        </w:rPr>
        <w:t xml:space="preserve">                       </w:t>
      </w:r>
      <w:r>
        <w:rPr>
          <w:rFonts w:hint="eastAsia" w:ascii="仿宋_GB2312" w:hAnsi="仿宋_GB2312" w:eastAsia="仿宋_GB2312" w:cs="仿宋_GB2312"/>
          <w:color w:val="000000"/>
          <w:kern w:val="0"/>
          <w:sz w:val="32"/>
          <w:szCs w:val="32"/>
        </w:rPr>
        <w:t>（盖单位章）</w:t>
      </w:r>
    </w:p>
    <w:p w14:paraId="4E4E33BC">
      <w:pPr>
        <w:pageBreakBefore w:val="0"/>
        <w:widowControl/>
        <w:shd w:val="clear" w:color="auto" w:fill="FFFFFF"/>
        <w:suppressAutoHyphens/>
        <w:kinsoku/>
        <w:wordWrap/>
        <w:overflowPunct/>
        <w:topLinePunct w:val="0"/>
        <w:autoSpaceDE/>
        <w:autoSpaceDN/>
        <w:bidi w:val="0"/>
        <w:adjustRightInd/>
        <w:snapToGrid/>
        <w:spacing w:line="520" w:lineRule="exact"/>
        <w:ind w:firstLine="640" w:firstLineChars="200"/>
        <w:jc w:val="left"/>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        地址：</w:t>
      </w:r>
      <w:r>
        <w:rPr>
          <w:rFonts w:hint="eastAsia" w:ascii="仿宋_GB2312" w:hAnsi="仿宋_GB2312" w:eastAsia="仿宋_GB2312" w:cs="仿宋_GB2312"/>
          <w:color w:val="000000"/>
          <w:kern w:val="0"/>
          <w:sz w:val="32"/>
          <w:szCs w:val="32"/>
          <w:u w:val="thick"/>
        </w:rPr>
        <w:t xml:space="preserve">                   </w:t>
      </w:r>
      <w:r>
        <w:rPr>
          <w:rFonts w:hint="eastAsia" w:ascii="仿宋_GB2312" w:hAnsi="仿宋_GB2312" w:eastAsia="仿宋_GB2312" w:cs="仿宋_GB2312"/>
          <w:color w:val="000000"/>
          <w:kern w:val="0"/>
          <w:sz w:val="32"/>
          <w:szCs w:val="32"/>
        </w:rPr>
        <w:t xml:space="preserve">   联系方式：</w:t>
      </w:r>
      <w:r>
        <w:rPr>
          <w:rFonts w:hint="eastAsia" w:ascii="仿宋_GB2312" w:hAnsi="仿宋_GB2312" w:eastAsia="仿宋_GB2312" w:cs="仿宋_GB2312"/>
          <w:color w:val="000000"/>
          <w:kern w:val="0"/>
          <w:sz w:val="32"/>
          <w:szCs w:val="32"/>
          <w:u w:val="thick"/>
        </w:rPr>
        <w:t xml:space="preserve">                </w:t>
      </w:r>
    </w:p>
    <w:p w14:paraId="101E98FA">
      <w:pPr>
        <w:pageBreakBefore w:val="0"/>
        <w:widowControl/>
        <w:shd w:val="clear" w:color="auto" w:fill="FFFFFF"/>
        <w:suppressAutoHyphens/>
        <w:kinsoku/>
        <w:wordWrap/>
        <w:overflowPunct/>
        <w:topLinePunct w:val="0"/>
        <w:autoSpaceDE/>
        <w:autoSpaceDN/>
        <w:bidi w:val="0"/>
        <w:adjustRightInd/>
        <w:snapToGrid/>
        <w:spacing w:line="520" w:lineRule="exact"/>
        <w:ind w:right="941" w:rightChars="448" w:firstLine="660"/>
        <w:jc w:val="right"/>
        <w:textAlignment w:val="auto"/>
        <w:rPr>
          <w:rFonts w:hint="eastAsia" w:ascii="仿宋_GB2312" w:hAnsi="仿宋_GB2312" w:eastAsia="仿宋_GB2312" w:cs="仿宋_GB2312"/>
          <w:bCs/>
          <w:color w:val="333333"/>
          <w:kern w:val="0"/>
          <w:sz w:val="32"/>
          <w:szCs w:val="32"/>
        </w:rPr>
      </w:pPr>
      <w:r>
        <w:rPr>
          <w:rFonts w:hint="eastAsia" w:ascii="仿宋_GB2312" w:hAnsi="仿宋_GB2312" w:eastAsia="仿宋_GB2312" w:cs="仿宋_GB2312"/>
          <w:color w:val="000000"/>
          <w:kern w:val="0"/>
          <w:sz w:val="32"/>
          <w:szCs w:val="32"/>
        </w:rPr>
        <w:t xml:space="preserve">               </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年</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月</w:t>
      </w:r>
      <w:r>
        <w:rPr>
          <w:rFonts w:hint="eastAsia" w:ascii="仿宋_GB2312" w:hAnsi="仿宋_GB2312" w:eastAsia="仿宋_GB2312" w:cs="仿宋_GB2312"/>
          <w:bCs/>
          <w:color w:val="333333"/>
          <w:kern w:val="0"/>
          <w:sz w:val="32"/>
          <w:szCs w:val="32"/>
          <w:u w:val="single"/>
        </w:rPr>
        <w:t xml:space="preserve">    </w:t>
      </w:r>
      <w:r>
        <w:rPr>
          <w:rFonts w:hint="eastAsia" w:ascii="仿宋_GB2312" w:hAnsi="仿宋_GB2312" w:eastAsia="仿宋_GB2312" w:cs="仿宋_GB2312"/>
          <w:bCs/>
          <w:color w:val="333333"/>
          <w:kern w:val="0"/>
          <w:sz w:val="32"/>
          <w:szCs w:val="32"/>
        </w:rPr>
        <w:t>日</w:t>
      </w:r>
    </w:p>
    <w:p w14:paraId="66A54F00">
      <w:pPr>
        <w:ind w:firstLine="640" w:firstLineChars="200"/>
        <w:jc w:val="center"/>
        <w:rPr>
          <w:rFonts w:hint="eastAsia" w:ascii="华文仿宋" w:hAnsi="华文仿宋" w:eastAsia="华文仿宋" w:cs="华文仿宋"/>
          <w:sz w:val="32"/>
          <w:szCs w:val="32"/>
          <w:lang w:val="en-US" w:eastAsia="zh-CN"/>
        </w:rPr>
      </w:pPr>
    </w:p>
    <w:p w14:paraId="2F5F21A7">
      <w:pPr>
        <w:ind w:firstLine="640" w:firstLineChars="200"/>
        <w:rPr>
          <w:rFonts w:hint="eastAsia" w:ascii="华文仿宋" w:hAnsi="华文仿宋" w:eastAsia="华文仿宋" w:cs="华文仿宋"/>
          <w:sz w:val="32"/>
          <w:szCs w:val="32"/>
          <w:lang w:val="en-US" w:eastAsia="zh-CN"/>
        </w:rPr>
      </w:pPr>
    </w:p>
    <w:p w14:paraId="07DEFD4B">
      <w:pPr>
        <w:ind w:firstLine="640" w:firstLineChars="200"/>
        <w:rPr>
          <w:rFonts w:hint="eastAsia" w:ascii="华文仿宋" w:hAnsi="华文仿宋" w:eastAsia="华文仿宋" w:cs="华文仿宋"/>
          <w:sz w:val="32"/>
          <w:szCs w:val="32"/>
          <w:lang w:val="en-US" w:eastAsia="zh-CN"/>
        </w:rPr>
      </w:pPr>
    </w:p>
    <w:p w14:paraId="06B0F646">
      <w:pPr>
        <w:ind w:firstLine="640" w:firstLineChars="200"/>
        <w:rPr>
          <w:rFonts w:hint="eastAsia" w:ascii="华文仿宋" w:hAnsi="华文仿宋" w:eastAsia="华文仿宋" w:cs="华文仿宋"/>
          <w:sz w:val="32"/>
          <w:szCs w:val="32"/>
          <w:lang w:val="en-US" w:eastAsia="zh-CN"/>
        </w:rPr>
      </w:pPr>
    </w:p>
    <w:p w14:paraId="3C0F77CB">
      <w:pPr>
        <w:ind w:firstLine="640" w:firstLineChars="200"/>
        <w:rPr>
          <w:rFonts w:hint="eastAsia" w:ascii="华文仿宋" w:hAnsi="华文仿宋" w:eastAsia="华文仿宋" w:cs="华文仿宋"/>
          <w:sz w:val="32"/>
          <w:szCs w:val="32"/>
          <w:lang w:val="en-US" w:eastAsia="zh-CN"/>
        </w:rPr>
      </w:pPr>
    </w:p>
    <w:p w14:paraId="67668432">
      <w:pPr>
        <w:ind w:firstLine="640" w:firstLineChars="200"/>
        <w:rPr>
          <w:rFonts w:hint="eastAsia" w:ascii="华文仿宋" w:hAnsi="华文仿宋" w:eastAsia="华文仿宋" w:cs="华文仿宋"/>
          <w:sz w:val="32"/>
          <w:szCs w:val="32"/>
          <w:lang w:val="en-US" w:eastAsia="zh-CN"/>
        </w:rPr>
      </w:pPr>
    </w:p>
    <w:p w14:paraId="1A439EDE">
      <w:pPr>
        <w:ind w:firstLine="640" w:firstLineChars="200"/>
        <w:rPr>
          <w:rFonts w:hint="eastAsia" w:ascii="华文仿宋" w:hAnsi="华文仿宋" w:eastAsia="华文仿宋" w:cs="华文仿宋"/>
          <w:sz w:val="32"/>
          <w:szCs w:val="32"/>
          <w:lang w:val="en-US" w:eastAsia="zh-CN"/>
        </w:rPr>
      </w:pPr>
    </w:p>
    <w:p w14:paraId="0308566F">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二、资格审查资料</w:t>
      </w:r>
    </w:p>
    <w:p w14:paraId="3675CAA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1.营业执照复印件加盖公章</w:t>
      </w:r>
    </w:p>
    <w:p w14:paraId="7F97BA4D">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2.人员配置和工作业绩材料 </w:t>
      </w:r>
    </w:p>
    <w:p w14:paraId="0714EA2C">
      <w:pPr>
        <w:ind w:firstLine="640" w:firstLineChars="200"/>
        <w:rPr>
          <w:rFonts w:hint="eastAsia" w:ascii="华文仿宋" w:hAnsi="华文仿宋" w:eastAsia="华文仿宋" w:cs="华文仿宋"/>
          <w:sz w:val="32"/>
          <w:szCs w:val="32"/>
          <w:lang w:val="en-US" w:eastAsia="zh-CN"/>
        </w:rPr>
      </w:pPr>
    </w:p>
    <w:p w14:paraId="6D427C48">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三、报价表</w:t>
      </w:r>
    </w:p>
    <w:tbl>
      <w:tblPr>
        <w:tblStyle w:val="6"/>
        <w:tblW w:w="0" w:type="auto"/>
        <w:tblInd w:w="98" w:type="dxa"/>
        <w:tblLayout w:type="autofit"/>
        <w:tblCellMar>
          <w:top w:w="15" w:type="dxa"/>
          <w:left w:w="15" w:type="dxa"/>
          <w:bottom w:w="15" w:type="dxa"/>
          <w:right w:w="15" w:type="dxa"/>
        </w:tblCellMar>
      </w:tblPr>
      <w:tblGrid>
        <w:gridCol w:w="1944"/>
        <w:gridCol w:w="5188"/>
      </w:tblGrid>
      <w:tr w14:paraId="7F703AED">
        <w:tblPrEx>
          <w:tblCellMar>
            <w:top w:w="15" w:type="dxa"/>
            <w:left w:w="15" w:type="dxa"/>
            <w:bottom w:w="15" w:type="dxa"/>
            <w:right w:w="15" w:type="dxa"/>
          </w:tblCellMar>
        </w:tblPrEx>
        <w:trPr>
          <w:trHeight w:val="1479" w:hRule="atLeast"/>
        </w:trPr>
        <w:tc>
          <w:tcPr>
            <w:tcW w:w="1944" w:type="dxa"/>
            <w:tcBorders>
              <w:top w:val="inset" w:color="auto" w:sz="8" w:space="0"/>
              <w:left w:val="inset" w:color="auto" w:sz="8"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493FE3F4">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项目名称</w:t>
            </w:r>
          </w:p>
        </w:tc>
        <w:tc>
          <w:tcPr>
            <w:tcW w:w="5188" w:type="dxa"/>
            <w:tcBorders>
              <w:top w:val="inset" w:color="auto" w:sz="8" w:space="0"/>
              <w:left w:val="single" w:color="auto" w:sz="0"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23AF2D62">
            <w:pPr>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水库建设项目财务咨询服务</w:t>
            </w:r>
          </w:p>
        </w:tc>
      </w:tr>
      <w:tr w14:paraId="2FB88A4D">
        <w:tblPrEx>
          <w:tblCellMar>
            <w:top w:w="15" w:type="dxa"/>
            <w:left w:w="15" w:type="dxa"/>
            <w:bottom w:w="15" w:type="dxa"/>
            <w:right w:w="15" w:type="dxa"/>
          </w:tblCellMar>
        </w:tblPrEx>
        <w:trPr>
          <w:trHeight w:val="1072" w:hRule="atLeast"/>
        </w:trPr>
        <w:tc>
          <w:tcPr>
            <w:tcW w:w="1944" w:type="dxa"/>
            <w:tcBorders>
              <w:top w:val="single" w:color="auto" w:sz="0" w:space="0"/>
              <w:left w:val="inset" w:color="auto" w:sz="8"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19E1C34B">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报价</w:t>
            </w:r>
          </w:p>
        </w:tc>
        <w:tc>
          <w:tcPr>
            <w:tcW w:w="5188" w:type="dxa"/>
            <w:tcBorders>
              <w:top w:val="single" w:color="auto" w:sz="0" w:space="0"/>
              <w:left w:val="single" w:color="auto" w:sz="0"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47B44688">
            <w:pPr>
              <w:ind w:firstLine="640" w:firstLineChars="200"/>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大写人民币    元（¥   ）</w:t>
            </w:r>
          </w:p>
        </w:tc>
      </w:tr>
      <w:tr w14:paraId="5BF228CB">
        <w:tblPrEx>
          <w:tblCellMar>
            <w:top w:w="15" w:type="dxa"/>
            <w:left w:w="15" w:type="dxa"/>
            <w:bottom w:w="15" w:type="dxa"/>
            <w:right w:w="15" w:type="dxa"/>
          </w:tblCellMar>
        </w:tblPrEx>
        <w:trPr>
          <w:trHeight w:val="959" w:hRule="atLeast"/>
        </w:trPr>
        <w:tc>
          <w:tcPr>
            <w:tcW w:w="1944" w:type="dxa"/>
            <w:tcBorders>
              <w:top w:val="single" w:color="auto" w:sz="0" w:space="0"/>
              <w:left w:val="inset" w:color="auto" w:sz="8"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3E60EE6A">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备注</w:t>
            </w:r>
          </w:p>
        </w:tc>
        <w:tc>
          <w:tcPr>
            <w:tcW w:w="5188" w:type="dxa"/>
            <w:tcBorders>
              <w:top w:val="single" w:color="auto" w:sz="0" w:space="0"/>
              <w:left w:val="single" w:color="auto" w:sz="0" w:space="0"/>
              <w:bottom w:val="inset" w:color="auto" w:sz="8" w:space="0"/>
              <w:right w:val="inset" w:color="auto" w:sz="8" w:space="0"/>
            </w:tcBorders>
            <w:shd w:val="clear" w:color="auto" w:fill="FFFFFF"/>
            <w:noWrap w:val="0"/>
            <w:tcMar>
              <w:top w:w="0" w:type="dxa"/>
              <w:left w:w="0" w:type="dxa"/>
              <w:bottom w:w="0" w:type="dxa"/>
              <w:right w:w="0" w:type="dxa"/>
            </w:tcMar>
            <w:vAlign w:val="center"/>
          </w:tcPr>
          <w:p w14:paraId="538460AE">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月费用</w:t>
            </w:r>
          </w:p>
        </w:tc>
      </w:tr>
    </w:tbl>
    <w:p w14:paraId="225A1DE8">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w:t>
      </w:r>
    </w:p>
    <w:p w14:paraId="306687C5">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w:t>
      </w:r>
    </w:p>
    <w:sectPr>
      <w:footerReference r:id="rId3" w:type="default"/>
      <w:pgSz w:w="11906" w:h="16838"/>
      <w:pgMar w:top="1383" w:right="1463" w:bottom="1383" w:left="146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18A5A">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A08178">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9A08178">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9"/>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7D3784"/>
    <w:rsid w:val="02255ABE"/>
    <w:rsid w:val="04671AEF"/>
    <w:rsid w:val="05311440"/>
    <w:rsid w:val="056764B5"/>
    <w:rsid w:val="06BE4A6E"/>
    <w:rsid w:val="08590E5B"/>
    <w:rsid w:val="08C20B6D"/>
    <w:rsid w:val="0A744E9A"/>
    <w:rsid w:val="0AAF0151"/>
    <w:rsid w:val="0E5378BC"/>
    <w:rsid w:val="14AE2B04"/>
    <w:rsid w:val="16FE05AB"/>
    <w:rsid w:val="1C593783"/>
    <w:rsid w:val="1D124652"/>
    <w:rsid w:val="1DC90684"/>
    <w:rsid w:val="23B53624"/>
    <w:rsid w:val="24A73BB7"/>
    <w:rsid w:val="25883A00"/>
    <w:rsid w:val="2D976A55"/>
    <w:rsid w:val="2EB72624"/>
    <w:rsid w:val="2F4E3303"/>
    <w:rsid w:val="32AF5DA1"/>
    <w:rsid w:val="358557C2"/>
    <w:rsid w:val="372165AB"/>
    <w:rsid w:val="390C20A7"/>
    <w:rsid w:val="39AD2287"/>
    <w:rsid w:val="3BF55114"/>
    <w:rsid w:val="3D010D9A"/>
    <w:rsid w:val="3DE94671"/>
    <w:rsid w:val="3E5F6102"/>
    <w:rsid w:val="3F516639"/>
    <w:rsid w:val="3FE956F7"/>
    <w:rsid w:val="418415E4"/>
    <w:rsid w:val="44A96FDE"/>
    <w:rsid w:val="453A099B"/>
    <w:rsid w:val="48153C8D"/>
    <w:rsid w:val="487E6ACF"/>
    <w:rsid w:val="49D66E0A"/>
    <w:rsid w:val="4B5C1672"/>
    <w:rsid w:val="4C2A07B9"/>
    <w:rsid w:val="4C7B0EF5"/>
    <w:rsid w:val="535F4ADE"/>
    <w:rsid w:val="536D67FD"/>
    <w:rsid w:val="5CAD3129"/>
    <w:rsid w:val="622A54C0"/>
    <w:rsid w:val="63EE4040"/>
    <w:rsid w:val="64B11E2F"/>
    <w:rsid w:val="65455F06"/>
    <w:rsid w:val="65EA36EA"/>
    <w:rsid w:val="67660D4B"/>
    <w:rsid w:val="6A8C51D6"/>
    <w:rsid w:val="6DBF2A86"/>
    <w:rsid w:val="6E125534"/>
    <w:rsid w:val="741F0951"/>
    <w:rsid w:val="7C7D37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next w:val="1"/>
    <w:qFormat/>
    <w:uiPriority w:val="0"/>
    <w:pPr>
      <w:keepNext/>
      <w:keepLines/>
      <w:widowControl w:val="0"/>
      <w:spacing w:before="260" w:after="260" w:line="416" w:lineRule="auto"/>
      <w:jc w:val="both"/>
      <w:outlineLvl w:val="2"/>
    </w:pPr>
    <w:rPr>
      <w:rFonts w:ascii="Times New Roman" w:hAnsi="Times New Roman" w:eastAsia="宋体" w:cs="Times New Roman"/>
      <w:b/>
      <w:bCs/>
      <w:kern w:val="2"/>
      <w:sz w:val="32"/>
      <w:szCs w:val="3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Hyperlink"/>
    <w:basedOn w:val="7"/>
    <w:qFormat/>
    <w:uiPriority w:val="0"/>
    <w:rPr>
      <w:color w:val="0000FF"/>
      <w:u w:val="single"/>
    </w:rPr>
  </w:style>
  <w:style w:type="paragraph" w:customStyle="1" w:styleId="9">
    <w:name w:val="标题 5（有编号）（绿盟科技）"/>
    <w:next w:val="10"/>
    <w:autoRedefine/>
    <w:qFormat/>
    <w:uiPriority w:val="0"/>
    <w:pPr>
      <w:keepNext/>
      <w:keepLines/>
      <w:widowControl w:val="0"/>
      <w:numPr>
        <w:ilvl w:val="4"/>
        <w:numId w:val="1"/>
      </w:numPr>
      <w:spacing w:before="280" w:after="156" w:line="377" w:lineRule="auto"/>
      <w:jc w:val="left"/>
      <w:outlineLvl w:val="4"/>
    </w:pPr>
    <w:rPr>
      <w:rFonts w:ascii="Arial" w:hAnsi="Arial" w:eastAsia="黑体" w:cs="Times New Roman"/>
      <w:b/>
      <w:kern w:val="0"/>
      <w:sz w:val="24"/>
      <w:szCs w:val="28"/>
      <w:lang w:val="en-US" w:eastAsia="zh-CN" w:bidi="ar-SA"/>
    </w:rPr>
  </w:style>
  <w:style w:type="paragraph" w:customStyle="1" w:styleId="10">
    <w:name w:val="正文（绿盟科技）"/>
    <w:autoRedefine/>
    <w:qFormat/>
    <w:uiPriority w:val="0"/>
    <w:pPr>
      <w:spacing w:line="300" w:lineRule="auto"/>
    </w:pPr>
    <w:rPr>
      <w:rFonts w:ascii="Arial" w:hAnsi="Arial" w:eastAsia="宋体" w:cs="黑体"/>
      <w:sz w:val="21"/>
      <w:szCs w:val="21"/>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1192</Words>
  <Characters>1225</Characters>
  <Lines>0</Lines>
  <Paragraphs>0</Paragraphs>
  <TotalTime>0</TotalTime>
  <ScaleCrop>false</ScaleCrop>
  <LinksUpToDate>false</LinksUpToDate>
  <CharactersWithSpaces>1402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2024-12-04T07:30:00Z</dcterms:created>
  <dc:creator>戴尔</dc:creator>
  <cp:lastModifiedBy>戴尔</cp:lastModifiedBy>
  <dcterms:modified xsi:type="dcterms:W3CDTF">2024-12-16T05:54:14Z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CC34090DD197449D820C1B89DC6BE395_11</vt:lpwstr>
  </property>
</Properties>
</file>