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0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firstLine="482"/>
        <w:jc w:val="center"/>
        <w:textAlignment w:val="auto"/>
        <w:rPr>
          <w:rFonts w:hint="eastAsia" w:ascii="方正小标宋简体" w:eastAsia="方正小标宋简体"/>
          <w:bCs/>
          <w:color w:val="000000"/>
          <w:sz w:val="44"/>
          <w:szCs w:val="44"/>
          <w:lang w:eastAsia="zh-CN"/>
        </w:rPr>
      </w:pPr>
      <w:r>
        <w:rPr>
          <w:rFonts w:hint="eastAsia" w:ascii="方正小标宋简体" w:eastAsia="方正小标宋简体"/>
          <w:bCs/>
          <w:color w:val="000000"/>
          <w:sz w:val="44"/>
          <w:szCs w:val="44"/>
          <w:lang w:eastAsia="zh-CN"/>
        </w:rPr>
        <w:t>秦皇岛市抚宁区人民政府办公室</w:t>
      </w:r>
    </w:p>
    <w:p>
      <w:pPr>
        <w:pStyle w:val="10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firstLine="482"/>
        <w:jc w:val="center"/>
        <w:textAlignment w:val="auto"/>
        <w:rPr>
          <w:rFonts w:hint="eastAsia" w:ascii="方正小标宋简体" w:eastAsia="方正小标宋简体"/>
          <w:color w:val="000000"/>
          <w:sz w:val="44"/>
          <w:szCs w:val="44"/>
        </w:rPr>
      </w:pPr>
      <w:r>
        <w:rPr>
          <w:rFonts w:hint="eastAsia" w:ascii="方正小标宋简体" w:eastAsia="方正小标宋简体"/>
          <w:bCs/>
          <w:color w:val="000000"/>
          <w:sz w:val="44"/>
          <w:szCs w:val="44"/>
          <w:lang w:val="en-US" w:eastAsia="zh-CN"/>
        </w:rPr>
        <w:t>2024年</w:t>
      </w:r>
      <w:r>
        <w:rPr>
          <w:rFonts w:hint="eastAsia" w:ascii="方正小标宋简体" w:eastAsia="方正小标宋简体"/>
          <w:bCs/>
          <w:color w:val="000000"/>
          <w:sz w:val="44"/>
          <w:szCs w:val="44"/>
        </w:rPr>
        <w:t>政府信息公开工作年度报告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eastAsia="方正仿宋简体" w:cs="Times New Roman"/>
          <w:sz w:val="32"/>
          <w:szCs w:val="32"/>
          <w:lang w:eastAsia="zh-CN"/>
        </w:rPr>
      </w:pPr>
    </w:p>
    <w:p>
      <w:pPr>
        <w:pStyle w:val="10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根据《中华人民共和国政府信息公开条例》（以下简称《条例》）规定，向社会公布秦皇岛市抚宁区人民政府办公室2024年政府信息公开工作年度报告。本报告由总体情况、主动公开政府信息情况、依申请公开情况、行政复议和诉讼情况、存在的主要问题及改进情况、其他需要报告的事项等部分组成。本报告中所列数据的统计时限自2024年1月1日起至2024年12月31日止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微软雅黑" w:hAnsi="微软雅黑" w:eastAsia="微软雅黑" w:cs="微软雅黑"/>
          <w:i w:val="0"/>
          <w:caps w:val="0"/>
          <w:color w:val="auto"/>
          <w:spacing w:val="0"/>
          <w:sz w:val="27"/>
          <w:szCs w:val="27"/>
          <w:u w:val="none"/>
        </w:rPr>
      </w:pPr>
      <w:r>
        <w:rPr>
          <w:rFonts w:ascii="黑体" w:hAnsi="宋体" w:eastAsia="黑体" w:cs="黑体"/>
          <w:i w:val="0"/>
          <w:caps w:val="0"/>
          <w:color w:val="auto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一、</w:t>
      </w:r>
      <w:r>
        <w:rPr>
          <w:rFonts w:hint="eastAsia" w:ascii="黑体" w:hAnsi="宋体" w:eastAsia="黑体" w:cs="黑体"/>
          <w:i w:val="0"/>
          <w:caps w:val="0"/>
          <w:color w:val="auto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总体情况</w:t>
      </w:r>
    </w:p>
    <w:p>
      <w:pPr>
        <w:pStyle w:val="10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2024年，区政府办公室坚持以习近平新时代中国特色社会主义思想为指导，紧紧围绕党中央、国务院决策部署、省市区工作安排和区委区政府中心工作，拓宽政务公开渠道，指导各部门认真做好政府信息发布工作，有效提升了政府工作的透明度和公信力。</w:t>
      </w:r>
    </w:p>
    <w:p>
      <w:pPr>
        <w:pStyle w:val="10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</w:pP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（一）</w:t>
      </w: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主动公开</w:t>
      </w: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方面</w:t>
      </w: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对政务公开事项进行认真梳理，及时更新，并同步在区政府门户网站进行发布，确保政务信息时效性。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本年度在区政府网站发布信息1786条，区政府信息公开平台发布信息579条。依据现行法律法规及工作实际，严格审查程序，健全审核机制，依法审查规范性文件，清理区本级规范性文件0件，保留3件，新制发1件，已通过规范性文件专栏集中公开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</w:pP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（</w:t>
      </w: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二</w:t>
      </w: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）</w:t>
      </w: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依</w:t>
      </w: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申请公开</w:t>
      </w: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方面。</w:t>
      </w:r>
      <w:r>
        <w:rPr>
          <w:rFonts w:hint="eastAsia" w:ascii="仿宋_GB2312" w:hAnsi="仿宋_GB2312" w:eastAsia="仿宋_GB2312" w:cs="仿宋_GB2312"/>
          <w:b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一是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严格落实《中华人民共和国政府信息公开条例》，对公民、法人和其他组织提出的公开申请，依法依规及时处理。</w:t>
      </w:r>
      <w:r>
        <w:rPr>
          <w:rFonts w:hint="eastAsia" w:ascii="仿宋_GB2312" w:hAnsi="仿宋_GB2312" w:eastAsia="仿宋_GB2312" w:cs="仿宋_GB2312"/>
          <w:b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二是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指导、协调、督促各级行政机关严格按照工作流程、办理时限等要求，规范有效地开展信息公开答复工作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，切实保障公民的参与权、知情权、监督权。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2024年，区政府共收到依申请公开21件，大部分通过信函或在线申请，均已按照规定时限和程序依法依规进行了答复。信息公开行政复议案件3件，维持2件，尚未审结1件。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</w:pP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（三）政府信息管理方面。</w:t>
      </w:r>
      <w:r>
        <w:rPr>
          <w:rFonts w:hint="eastAsia" w:ascii="仿宋_GB2312" w:hAnsi="仿宋_GB2312" w:eastAsia="仿宋_GB2312" w:cs="仿宋_GB2312"/>
          <w:b/>
          <w:bCs/>
          <w:i w:val="0"/>
          <w:caps w:val="0"/>
          <w:color w:val="auto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一是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严格按照信息公开“三审”制度审查，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严把信息公开政治关、法律关、政策关、保密关、文字关，确保重要信息不漏报、不迟报、不误报，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确保发布的各类信息符合《中华人民共和国政府信息公开条例》和相关法律法规的有关规定。</w:t>
      </w:r>
      <w:r>
        <w:rPr>
          <w:rFonts w:hint="eastAsia" w:ascii="仿宋_GB2312" w:hAnsi="仿宋_GB2312" w:eastAsia="仿宋_GB2312" w:cs="仿宋_GB2312"/>
          <w:b/>
          <w:bCs/>
          <w:i w:val="0"/>
          <w:caps w:val="0"/>
          <w:color w:val="auto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二是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定期对信息公开平台的信息进行检查，及时清理失效信息、不实信息，确保公开信息的准确性和时效性。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同时，加强对个人隐私的保护，防止信息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泄漏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，引发风险。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/>
        </w:rPr>
        <w:t>（四）信息公开平台建设方面。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一是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强化政府门户网站的主阵地作用，及时、准确、全面地为群众提供真实准确的信息。</w:t>
      </w:r>
      <w:r>
        <w:rPr>
          <w:rFonts w:hint="eastAsia" w:ascii="仿宋_GB2312" w:hAnsi="仿宋_GB2312" w:eastAsia="仿宋_GB2312" w:cs="仿宋_GB2312"/>
          <w:b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二是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加强微信公众号运营维护，明确专人专岗职责，严格遵循“三审制”发布流程，做好“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河北抚宁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”微信公众号信息发布及平台运营。</w:t>
      </w:r>
    </w:p>
    <w:p>
      <w:pPr>
        <w:pStyle w:val="10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</w:pP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(五）</w:t>
      </w: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监督保障方面</w:t>
      </w: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梳理整合信息公开工作难点、堵点，通过开展专题培训、研讨，针对性提出解决方案，持续提升政务公开工作人员业务水平。完善对下监督机制，加强对各部门、各领域信息公开的督促检查，通过通报、微信消息提醒等方法压实工作责任，形成常态化栏目更新维护机制。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 w:line="615" w:lineRule="atLeast"/>
        <w:ind w:left="0" w:right="0" w:firstLine="645"/>
        <w:jc w:val="both"/>
        <w:rPr>
          <w:rFonts w:hint="eastAsia" w:ascii="黑体" w:eastAsia="黑体"/>
          <w:color w:val="auto"/>
          <w:sz w:val="32"/>
          <w:szCs w:val="32"/>
        </w:rPr>
      </w:pPr>
      <w:r>
        <w:rPr>
          <w:rFonts w:hint="eastAsia" w:ascii="黑体" w:eastAsia="黑体"/>
          <w:color w:val="auto"/>
          <w:sz w:val="32"/>
          <w:szCs w:val="32"/>
        </w:rPr>
        <w:t>二、主动公开政府信息情况</w:t>
      </w:r>
    </w:p>
    <w:tbl>
      <w:tblPr>
        <w:tblStyle w:val="11"/>
        <w:tblW w:w="9740" w:type="dxa"/>
        <w:jc w:val="center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435"/>
        <w:gridCol w:w="2435"/>
        <w:gridCol w:w="2435"/>
        <w:gridCol w:w="2435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auto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第二十条第（一）项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auto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auto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本年制发件数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auto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center"/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现行有效件数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left"/>
              <w:rPr>
                <w:rFonts w:hint="default" w:ascii="Calibri" w:hAnsi="Calibri" w:eastAsia="宋体"/>
                <w:color w:val="auto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auto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/>
                <w:color w:val="auto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auto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/>
                <w:color w:val="auto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center"/>
              <w:rPr>
                <w:rFonts w:hint="default" w:ascii="宋体" w:eastAsia="宋体"/>
                <w:color w:val="auto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color w:val="auto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left"/>
              <w:rPr>
                <w:rFonts w:hint="default" w:ascii="Calibri" w:hAnsi="Calibri" w:eastAsia="宋体"/>
                <w:color w:val="auto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auto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/>
                <w:color w:val="auto"/>
                <w:spacing w:val="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auto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/>
                <w:color w:val="auto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center"/>
              <w:rPr>
                <w:rFonts w:hint="eastAsia" w:ascii="宋体" w:eastAsia="宋体"/>
                <w:color w:val="auto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color w:val="auto"/>
                <w:spacing w:val="0"/>
                <w:sz w:val="20"/>
                <w:szCs w:val="20"/>
                <w:lang w:val="en-US" w:eastAsia="zh-CN"/>
              </w:rPr>
              <w:t>4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auto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第二十条第（五）项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auto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auto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本年处理决定数量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left"/>
              <w:rPr>
                <w:rFonts w:hint="default" w:ascii="Calibri" w:hAnsi="Calibri" w:eastAsia="宋体"/>
                <w:color w:val="auto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center"/>
              <w:rPr>
                <w:rFonts w:hint="eastAsia" w:ascii="宋体" w:eastAsia="宋体"/>
                <w:color w:val="auto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color w:val="auto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auto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第二十条第（六）项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 w:firstLine="0"/>
              <w:jc w:val="center"/>
              <w:rPr>
                <w:rFonts w:hint="default" w:ascii="Calibri" w:hAnsi="Calibri" w:eastAsia="宋体"/>
                <w:color w:val="auto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 w:firstLine="0"/>
              <w:jc w:val="center"/>
              <w:rPr>
                <w:rFonts w:hint="default" w:ascii="Calibri" w:hAnsi="Calibri" w:eastAsia="宋体"/>
                <w:color w:val="auto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本年处理决定数量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left"/>
              <w:rPr>
                <w:rFonts w:hint="default" w:ascii="Calibri" w:hAnsi="Calibri" w:eastAsia="宋体"/>
                <w:color w:val="auto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auto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/>
                <w:color w:val="auto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left"/>
              <w:rPr>
                <w:rFonts w:hint="default" w:ascii="Calibri" w:hAnsi="Calibri" w:eastAsia="宋体"/>
                <w:color w:val="auto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auto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/>
                <w:color w:val="auto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auto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第二十条第（八）项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auto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auto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本年收费金额（单位：万元）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left"/>
              <w:rPr>
                <w:rFonts w:hint="default" w:ascii="Calibri" w:hAnsi="Calibri" w:eastAsia="宋体"/>
                <w:color w:val="auto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center"/>
              <w:rPr>
                <w:rFonts w:hint="eastAsia" w:ascii="宋体" w:eastAsia="宋体"/>
                <w:color w:val="auto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color w:val="auto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rPr>
          <w:rFonts w:hint="eastAsia" w:ascii="黑体" w:eastAsia="黑体"/>
          <w:color w:val="auto"/>
          <w:sz w:val="32"/>
          <w:szCs w:val="32"/>
          <w:lang w:eastAsia="zh-CN"/>
        </w:rPr>
      </w:pPr>
      <w:r>
        <w:rPr>
          <w:rFonts w:hint="eastAsia" w:ascii="黑体" w:eastAsia="黑体"/>
          <w:color w:val="auto"/>
          <w:sz w:val="32"/>
          <w:szCs w:val="32"/>
          <w:lang w:eastAsia="zh-CN"/>
        </w:rPr>
        <w:br w:type="page"/>
      </w:r>
    </w:p>
    <w:p>
      <w:pPr>
        <w:pStyle w:val="10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firstLine="640" w:firstLineChars="200"/>
        <w:jc w:val="both"/>
        <w:textAlignment w:val="auto"/>
        <w:rPr>
          <w:rFonts w:hint="eastAsia" w:ascii="黑体" w:eastAsia="黑体"/>
          <w:color w:val="auto"/>
          <w:sz w:val="32"/>
          <w:szCs w:val="32"/>
        </w:rPr>
      </w:pPr>
      <w:r>
        <w:rPr>
          <w:rFonts w:hint="eastAsia" w:ascii="黑体" w:eastAsia="黑体"/>
          <w:color w:val="auto"/>
          <w:sz w:val="32"/>
          <w:szCs w:val="32"/>
          <w:lang w:eastAsia="zh-CN"/>
        </w:rPr>
        <w:t>三、</w:t>
      </w:r>
      <w:r>
        <w:rPr>
          <w:rFonts w:hint="eastAsia" w:ascii="黑体" w:eastAsia="黑体"/>
          <w:color w:val="auto"/>
          <w:sz w:val="32"/>
          <w:szCs w:val="32"/>
        </w:rPr>
        <w:t>收到和处理政府信息公开申请情况</w:t>
      </w:r>
    </w:p>
    <w:tbl>
      <w:tblPr>
        <w:tblStyle w:val="11"/>
        <w:tblW w:w="9748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53"/>
        <w:gridCol w:w="921"/>
        <w:gridCol w:w="3272"/>
        <w:gridCol w:w="686"/>
        <w:gridCol w:w="686"/>
        <w:gridCol w:w="686"/>
        <w:gridCol w:w="686"/>
        <w:gridCol w:w="686"/>
        <w:gridCol w:w="686"/>
        <w:gridCol w:w="68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46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楷体_GB2312" w:eastAsia="楷体_GB2312"/>
                <w:color w:val="auto"/>
                <w:sz w:val="20"/>
                <w:szCs w:val="20"/>
              </w:rPr>
            </w:pPr>
            <w:r>
              <w:rPr>
                <w:rFonts w:hint="eastAsia" w:ascii="楷体" w:eastAsia="楷体"/>
                <w:color w:val="auto"/>
                <w:sz w:val="20"/>
                <w:szCs w:val="20"/>
              </w:rPr>
              <w:t>（本列数据的勾稽关系为：第一项加第二项之和，等于第三项加第四项之和）</w:t>
            </w:r>
          </w:p>
        </w:tc>
        <w:tc>
          <w:tcPr>
            <w:tcW w:w="4802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Calibri" w:hAnsi="Calibri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申请人情况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4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68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Calibri" w:hAnsi="Calibri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自然人</w:t>
            </w:r>
          </w:p>
        </w:tc>
        <w:tc>
          <w:tcPr>
            <w:tcW w:w="343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Calibri" w:hAnsi="Calibri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法人或其他组织</w:t>
            </w:r>
          </w:p>
        </w:tc>
        <w:tc>
          <w:tcPr>
            <w:tcW w:w="686" w:type="dxa"/>
            <w:vMerge w:val="restart"/>
            <w:tcBorders>
              <w:top w:val="single" w:color="auto" w:sz="8" w:space="0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Calibri" w:hAnsi="Calibri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4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68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商业</w:t>
            </w:r>
          </w:p>
          <w:p>
            <w:pPr>
              <w:spacing w:line="300" w:lineRule="exact"/>
              <w:jc w:val="center"/>
              <w:rPr>
                <w:rFonts w:ascii="Calibri" w:hAnsi="Calibri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企业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科研</w:t>
            </w:r>
          </w:p>
          <w:p>
            <w:pPr>
              <w:spacing w:line="300" w:lineRule="exact"/>
              <w:jc w:val="center"/>
              <w:rPr>
                <w:rFonts w:ascii="Calibri" w:hAnsi="Calibri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机构</w:t>
            </w:r>
          </w:p>
        </w:tc>
        <w:tc>
          <w:tcPr>
            <w:tcW w:w="68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Calibri" w:hAnsi="Calibri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社会公益组织</w:t>
            </w:r>
          </w:p>
        </w:tc>
        <w:tc>
          <w:tcPr>
            <w:tcW w:w="68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Calibri" w:hAnsi="Calibri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法律服务机构</w:t>
            </w:r>
          </w:p>
        </w:tc>
        <w:tc>
          <w:tcPr>
            <w:tcW w:w="68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Calibri" w:hAnsi="Calibri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其他</w:t>
            </w:r>
          </w:p>
        </w:tc>
        <w:tc>
          <w:tcPr>
            <w:tcW w:w="686" w:type="dxa"/>
            <w:vMerge w:val="continue"/>
            <w:tcBorders>
              <w:top w:val="single" w:color="auto" w:sz="8" w:space="0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4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Calibri" w:hAnsi="Calibri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一、本年新收政府信息公开申请数量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20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1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4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Calibri" w:hAnsi="Calibri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二、上年结转政府信息公开申请数量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3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restart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三、本年度办理结果</w:t>
            </w:r>
          </w:p>
        </w:tc>
        <w:tc>
          <w:tcPr>
            <w:tcW w:w="419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（一）予以公开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3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419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（二）部分公开</w:t>
            </w:r>
            <w:r>
              <w:rPr>
                <w:rFonts w:hint="eastAsia" w:ascii="楷体" w:eastAsia="楷体"/>
                <w:color w:val="auto"/>
                <w:sz w:val="20"/>
                <w:szCs w:val="20"/>
              </w:rPr>
              <w:t>（区分处理的，只计这一情形，不计其他情形）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5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921" w:type="dxa"/>
            <w:vMerge w:val="restart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（三）不予公开</w:t>
            </w: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lef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1.属于国家秘密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1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lef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2.其他法律行政法规禁止公开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lef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3.危及“三安全一稳定”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lef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4.保护第三方合法权益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lef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5.属于三类内部事务信息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lef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6.属于四类过程性信息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lef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7.属于行政执法案卷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lef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8.属于行政查询事项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921" w:type="dxa"/>
            <w:vMerge w:val="restart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（四）无法提供</w:t>
            </w: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lef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1.本机关不掌握相关政府信息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default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9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1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default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lef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2.没有现成信息需要另行制作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lef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3.补正后申请内容仍不明确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921" w:type="dxa"/>
            <w:vMerge w:val="restart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（五）不予处理</w:t>
            </w: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lef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1.信访举报投诉类申请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1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default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lef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2.重复申请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lef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3.要求提供公开出版物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1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lef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4.无正当理由大量反复申请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3" w:hRule="atLeast"/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3272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5.要求行政机关确认或重新出具已获取信息</w:t>
            </w:r>
          </w:p>
        </w:tc>
        <w:tc>
          <w:tcPr>
            <w:tcW w:w="686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921" w:type="dxa"/>
            <w:vMerge w:val="restart"/>
            <w:tcBorders>
              <w:top w:val="inset" w:color="auto" w:sz="8" w:space="0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（六）其他处理</w:t>
            </w: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1.申请人无正当理由逾期不补正、行政机关不再处理其政府信息公开申请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921" w:type="dxa"/>
            <w:vMerge w:val="continue"/>
            <w:tcBorders>
              <w:top w:val="inset" w:color="auto" w:sz="8" w:space="0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2.申请人逾期未按收费通知要求缴纳费用、行政机关不再处理其政府信息公开申请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921" w:type="dxa"/>
            <w:vMerge w:val="continue"/>
            <w:tcBorders>
              <w:top w:val="inset" w:color="auto" w:sz="8" w:space="0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3.其他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3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419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（七）总计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23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1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4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Calibri" w:hAnsi="Calibri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四、结转下年度继续办理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</w:tr>
    </w:tbl>
    <w:p>
      <w:pPr>
        <w:pStyle w:val="8"/>
        <w:rPr>
          <w:rFonts w:hint="eastAsia"/>
          <w:color w:val="auto"/>
        </w:rPr>
      </w:pPr>
    </w:p>
    <w:p>
      <w:pPr>
        <w:pStyle w:val="10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firstLine="640" w:firstLineChars="200"/>
        <w:textAlignment w:val="auto"/>
        <w:rPr>
          <w:rFonts w:hint="eastAsia" w:ascii="黑体" w:eastAsia="黑体"/>
          <w:color w:val="auto"/>
          <w:sz w:val="32"/>
          <w:szCs w:val="32"/>
        </w:rPr>
      </w:pPr>
      <w:r>
        <w:rPr>
          <w:rFonts w:hint="eastAsia" w:ascii="黑体" w:eastAsia="黑体"/>
          <w:color w:val="auto"/>
          <w:sz w:val="32"/>
          <w:szCs w:val="32"/>
          <w:lang w:eastAsia="zh-CN"/>
        </w:rPr>
        <w:t>四、</w:t>
      </w:r>
      <w:r>
        <w:rPr>
          <w:rFonts w:hint="eastAsia" w:ascii="黑体" w:eastAsia="黑体"/>
          <w:color w:val="auto"/>
          <w:sz w:val="32"/>
          <w:szCs w:val="32"/>
        </w:rPr>
        <w:t>政府信息公开行政复议、行政诉讼情况</w:t>
      </w:r>
    </w:p>
    <w:tbl>
      <w:tblPr>
        <w:tblStyle w:val="11"/>
        <w:tblpPr w:leftFromText="180" w:rightFromText="180" w:vertAnchor="text" w:horzAnchor="page" w:tblpX="1172" w:tblpY="99"/>
        <w:tblOverlap w:val="never"/>
        <w:tblW w:w="974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24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auto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行政复议</w:t>
            </w:r>
          </w:p>
        </w:tc>
        <w:tc>
          <w:tcPr>
            <w:tcW w:w="6503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auto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auto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结果维持</w:t>
            </w:r>
          </w:p>
        </w:tc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auto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结果</w:t>
            </w: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br w:type="textWrapping"/>
            </w: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纠正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auto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其他</w:t>
            </w: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br w:type="textWrapping"/>
            </w: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结果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auto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尚未</w:t>
            </w: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br w:type="textWrapping"/>
            </w: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审结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auto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总计</w:t>
            </w:r>
          </w:p>
        </w:tc>
        <w:tc>
          <w:tcPr>
            <w:tcW w:w="324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auto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未经复议直接起诉</w:t>
            </w:r>
          </w:p>
        </w:tc>
        <w:tc>
          <w:tcPr>
            <w:tcW w:w="325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auto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复议后起诉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auto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结果</w:t>
            </w: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br w:type="textWrapping"/>
            </w: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维持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auto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结果</w:t>
            </w: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br w:type="textWrapping"/>
            </w: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纠正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auto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其他</w:t>
            </w: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br w:type="textWrapping"/>
            </w: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结果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auto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尚未</w:t>
            </w: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br w:type="textWrapping"/>
            </w: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审结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auto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总计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auto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结果</w:t>
            </w: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br w:type="textWrapping"/>
            </w: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维持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auto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结果</w:t>
            </w: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br w:type="textWrapping"/>
            </w: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纠正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auto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其他</w:t>
            </w: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br w:type="textWrapping"/>
            </w: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结果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auto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尚未</w:t>
            </w: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br w:type="textWrapping"/>
            </w: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审结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auto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2" w:hRule="atLeast"/>
        </w:trPr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eastAsia="宋体"/>
                <w:color w:val="auto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  <w:lang w:val="en-US" w:eastAsia="zh-CN" w:bidi="ar-SA"/>
              </w:rPr>
              <w:t>2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eastAsia="宋体"/>
                <w:color w:val="auto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  <w:lang w:val="en-US" w:eastAsia="zh-CN" w:bidi="ar-SA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eastAsia="宋体"/>
                <w:color w:val="auto"/>
                <w:spacing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  <w:lang w:val="en-US" w:eastAsia="zh-CN" w:bidi="ar-SA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eastAsia="宋体"/>
                <w:color w:val="auto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color w:val="auto"/>
                <w:spacing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eastAsia="宋体"/>
                <w:color w:val="auto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  <w:lang w:val="en-US" w:eastAsia="zh-CN" w:bidi="ar-SA"/>
              </w:rPr>
              <w:t>3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eastAsia="宋体"/>
                <w:color w:val="auto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color w:val="auto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eastAsia="宋体"/>
                <w:color w:val="auto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color w:val="auto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color w:val="auto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  <w:lang w:val="en-US" w:eastAsia="zh-CN" w:bidi="ar-SA"/>
              </w:rPr>
              <w:t>2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color w:val="auto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  <w:lang w:val="en-US" w:eastAsia="zh-CN" w:bidi="ar-SA"/>
              </w:rPr>
              <w:t>1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color w:val="auto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  <w:lang w:val="en-US" w:eastAsia="zh-CN" w:bidi="ar-SA"/>
              </w:rPr>
              <w:t>3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color w:val="auto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  <w:lang w:val="en-US" w:eastAsia="zh-CN" w:bidi="ar-SA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color w:val="auto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  <w:lang w:val="en-US" w:eastAsia="zh-CN" w:bidi="ar-SA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eastAsia="宋体"/>
                <w:color w:val="auto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color w:val="auto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eastAsia="宋体"/>
                <w:color w:val="auto"/>
                <w:spacing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  <w:lang w:val="en-US" w:eastAsia="zh-CN" w:bidi="ar-SA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eastAsia="宋体"/>
                <w:color w:val="auto"/>
                <w:spacing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  <w:lang w:val="en-US" w:eastAsia="zh-CN" w:bidi="ar-SA"/>
              </w:rPr>
              <w:t>0</w:t>
            </w:r>
          </w:p>
        </w:tc>
      </w:tr>
    </w:tbl>
    <w:p>
      <w:pPr>
        <w:pStyle w:val="10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eastAsia" w:ascii="黑体" w:eastAsia="黑体"/>
          <w:color w:val="auto"/>
          <w:sz w:val="32"/>
          <w:szCs w:val="32"/>
        </w:rPr>
      </w:pPr>
      <w:r>
        <w:rPr>
          <w:rFonts w:hint="eastAsia" w:ascii="黑体" w:eastAsia="黑体"/>
          <w:color w:val="auto"/>
          <w:sz w:val="32"/>
          <w:szCs w:val="32"/>
          <w:lang w:eastAsia="zh-CN"/>
        </w:rPr>
        <w:t>五、</w:t>
      </w:r>
      <w:r>
        <w:rPr>
          <w:rFonts w:hint="eastAsia" w:ascii="黑体" w:eastAsia="黑体"/>
          <w:color w:val="auto"/>
          <w:sz w:val="32"/>
          <w:szCs w:val="32"/>
        </w:rPr>
        <w:t>存在的主要问题及改进情况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2024年，区政府办公室信息公开工作取得了一定成绩，但与上级要求、先进单位、群众期待还存在一定差距，主要表现在：一是与公众切身利益相关的信息相对较少；二是信息公开的途径和方式相对单一，缺乏多元化和便捷性。下一步，将积极贯彻落实上级要求，进一步加大对重点领域、重要政策文件、与群众利益切身相关的信息公开力度，拓展公开内容的深度和广度，同时积极利用政务新媒体平台，拓宽信息公开的覆盖面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黑体" w:eastAsia="黑体"/>
          <w:color w:val="auto"/>
          <w:sz w:val="32"/>
          <w:szCs w:val="32"/>
        </w:rPr>
      </w:pPr>
      <w:r>
        <w:rPr>
          <w:rFonts w:hint="eastAsia" w:ascii="黑体" w:eastAsia="黑体"/>
          <w:color w:val="auto"/>
          <w:sz w:val="32"/>
          <w:szCs w:val="32"/>
          <w:lang w:eastAsia="zh-CN"/>
        </w:rPr>
        <w:t>六、</w:t>
      </w:r>
      <w:r>
        <w:rPr>
          <w:rFonts w:hint="eastAsia" w:ascii="黑体" w:eastAsia="黑体"/>
          <w:color w:val="auto"/>
          <w:sz w:val="32"/>
          <w:szCs w:val="32"/>
        </w:rPr>
        <w:t>其他需要报告的事项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" w:hAnsi="Times New Roman" w:eastAsia="仿宋" w:cs="宋体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2024年，区政府办公室没有因政府信息公开申请收取信息处理费情况。</w:t>
      </w:r>
    </w:p>
    <w:p>
      <w:pPr>
        <w:pStyle w:val="10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1283" w:rightChars="611" w:firstLine="480"/>
        <w:jc w:val="right"/>
        <w:textAlignment w:val="auto"/>
        <w:rPr>
          <w:rFonts w:hint="eastAsia" w:ascii="仿宋" w:hAnsi="Times New Roman" w:eastAsia="仿宋" w:cs="宋体"/>
          <w:color w:val="auto"/>
          <w:sz w:val="32"/>
          <w:szCs w:val="32"/>
          <w:lang w:val="en-US" w:eastAsia="zh-CN"/>
        </w:rPr>
      </w:pPr>
    </w:p>
    <w:p>
      <w:pPr>
        <w:pStyle w:val="10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1283" w:rightChars="611" w:firstLine="480"/>
        <w:jc w:val="right"/>
        <w:textAlignment w:val="auto"/>
        <w:rPr>
          <w:rFonts w:hint="eastAsia" w:ascii="仿宋" w:hAnsi="Times New Roman" w:eastAsia="仿宋" w:cs="宋体"/>
          <w:color w:val="auto"/>
          <w:sz w:val="32"/>
          <w:szCs w:val="32"/>
          <w:lang w:val="en-US" w:eastAsia="zh-CN"/>
        </w:rPr>
      </w:pPr>
    </w:p>
    <w:p>
      <w:pPr>
        <w:pStyle w:val="10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480"/>
        <w:jc w:val="center"/>
        <w:textAlignment w:val="auto"/>
        <w:rPr>
          <w:color w:val="auto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简体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38E5078"/>
    <w:rsid w:val="00557C23"/>
    <w:rsid w:val="01506C19"/>
    <w:rsid w:val="03492248"/>
    <w:rsid w:val="038E5078"/>
    <w:rsid w:val="03E912CC"/>
    <w:rsid w:val="04A33F6C"/>
    <w:rsid w:val="051622AE"/>
    <w:rsid w:val="057D1B75"/>
    <w:rsid w:val="05C10260"/>
    <w:rsid w:val="05CD398A"/>
    <w:rsid w:val="06F4618F"/>
    <w:rsid w:val="0740596A"/>
    <w:rsid w:val="07AB6BDB"/>
    <w:rsid w:val="07CE7237"/>
    <w:rsid w:val="07EB0038"/>
    <w:rsid w:val="07F75B18"/>
    <w:rsid w:val="08100B68"/>
    <w:rsid w:val="08435103"/>
    <w:rsid w:val="0898298F"/>
    <w:rsid w:val="0A0A1D6A"/>
    <w:rsid w:val="0B2962DC"/>
    <w:rsid w:val="0B96305C"/>
    <w:rsid w:val="0BDF6C2A"/>
    <w:rsid w:val="0CFE38AF"/>
    <w:rsid w:val="0E05582E"/>
    <w:rsid w:val="0E262D95"/>
    <w:rsid w:val="0EA6144B"/>
    <w:rsid w:val="0EAA077A"/>
    <w:rsid w:val="0ED600E6"/>
    <w:rsid w:val="0EE24573"/>
    <w:rsid w:val="0F256EDA"/>
    <w:rsid w:val="11231AFB"/>
    <w:rsid w:val="1233218C"/>
    <w:rsid w:val="12835A07"/>
    <w:rsid w:val="12BD6444"/>
    <w:rsid w:val="13692106"/>
    <w:rsid w:val="14D2527C"/>
    <w:rsid w:val="15600C89"/>
    <w:rsid w:val="15715FF5"/>
    <w:rsid w:val="15D52913"/>
    <w:rsid w:val="15DA55F4"/>
    <w:rsid w:val="15EF785D"/>
    <w:rsid w:val="15FE5F49"/>
    <w:rsid w:val="163C7CB2"/>
    <w:rsid w:val="164F6C6D"/>
    <w:rsid w:val="16A868FD"/>
    <w:rsid w:val="1747492F"/>
    <w:rsid w:val="176906DE"/>
    <w:rsid w:val="1871659D"/>
    <w:rsid w:val="18EE5CE9"/>
    <w:rsid w:val="19B70C1D"/>
    <w:rsid w:val="1B0819E7"/>
    <w:rsid w:val="1B2E1D12"/>
    <w:rsid w:val="1C5511A5"/>
    <w:rsid w:val="1CEC3079"/>
    <w:rsid w:val="1D8F23BD"/>
    <w:rsid w:val="1E871C26"/>
    <w:rsid w:val="1F707F8B"/>
    <w:rsid w:val="20DE1ECF"/>
    <w:rsid w:val="22617809"/>
    <w:rsid w:val="22EC71D7"/>
    <w:rsid w:val="233D44F1"/>
    <w:rsid w:val="23F71013"/>
    <w:rsid w:val="24252225"/>
    <w:rsid w:val="2461416D"/>
    <w:rsid w:val="24C47973"/>
    <w:rsid w:val="24C9430C"/>
    <w:rsid w:val="25150C73"/>
    <w:rsid w:val="252F0F22"/>
    <w:rsid w:val="2546601A"/>
    <w:rsid w:val="257D1713"/>
    <w:rsid w:val="25994581"/>
    <w:rsid w:val="25F273C8"/>
    <w:rsid w:val="26EE07ED"/>
    <w:rsid w:val="27862B26"/>
    <w:rsid w:val="27976CF6"/>
    <w:rsid w:val="288B4096"/>
    <w:rsid w:val="29844E61"/>
    <w:rsid w:val="2B860ABC"/>
    <w:rsid w:val="2BBE35C4"/>
    <w:rsid w:val="2C3A0B45"/>
    <w:rsid w:val="2C9B1F01"/>
    <w:rsid w:val="2DB8311E"/>
    <w:rsid w:val="2EBE3D75"/>
    <w:rsid w:val="2EC56EB2"/>
    <w:rsid w:val="2F2751CA"/>
    <w:rsid w:val="2F8B7A1E"/>
    <w:rsid w:val="3098475C"/>
    <w:rsid w:val="30B9571F"/>
    <w:rsid w:val="311754CC"/>
    <w:rsid w:val="318F459F"/>
    <w:rsid w:val="31B01796"/>
    <w:rsid w:val="31E97968"/>
    <w:rsid w:val="324D392C"/>
    <w:rsid w:val="325012E6"/>
    <w:rsid w:val="32A3333C"/>
    <w:rsid w:val="32F01DC8"/>
    <w:rsid w:val="33740A04"/>
    <w:rsid w:val="33DA294B"/>
    <w:rsid w:val="34160D0F"/>
    <w:rsid w:val="34CE05D5"/>
    <w:rsid w:val="354414D6"/>
    <w:rsid w:val="35A06F02"/>
    <w:rsid w:val="36B079AA"/>
    <w:rsid w:val="37BC67C1"/>
    <w:rsid w:val="381E4562"/>
    <w:rsid w:val="38AC7D17"/>
    <w:rsid w:val="39F84174"/>
    <w:rsid w:val="3BBD52CB"/>
    <w:rsid w:val="3BFD6EED"/>
    <w:rsid w:val="3C17537F"/>
    <w:rsid w:val="3CF71525"/>
    <w:rsid w:val="3DA67C78"/>
    <w:rsid w:val="3DE42C59"/>
    <w:rsid w:val="3DFC0E10"/>
    <w:rsid w:val="3EAB02AE"/>
    <w:rsid w:val="3F7D4C84"/>
    <w:rsid w:val="40060A6D"/>
    <w:rsid w:val="40B901FE"/>
    <w:rsid w:val="41063CBC"/>
    <w:rsid w:val="41496480"/>
    <w:rsid w:val="42C979CF"/>
    <w:rsid w:val="43291734"/>
    <w:rsid w:val="437A7E3F"/>
    <w:rsid w:val="439023DD"/>
    <w:rsid w:val="46160714"/>
    <w:rsid w:val="474E6491"/>
    <w:rsid w:val="4785748C"/>
    <w:rsid w:val="47D12A6C"/>
    <w:rsid w:val="47D8246E"/>
    <w:rsid w:val="49563193"/>
    <w:rsid w:val="4A7148F2"/>
    <w:rsid w:val="4A8B71FE"/>
    <w:rsid w:val="4A943E82"/>
    <w:rsid w:val="4BB80DC4"/>
    <w:rsid w:val="4CE36A6B"/>
    <w:rsid w:val="4DA2284E"/>
    <w:rsid w:val="4F2E19E6"/>
    <w:rsid w:val="50BB0CCD"/>
    <w:rsid w:val="50E31717"/>
    <w:rsid w:val="52B748B1"/>
    <w:rsid w:val="53770CBB"/>
    <w:rsid w:val="54F419E8"/>
    <w:rsid w:val="55BF29DF"/>
    <w:rsid w:val="56201DD0"/>
    <w:rsid w:val="564B7346"/>
    <w:rsid w:val="56BD2424"/>
    <w:rsid w:val="56FE2288"/>
    <w:rsid w:val="57170C7F"/>
    <w:rsid w:val="579F9A5D"/>
    <w:rsid w:val="57AA2BA4"/>
    <w:rsid w:val="581C1444"/>
    <w:rsid w:val="591B7C81"/>
    <w:rsid w:val="59325010"/>
    <w:rsid w:val="596A17D7"/>
    <w:rsid w:val="5B747022"/>
    <w:rsid w:val="5BC11886"/>
    <w:rsid w:val="5C074D75"/>
    <w:rsid w:val="5DD120DB"/>
    <w:rsid w:val="5E7D3FD2"/>
    <w:rsid w:val="5E8D68EB"/>
    <w:rsid w:val="5ECA20C5"/>
    <w:rsid w:val="5FC7057F"/>
    <w:rsid w:val="605914A6"/>
    <w:rsid w:val="60E50931"/>
    <w:rsid w:val="614B1EB6"/>
    <w:rsid w:val="615633A4"/>
    <w:rsid w:val="62484ED8"/>
    <w:rsid w:val="62532814"/>
    <w:rsid w:val="627C12BA"/>
    <w:rsid w:val="63960A3F"/>
    <w:rsid w:val="63C06E68"/>
    <w:rsid w:val="63D6046A"/>
    <w:rsid w:val="64607542"/>
    <w:rsid w:val="64E72C6A"/>
    <w:rsid w:val="6556040E"/>
    <w:rsid w:val="65C01DF4"/>
    <w:rsid w:val="66437104"/>
    <w:rsid w:val="66BF0183"/>
    <w:rsid w:val="67742060"/>
    <w:rsid w:val="67DA3AB4"/>
    <w:rsid w:val="67F11BB0"/>
    <w:rsid w:val="684D71DB"/>
    <w:rsid w:val="68C5530A"/>
    <w:rsid w:val="69105214"/>
    <w:rsid w:val="69653141"/>
    <w:rsid w:val="6966146D"/>
    <w:rsid w:val="6A0C1A47"/>
    <w:rsid w:val="6B6663EC"/>
    <w:rsid w:val="6BFD2765"/>
    <w:rsid w:val="6C140311"/>
    <w:rsid w:val="6C44746E"/>
    <w:rsid w:val="6C601461"/>
    <w:rsid w:val="6CB26BDE"/>
    <w:rsid w:val="6CD563F9"/>
    <w:rsid w:val="6CFF06F7"/>
    <w:rsid w:val="6D112625"/>
    <w:rsid w:val="6D6814D5"/>
    <w:rsid w:val="6E354818"/>
    <w:rsid w:val="6E3DFE1F"/>
    <w:rsid w:val="70614B68"/>
    <w:rsid w:val="710D63CE"/>
    <w:rsid w:val="71F10EDC"/>
    <w:rsid w:val="71F248FD"/>
    <w:rsid w:val="7304333D"/>
    <w:rsid w:val="7315249E"/>
    <w:rsid w:val="73583894"/>
    <w:rsid w:val="75456685"/>
    <w:rsid w:val="754945E0"/>
    <w:rsid w:val="75D2199E"/>
    <w:rsid w:val="75EF2199"/>
    <w:rsid w:val="762932F1"/>
    <w:rsid w:val="768F6483"/>
    <w:rsid w:val="76FB61C6"/>
    <w:rsid w:val="772A74F5"/>
    <w:rsid w:val="787753F1"/>
    <w:rsid w:val="788A2E51"/>
    <w:rsid w:val="78FB1916"/>
    <w:rsid w:val="7ADA16E6"/>
    <w:rsid w:val="7BC92D69"/>
    <w:rsid w:val="7CD4384F"/>
    <w:rsid w:val="7CD82743"/>
    <w:rsid w:val="7D0F7D4D"/>
    <w:rsid w:val="7D4C43E5"/>
    <w:rsid w:val="7E1572DB"/>
    <w:rsid w:val="7E495B82"/>
    <w:rsid w:val="7E8B45BF"/>
    <w:rsid w:val="7EA537C3"/>
    <w:rsid w:val="7EDA4A02"/>
    <w:rsid w:val="7EE3A5CE"/>
    <w:rsid w:val="7F3D75AA"/>
    <w:rsid w:val="7FDDA21C"/>
    <w:rsid w:val="7FEA72F8"/>
    <w:rsid w:val="C6FEF8C1"/>
    <w:rsid w:val="DE7E3A78"/>
    <w:rsid w:val="E7BD72CF"/>
    <w:rsid w:val="FFB6BB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qFormat="1" w:unhideWhenUsed="0" w:uiPriority="0" w:semiHidden="0" w:name="index 9"/>
    <w:lsdException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nhideWhenUsed="0" w:uiPriority="99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12">
    <w:name w:val="Default Paragraph Font"/>
    <w:semiHidden/>
    <w:qFormat/>
    <w:uiPriority w:val="0"/>
  </w:style>
  <w:style w:type="table" w:default="1" w:styleId="11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caption"/>
    <w:basedOn w:val="1"/>
    <w:next w:val="1"/>
    <w:qFormat/>
    <w:uiPriority w:val="99"/>
    <w:pPr>
      <w:spacing w:before="152" w:after="160"/>
    </w:pPr>
    <w:rPr>
      <w:rFonts w:ascii="Arial" w:hAnsi="Arial" w:eastAsia="黑体" w:cs="Arial"/>
    </w:rPr>
  </w:style>
  <w:style w:type="paragraph" w:styleId="4">
    <w:name w:val="Body Text"/>
    <w:basedOn w:val="1"/>
    <w:qFormat/>
    <w:uiPriority w:val="0"/>
    <w:pPr>
      <w:spacing w:after="120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</w:rPr>
  </w:style>
  <w:style w:type="paragraph" w:styleId="7">
    <w:name w:val="index 9"/>
    <w:basedOn w:val="1"/>
    <w:next w:val="1"/>
    <w:qFormat/>
    <w:uiPriority w:val="0"/>
    <w:pPr>
      <w:ind w:left="3360"/>
      <w:jc w:val="left"/>
    </w:pPr>
    <w:rPr>
      <w:rFonts w:eastAsia="宋体" w:cs="Times New Roman"/>
      <w:szCs w:val="24"/>
    </w:rPr>
  </w:style>
  <w:style w:type="paragraph" w:styleId="8">
    <w:name w:val="toc 2"/>
    <w:basedOn w:val="1"/>
    <w:next w:val="1"/>
    <w:qFormat/>
    <w:uiPriority w:val="0"/>
    <w:pPr>
      <w:ind w:left="420"/>
    </w:pPr>
  </w:style>
  <w:style w:type="paragraph" w:styleId="9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10">
    <w:name w:val="Normal (Web)"/>
    <w:basedOn w:val="1"/>
    <w:next w:val="8"/>
    <w:qFormat/>
    <w:uiPriority w:val="0"/>
    <w:pPr>
      <w:widowControl/>
      <w:spacing w:before="100" w:beforeAutospacing="1" w:after="100" w:afterAutospacing="1"/>
      <w:jc w:val="left"/>
    </w:pPr>
    <w:rPr>
      <w:rFonts w:ascii="宋体" w:cs="宋体"/>
      <w:kern w:val="0"/>
      <w:sz w:val="24"/>
      <w:szCs w:val="24"/>
      <w:lang w:bidi="ar-SA"/>
    </w:rPr>
  </w:style>
  <w:style w:type="character" w:styleId="13">
    <w:name w:val="Strong"/>
    <w:basedOn w:val="12"/>
    <w:qFormat/>
    <w:uiPriority w:val="0"/>
    <w:rPr>
      <w:b/>
    </w:rPr>
  </w:style>
  <w:style w:type="character" w:styleId="14">
    <w:name w:val="page number"/>
    <w:qFormat/>
    <w:uiPriority w:val="0"/>
  </w:style>
  <w:style w:type="paragraph" w:styleId="15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49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2021-04-07T18:23:00Z</dcterms:created>
  <dc:creator>Administrator</dc:creator>
  <cp:lastModifiedBy>XXK</cp:lastModifiedBy>
  <cp:lastPrinted>2024-01-18T05:41:00Z</cp:lastPrinted>
  <dcterms:modified xsi:type="dcterms:W3CDTF">2025-01-16T01:49:37Z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  <property fmtid="{D5CDD505-2E9C-101B-9397-08002B2CF9AE}" pid="3" name="ICV">
    <vt:lpwstr>FB91962E7F8C4A289F43DBB906F3EA33</vt:lpwstr>
  </property>
</Properties>
</file>