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FB21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u w:val="none"/>
          <w:lang w:eastAsia="zh-CN"/>
        </w:rPr>
        <w:t>秦皇岛市抚宁区司法局</w:t>
      </w:r>
    </w:p>
    <w:p w14:paraId="1EAB938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u w:val="none"/>
          <w:lang w:val="en-US" w:eastAsia="zh-CN"/>
        </w:rPr>
        <w:t>2024年政府信息公开工作年度报告</w:t>
      </w:r>
    </w:p>
    <w:p w14:paraId="0DAB22F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根据《中华人民共和国政府信息公开条例》（以下简称《条例》）规定，向社会公布秦皇岛市抚宁区司法局202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年1月1日起至202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年12月31日止。</w:t>
      </w:r>
    </w:p>
    <w:p w14:paraId="50F2666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</w:rPr>
        <w:t>一、总体情况</w:t>
      </w:r>
    </w:p>
    <w:p w14:paraId="37A1E2A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年，区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司法局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紧紧围绕党中央、国务院决策部署和省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区工作安排，持续推进政务公开的标准化、规范化、便利化，推动政务公开工作水平迈上新台阶。</w:t>
      </w:r>
    </w:p>
    <w:p w14:paraId="799925B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（一）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主动公开方面。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年我局按照上级部门要求主动公开各种栏目信息，及时准确地宣传了我局各项工作动态，增强了工作透明度，本年度截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至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12月底，本年度主动公开政府信息总数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22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条。</w:t>
      </w:r>
    </w:p>
    <w:p w14:paraId="1BD37C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（二）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依申请公开方面。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及时更新政府信息公开指南，健全完善政府信息公开申请登记、审核、办理、答复、归档各环节工作制度，规范答复文书格式，做到受理依规、答复及时、记录清晰、存档完整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持续提升政府信息公开申请办理工作质效，依法保障公众合理信息需求。本年度未受理到依申请公开件，未收到公众申请要求公开的其它方面政府信息，也没有发生因政府信息公开申请行政复议、行政诉讼件。</w:t>
      </w:r>
    </w:p>
    <w:p w14:paraId="4506B41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（三）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政府信息管理方面。严格按照《中华人民共和国政府信息公开条例》做到“应公开尽公开”，压实信息发布主体责任，认真落实政府信息公开相关政策，严格执行信息发布“三审”制度，确保发布信息的真实准确、规范有效。持续规范公开现行有效行政规范性文件和政策性文件，对规章制度、规范性文件做到及时发布、动态调整。</w:t>
      </w:r>
    </w:p>
    <w:p w14:paraId="6090A47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（四）政府信息公开平台建设方面。为提高政府信息知晓度，统筹推进政府门户网站、新媒体、微信公众号线上线下联通、数据互联共享建设，为群众提供全面精准的信息展示和办事指引。线下在区司法局一楼精心打造了区级公共法律服务中心，设置了咨询引导区、办事服务区、资料查阅区、等候休息区，安排专人接受群众咨询，解答各类业务办理流程，以群众看得见、容易查的政务信息为目标，不断优化公开渠道建设。</w:t>
      </w:r>
    </w:p>
    <w:p w14:paraId="221932B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(五）监督保障方面。积极开展政务公开相关业务培训，利用微信工作群、现场指导、电话沟通等方式，从重点领域信息发布、人员管理、栏目更新、保密审查等方面，以及主动公开、依申请公开、解读回应等环节，组织学习《条例》《河北省政府信息公开申请办理规范》及信息公开具体案例，进一步提升政务公开工作人员在主动公开、依申请公开等方面的业务能力。</w:t>
      </w:r>
    </w:p>
    <w:p w14:paraId="70BE00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left="0" w:right="0" w:firstLine="480"/>
        <w:rPr>
          <w:rFonts w:hint="eastAsia" w:ascii="黑体" w:eastAsia="黑体" w:cs="宋体"/>
          <w:color w:val="000000"/>
          <w:kern w:val="0"/>
          <w:sz w:val="32"/>
          <w:szCs w:val="32"/>
          <w:lang w:bidi="ar-SA"/>
        </w:rPr>
      </w:pPr>
      <w:r>
        <w:rPr>
          <w:rStyle w:val="5"/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二</w:t>
      </w:r>
      <w:r>
        <w:rPr>
          <w:rStyle w:val="5"/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黑体" w:hAnsi="黑体" w:eastAsia="黑体" w:cs="黑体"/>
          <w:color w:val="333333"/>
          <w:sz w:val="32"/>
          <w:szCs w:val="32"/>
        </w:rPr>
        <w:t>主动公开政府信息情况</w:t>
      </w:r>
    </w:p>
    <w:p w14:paraId="38D402BD">
      <w:pPr>
        <w:widowControl/>
        <w:shd w:val="clear" w:color="auto" w:fill="FFFFFF"/>
        <w:spacing w:line="560" w:lineRule="exact"/>
        <w:jc w:val="center"/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</w:pP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lang w:bidi="ar-SA"/>
        </w:rPr>
        <w:t> </w:t>
      </w:r>
      <w:r>
        <w:rPr>
          <w:rFonts w:hint="eastAsia" w:ascii="微软雅黑" w:eastAsia="微软雅黑" w:cs="宋体"/>
          <w:color w:val="666666"/>
          <w:kern w:val="0"/>
          <w:sz w:val="27"/>
          <w:szCs w:val="27"/>
          <w:lang w:bidi="ar-SA"/>
        </w:rPr>
        <w:t> </w:t>
      </w:r>
    </w:p>
    <w:tbl>
      <w:tblPr>
        <w:tblStyle w:val="3"/>
        <w:tblW w:w="974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5"/>
        <w:gridCol w:w="2435"/>
        <w:gridCol w:w="2435"/>
        <w:gridCol w:w="2435"/>
      </w:tblGrid>
      <w:tr w14:paraId="7D4F3E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603F78B4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第二十条第（一）项</w:t>
            </w:r>
          </w:p>
        </w:tc>
      </w:tr>
      <w:tr w14:paraId="1F4879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30E6BF14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30A5BEDF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本年</w:t>
            </w:r>
            <w:r>
              <w:rPr>
                <w:rFonts w:hint="eastAsia" w:ascii="宋体"/>
                <w:color w:val="333333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31F7BDBA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AB0DFAE">
            <w:pPr>
              <w:spacing w:line="560" w:lineRule="exact"/>
              <w:jc w:val="center"/>
              <w:rPr>
                <w:rFonts w:hint="eastAsia" w:ascii="宋体"/>
                <w:color w:val="000000"/>
                <w:sz w:val="20"/>
                <w:szCs w:val="20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现行有效件</w:t>
            </w:r>
            <w:r>
              <w:rPr>
                <w:rFonts w:hint="eastAsia" w:ascii="宋体"/>
                <w:color w:val="333333"/>
                <w:sz w:val="20"/>
                <w:szCs w:val="20"/>
              </w:rPr>
              <w:t>数</w:t>
            </w:r>
          </w:p>
        </w:tc>
      </w:tr>
      <w:tr w14:paraId="153C8A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0078E005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42D2C301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627391E3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2AE13A04">
            <w:pPr>
              <w:spacing w:line="560" w:lineRule="exact"/>
              <w:jc w:val="center"/>
              <w:rPr>
                <w:rFonts w:hint="eastAsia" w:ascii="宋体" w:eastAsiaTheme="minorEastAsia"/>
                <w:color w:val="333333"/>
                <w:sz w:val="24"/>
                <w:lang w:val="en-US" w:eastAsia="zh-CN"/>
              </w:rPr>
            </w:pPr>
            <w:r>
              <w:rPr>
                <w:rFonts w:hint="eastAsia" w:ascii="宋体"/>
                <w:color w:val="333333"/>
                <w:sz w:val="24"/>
                <w:lang w:val="en-US" w:eastAsia="zh-CN"/>
              </w:rPr>
              <w:t>0</w:t>
            </w:r>
          </w:p>
        </w:tc>
      </w:tr>
      <w:tr w14:paraId="6B5B36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B4C414E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2A785566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61772C06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41692CD5">
            <w:pPr>
              <w:spacing w:line="560" w:lineRule="exact"/>
              <w:jc w:val="center"/>
              <w:rPr>
                <w:rFonts w:hint="eastAsia" w:ascii="宋体" w:eastAsiaTheme="minorEastAsia"/>
                <w:color w:val="333333"/>
                <w:sz w:val="24"/>
                <w:lang w:val="en-US" w:eastAsia="zh-CN"/>
              </w:rPr>
            </w:pPr>
            <w:r>
              <w:rPr>
                <w:rFonts w:hint="eastAsia" w:ascii="宋体"/>
                <w:color w:val="333333"/>
                <w:sz w:val="24"/>
                <w:lang w:val="en-US" w:eastAsia="zh-CN"/>
              </w:rPr>
              <w:t>0</w:t>
            </w:r>
          </w:p>
        </w:tc>
      </w:tr>
      <w:tr w14:paraId="11C081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4B3AB942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第二十条第（五）项</w:t>
            </w:r>
          </w:p>
        </w:tc>
      </w:tr>
      <w:tr w14:paraId="73EBF7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9BD3486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4C583D3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本年处理决定数量</w:t>
            </w:r>
          </w:p>
        </w:tc>
      </w:tr>
      <w:tr w14:paraId="7AD5AD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4A4F5BA4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51EE34AB">
            <w:pPr>
              <w:spacing w:line="560" w:lineRule="exact"/>
              <w:jc w:val="center"/>
              <w:rPr>
                <w:rFonts w:hint="eastAsia" w:ascii="宋体" w:eastAsiaTheme="minorEastAsia"/>
                <w:color w:val="333333"/>
                <w:sz w:val="24"/>
                <w:lang w:val="en-US" w:eastAsia="zh-CN"/>
              </w:rPr>
            </w:pPr>
            <w:r>
              <w:rPr>
                <w:rFonts w:hint="eastAsia" w:ascii="宋体"/>
                <w:color w:val="333333"/>
                <w:sz w:val="24"/>
                <w:lang w:val="en-US" w:eastAsia="zh-CN"/>
              </w:rPr>
              <w:t>0</w:t>
            </w:r>
          </w:p>
        </w:tc>
      </w:tr>
      <w:tr w14:paraId="340A019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331EE7F4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第二十条第（六）项</w:t>
            </w:r>
          </w:p>
        </w:tc>
      </w:tr>
      <w:tr w14:paraId="261CF18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4AD562AD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958EE5C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本年处理决定数量</w:t>
            </w:r>
          </w:p>
        </w:tc>
      </w:tr>
      <w:tr w14:paraId="53E897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2EB376AC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665B906E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</w:tr>
      <w:tr w14:paraId="540490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713AD543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5C3D9565">
            <w:pPr>
              <w:spacing w:line="560" w:lineRule="exact"/>
              <w:jc w:val="center"/>
              <w:rPr>
                <w:rFonts w:hint="eastAsia" w:ascii="Calibri" w:hAnsi="Calibri" w:eastAsiaTheme="minorEastAsia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</w:tr>
      <w:tr w14:paraId="497F82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1C901EE8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第二十条第（八）项</w:t>
            </w:r>
          </w:p>
        </w:tc>
      </w:tr>
      <w:tr w14:paraId="6E7C6B1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0DE89CC0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 w14:paraId="5673A6DF">
            <w:pPr>
              <w:spacing w:line="56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本年收费金额（单位：万元）</w:t>
            </w:r>
          </w:p>
        </w:tc>
      </w:tr>
      <w:tr w14:paraId="73C8093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 w14:paraId="238D622F">
            <w:pPr>
              <w:spacing w:line="56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 w14:paraId="52989FA6">
            <w:pPr>
              <w:spacing w:line="560" w:lineRule="exact"/>
              <w:jc w:val="center"/>
              <w:rPr>
                <w:rFonts w:hint="eastAsia" w:ascii="宋体" w:eastAsiaTheme="minorEastAsia"/>
                <w:color w:val="333333"/>
                <w:sz w:val="24"/>
                <w:lang w:val="en-US" w:eastAsia="zh-CN"/>
              </w:rPr>
            </w:pPr>
            <w:r>
              <w:rPr>
                <w:rFonts w:hint="eastAsia" w:ascii="宋体"/>
                <w:color w:val="333333"/>
                <w:sz w:val="24"/>
                <w:lang w:val="en-US" w:eastAsia="zh-CN"/>
              </w:rPr>
              <w:t>0</w:t>
            </w:r>
          </w:p>
        </w:tc>
      </w:tr>
    </w:tbl>
    <w:p w14:paraId="2B6D0C3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right="0"/>
        <w:rPr>
          <w:rFonts w:hint="eastAsia" w:ascii="黑体" w:hAnsi="黑体" w:eastAsia="黑体" w:cs="黑体"/>
          <w:color w:val="333333"/>
          <w:sz w:val="32"/>
          <w:szCs w:val="32"/>
        </w:rPr>
      </w:pPr>
    </w:p>
    <w:p w14:paraId="62262E7F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left="0" w:right="0" w:firstLine="480"/>
        <w:rPr>
          <w:rStyle w:val="5"/>
          <w:rFonts w:hint="eastAsia" w:ascii="黑体" w:hAnsi="黑体" w:eastAsia="黑体" w:cs="黑体"/>
          <w:b w:val="0"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Style w:val="5"/>
          <w:rFonts w:hint="eastAsia" w:ascii="黑体" w:hAnsi="黑体" w:eastAsia="黑体" w:cs="黑体"/>
          <w:b w:val="0"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 w14:paraId="479FF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2B8CE257">
            <w:pPr>
              <w:spacing w:line="300" w:lineRule="exact"/>
              <w:jc w:val="left"/>
              <w:rPr>
                <w:rFonts w:hint="eastAsia" w:ascii="楷体_GB2312" w:eastAsia="楷体_GB2312"/>
                <w:color w:val="333333"/>
                <w:sz w:val="20"/>
                <w:szCs w:val="20"/>
              </w:rPr>
            </w:pPr>
            <w:r>
              <w:rPr>
                <w:rFonts w:hint="eastAsia" w:ascii="楷体" w:eastAsia="楷体"/>
                <w:color w:val="333333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214A5D32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申请人情况</w:t>
            </w:r>
          </w:p>
        </w:tc>
      </w:tr>
      <w:tr w14:paraId="5739D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60C9CE"/>
        </w:tc>
        <w:tc>
          <w:tcPr>
            <w:tcW w:w="686" w:type="dxa"/>
            <w:vMerge w:val="restar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21B579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329167D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color="auto" w:sz="4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B947CBB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总计</w:t>
            </w:r>
          </w:p>
        </w:tc>
      </w:tr>
      <w:tr w14:paraId="7D94B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0046AD2"/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34B43C4"/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93FF29">
            <w:pPr>
              <w:spacing w:line="300" w:lineRule="exact"/>
              <w:jc w:val="center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商业</w:t>
            </w:r>
          </w:p>
          <w:p w14:paraId="2D24BC89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F93A4B9">
            <w:pPr>
              <w:spacing w:line="300" w:lineRule="exact"/>
              <w:jc w:val="center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科研</w:t>
            </w:r>
          </w:p>
          <w:p w14:paraId="1744595C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A5CAE37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社会公益组织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1FD1FED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法律服务机构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54929EE">
            <w:pPr>
              <w:spacing w:line="30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其他</w:t>
            </w:r>
          </w:p>
        </w:tc>
        <w:tc>
          <w:tcPr>
            <w:tcW w:w="686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00649D6"/>
        </w:tc>
      </w:tr>
      <w:tr w14:paraId="33021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F04AA8">
            <w:pPr>
              <w:spacing w:line="30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FEE565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63ECB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649B08D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09B1DE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CFA59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9BAC6E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81BA9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C34C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FA8077A">
            <w:pPr>
              <w:spacing w:line="30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77FA85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6E72B0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CF1634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57F595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6EB64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C3DCD3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FECB5B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2CC07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63B4ED6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1A5088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DCA2DC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15E97C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55794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548DE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5F883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59658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E0D793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2DC89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F82C9F4"/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4D1B877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（二）部分公开</w:t>
            </w:r>
            <w:r>
              <w:rPr>
                <w:rFonts w:hint="eastAsia" w:ascii="楷体" w:eastAsia="楷体"/>
                <w:color w:val="333333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3D2A7E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B11712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52E68B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2525F5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F8313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A1C349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EF7671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51446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ED37D15"/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2FEBC57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4D893B9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EC2E22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7A5052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965CAB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0A0CC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981ED1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5CEFF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C27CDC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6330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DF27341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8C7FA50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2B22331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F17929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45AFE8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B16201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7B9F3E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124A4C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B65884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717CB2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6AD5B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5969E7B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5C92B25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A66C20D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006735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E8674E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B9B77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CA3619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3D3417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676D80D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C72E2A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72A7A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4318FED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BBD056A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7A7957E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115150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451740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F1F2DC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48D1AD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E26D25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27CBE5F">
            <w:pPr>
              <w:spacing w:line="300" w:lineRule="exact"/>
              <w:jc w:val="center"/>
              <w:rPr>
                <w:rFonts w:hint="default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EA1C7E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51148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853E76A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7F2EC21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766A5E3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EE7A18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4B575A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BB7BFB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B37FDE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A56977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ED7D2D0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59A3A2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10138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1B2466D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7F80407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B2125FC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E3E09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8419AD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3D023D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CD558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11927E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58CD12D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663DF8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429EA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7A597E0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8CB2ADF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455405B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677549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1CCDD7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715E22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180D2E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EA7B74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421A97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2AB26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057A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46936F5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BCBA18F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301BB7A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BAAF41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D06066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A3A8A3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766125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50621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0C1C36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836521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9333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E6BCB0A"/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0FEFCE0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869B451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E35783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8DA34E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B6745B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9F82C7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592DAA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D78154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413C0E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2267F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80AFDB4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67149CA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58D5666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826E0D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C31D07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E39082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67112D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5FCF03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181081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2F6FDC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0EF1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18CE97F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11F463C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2BA0F3A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DE1438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BDC9CB0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175082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7B60B40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254227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E41C39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AFE2F4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23C3E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AB51E0C"/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A777803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022446B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2F9023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674D47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7E67E4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565426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1AE5E1A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FE4511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350AC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57F70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C3AA353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A11BF2F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1DDC1FD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5E0C7C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FD87CF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C1ECD5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0333C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AC3CE7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42B3FC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621C47D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0C4F9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730AB31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B238A21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A42ABEF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8A6581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3BFAAE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5082D9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753132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441C3C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E82EC0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1C662C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6F5E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C68EDF1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0AE1180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57283A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16997A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C45759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AB93B6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72A724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BB0D17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13434E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BE1873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6A05D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3" w:hRule="atLeast"/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815AF43"/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B15A731"/>
        </w:tc>
        <w:tc>
          <w:tcPr>
            <w:tcW w:w="3272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2F842B5">
            <w:pPr>
              <w:spacing w:line="300" w:lineRule="exac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49B62730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079A249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72E7AE5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2BD95BDC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083EF8F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7D538BC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 w14:paraId="5088DC75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7AC7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73A2325"/>
        </w:tc>
        <w:tc>
          <w:tcPr>
            <w:tcW w:w="921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CD845E9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7162F50">
            <w:pPr>
              <w:spacing w:line="300" w:lineRule="exac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4DDA1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E1B804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0DAA8D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4167C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703A5F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72DAD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2C9502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B950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C9C4B6A"/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101450C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5AEB48">
            <w:pPr>
              <w:spacing w:line="300" w:lineRule="exac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9BA462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DA8944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70AC71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B4ED46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C92A19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A0EE05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56560C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3A550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4E60042"/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EA74F57"/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751448C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580DA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20B7A73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D2ABD2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43B937D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4E0CB3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321BD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0F1BDF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6598F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7ED5645"/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7682BA5">
            <w:pPr>
              <w:spacing w:line="300" w:lineRule="exact"/>
              <w:jc w:val="left"/>
              <w:rPr>
                <w:rFonts w:hint="eastAsia" w:ascii="宋体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363724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5FE846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E5415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4FA1CDF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AB5D7A8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054D90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41C2E4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 w14:paraId="24E91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77C246">
            <w:pPr>
              <w:spacing w:line="30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hint="eastAsia" w:ascii="宋体"/>
                <w:color w:val="333333"/>
                <w:sz w:val="20"/>
                <w:szCs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A6B0EDB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9EFD1E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9ADDA31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564F1E7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8B59A4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42FDFB9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006072">
            <w:pPr>
              <w:spacing w:line="300" w:lineRule="exact"/>
              <w:jc w:val="center"/>
              <w:rPr>
                <w:rFonts w:hint="eastAsia" w:ascii="Calibri" w:hAnsi="Calibri" w:eastAsiaTheme="minorEastAsia"/>
                <w:color w:val="333333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</w:tbl>
    <w:p w14:paraId="20A7B0B9">
      <w:pPr>
        <w:pStyle w:val="2"/>
        <w:numPr>
          <w:ilvl w:val="0"/>
          <w:numId w:val="1"/>
        </w:numPr>
        <w:shd w:val="clear" w:color="auto" w:fill="FFFFFF"/>
        <w:spacing w:before="0" w:beforeAutospacing="0" w:after="0" w:afterAutospacing="0" w:line="560" w:lineRule="exact"/>
        <w:ind w:left="0" w:leftChars="0" w:right="0" w:rightChars="0" w:firstLine="480" w:firstLineChars="0"/>
        <w:rPr>
          <w:rFonts w:hint="eastAsia" w:ascii="黑体" w:hAnsi="黑体" w:eastAsia="黑体" w:cs="黑体"/>
          <w:b w:val="0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333333"/>
          <w:sz w:val="32"/>
          <w:szCs w:val="32"/>
        </w:rPr>
        <w:t>政府信息公开行政复议、行政诉讼情况。</w:t>
      </w:r>
    </w:p>
    <w:tbl>
      <w:tblPr>
        <w:tblStyle w:val="3"/>
        <w:tblW w:w="9765" w:type="dxa"/>
        <w:tblInd w:w="-7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0"/>
        <w:gridCol w:w="615"/>
        <w:gridCol w:w="795"/>
        <w:gridCol w:w="675"/>
        <w:gridCol w:w="360"/>
        <w:gridCol w:w="960"/>
        <w:gridCol w:w="615"/>
        <w:gridCol w:w="660"/>
        <w:gridCol w:w="675"/>
        <w:gridCol w:w="450"/>
        <w:gridCol w:w="675"/>
        <w:gridCol w:w="540"/>
        <w:gridCol w:w="645"/>
        <w:gridCol w:w="690"/>
        <w:gridCol w:w="300"/>
      </w:tblGrid>
      <w:tr w14:paraId="16CE7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5" w:type="dxa"/>
            <w:gridSpan w:val="5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05E5F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行政复议</w:t>
            </w:r>
          </w:p>
        </w:tc>
        <w:tc>
          <w:tcPr>
            <w:tcW w:w="6210" w:type="dxa"/>
            <w:gridSpan w:val="10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97AA2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行政诉讼</w:t>
            </w:r>
          </w:p>
        </w:tc>
      </w:tr>
      <w:tr w14:paraId="17430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110" w:type="dxa"/>
            <w:vMerge w:val="restart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EF3AF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结果维持</w:t>
            </w:r>
          </w:p>
        </w:tc>
        <w:tc>
          <w:tcPr>
            <w:tcW w:w="615" w:type="dxa"/>
            <w:vMerge w:val="restart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C80CD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纠正</w:t>
            </w:r>
          </w:p>
        </w:tc>
        <w:tc>
          <w:tcPr>
            <w:tcW w:w="795" w:type="dxa"/>
            <w:vMerge w:val="restart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B171E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其他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</w:p>
        </w:tc>
        <w:tc>
          <w:tcPr>
            <w:tcW w:w="675" w:type="dxa"/>
            <w:vMerge w:val="restart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FC639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尚未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审结</w:t>
            </w:r>
          </w:p>
        </w:tc>
        <w:tc>
          <w:tcPr>
            <w:tcW w:w="360" w:type="dxa"/>
            <w:vMerge w:val="restart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CEE8F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总计</w:t>
            </w:r>
          </w:p>
        </w:tc>
        <w:tc>
          <w:tcPr>
            <w:tcW w:w="3360" w:type="dxa"/>
            <w:gridSpan w:val="5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600A2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未经复议直接起诉</w:t>
            </w:r>
          </w:p>
        </w:tc>
        <w:tc>
          <w:tcPr>
            <w:tcW w:w="2850" w:type="dxa"/>
            <w:gridSpan w:val="5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D8B8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复议后起诉</w:t>
            </w:r>
          </w:p>
        </w:tc>
      </w:tr>
      <w:tr w14:paraId="55261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110" w:type="dxa"/>
            <w:vMerge w:val="continue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AF4D"/>
        </w:tc>
        <w:tc>
          <w:tcPr>
            <w:tcW w:w="615" w:type="dxa"/>
            <w:vMerge w:val="continue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BCBF8"/>
        </w:tc>
        <w:tc>
          <w:tcPr>
            <w:tcW w:w="795" w:type="dxa"/>
            <w:vMerge w:val="continue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D2ECB"/>
        </w:tc>
        <w:tc>
          <w:tcPr>
            <w:tcW w:w="675" w:type="dxa"/>
            <w:vMerge w:val="continue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C14A"/>
        </w:tc>
        <w:tc>
          <w:tcPr>
            <w:tcW w:w="360" w:type="dxa"/>
            <w:vMerge w:val="continue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7A5F7"/>
        </w:tc>
        <w:tc>
          <w:tcPr>
            <w:tcW w:w="96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A8A86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维持</w:t>
            </w:r>
          </w:p>
        </w:tc>
        <w:tc>
          <w:tcPr>
            <w:tcW w:w="61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C2109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纠正</w:t>
            </w:r>
          </w:p>
        </w:tc>
        <w:tc>
          <w:tcPr>
            <w:tcW w:w="66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38D5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其他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</w:p>
        </w:tc>
        <w:tc>
          <w:tcPr>
            <w:tcW w:w="67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4A21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尚未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审结</w:t>
            </w:r>
          </w:p>
        </w:tc>
        <w:tc>
          <w:tcPr>
            <w:tcW w:w="45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69FDA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总计</w:t>
            </w:r>
          </w:p>
        </w:tc>
        <w:tc>
          <w:tcPr>
            <w:tcW w:w="67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AD6E7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维持</w:t>
            </w:r>
          </w:p>
        </w:tc>
        <w:tc>
          <w:tcPr>
            <w:tcW w:w="54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7699B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纠正</w:t>
            </w:r>
          </w:p>
        </w:tc>
        <w:tc>
          <w:tcPr>
            <w:tcW w:w="64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78C36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其他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结果</w:t>
            </w:r>
          </w:p>
        </w:tc>
        <w:tc>
          <w:tcPr>
            <w:tcW w:w="69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4549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尚未</w:t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审结</w:t>
            </w:r>
          </w:p>
        </w:tc>
        <w:tc>
          <w:tcPr>
            <w:tcW w:w="30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C1B0D">
            <w:pPr>
              <w:widowControl/>
              <w:wordWrap w:val="0"/>
              <w:spacing w:line="510" w:lineRule="atLeast"/>
              <w:jc w:val="center"/>
              <w:rPr>
                <w:rFonts w:hint="eastAsia" w:ascii="宋体" w:cs="微软雅黑"/>
                <w:szCs w:val="21"/>
                <w:lang w:bidi="ar-SA"/>
              </w:rPr>
            </w:pPr>
            <w:r>
              <w:rPr>
                <w:rFonts w:hint="eastAsia" w:ascii="宋体" w:cs="微软雅黑"/>
                <w:color w:val="000000"/>
                <w:kern w:val="0"/>
                <w:szCs w:val="21"/>
                <w:lang w:bidi="ar"/>
              </w:rPr>
              <w:t>总计</w:t>
            </w:r>
          </w:p>
        </w:tc>
      </w:tr>
      <w:tr w14:paraId="2AF4C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11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A3F5F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1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6854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79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5B9DB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7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274A0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36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5B880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96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5262B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1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C823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6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26404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7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51F2E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45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9C28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7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E402C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54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ED21D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45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E56F4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9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3DEEB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300" w:type="dxa"/>
            <w:shd w:val="clear" w:color="auto" w:fill="auto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46E9">
            <w:pPr>
              <w:widowControl/>
              <w:wordWrap w:val="0"/>
              <w:spacing w:line="510" w:lineRule="atLeast"/>
              <w:jc w:val="center"/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</w:tr>
    </w:tbl>
    <w:p w14:paraId="314CB663">
      <w:pPr>
        <w:pStyle w:val="2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ind w:right="0" w:rightChars="0"/>
        <w:rPr>
          <w:rFonts w:hint="eastAsia" w:ascii="黑体" w:hAnsi="黑体" w:eastAsia="黑体" w:cs="黑体"/>
          <w:b w:val="0"/>
          <w:bCs/>
          <w:color w:val="333333"/>
          <w:sz w:val="32"/>
          <w:szCs w:val="32"/>
        </w:rPr>
      </w:pPr>
    </w:p>
    <w:p w14:paraId="26E0B5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</w:rPr>
        <w:t>五、存在的主要问题及改进情况</w:t>
      </w:r>
    </w:p>
    <w:p w14:paraId="04C62D9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年，区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司法局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公开工作取得了一定成效，但与上级要求、先进单位、群众期待还存在一定差距，主要表现在：一是政务公开队伍建设有待加强，公开业务能力有待提升；二是需一步加大政策解读力度，扩大解读范围。下一步我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局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将积极贯彻落实上级要求，进一步加强政务公开业务培训，加大政策解读力度，确保各项决策部署落实到位。</w:t>
      </w:r>
    </w:p>
    <w:p w14:paraId="44F720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right="0" w:firstLine="640" w:firstLineChars="200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六、其他需要报告的事项</w:t>
      </w:r>
    </w:p>
    <w:p w14:paraId="53D6A58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年，区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司法局没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  <w:t>有因政府信息公开申请收取信息处理费情况。</w:t>
      </w:r>
    </w:p>
    <w:p w14:paraId="5BB691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</w:p>
    <w:p w14:paraId="53E1823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left="0" w:right="0" w:firstLine="645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</w:rPr>
      </w:pPr>
    </w:p>
    <w:p w14:paraId="39DB79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55" w:lineRule="atLeast"/>
        <w:ind w:right="0" w:firstLine="5760" w:firstLineChars="1800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u w:val="none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22B330"/>
    <w:multiLevelType w:val="singleLevel"/>
    <w:tmpl w:val="E522B330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BA1CD2"/>
    <w:rsid w:val="06F428AD"/>
    <w:rsid w:val="161F5961"/>
    <w:rsid w:val="211568CA"/>
    <w:rsid w:val="4B953042"/>
    <w:rsid w:val="512703AC"/>
    <w:rsid w:val="549733F7"/>
    <w:rsid w:val="66396EBC"/>
    <w:rsid w:val="693F18EB"/>
    <w:rsid w:val="72BA1CD2"/>
    <w:rsid w:val="77787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2125</Words>
  <Characters>2175</Characters>
  <Lines>0</Lines>
  <Paragraphs>0</Paragraphs>
  <TotalTime>68</TotalTime>
  <ScaleCrop>false</ScaleCrop>
  <LinksUpToDate>false</LinksUpToDate>
  <CharactersWithSpaces>2234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2023-12-28T06:38:00Z</dcterms:created>
  <dc:creator>Administrator</dc:creator>
  <cp:lastModifiedBy>Administrator</cp:lastModifiedBy>
  <cp:lastPrinted>2025-01-02T07:08:00Z</cp:lastPrinted>
  <dcterms:modified xsi:type="dcterms:W3CDTF">2025-01-16T06:02:33Z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08C0D8BE46274870850CF0914D8F4BC0_13</vt:lpwstr>
  </property>
  <property fmtid="{D5CDD505-2E9C-101B-9397-08002B2CF9AE}" pid="4" name="KSOTemplateDocerSaveRecord">
    <vt:lpwstr>eyJoZGlkIjoiZGMyMjM2ZjU5NThlYjY0N2QwYjZhNDI5ZTAyMmFiMWEifQ==</vt:lpwstr>
  </property>
</Properties>
</file>