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spacing w:before="0" w:beforeAutospacing="0" w:after="0" w:afterAutospacing="0" w:line="560" w:lineRule="exact"/>
        <w:ind w:firstLine="883"/>
        <w:jc w:val="center"/>
        <w:rPr>
          <w:rFonts w:hAnsi="宋体"/>
          <w:b/>
          <w:bCs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hAnsi="宋体"/>
          <w:b/>
          <w:bCs/>
          <w:color w:val="000000"/>
          <w:sz w:val="44"/>
          <w:szCs w:val="44"/>
        </w:rPr>
        <w:t>秦皇岛市抚宁区医疗保障局</w:t>
      </w:r>
    </w:p>
    <w:p>
      <w:pPr>
        <w:pStyle w:val="5"/>
        <w:spacing w:before="0" w:beforeAutospacing="0" w:after="0" w:afterAutospacing="0" w:line="560" w:lineRule="exact"/>
        <w:ind w:firstLine="883"/>
        <w:jc w:val="center"/>
        <w:rPr>
          <w:rFonts w:hAnsi="宋体"/>
          <w:b/>
          <w:bCs/>
          <w:color w:val="000000"/>
          <w:sz w:val="44"/>
          <w:szCs w:val="44"/>
        </w:rPr>
      </w:pPr>
      <w:r>
        <w:rPr>
          <w:rFonts w:hint="eastAsia" w:hAnsi="宋体"/>
          <w:b/>
          <w:bCs/>
          <w:color w:val="000000"/>
          <w:sz w:val="44"/>
          <w:szCs w:val="44"/>
        </w:rPr>
        <w:t>202</w:t>
      </w:r>
      <w:r>
        <w:rPr>
          <w:rFonts w:hint="eastAsia" w:hAnsi="宋体"/>
          <w:b/>
          <w:bCs/>
          <w:color w:val="000000"/>
          <w:sz w:val="44"/>
          <w:szCs w:val="44"/>
          <w:lang w:val="en-US" w:eastAsia="zh-CN"/>
        </w:rPr>
        <w:t>4</w:t>
      </w:r>
      <w:r>
        <w:rPr>
          <w:rFonts w:hint="eastAsia" w:hAnsi="宋体"/>
          <w:b/>
          <w:bCs/>
          <w:color w:val="000000"/>
          <w:sz w:val="44"/>
          <w:szCs w:val="44"/>
        </w:rPr>
        <w:t>年政府信息公开工作年度报告</w:t>
      </w:r>
    </w:p>
    <w:p>
      <w:pPr>
        <w:pStyle w:val="5"/>
        <w:spacing w:before="0" w:beforeAutospacing="0" w:after="0" w:afterAutospacing="0" w:line="560" w:lineRule="exact"/>
        <w:ind w:firstLine="880"/>
        <w:jc w:val="center"/>
        <w:rPr>
          <w:rFonts w:hAnsi="宋体"/>
          <w:bCs/>
          <w:color w:val="000000"/>
          <w:sz w:val="44"/>
          <w:szCs w:val="44"/>
        </w:rPr>
      </w:pPr>
    </w:p>
    <w:p>
      <w:pPr>
        <w:pStyle w:val="5"/>
        <w:spacing w:before="0" w:beforeAutospacing="0" w:after="0" w:afterAutospacing="0"/>
        <w:ind w:firstLine="640" w:firstLineChars="200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根据《中华人民共和国政府信息公开条例》（以下简称《条例》）规定，向社会公布秦皇岛市抚宁区</w:t>
      </w:r>
      <w:r>
        <w:rPr>
          <w:rFonts w:ascii="仿宋" w:hAnsi="仿宋" w:eastAsia="仿宋"/>
          <w:color w:val="000000"/>
          <w:sz w:val="32"/>
          <w:szCs w:val="32"/>
        </w:rPr>
        <w:t>医疗保障局</w:t>
      </w:r>
      <w:r>
        <w:rPr>
          <w:rFonts w:hint="eastAsia" w:ascii="仿宋" w:hAnsi="仿宋" w:eastAsia="仿宋"/>
          <w:color w:val="000000"/>
          <w:sz w:val="32"/>
          <w:szCs w:val="32"/>
        </w:rPr>
        <w:t>202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000000"/>
          <w:sz w:val="32"/>
          <w:szCs w:val="32"/>
        </w:rPr>
        <w:t>年政府信息公开工作年度报告。本报告由总体情况、主动公开政府信息情况、依申请公开情况、行政复议和诉讼情况、存在的主要问题及改进情况、其他需要报告的事项等部分组成。本报告中所列数据的统计时限自202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000000"/>
          <w:sz w:val="32"/>
          <w:szCs w:val="32"/>
        </w:rPr>
        <w:t>年1月1日起至202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000000"/>
          <w:sz w:val="32"/>
          <w:szCs w:val="32"/>
        </w:rPr>
        <w:t>年12月31日止。</w:t>
      </w:r>
    </w:p>
    <w:p>
      <w:pPr>
        <w:pStyle w:val="5"/>
        <w:spacing w:before="0" w:beforeAutospacing="0" w:after="0" w:afterAutospacing="0"/>
        <w:ind w:firstLine="640" w:firstLineChars="200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一、总体情况</w:t>
      </w:r>
    </w:p>
    <w:p>
      <w:pPr>
        <w:pStyle w:val="5"/>
        <w:spacing w:before="0" w:beforeAutospacing="0" w:after="0" w:afterAutospacing="0"/>
        <w:ind w:firstLine="640" w:firstLineChars="200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认真贯彻落实《条例》要求，结合医疗保障工作特点，</w:t>
      </w:r>
      <w:r>
        <w:rPr>
          <w:rFonts w:hint="eastAsia" w:ascii="仿宋" w:hAnsi="仿宋" w:eastAsia="仿宋"/>
          <w:color w:val="000000"/>
          <w:sz w:val="32"/>
          <w:szCs w:val="32"/>
        </w:rPr>
        <w:t>强化</w:t>
      </w:r>
      <w:r>
        <w:rPr>
          <w:rFonts w:ascii="仿宋" w:hAnsi="仿宋" w:eastAsia="仿宋"/>
          <w:color w:val="000000"/>
          <w:sz w:val="32"/>
          <w:szCs w:val="32"/>
        </w:rPr>
        <w:t>组织领导，明确责任分工，加大信息公开力度，规范信息公开流程，做好医疗保障重点领域信息公开。</w:t>
      </w:r>
    </w:p>
    <w:p>
      <w:pPr>
        <w:pStyle w:val="5"/>
        <w:spacing w:before="0" w:beforeAutospacing="0" w:after="0" w:afterAutospacing="0"/>
        <w:ind w:firstLine="640" w:firstLineChars="200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（一）主动公开</w:t>
      </w:r>
      <w:r>
        <w:rPr>
          <w:rFonts w:hint="eastAsia" w:ascii="仿宋" w:hAnsi="仿宋" w:eastAsia="仿宋"/>
          <w:color w:val="000000"/>
          <w:sz w:val="32"/>
          <w:szCs w:val="32"/>
        </w:rPr>
        <w:t>方面</w:t>
      </w:r>
      <w:r>
        <w:rPr>
          <w:rFonts w:ascii="仿宋" w:hAnsi="仿宋" w:eastAsia="仿宋"/>
          <w:color w:val="000000"/>
          <w:sz w:val="32"/>
          <w:szCs w:val="32"/>
        </w:rPr>
        <w:t>。本年度，在“政府信息公开”专栏中公开信息</w:t>
      </w:r>
      <w:r>
        <w:rPr>
          <w:rFonts w:hint="eastAsia" w:ascii="仿宋" w:hAnsi="仿宋" w:eastAsia="仿宋"/>
          <w:color w:val="000000"/>
          <w:sz w:val="32"/>
          <w:szCs w:val="32"/>
        </w:rPr>
        <w:t>2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color w:val="000000"/>
          <w:sz w:val="32"/>
          <w:szCs w:val="32"/>
        </w:rPr>
        <w:t>条,其中概括信息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color w:val="000000"/>
          <w:sz w:val="32"/>
          <w:szCs w:val="32"/>
        </w:rPr>
        <w:t>条，工作动态1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000000"/>
          <w:sz w:val="32"/>
          <w:szCs w:val="32"/>
        </w:rPr>
        <w:t>条。</w:t>
      </w:r>
    </w:p>
    <w:p>
      <w:pPr>
        <w:pStyle w:val="5"/>
        <w:spacing w:before="0" w:beforeAutospacing="0" w:after="0" w:afterAutospacing="0"/>
        <w:ind w:firstLine="640" w:firstLineChars="200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（二）依申请公开方面。202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000000"/>
          <w:sz w:val="32"/>
          <w:szCs w:val="32"/>
        </w:rPr>
        <w:t>年，区医疗保障局未收到政府信息公开申请。</w:t>
      </w:r>
    </w:p>
    <w:p>
      <w:pPr>
        <w:pStyle w:val="2"/>
        <w:ind w:firstLine="640" w:firstLineChars="20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三）政府信息管理方面。一是积极部署。年初即把政务公开工作列入重要议事日程，纳入工作全局统筹谋划，做到与业务工作同研究、同部署、同检查，形成一把手负总责，分管领导具体抓，办公室牵头协调推进，各业务部门具体承办。二是认真落实。为全面贯彻落实《条例》精神，我局结合自身职能，明确责任、集中发布、重点落实，重点围绕群众关心的医疗保障政策及相关执行情况等信息，做到全面公开、及时公开。随着政务公开工作的逐步推进，我局公开制度化、标准化、信息化水平不断提升。</w:t>
      </w:r>
    </w:p>
    <w:p>
      <w:pPr>
        <w:pStyle w:val="2"/>
        <w:ind w:firstLine="640" w:firstLineChars="20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（四）信息公开平台建设方面。</w:t>
      </w:r>
    </w:p>
    <w:p>
      <w:pPr>
        <w:widowControl/>
        <w:shd w:val="clear" w:color="auto" w:fill="FFFFFF"/>
        <w:ind w:firstLine="515" w:firstLineChars="161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ascii="仿宋" w:hAnsi="仿宋" w:eastAsia="仿宋" w:cs="宋体"/>
          <w:color w:val="000000"/>
          <w:kern w:val="0"/>
          <w:sz w:val="32"/>
          <w:szCs w:val="32"/>
        </w:rPr>
        <w:t>1、网站信息。我局把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区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>政府门户网站作为政府信息公开的主要平台，全年发布信息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>条。</w:t>
      </w:r>
    </w:p>
    <w:p>
      <w:pPr>
        <w:pStyle w:val="5"/>
        <w:spacing w:before="0" w:beforeAutospacing="0" w:after="0" w:afterAutospacing="0"/>
        <w:ind w:firstLine="672" w:firstLineChars="210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(五）监督保障方面。局办公室具体负责政府信息公开的监督检查工作。压实信息发布主体责任，认真落实政府信息公开相关政策，严格执行信息发布“三审”制度，确保发布信息的真实准确、规范有效。</w:t>
      </w:r>
      <w:r>
        <w:rPr>
          <w:rFonts w:ascii="仿宋" w:hAnsi="仿宋" w:eastAsia="仿宋"/>
          <w:color w:val="000000"/>
          <w:sz w:val="32"/>
          <w:szCs w:val="32"/>
        </w:rPr>
        <w:t>坚持以“公开为常态、不公开为例外”原则，应公开、尽公开，同时严格落实公开前保密审查机制，妥善处理好政务公开与保守国家秘密的关系</w:t>
      </w:r>
      <w:r>
        <w:rPr>
          <w:rFonts w:hint="eastAsia" w:ascii="仿宋" w:hAnsi="仿宋" w:eastAsia="仿宋"/>
          <w:color w:val="000000"/>
          <w:sz w:val="32"/>
          <w:szCs w:val="32"/>
        </w:rPr>
        <w:t>,把握好公开的范围，不断提升主动公开的标准规范化水平。</w:t>
      </w:r>
    </w:p>
    <w:p>
      <w:pPr>
        <w:pStyle w:val="5"/>
        <w:spacing w:before="0" w:beforeAutospacing="0" w:after="0" w:afterAutospacing="0" w:line="560" w:lineRule="exact"/>
        <w:ind w:firstLine="640" w:firstLineChars="200"/>
        <w:rPr>
          <w:rFonts w:ascii="黑体" w:eastAsia="黑体"/>
          <w:color w:val="000000"/>
        </w:rPr>
      </w:pPr>
      <w:r>
        <w:rPr>
          <w:rFonts w:hint="eastAsia" w:ascii="黑体" w:eastAsia="黑体"/>
          <w:color w:val="000000"/>
          <w:sz w:val="32"/>
          <w:szCs w:val="32"/>
        </w:rPr>
        <w:t>二、主动公开政府信息情况</w:t>
      </w:r>
    </w:p>
    <w:tbl>
      <w:tblPr>
        <w:tblStyle w:val="6"/>
        <w:tblW w:w="9740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5"/>
        <w:gridCol w:w="2435"/>
        <w:gridCol w:w="2435"/>
        <w:gridCol w:w="2435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第二十条第（一）项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本年</w:t>
            </w:r>
            <w:r>
              <w:rPr>
                <w:rFonts w:hint="eastAsia" w:ascii="宋体"/>
                <w:color w:val="333333"/>
                <w:sz w:val="20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现行有效件</w:t>
            </w:r>
            <w:r>
              <w:rPr>
                <w:rFonts w:hint="eastAsia" w:ascii="宋体"/>
                <w:color w:val="333333"/>
                <w:sz w:val="20"/>
              </w:rPr>
              <w:t>数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333333"/>
                <w:sz w:val="24"/>
                <w:szCs w:val="24"/>
              </w:rPr>
            </w:pPr>
            <w:r>
              <w:rPr>
                <w:rFonts w:hint="eastAsia" w:ascii="宋体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333333"/>
                <w:sz w:val="24"/>
                <w:szCs w:val="24"/>
              </w:rPr>
            </w:pPr>
            <w:r>
              <w:rPr>
                <w:rFonts w:hint="eastAsia" w:ascii="宋体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第二十条第（五）项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本年处理决定数量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333333"/>
                <w:sz w:val="24"/>
                <w:szCs w:val="24"/>
              </w:rPr>
            </w:pPr>
            <w:r>
              <w:rPr>
                <w:rFonts w:hint="eastAsia" w:ascii="宋体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第二十条第（六）项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本年处理决定数量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hint="default" w:ascii="Calibri" w:hAnsi="Calibri" w:eastAsia="宋体"/>
                <w:color w:val="333333"/>
                <w:szCs w:val="21"/>
                <w:lang w:val="en-US" w:eastAsia="zh-CN"/>
              </w:rPr>
            </w:pPr>
            <w:r>
              <w:rPr>
                <w:rFonts w:hint="eastAsia" w:ascii="Calibri" w:hAnsi="Calibri"/>
                <w:color w:val="333333"/>
                <w:szCs w:val="21"/>
                <w:lang w:val="en-US" w:eastAsia="zh-CN"/>
              </w:rPr>
              <w:t>1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第二十条第（八）项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Calibri" w:hAnsi="Calibri"/>
                <w:color w:val="333333"/>
                <w:szCs w:val="21"/>
              </w:rPr>
            </w:pPr>
            <w:r>
              <w:rPr>
                <w:rFonts w:hint="eastAsia" w:ascii="宋体"/>
                <w:color w:val="000000"/>
                <w:sz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333333"/>
                <w:sz w:val="24"/>
                <w:szCs w:val="24"/>
              </w:rPr>
            </w:pPr>
            <w:r>
              <w:rPr>
                <w:rFonts w:hint="eastAsia" w:ascii="宋体"/>
                <w:color w:val="333333"/>
                <w:sz w:val="24"/>
                <w:szCs w:val="24"/>
              </w:rPr>
              <w:t>0</w:t>
            </w:r>
          </w:p>
        </w:tc>
      </w:tr>
    </w:tbl>
    <w:p>
      <w:pPr>
        <w:pStyle w:val="5"/>
        <w:spacing w:before="0" w:beforeAutospacing="0" w:after="0" w:afterAutospacing="0"/>
        <w:rPr>
          <w:rFonts w:ascii="黑体" w:eastAsia="黑体"/>
          <w:color w:val="000000"/>
          <w:sz w:val="32"/>
          <w:szCs w:val="32"/>
        </w:rPr>
      </w:pPr>
    </w:p>
    <w:p>
      <w:pPr>
        <w:pStyle w:val="5"/>
        <w:spacing w:before="0" w:beforeAutospacing="0" w:after="0" w:afterAutospacing="0"/>
        <w:ind w:firstLine="640" w:firstLineChars="200"/>
        <w:rPr>
          <w:color w:val="000000"/>
        </w:rPr>
      </w:pPr>
      <w:r>
        <w:rPr>
          <w:rFonts w:hint="eastAsia" w:ascii="黑体" w:eastAsia="黑体"/>
          <w:color w:val="000000"/>
          <w:sz w:val="32"/>
          <w:szCs w:val="32"/>
        </w:rPr>
        <w:t>三、收到和处理政府信息公开申请情况</w:t>
      </w:r>
      <w:r>
        <w:rPr>
          <w:rFonts w:hint="eastAsia" w:ascii="黑体" w:eastAsia="黑体"/>
          <w:color w:val="000000"/>
          <w:sz w:val="32"/>
          <w:szCs w:val="32"/>
        </w:rPr>
        <w:br w:type="textWrapping"/>
      </w:r>
    </w:p>
    <w:tbl>
      <w:tblPr>
        <w:tblStyle w:val="6"/>
        <w:tblW w:w="9071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94"/>
        <w:gridCol w:w="855"/>
        <w:gridCol w:w="2130"/>
        <w:gridCol w:w="825"/>
        <w:gridCol w:w="765"/>
        <w:gridCol w:w="765"/>
        <w:gridCol w:w="825"/>
        <w:gridCol w:w="990"/>
        <w:gridCol w:w="720"/>
        <w:gridCol w:w="70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79" w:type="dxa"/>
            <w:gridSpan w:val="3"/>
            <w:vMerge w:val="restart"/>
            <w:tcBorders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（本列数据的勾稽关系为：第一项加第二项之和，等于第三项加第四项之和）</w:t>
            </w:r>
          </w:p>
        </w:tc>
        <w:tc>
          <w:tcPr>
            <w:tcW w:w="5592" w:type="dxa"/>
            <w:gridSpan w:val="7"/>
            <w:tcBorders>
              <w:left w:val="nil"/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79" w:type="dxa"/>
            <w:gridSpan w:val="3"/>
            <w:vMerge w:val="continue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2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自然人</w:t>
            </w:r>
          </w:p>
        </w:tc>
        <w:tc>
          <w:tcPr>
            <w:tcW w:w="406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法人或其他组织</w:t>
            </w:r>
          </w:p>
        </w:tc>
        <w:tc>
          <w:tcPr>
            <w:tcW w:w="70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79" w:type="dxa"/>
            <w:gridSpan w:val="3"/>
            <w:vMerge w:val="continue"/>
            <w:tcBorders>
              <w:top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科研机构</w:t>
            </w:r>
          </w:p>
        </w:tc>
        <w:tc>
          <w:tcPr>
            <w:tcW w:w="8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社会公益组织</w:t>
            </w:r>
          </w:p>
        </w:tc>
        <w:tc>
          <w:tcPr>
            <w:tcW w:w="9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法律服务机构</w:t>
            </w:r>
          </w:p>
        </w:tc>
        <w:tc>
          <w:tcPr>
            <w:tcW w:w="7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其他</w:t>
            </w:r>
          </w:p>
        </w:tc>
        <w:tc>
          <w:tcPr>
            <w:tcW w:w="70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</w:tcBorders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79" w:type="dxa"/>
            <w:gridSpan w:val="3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一、本年新收政府信息公开申请数量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79" w:type="dxa"/>
            <w:gridSpan w:val="3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二、上年结转政府信息公开申请数量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仿宋" w:hAnsi="仿宋" w:eastAsia="仿宋" w:cs="仿宋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3" w:hRule="atLeast"/>
          <w:jc w:val="center"/>
        </w:trPr>
        <w:tc>
          <w:tcPr>
            <w:tcW w:w="494" w:type="dxa"/>
            <w:vMerge w:val="restart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三、本年度办理结果</w:t>
            </w:r>
          </w:p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（一）予以公开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single" w:color="auto" w:sz="8" w:space="0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（三）不予公开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1.属于国家秘密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single" w:color="auto" w:sz="8" w:space="0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2.其他法律行政法规禁止公开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3.危及“三安全一稳定”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4.保护第三方合法权益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5.属于三类内部事务信息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6.属于四类过程性信息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7.属于行政执法案卷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8.属于行政查询事项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（四）无法提供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1.本机关不掌握相关政府信息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2.没有现成信息需要另行制作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3.补正后申请内容仍不明确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（五）不予处理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1.信访举报投诉类申请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2.重复申请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3.要求提供公开出版物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4.无正当理由大量反复申请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5.要求行政机关确认或重新出具已获取信息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（六）其他处理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298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楷体" w:eastAsia="楷体"/>
                <w:color w:val="000000"/>
                <w:sz w:val="20"/>
              </w:rPr>
            </w:pPr>
            <w:r>
              <w:rPr>
                <w:rFonts w:hint="eastAsia" w:ascii="楷体" w:eastAsia="楷体"/>
                <w:color w:val="000000"/>
                <w:sz w:val="20"/>
              </w:rPr>
              <w:t>（七）总计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79" w:type="dxa"/>
            <w:gridSpan w:val="3"/>
            <w:tcBorders>
              <w:top w:val="nil"/>
              <w:right w:val="single" w:color="auto" w:sz="8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四、结转下年度继续办理</w:t>
            </w:r>
          </w:p>
        </w:tc>
        <w:tc>
          <w:tcPr>
            <w:tcW w:w="825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</w:tcBorders>
            <w:vAlign w:val="center"/>
          </w:tcPr>
          <w:p>
            <w:pPr>
              <w:spacing w:after="149"/>
              <w:jc w:val="center"/>
              <w:rPr>
                <w:rFonts w:ascii="Segoe UI" w:hAnsi="Segoe UI"/>
                <w:color w:val="000000"/>
                <w:sz w:val="3"/>
                <w:szCs w:val="3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</w:tbl>
    <w:p>
      <w:pPr>
        <w:pStyle w:val="5"/>
        <w:spacing w:before="0" w:beforeAutospacing="0" w:after="0" w:afterAutospacing="0"/>
        <w:rPr>
          <w:rFonts w:ascii="黑体" w:eastAsia="黑体"/>
          <w:color w:val="000000"/>
          <w:sz w:val="32"/>
          <w:szCs w:val="32"/>
        </w:rPr>
      </w:pPr>
    </w:p>
    <w:p>
      <w:pPr>
        <w:pStyle w:val="5"/>
        <w:spacing w:before="0" w:beforeAutospacing="0" w:after="0" w:afterAutospacing="0"/>
        <w:ind w:firstLine="640" w:firstLineChars="200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四、政府信息公开行政复议、行政诉讼情况</w:t>
      </w:r>
    </w:p>
    <w:p>
      <w:pPr>
        <w:pStyle w:val="5"/>
        <w:spacing w:before="0" w:beforeAutospacing="0" w:after="0" w:afterAutospacing="0"/>
        <w:ind w:firstLine="480"/>
        <w:rPr>
          <w:color w:val="000000"/>
        </w:rPr>
      </w:pPr>
    </w:p>
    <w:tbl>
      <w:tblPr>
        <w:tblStyle w:val="6"/>
        <w:tblW w:w="9071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left w:val="nil"/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行政诉讼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复议后起诉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/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</w:tcBorders>
            <w:vAlign w:val="center"/>
          </w:tcPr>
          <w:p>
            <w:pPr>
              <w:jc w:val="center"/>
              <w:rPr>
                <w:rFonts w:ascii="宋体"/>
                <w:color w:val="000000"/>
                <w:sz w:val="20"/>
              </w:rPr>
            </w:pPr>
            <w:r>
              <w:rPr>
                <w:rFonts w:hint="eastAsia" w:ascii="宋体"/>
                <w:color w:val="000000"/>
                <w:sz w:val="20"/>
              </w:rPr>
              <w:t>0</w:t>
            </w:r>
          </w:p>
        </w:tc>
      </w:tr>
    </w:tbl>
    <w:p>
      <w:pPr>
        <w:spacing w:after="149"/>
        <w:jc w:val="center"/>
        <w:rPr>
          <w:rFonts w:ascii="Segoe UI" w:hAnsi="Segoe UI"/>
          <w:color w:val="000000"/>
          <w:sz w:val="3"/>
          <w:szCs w:val="3"/>
        </w:rPr>
      </w:pPr>
      <w:r>
        <w:rPr>
          <w:rFonts w:ascii="Segoe UI" w:hAnsi="Segoe UI"/>
          <w:color w:val="000000"/>
          <w:sz w:val="3"/>
          <w:szCs w:val="3"/>
        </w:rPr>
        <w:br w:type="textWrapping"/>
      </w:r>
    </w:p>
    <w:p>
      <w:pPr>
        <w:pStyle w:val="5"/>
        <w:numPr>
          <w:ilvl w:val="0"/>
          <w:numId w:val="1"/>
        </w:numPr>
        <w:spacing w:before="0" w:beforeAutospacing="0" w:after="0" w:afterAutospacing="0"/>
        <w:ind w:firstLine="640" w:firstLineChars="200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存在的主要问题及改进情况</w:t>
      </w:r>
    </w:p>
    <w:p>
      <w:pPr>
        <w:pStyle w:val="5"/>
        <w:spacing w:before="0" w:beforeAutospacing="0" w:after="0" w:afterAutospacing="0"/>
        <w:ind w:firstLine="640" w:firstLineChars="200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区医保局202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color w:val="000000"/>
          <w:sz w:val="32"/>
          <w:szCs w:val="32"/>
        </w:rPr>
        <w:t>年政府信息公开工作取得了良好的工作效果,但存在一些问题，如公开信息数量少；部分群众医保政策知晓率有待于进一步提高；信息公开形式、内容不够丰富。</w:t>
      </w:r>
    </w:p>
    <w:p>
      <w:pPr>
        <w:pStyle w:val="5"/>
        <w:spacing w:before="0" w:beforeAutospacing="0" w:after="0" w:afterAutospacing="0"/>
        <w:ind w:firstLine="640" w:firstLineChars="200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今后,我局将继续深入贯彻落实《条例》的各项要求,深化政府信息公开工作,健全政府信息公开的工作机制。同时,紧扣医疗保障工作的重点、热点、难点和群众关注的焦点,积极探索信息公开的新思路和新举措,不断提高我局政府信息公开的时效性和专业性。</w:t>
      </w:r>
    </w:p>
    <w:p>
      <w:pPr>
        <w:pStyle w:val="5"/>
        <w:spacing w:before="0" w:beforeAutospacing="0" w:after="0" w:afterAutospacing="0"/>
        <w:ind w:firstLine="640" w:firstLineChars="200"/>
        <w:rPr>
          <w:rFonts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六、其他需要报告的事项</w:t>
      </w:r>
    </w:p>
    <w:p>
      <w:pPr>
        <w:ind w:firstLine="640" w:firstLineChars="200"/>
        <w:rPr>
          <w:rFonts w:ascii="仿宋" w:eastAsia="仿宋"/>
          <w:color w:val="000000"/>
          <w:sz w:val="32"/>
          <w:szCs w:val="32"/>
        </w:rPr>
      </w:pPr>
      <w:r>
        <w:rPr>
          <w:rFonts w:hint="eastAsia" w:ascii="仿宋" w:eastAsia="仿宋"/>
          <w:color w:val="000000"/>
          <w:sz w:val="32"/>
          <w:szCs w:val="32"/>
        </w:rPr>
        <w:t>202</w:t>
      </w:r>
      <w:r>
        <w:rPr>
          <w:rFonts w:hint="eastAsia" w:ascii="仿宋" w:eastAsia="仿宋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eastAsia="仿宋"/>
          <w:color w:val="000000"/>
          <w:sz w:val="32"/>
          <w:szCs w:val="32"/>
        </w:rPr>
        <w:t>年，区医疗保障局没有因政府信息公开申请收取信息处理费情况。</w:t>
      </w:r>
    </w:p>
    <w:p>
      <w:pPr>
        <w:ind w:firstLine="640" w:firstLineChars="200"/>
        <w:rPr>
          <w:rFonts w:ascii="仿宋" w:eastAsia="仿宋"/>
          <w:color w:val="000000"/>
          <w:sz w:val="32"/>
          <w:szCs w:val="32"/>
        </w:rPr>
      </w:pPr>
    </w:p>
    <w:p>
      <w:pPr>
        <w:ind w:firstLine="640" w:firstLineChars="200"/>
        <w:rPr>
          <w:rFonts w:ascii="仿宋" w:eastAsia="仿宋"/>
          <w:color w:val="000000"/>
          <w:sz w:val="32"/>
          <w:szCs w:val="32"/>
        </w:rPr>
      </w:pPr>
    </w:p>
    <w:p>
      <w:pPr>
        <w:ind w:firstLine="640" w:firstLineChars="200"/>
        <w:rPr>
          <w:rFonts w:ascii="仿宋" w:eastAsia="仿宋"/>
          <w:color w:val="000000"/>
          <w:sz w:val="32"/>
          <w:szCs w:val="32"/>
        </w:rPr>
      </w:pPr>
      <w:r>
        <w:rPr>
          <w:rFonts w:hint="eastAsia" w:ascii="仿宋" w:eastAsia="仿宋"/>
          <w:color w:val="000000"/>
          <w:sz w:val="32"/>
          <w:szCs w:val="32"/>
        </w:rPr>
        <w:t xml:space="preserve">                         </w:t>
      </w:r>
    </w:p>
    <w:p>
      <w:pPr>
        <w:ind w:firstLine="640" w:firstLineChars="200"/>
        <w:rPr>
          <w:rFonts w:ascii="仿宋" w:eastAsia="仿宋"/>
          <w:color w:val="000000"/>
          <w:sz w:val="32"/>
          <w:szCs w:val="32"/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155" w:right="1474" w:bottom="1985" w:left="1588" w:header="1701" w:footer="567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default"/>
    <w:sig w:usb0="E10022FF" w:usb1="C000E47F" w:usb2="00000029" w:usb3="00000000" w:csb0="200001DF" w:csb1="2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="1321" w:h="357" w:hRule="exact" w:wrap="around" w:vAnchor="page" w:hAnchor="page" w:x="9147" w:y="15083"/>
      <w:rPr>
        <w:rStyle w:val="8"/>
        <w:sz w:val="28"/>
      </w:rPr>
    </w:pPr>
    <w:r>
      <w:rPr>
        <w:rStyle w:val="8"/>
        <w:rFonts w:hint="eastAsia"/>
        <w:sz w:val="28"/>
      </w:rPr>
      <w:t>—</w:t>
    </w:r>
    <w:r>
      <w:rPr>
        <w:rStyle w:val="8"/>
        <w:sz w:val="28"/>
      </w:rPr>
      <w:t xml:space="preserve"> </w:t>
    </w:r>
    <w:r>
      <w:rPr>
        <w:rStyle w:val="8"/>
        <w:sz w:val="28"/>
      </w:rPr>
      <w:fldChar w:fldCharType="begin"/>
    </w:r>
    <w:r>
      <w:rPr>
        <w:rStyle w:val="8"/>
        <w:sz w:val="28"/>
      </w:rPr>
      <w:instrText xml:space="preserve">PAGE  </w:instrText>
    </w:r>
    <w:r>
      <w:rPr>
        <w:rStyle w:val="8"/>
        <w:sz w:val="28"/>
      </w:rPr>
      <w:fldChar w:fldCharType="separate"/>
    </w:r>
    <w:r>
      <w:rPr>
        <w:rStyle w:val="8"/>
        <w:sz w:val="28"/>
      </w:rPr>
      <w:t>4</w:t>
    </w:r>
    <w:r>
      <w:rPr>
        <w:rStyle w:val="8"/>
        <w:sz w:val="28"/>
      </w:rPr>
      <w:fldChar w:fldCharType="end"/>
    </w:r>
    <w:r>
      <w:rPr>
        <w:rStyle w:val="8"/>
        <w:sz w:val="28"/>
      </w:rPr>
      <w:t xml:space="preserve"> </w:t>
    </w:r>
    <w:r>
      <w:rPr>
        <w:rStyle w:val="8"/>
        <w:rFonts w:hint="eastAsia"/>
        <w:sz w:val="28"/>
      </w:rPr>
      <w:t>—</w:t>
    </w:r>
  </w:p>
  <w:p>
    <w:pPr>
      <w:pStyle w:val="3"/>
      <w:ind w:left="-448" w:right="-33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="1321" w:h="357" w:hRule="exact" w:wrap="around" w:vAnchor="page" w:hAnchor="page" w:x="1849" w:y="15083"/>
      <w:rPr>
        <w:rStyle w:val="8"/>
        <w:sz w:val="28"/>
      </w:rPr>
    </w:pPr>
    <w:r>
      <w:rPr>
        <w:rStyle w:val="8"/>
        <w:rFonts w:hint="eastAsia"/>
        <w:sz w:val="28"/>
      </w:rPr>
      <w:t>—</w:t>
    </w:r>
    <w:r>
      <w:rPr>
        <w:rStyle w:val="8"/>
        <w:sz w:val="28"/>
      </w:rPr>
      <w:t xml:space="preserve"> </w:t>
    </w:r>
    <w:r>
      <w:rPr>
        <w:rStyle w:val="8"/>
        <w:sz w:val="28"/>
      </w:rPr>
      <w:fldChar w:fldCharType="begin"/>
    </w:r>
    <w:r>
      <w:rPr>
        <w:rStyle w:val="8"/>
        <w:sz w:val="28"/>
      </w:rPr>
      <w:instrText xml:space="preserve">PAGE  </w:instrText>
    </w:r>
    <w:r>
      <w:rPr>
        <w:rStyle w:val="8"/>
        <w:sz w:val="28"/>
      </w:rPr>
      <w:fldChar w:fldCharType="separate"/>
    </w:r>
    <w:r>
      <w:rPr>
        <w:rStyle w:val="8"/>
        <w:sz w:val="28"/>
      </w:rPr>
      <w:t>2</w:t>
    </w:r>
    <w:r>
      <w:rPr>
        <w:rStyle w:val="8"/>
        <w:sz w:val="28"/>
      </w:rPr>
      <w:fldChar w:fldCharType="end"/>
    </w:r>
    <w:r>
      <w:rPr>
        <w:rStyle w:val="8"/>
        <w:sz w:val="28"/>
      </w:rPr>
      <w:t xml:space="preserve"> </w:t>
    </w:r>
    <w:r>
      <w:rPr>
        <w:rStyle w:val="8"/>
        <w:rFonts w:hint="eastAsia"/>
        <w:sz w:val="28"/>
      </w:rPr>
      <w:t>—</w:t>
    </w:r>
  </w:p>
  <w:p>
    <w:pPr>
      <w:pStyle w:val="3"/>
      <w:ind w:right="2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tabs>
        <w:tab w:val="right" w:pos="10605"/>
        <w:tab w:val="clear" w:pos="8306"/>
      </w:tabs>
      <w:ind w:right="24"/>
      <w:rPr>
        <w:color w:val="FFFFFF"/>
        <w:sz w:val="21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8B970DA"/>
    <w:multiLevelType w:val="singleLevel"/>
    <w:tmpl w:val="D8B970D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M0NWNiYjI4ODVjNDFlMjA1MGI4ZDQ4ZjVlYTM4YmMifQ=="/>
  </w:docVars>
  <w:rsids>
    <w:rsidRoot w:val="79552DD1"/>
    <w:rsid w:val="0002238A"/>
    <w:rsid w:val="000263A7"/>
    <w:rsid w:val="001B6D12"/>
    <w:rsid w:val="004016DA"/>
    <w:rsid w:val="004B2478"/>
    <w:rsid w:val="00523352"/>
    <w:rsid w:val="008B5F23"/>
    <w:rsid w:val="009072F3"/>
    <w:rsid w:val="00961509"/>
    <w:rsid w:val="009800DA"/>
    <w:rsid w:val="00B5335C"/>
    <w:rsid w:val="03684D90"/>
    <w:rsid w:val="07865C61"/>
    <w:rsid w:val="0C8A49D1"/>
    <w:rsid w:val="0CD50E1A"/>
    <w:rsid w:val="142675C1"/>
    <w:rsid w:val="1B311B9B"/>
    <w:rsid w:val="1B344A63"/>
    <w:rsid w:val="1C506DF4"/>
    <w:rsid w:val="1E1853FD"/>
    <w:rsid w:val="20FF72E4"/>
    <w:rsid w:val="21656437"/>
    <w:rsid w:val="218F2ADA"/>
    <w:rsid w:val="22611BDF"/>
    <w:rsid w:val="27151281"/>
    <w:rsid w:val="27282BDC"/>
    <w:rsid w:val="2F032DDC"/>
    <w:rsid w:val="2F784E49"/>
    <w:rsid w:val="302350E0"/>
    <w:rsid w:val="30690C0A"/>
    <w:rsid w:val="323A7093"/>
    <w:rsid w:val="345838B0"/>
    <w:rsid w:val="353848E0"/>
    <w:rsid w:val="35F85205"/>
    <w:rsid w:val="36CD4298"/>
    <w:rsid w:val="380D4E03"/>
    <w:rsid w:val="462036D5"/>
    <w:rsid w:val="491D34D6"/>
    <w:rsid w:val="4BBB2AC9"/>
    <w:rsid w:val="4CD15571"/>
    <w:rsid w:val="4E97388F"/>
    <w:rsid w:val="52076DFC"/>
    <w:rsid w:val="534E0127"/>
    <w:rsid w:val="57673376"/>
    <w:rsid w:val="586E3B87"/>
    <w:rsid w:val="59177E16"/>
    <w:rsid w:val="5B2D69E7"/>
    <w:rsid w:val="5DD45B36"/>
    <w:rsid w:val="5E67040C"/>
    <w:rsid w:val="5FE1582B"/>
    <w:rsid w:val="6AD225BB"/>
    <w:rsid w:val="75652D44"/>
    <w:rsid w:val="77BC17CF"/>
    <w:rsid w:val="77F074BA"/>
    <w:rsid w:val="77F27AD4"/>
    <w:rsid w:val="78224365"/>
    <w:rsid w:val="79552DD1"/>
    <w:rsid w:val="7B9C1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35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unhideWhenUsed/>
    <w:qFormat/>
    <w:uiPriority w:val="35"/>
    <w:rPr>
      <w:rFonts w:eastAsia="黑体" w:asciiTheme="majorHAnsi" w:hAnsiTheme="majorHAnsi" w:cstheme="majorBidi"/>
      <w:sz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5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</Company>
  <Pages>4</Pages>
  <Words>1218</Words>
  <Characters>1241</Characters>
  <Lines>17</Lines>
  <Paragraphs>4</Paragraphs>
  <TotalTime>185</TotalTime>
  <ScaleCrop>false</ScaleCrop>
  <LinksUpToDate>false</LinksUpToDate>
  <CharactersWithSpaces>1241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2021-01-04T09:29:00Z</dcterms:created>
  <dc:creator>Administrator</dc:creator>
  <cp:lastModifiedBy>Administrator</cp:lastModifiedBy>
  <cp:lastPrinted>2022-01-25T03:40:00Z</cp:lastPrinted>
  <dcterms:modified xsi:type="dcterms:W3CDTF">2025-01-21T09:06:31Z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72B8367FABED48EFAD465F76FCE15C01_13</vt:lpwstr>
  </property>
  <property fmtid="{D5CDD505-2E9C-101B-9397-08002B2CF9AE}" pid="4" name="KSOTemplateDocerSaveRecord">
    <vt:lpwstr>eyJoZGlkIjoiMjk5OGY1N2QxMDhmMTRmNzc5NGQxODEyMjZkN2FmOGQifQ==</vt:lpwstr>
  </property>
</Properties>
</file>