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660" w:lineRule="exact"/>
        <w:jc w:val="center"/>
        <w:rPr>
          <w:rFonts w:ascii="宋体" w:eastAsia="宋体" w:cs="宋体" w:hAnsi="宋体"/>
          <w:b/>
          <w:sz w:val="44"/>
          <w:szCs w:val="44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660" w:lineRule="exact"/>
        <w:jc w:val="center"/>
        <w:rPr>
          <w:rFonts w:ascii="宋体" w:eastAsia="宋体" w:cs="宋体" w:hAnsi="宋体" w:hint="eastAsia"/>
          <w:b/>
          <w:sz w:val="44"/>
          <w:szCs w:val="44"/>
          <w:lang w:val="en-US" w:eastAsia="zh-CN" w:bidi="ar-SA"/>
        </w:rPr>
      </w:pPr>
      <w:r>
        <w:rPr>
          <w:rFonts w:ascii="宋体" w:eastAsia="宋体" w:cs="宋体" w:hAnsi="宋体" w:hint="eastAsia"/>
          <w:b/>
          <w:sz w:val="44"/>
          <w:szCs w:val="44"/>
          <w:lang w:val="en-US" w:eastAsia="zh-CN" w:bidi="ar-SA"/>
        </w:rPr>
        <w:t>秦皇岛市抚宁区交通运输局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660" w:lineRule="exact"/>
        <w:jc w:val="center"/>
        <w:rPr>
          <w:rFonts w:ascii="宋体" w:eastAsia="宋体" w:cs="宋体" w:hAnsi="宋体" w:hint="eastAsia"/>
          <w:b/>
          <w:snapToGrid w:val="0"/>
          <w:spacing w:val="-4"/>
          <w:sz w:val="44"/>
          <w:szCs w:val="44"/>
          <w:lang w:eastAsia="zh-CN" w:bidi="ar-SA"/>
        </w:rPr>
      </w:pPr>
      <w:r>
        <w:rPr>
          <w:rFonts w:ascii="宋体" w:eastAsia="宋体" w:cs="宋体" w:hAnsi="宋体" w:hint="eastAsia"/>
          <w:b/>
          <w:snapToGrid w:val="0"/>
          <w:spacing w:val="-4"/>
          <w:sz w:val="44"/>
          <w:szCs w:val="44"/>
          <w:lang w:eastAsia="zh-CN" w:bidi="ar-SA"/>
        </w:rPr>
        <w:t>关于印发《</w:t>
      </w:r>
      <w:r>
        <w:rPr>
          <w:rFonts w:ascii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2025年度</w:t>
      </w:r>
      <w:r>
        <w:rPr>
          <w:rFonts w:ascii="宋体" w:cs="宋体" w:hAnsi="宋体"/>
          <w:b/>
          <w:bCs/>
          <w:i w:val="0"/>
          <w:iCs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道路</w:t>
      </w:r>
      <w:r>
        <w:rPr>
          <w:rFonts w:ascii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运输行业行政执法检查计划</w:t>
      </w:r>
      <w:r>
        <w:rPr>
          <w:rFonts w:ascii="宋体" w:eastAsia="宋体" w:cs="宋体" w:hAnsi="宋体" w:hint="eastAsia"/>
          <w:b/>
          <w:snapToGrid w:val="0"/>
          <w:spacing w:val="-4"/>
          <w:sz w:val="44"/>
          <w:szCs w:val="44"/>
          <w:lang w:eastAsia="zh-CN" w:bidi="ar-SA"/>
        </w:rPr>
        <w:t>》的通知</w:t>
      </w:r>
    </w:p>
    <w:p>
      <w:pPr>
        <w:spacing w:line="560" w:lineRule="exact"/>
        <w:rPr>
          <w:rFonts w:ascii="方正小标宋简体" w:eastAsia="方正小标宋简体" w:hAnsi="方正小标宋简体" w:hint="eastAsia"/>
          <w:b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rPr>
          <w:rFonts w:ascii="仿宋" w:eastAsia="仿宋" w:cs="仿宋" w:hAnsi="仿宋" w:hint="eastAsia"/>
          <w:sz w:val="32"/>
          <w:szCs w:val="32"/>
          <w:lang w:eastAsia="zh-CN" w:bidi="ar-SA"/>
        </w:rPr>
      </w:pPr>
      <w:r>
        <w:rPr>
          <w:rFonts w:ascii="仿宋" w:eastAsia="仿宋" w:cs="仿宋" w:hAnsi="仿宋" w:hint="eastAsia"/>
          <w:sz w:val="32"/>
          <w:szCs w:val="32"/>
          <w:lang w:eastAsia="zh-CN" w:bidi="ar-SA"/>
        </w:rPr>
        <w:t>执法</w:t>
      </w:r>
      <w:r>
        <w:rPr>
          <w:rFonts w:ascii="仿宋" w:eastAsia="仿宋" w:cs="仿宋" w:hAnsi="仿宋"/>
          <w:sz w:val="32"/>
          <w:szCs w:val="32"/>
          <w:lang w:eastAsia="zh-CN" w:bidi="ar-SA"/>
        </w:rPr>
        <w:t>大队各相关执法</w:t>
      </w:r>
      <w:r>
        <w:rPr>
          <w:rFonts w:ascii="仿宋" w:eastAsia="仿宋" w:cs="仿宋" w:hAnsi="仿宋" w:hint="eastAsia"/>
          <w:sz w:val="32"/>
          <w:szCs w:val="32"/>
          <w:lang w:val="en-US" w:eastAsia="zh-CN" w:bidi="ar-SA"/>
        </w:rPr>
        <w:t>中</w:t>
      </w:r>
      <w:r>
        <w:rPr>
          <w:rFonts w:ascii="仿宋" w:eastAsia="仿宋" w:cs="仿宋" w:hAnsi="仿宋" w:hint="eastAsia"/>
          <w:sz w:val="32"/>
          <w:szCs w:val="32"/>
          <w:lang w:eastAsia="zh-CN" w:bidi="ar-SA"/>
        </w:rPr>
        <w:t>队：</w:t>
      </w:r>
    </w:p>
    <w:p>
      <w:pPr>
        <w:ind w:firstLineChars="200" w:firstLine="640"/>
        <w:rPr>
          <w:rFonts w:ascii="仿宋" w:eastAsia="仿宋" w:cs="仿宋" w:hAnsi="仿宋" w:hint="eastAsia"/>
          <w:sz w:val="32"/>
          <w:szCs w:val="32"/>
          <w:lang w:eastAsia="zh-CN" w:bidi="ar-SA"/>
        </w:rPr>
      </w:pPr>
      <w:r>
        <w:rPr>
          <w:rFonts w:ascii="仿宋" w:eastAsia="仿宋" w:cs="仿宋" w:hAnsi="仿宋" w:hint="eastAsia"/>
          <w:sz w:val="32"/>
          <w:szCs w:val="32"/>
          <w:lang w:eastAsia="zh-CN" w:bidi="ar-SA"/>
        </w:rPr>
        <w:t>现将《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2025年度</w:t>
      </w:r>
      <w:r>
        <w:rPr>
          <w:rFonts w:ascii="仿宋" w:eastAsia="仿宋" w:cs="仿宋" w:hAnsi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道路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运输行业行政执法检查计划</w:t>
      </w:r>
      <w:r>
        <w:rPr>
          <w:rFonts w:ascii="仿宋" w:eastAsia="仿宋" w:cs="仿宋" w:hAnsi="仿宋" w:hint="eastAsia"/>
          <w:sz w:val="32"/>
          <w:szCs w:val="32"/>
          <w:lang w:eastAsia="zh-CN" w:bidi="ar-SA"/>
        </w:rPr>
        <w:t>》印发给你们，请结合</w:t>
      </w:r>
      <w:r>
        <w:rPr>
          <w:rFonts w:ascii="仿宋" w:eastAsia="仿宋" w:cs="仿宋" w:hAnsi="仿宋" w:hint="eastAsia"/>
          <w:sz w:val="32"/>
          <w:szCs w:val="32"/>
          <w:lang w:val="en-US" w:eastAsia="zh-CN" w:bidi="ar-SA"/>
        </w:rPr>
        <w:t>工作</w:t>
      </w:r>
      <w:r>
        <w:rPr>
          <w:rFonts w:ascii="仿宋" w:eastAsia="仿宋" w:cs="仿宋" w:hAnsi="仿宋" w:hint="eastAsia"/>
          <w:sz w:val="32"/>
          <w:szCs w:val="32"/>
          <w:lang w:eastAsia="zh-CN" w:bidi="ar-SA"/>
        </w:rPr>
        <w:t>实际，认真组织实施。</w:t>
      </w:r>
    </w:p>
    <w:p>
      <w:pPr>
        <w:rPr>
          <w:rFonts w:ascii="仿宋" w:eastAsia="仿宋" w:cs="仿宋" w:hAnsi="仿宋" w:hint="eastAsia"/>
          <w:sz w:val="32"/>
          <w:szCs w:val="32"/>
          <w:lang w:eastAsia="zh-CN" w:bidi="ar-SA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left="1280" w:hangingChars="400" w:hanging="1280"/>
        <w:jc w:val="left"/>
        <w:rPr>
          <w:rFonts w:ascii="仿宋_GB2312" w:eastAsia="仿宋_GB2312" w:cs="仿宋_GB2312" w:hint="eastAsia"/>
          <w:b/>
          <w:bCs/>
          <w:color w:val="333333"/>
          <w:sz w:val="40"/>
          <w:szCs w:val="40"/>
          <w:shd w:val="clear" w:color="auto" w:fill="FFFFFF"/>
        </w:rPr>
      </w:pPr>
      <w:r>
        <w:rPr>
          <w:rFonts w:ascii="仿宋" w:eastAsia="仿宋" w:cs="仿宋" w:hAnsi="仿宋" w:hint="eastAsia"/>
          <w:sz w:val="32"/>
          <w:szCs w:val="32"/>
          <w:lang w:eastAsia="zh-CN" w:bidi="ar-SA"/>
        </w:rPr>
        <w:t>附件：1</w:t>
      </w:r>
      <w:r>
        <w:rPr>
          <w:rFonts w:ascii="仿宋" w:eastAsia="仿宋" w:cs="仿宋" w:hAnsi="仿宋" w:hint="eastAsia"/>
          <w:sz w:val="32"/>
          <w:szCs w:val="32"/>
          <w:lang w:val="en-US" w:eastAsia="zh-CN" w:bidi="ar-SA"/>
        </w:rPr>
        <w:t>.</w:t>
      </w:r>
      <w:r>
        <w:rPr>
          <w:rFonts w:ascii="仿宋" w:eastAsia="仿宋" w:cs="仿宋" w:hAnsi="仿宋" w:hint="eastAsia"/>
          <w:sz w:val="32"/>
          <w:szCs w:val="32"/>
          <w:lang w:eastAsia="zh-CN" w:bidi="ar-SA"/>
        </w:rPr>
        <w:t>秦皇岛市抚宁区交通运输局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2025年度道路运输行业行政执法检查计划</w:t>
      </w:r>
    </w:p>
    <w:p>
      <w:pPr>
        <w:ind w:leftChars="760" w:left="1916" w:hangingChars="100" w:hanging="320"/>
        <w:rPr>
          <w:rFonts w:ascii="仿宋" w:eastAsia="仿宋" w:cs="仿宋" w:hAnsi="仿宋" w:hint="eastAsia"/>
          <w:sz w:val="32"/>
          <w:szCs w:val="32"/>
          <w:lang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ind w:right="156"/>
        <w:jc w:val="right"/>
        <w:rPr>
          <w:rFonts w:ascii="仿宋_GB2312" w:eastAsia="仿宋_GB2312" w:cs="仿宋_GB2312" w:hAnsi="仿宋_GB2312" w:hint="eastAsia"/>
          <w:spacing w:val="-4"/>
          <w:sz w:val="32"/>
          <w:szCs w:val="32"/>
          <w:lang w:val="en-US" w:eastAsia="zh-CN" w:bidi="ar-SA"/>
        </w:rPr>
      </w:pPr>
      <w:r>
        <w:rPr>
          <w:rFonts w:ascii="仿宋_GB2312" w:eastAsia="仿宋_GB2312" w:cs="仿宋_GB2312" w:hAnsi="仿宋_GB2312" w:hint="eastAsia"/>
          <w:spacing w:val="-4"/>
          <w:sz w:val="32"/>
          <w:szCs w:val="32"/>
          <w:lang w:val="en-US" w:eastAsia="zh-CN" w:bidi="ar-SA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ind w:right="156"/>
        <w:jc w:val="right"/>
        <w:rPr>
          <w:rFonts w:ascii="仿宋_GB2312" w:eastAsia="仿宋_GB2312" w:cs="仿宋_GB2312" w:hAnsi="仿宋_GB2312" w:hint="eastAsia"/>
          <w:spacing w:val="-4"/>
          <w:sz w:val="32"/>
          <w:szCs w:val="32"/>
          <w:lang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ind w:right="156"/>
        <w:jc w:val="right"/>
        <w:rPr>
          <w:rFonts w:ascii="仿宋_GB2312" w:eastAsia="仿宋_GB2312" w:cs="仿宋_GB2312" w:hAnsi="仿宋_GB2312" w:hint="eastAsia"/>
          <w:spacing w:val="-4"/>
          <w:sz w:val="32"/>
          <w:szCs w:val="32"/>
          <w:lang w:eastAsia="zh-CN" w:bidi="ar-SA"/>
        </w:rPr>
      </w:pPr>
      <w:r>
        <w:rPr>
          <w:rFonts w:ascii="仿宋_GB2312" w:eastAsia="仿宋_GB2312" w:cs="仿宋_GB2312" w:hAnsi="仿宋_GB2312" w:hint="eastAsia"/>
          <w:spacing w:val="-4"/>
          <w:sz w:val="32"/>
          <w:szCs w:val="32"/>
          <w:lang w:eastAsia="zh-CN" w:bidi="ar-SA"/>
        </w:rPr>
        <w:t>秦皇岛市抚宁区交通运输局</w:t>
      </w:r>
    </w:p>
    <w:p>
      <w:pPr>
        <w:keepNext w:val="0"/>
        <w:keepLines w:val="0"/>
        <w:pageBreakBefore w:val="0"/>
        <w:widowControl w:val="0"/>
        <w:tabs>
          <w:tab w:val="left" w:pos="8190"/>
        </w:tabs>
        <w:kinsoku/>
        <w:wordWrap/>
        <w:overflowPunct/>
        <w:topLinePunct w:val="0"/>
        <w:autoSpaceDE/>
        <w:autoSpaceDN/>
        <w:ind w:right="624" w:firstLineChars="900" w:firstLine="2808"/>
        <w:jc w:val="center"/>
        <w:rPr>
          <w:rFonts w:ascii="仿宋_GB2312" w:eastAsia="仿宋_GB2312" w:cs="仿宋_GB2312" w:hAnsi="仿宋_GB2312" w:hint="eastAsia"/>
          <w:spacing w:val="-4"/>
          <w:sz w:val="32"/>
          <w:szCs w:val="32"/>
          <w:lang w:eastAsia="zh-CN" w:bidi="ar-SA"/>
        </w:rPr>
      </w:pPr>
      <w:r>
        <w:rPr>
          <w:rFonts w:ascii="仿宋_GB2312" w:eastAsia="仿宋_GB2312" w:cs="仿宋_GB2312" w:hAnsi="仿宋_GB2312" w:hint="eastAsia"/>
          <w:spacing w:val="-4"/>
          <w:sz w:val="32"/>
          <w:szCs w:val="32"/>
          <w:lang w:val="en-US" w:eastAsia="zh-CN" w:bidi="ar-SA"/>
        </w:rPr>
        <w:t xml:space="preserve">                  </w:t>
      </w:r>
      <w:r>
        <w:rPr>
          <w:rFonts w:ascii="仿宋_GB2312" w:eastAsia="仿宋_GB2312" w:cs="仿宋_GB2312" w:hAnsi="仿宋_GB2312" w:hint="eastAsia"/>
          <w:spacing w:val="-4"/>
          <w:sz w:val="32"/>
          <w:szCs w:val="32"/>
          <w:lang w:eastAsia="zh-CN" w:bidi="ar-SA"/>
        </w:rPr>
        <w:t>202</w:t>
      </w:r>
      <w:r>
        <w:rPr>
          <w:rFonts w:ascii="仿宋_GB2312" w:eastAsia="仿宋_GB2312" w:cs="仿宋_GB2312" w:hAnsi="仿宋_GB2312" w:hint="eastAsia"/>
          <w:spacing w:val="-4"/>
          <w:sz w:val="32"/>
          <w:szCs w:val="32"/>
          <w:lang w:val="en-US" w:eastAsia="zh-CN" w:bidi="ar-SA"/>
        </w:rPr>
        <w:t>5</w:t>
      </w:r>
      <w:r>
        <w:rPr>
          <w:rFonts w:ascii="仿宋_GB2312" w:eastAsia="仿宋_GB2312" w:cs="仿宋_GB2312" w:hAnsi="仿宋_GB2312" w:hint="eastAsia"/>
          <w:spacing w:val="-4"/>
          <w:sz w:val="32"/>
          <w:szCs w:val="32"/>
          <w:lang w:eastAsia="zh-CN" w:bidi="ar-SA"/>
        </w:rPr>
        <w:t>年1月</w:t>
      </w:r>
      <w:r>
        <w:rPr>
          <w:rFonts w:ascii="仿宋_GB2312" w:eastAsia="仿宋_GB2312" w:cs="仿宋_GB2312" w:hAnsi="仿宋_GB2312" w:hint="eastAsia"/>
          <w:spacing w:val="-4"/>
          <w:sz w:val="32"/>
          <w:szCs w:val="32"/>
          <w:lang w:val="en-US" w:eastAsia="zh-CN" w:bidi="ar-SA"/>
        </w:rPr>
        <w:t>24</w:t>
      </w:r>
      <w:r>
        <w:rPr>
          <w:rFonts w:ascii="仿宋_GB2312" w:eastAsia="仿宋_GB2312" w:cs="仿宋_GB2312" w:hAnsi="仿宋_GB2312" w:hint="eastAsia"/>
          <w:spacing w:val="-4"/>
          <w:sz w:val="32"/>
          <w:szCs w:val="32"/>
          <w:lang w:eastAsia="zh-CN" w:bidi="ar-SA"/>
        </w:rPr>
        <w:t>日</w:t>
      </w:r>
    </w:p>
    <w:p>
      <w:pPr>
        <w:spacing w:line="560" w:lineRule="exact"/>
        <w:rPr>
          <w:rFonts w:ascii="仿宋_GB2312" w:eastAsia="仿宋_GB2312" w:cs="黑体" w:hAnsi="仿宋_GB2312" w:hint="eastAsia"/>
          <w:spacing w:val="-4"/>
          <w:sz w:val="32"/>
          <w:szCs w:val="32"/>
          <w:lang w:eastAsia="zh-CN" w:bidi="ar-SA"/>
        </w:rPr>
      </w:pPr>
    </w:p>
    <w:p>
      <w:pPr>
        <w:spacing w:line="560" w:lineRule="exact"/>
        <w:rPr>
          <w:rFonts w:ascii="黑体" w:eastAsia="黑体" w:cs="黑体" w:hAnsi="黑体" w:hint="eastAsia"/>
          <w:spacing w:val="-4"/>
          <w:sz w:val="32"/>
          <w:szCs w:val="32"/>
          <w:lang w:eastAsia="zh-CN" w:bidi="ar-SA"/>
        </w:rPr>
        <w:sectPr>
          <w:footerReference w:type="default" r:id="rId2"/>
          <w:pgSz w:w="11906" w:h="16838"/>
          <w:pgMar w:top="2098" w:right="1474" w:bottom="1984" w:left="1588" w:header="851" w:footer="992" w:gutter="0"/>
          <w:cols w:num="1" w:space="720"/>
          <w:docGrid w:type="lines" w:linePitch="312" w:charSpace="0"/>
        </w:sectPr>
      </w:pPr>
    </w:p>
    <w:p>
      <w:pPr>
        <w:spacing w:line="560" w:lineRule="exact"/>
        <w:rPr>
          <w:rFonts w:ascii="黑体" w:eastAsia="黑体" w:cs="黑体" w:hAnsi="黑体" w:hint="eastAsia"/>
          <w:spacing w:val="-4"/>
          <w:sz w:val="32"/>
          <w:szCs w:val="32"/>
          <w:lang w:eastAsia="zh-CN" w:bidi="ar-SA"/>
        </w:rPr>
      </w:pPr>
      <w:r>
        <w:rPr>
          <w:rFonts w:ascii="黑体" w:eastAsia="黑体" w:cs="黑体" w:hAnsi="黑体" w:hint="eastAsia"/>
          <w:spacing w:val="-4"/>
          <w:sz w:val="32"/>
          <w:szCs w:val="32"/>
          <w:lang w:eastAsia="zh-CN" w:bidi="ar-SA"/>
        </w:rPr>
        <w:t>附件1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right="0"/>
        <w:jc w:val="center"/>
        <w:rPr>
          <w:rFonts w:ascii="仿宋_GB2312" w:eastAsia="仿宋_GB2312" w:cs="仿宋_GB2312"/>
          <w:b/>
          <w:bCs/>
          <w:i w:val="0"/>
          <w:iCs w:val="0"/>
          <w:caps w:val="0"/>
          <w:smallCaps w:val="0"/>
          <w:color w:val="333333"/>
          <w:spacing w:val="0"/>
          <w:sz w:val="40"/>
          <w:szCs w:val="40"/>
          <w:shd w:val="clear" w:color="auto" w:fill="FFFFFF"/>
          <w:lang w:val="en-US" w:eastAsia="zh-CN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right="0"/>
        <w:jc w:val="center"/>
        <w:rPr>
          <w:rFonts w:ascii="仿宋_GB2312" w:eastAsia="仿宋_GB2312" w:cs="仿宋_GB2312"/>
          <w:b/>
          <w:bCs/>
          <w:i w:val="0"/>
          <w:iCs w:val="0"/>
          <w:caps w:val="0"/>
          <w:smallCaps w:val="0"/>
          <w:color w:val="333333"/>
          <w:spacing w:val="0"/>
          <w:sz w:val="40"/>
          <w:szCs w:val="40"/>
          <w:shd w:val="clear" w:color="auto" w:fill="FFFFFF"/>
          <w:lang w:val="en-US" w:eastAsia="zh-CN"/>
        </w:rPr>
      </w:pPr>
      <w:r>
        <w:rPr>
          <w:rFonts w:ascii="仿宋_GB2312" w:eastAsia="仿宋_GB2312" w:cs="仿宋_GB2312" w:hint="eastAsia"/>
          <w:b/>
          <w:bCs/>
          <w:i w:val="0"/>
          <w:iCs w:val="0"/>
          <w:caps w:val="0"/>
          <w:smallCaps w:val="0"/>
          <w:color w:val="333333"/>
          <w:spacing w:val="0"/>
          <w:sz w:val="40"/>
          <w:szCs w:val="40"/>
          <w:shd w:val="clear" w:color="auto" w:fill="FFFFFF"/>
          <w:lang w:val="en-US" w:eastAsia="zh-CN"/>
        </w:rPr>
        <w:t>秦皇岛市抚宁区</w:t>
      </w:r>
      <w:r>
        <w:rPr>
          <w:rFonts w:ascii="仿宋_GB2312" w:eastAsia="仿宋_GB2312" w:cs="仿宋_GB2312"/>
          <w:b/>
          <w:bCs/>
          <w:i w:val="0"/>
          <w:iCs w:val="0"/>
          <w:caps w:val="0"/>
          <w:smallCaps w:val="0"/>
          <w:color w:val="333333"/>
          <w:spacing w:val="0"/>
          <w:sz w:val="40"/>
          <w:szCs w:val="40"/>
          <w:shd w:val="clear" w:color="auto" w:fill="FFFFFF"/>
          <w:lang w:val="en-US" w:eastAsia="zh-CN"/>
        </w:rPr>
        <w:t>交通运输局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right="0"/>
        <w:jc w:val="center"/>
        <w:rPr>
          <w:rFonts w:ascii="仿宋_GB2312" w:eastAsia="仿宋_GB2312" w:cs="仿宋_GB2312"/>
          <w:b/>
          <w:bCs/>
          <w:i w:val="0"/>
          <w:iCs w:val="0"/>
          <w:caps w:val="0"/>
          <w:smallCaps w:val="0"/>
          <w:color w:val="333333"/>
          <w:spacing w:val="0"/>
          <w:sz w:val="40"/>
          <w:szCs w:val="40"/>
          <w:shd w:val="clear" w:color="auto" w:fill="FFFFFF"/>
          <w:lang w:val="en-US" w:eastAsia="zh-CN"/>
        </w:rPr>
      </w:pPr>
      <w:r>
        <w:rPr>
          <w:rFonts w:ascii="仿宋_GB2312" w:eastAsia="仿宋_GB2312" w:cs="仿宋_GB2312" w:hint="eastAsia"/>
          <w:b/>
          <w:bCs/>
          <w:i w:val="0"/>
          <w:iCs w:val="0"/>
          <w:caps w:val="0"/>
          <w:smallCaps w:val="0"/>
          <w:color w:val="333333"/>
          <w:spacing w:val="0"/>
          <w:sz w:val="40"/>
          <w:szCs w:val="40"/>
          <w:shd w:val="clear" w:color="auto" w:fill="FFFFFF"/>
          <w:lang w:val="en-US" w:eastAsia="zh-CN"/>
        </w:rPr>
        <w:t>2025年度</w:t>
      </w:r>
      <w:r>
        <w:rPr>
          <w:rFonts w:ascii="仿宋_GB2312" w:eastAsia="仿宋_GB2312" w:cs="仿宋_GB2312"/>
          <w:b/>
          <w:bCs/>
          <w:i w:val="0"/>
          <w:iCs w:val="0"/>
          <w:caps w:val="0"/>
          <w:smallCaps w:val="0"/>
          <w:color w:val="333333"/>
          <w:spacing w:val="0"/>
          <w:sz w:val="40"/>
          <w:szCs w:val="40"/>
          <w:shd w:val="clear" w:color="auto" w:fill="FFFFFF"/>
          <w:lang w:val="en-US" w:eastAsia="zh-CN"/>
        </w:rPr>
        <w:t>道路运输行业行政</w:t>
      </w:r>
      <w:r>
        <w:rPr>
          <w:rFonts w:ascii="仿宋_GB2312" w:eastAsia="仿宋_GB2312" w:cs="仿宋_GB2312" w:hint="eastAsia"/>
          <w:b/>
          <w:bCs/>
          <w:i w:val="0"/>
          <w:iCs w:val="0"/>
          <w:caps w:val="0"/>
          <w:smallCaps w:val="0"/>
          <w:color w:val="333333"/>
          <w:spacing w:val="0"/>
          <w:sz w:val="40"/>
          <w:szCs w:val="40"/>
          <w:shd w:val="clear" w:color="auto" w:fill="FFFFFF"/>
          <w:lang w:val="en-US" w:eastAsia="zh-CN"/>
        </w:rPr>
        <w:t>执法检查计划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right="0" w:firstLineChars="200" w:firstLine="620"/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</w:rPr>
      </w:pP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为依法维护道路运输市场运行秩序、强化事中事后监管、推动道路运输企业落实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安全生产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主体责任，根据《中华人民共和国安全生产法》《中华人民共和国道路运输条例》《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河北省安全生产条例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》等法律法规规章，结合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抚宁区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交通运输执法实际，制定本计划。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right="0" w:firstLineChars="200" w:firstLine="620"/>
        <w:rPr>
          <w:rFonts w:ascii="仿宋_GB2312" w:eastAsia="仿宋_GB2312" w:cs="仿宋_GB2312"/>
          <w:b/>
          <w:bCs/>
          <w:i w:val="0"/>
          <w:iCs w:val="0"/>
          <w:caps w:val="0"/>
          <w:smallCaps w:val="0"/>
          <w:color w:val="333333"/>
          <w:spacing w:val="0"/>
          <w:sz w:val="31"/>
          <w:szCs w:val="31"/>
        </w:rPr>
      </w:pPr>
      <w:r>
        <w:rPr>
          <w:rFonts w:ascii="仿宋_GB2312" w:eastAsia="仿宋_GB2312" w:cs="仿宋_GB2312"/>
          <w:b/>
          <w:bCs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一、指导思想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right="0" w:firstLineChars="200" w:firstLine="620"/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</w:rPr>
      </w:pP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坚持以习近平新时代中国特色社会主义思想为指导，深入学习贯彻习近平法治思想和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习近平总书记关于安全生产的重要论述和重要指示批示精神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，全面贯彻党的二十大精神。坚持“安全第一、预防为主、综合治理”方针，坚持问题导向，压实安全责任，规范道路运输市场经营行为。加强重大事故隐患排查整治，着力防范化解重大风险，有效维护交通运输市场秩序，提升治理能力和治理水平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right="0" w:firstLineChars="200" w:firstLine="620"/>
        <w:rPr>
          <w:rFonts w:ascii="仿宋_GB2312" w:eastAsia="仿宋_GB2312" w:cs="仿宋_GB2312"/>
          <w:b/>
          <w:bCs/>
          <w:i w:val="0"/>
          <w:iCs w:val="0"/>
          <w:caps w:val="0"/>
          <w:smallCaps w:val="0"/>
          <w:color w:val="333333"/>
          <w:spacing w:val="0"/>
          <w:sz w:val="31"/>
          <w:szCs w:val="31"/>
        </w:rPr>
      </w:pPr>
      <w:r>
        <w:rPr>
          <w:rFonts w:ascii="仿宋_GB2312" w:eastAsia="仿宋_GB2312" w:cs="仿宋_GB2312"/>
          <w:b/>
          <w:bCs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二、工作目标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right="0" w:firstLineChars="200" w:firstLine="620"/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</w:rPr>
      </w:pP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紧紧围绕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区交通运输局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工作部署和全区交通运输综合执法要求，以提升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道路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运输行政执法质量为主线，以推进《安全生产治本攻坚三年行动》为载体，以打造现代交通执法体系为抓手，充分运用“预防、日常、专项、重点、信用”五种监管手段，对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道路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旅客运输、货物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运输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、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驾驶员培训、机动车维修企业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及其他道路运输相关行业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依法依规开展行政检查、行政强制、行政处罚，推动企业落实主体责任，维护从业人员合法权益，构建公平有序的信用交通环境，为全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区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交通运输高质量发展提供法治保障。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right="0" w:firstLineChars="200" w:firstLine="620"/>
        <w:rPr>
          <w:rFonts w:ascii="仿宋_GB2312" w:eastAsia="仿宋_GB2312" w:cs="仿宋_GB2312"/>
          <w:b/>
          <w:bCs/>
          <w:i w:val="0"/>
          <w:iCs w:val="0"/>
          <w:caps w:val="0"/>
          <w:smallCaps w:val="0"/>
          <w:color w:val="333333"/>
          <w:spacing w:val="0"/>
          <w:sz w:val="31"/>
          <w:szCs w:val="31"/>
        </w:rPr>
      </w:pPr>
      <w:r>
        <w:rPr>
          <w:rFonts w:ascii="仿宋_GB2312" w:eastAsia="仿宋_GB2312" w:cs="仿宋_GB2312"/>
          <w:b/>
          <w:bCs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三、道路运输企业主体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right="0" w:firstLineChars="200" w:firstLine="620"/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</w:rPr>
      </w:pP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辖区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现有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道路旅客运输企业3家，驾驶员培训企业5家，机动车维修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备案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企业77家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、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道路危险货物运输企业3家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、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50辆以上道路普通货物运输企业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1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家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、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中小微道路普通货物运输企业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162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家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及其他道路运输相关经营主体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right="0" w:firstLineChars="200" w:firstLine="620"/>
        <w:rPr>
          <w:rFonts w:ascii="仿宋_GB2312" w:eastAsia="仿宋_GB2312" w:cs="仿宋_GB2312"/>
          <w:b/>
          <w:bCs/>
          <w:i w:val="0"/>
          <w:iCs w:val="0"/>
          <w:caps w:val="0"/>
          <w:smallCaps w:val="0"/>
          <w:color w:val="333333"/>
          <w:spacing w:val="0"/>
          <w:sz w:val="31"/>
          <w:szCs w:val="31"/>
        </w:rPr>
      </w:pPr>
      <w:r>
        <w:rPr>
          <w:rFonts w:ascii="仿宋_GB2312" w:eastAsia="仿宋_GB2312" w:cs="仿宋_GB2312"/>
          <w:b/>
          <w:bCs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四、重点工作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left="0" w:right="0" w:firstLine="420"/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</w:rPr>
      </w:pP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（一）加强道路运输市场执法监管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right="0" w:firstLineChars="200" w:firstLine="620"/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</w:rPr>
      </w:pP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1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eastAsia="zh-CN"/>
        </w:rPr>
        <w:t>、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道路危货运输执法监管。开展危货运输企业执法检查，督促企业落实安全生产主体责任，“两类人员”持证上岗。加强从业人员培训学习教育，加强车辆技术状况排查，强化车辆动态监控，电子运单使用。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right="0" w:firstLineChars="200" w:firstLine="620"/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</w:pP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eastAsia="zh-CN"/>
        </w:rPr>
        <w:t>、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道路普货运输执法监管。督促企业落实安全生产主体责任，加强驾驶员培训学习教育，加强车辆技术状况排查，强化车辆动态监控。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firstLineChars="200" w:firstLine="620"/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</w:rPr>
      </w:pP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3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eastAsia="zh-CN"/>
        </w:rPr>
        <w:t>、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道路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旅客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运输执法监管。开展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客运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企业执法检查，督促企业落实安全生产主体责任，“两类人员”持证上岗。加强从业人员培训学习教育，加强车辆技术状况排查，强化车辆动态监控。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firstLineChars="200" w:firstLine="620"/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</w:pP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4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eastAsia="zh-CN"/>
        </w:rPr>
        <w:t>、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机动车驾驶员培训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行业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执法监管。督促企业落实安全生产主体责任，加强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管理学员档案的建立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，加强车辆技术状况排查，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严格要求企业按照教学大纲培训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firstLineChars="200" w:firstLine="620"/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</w:pP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5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、机动车维修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行业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执法监管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eastAsia="zh-CN"/>
        </w:rPr>
        <w:t>。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督促企业落实安全生产主体责任，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加强维修企业经营行为的管理，严格按照备案经营业务开展经营。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firstLineChars="200" w:firstLine="620"/>
        <w:rPr>
          <w:rFonts w:ascii="仿宋_GB2312" w:eastAsia="仿宋_GB2312" w:cs="仿宋_GB2312" w:hint="eastAsia"/>
          <w:color w:val="333333"/>
          <w:sz w:val="31"/>
          <w:szCs w:val="31"/>
          <w:shd w:val="clear" w:color="auto" w:fill="FFFFFF"/>
        </w:rPr>
      </w:pP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6、其他道路运输相关行业执法监管。依法严厉打击超限超载、巡游出租、网络预约出租及汽车租赁等道路运输相关路面违法行为，确保道路运输行业平稳有序。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right="0" w:firstLineChars="200" w:firstLine="620"/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</w:pP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eastAsia="zh-CN"/>
        </w:rPr>
        <w:t>（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二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eastAsia="zh-CN"/>
        </w:rPr>
        <w:t>）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检查频次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right="0" w:firstLineChars="200" w:firstLine="620"/>
        <w:jc w:val="left"/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</w:pP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对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道路危险货物运输企业、50辆以上道路普通货物运输企业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、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道路旅客运输企业、机动车驾驶员培训企业、二类机动车维修企业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每季度不少于1次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全覆盖的督导检查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。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对中小微道路运输企业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、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三类机动车维修企业每年不少于1次全覆盖的督导检查，每季度检查数量按照全部企业数量的25%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随机抽取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开展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，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被区跨部门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eastAsia="zh-CN"/>
        </w:rPr>
        <w:t>“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双随机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、一公开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eastAsia="zh-CN"/>
        </w:rPr>
        <w:t>”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eastAsia="zh-CN"/>
        </w:rPr>
        <w:t>抽查的企业不再列入抽查检查范围。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同时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做好“春节、两会、五一、十一”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eastAsia="zh-CN"/>
        </w:rPr>
        <w:t>、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汛期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等重要节假日和特殊时段的安全监督检查。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left="0" w:right="0" w:firstLine="420"/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</w:rPr>
      </w:pP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（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三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）加强安全生产执法监管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right="0" w:firstLineChars="200" w:firstLine="620"/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</w:rPr>
      </w:pP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交通运输领域安全生产执法监管。认真落实《中华人民共和国安全生产法》《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河北省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安全生产条例》《道路运输安全监督检查规范》《道路运输企业和城市客运企业安全生产重大事故隐患判断标准》《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河北省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道路运输条例》等法律法规规章，扎实开展《安全生产治本攻坚三年行动（2024—2026年）》，统筹抓好安全生产风险研判、执法检查、应急演练、事故处置等工作，坚决遏制重大道路运输事故发生。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right="0" w:firstLineChars="200" w:firstLine="620"/>
        <w:rPr>
          <w:rFonts w:ascii="仿宋_GB2312" w:eastAsia="仿宋_GB2312" w:cs="仿宋_GB2312"/>
          <w:b/>
          <w:bCs/>
          <w:i w:val="0"/>
          <w:iCs w:val="0"/>
          <w:caps w:val="0"/>
          <w:smallCaps w:val="0"/>
          <w:color w:val="333333"/>
          <w:spacing w:val="0"/>
          <w:sz w:val="31"/>
          <w:szCs w:val="31"/>
        </w:rPr>
      </w:pPr>
      <w:r>
        <w:rPr>
          <w:rFonts w:ascii="仿宋_GB2312" w:eastAsia="仿宋_GB2312" w:cs="仿宋_GB2312" w:hint="eastAsia"/>
          <w:b/>
          <w:bCs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五</w:t>
      </w:r>
      <w:r>
        <w:rPr>
          <w:rFonts w:ascii="仿宋_GB2312" w:eastAsia="仿宋_GB2312" w:cs="仿宋_GB2312"/>
          <w:b/>
          <w:bCs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、工作要求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right="0" w:firstLineChars="200" w:firstLine="620"/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</w:rPr>
      </w:pP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（一）提高思想认识。各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中队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执法人员要充分认识交通运输安全生产和信访维稳严峻形势，牢牢把握交通运输综合执法定位，坚持“两个至上”，压实“两个责任”，树立底线思维，守牢安全红线，严格规范公正文明执法，更好维护交通运输市场秩序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right="0" w:firstLineChars="200" w:firstLine="620"/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</w:rPr>
      </w:pP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（二）压实工作责任。各</w:t>
      </w:r>
      <w:r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中队全体人员</w:t>
      </w: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严格执行年度执法工作计划，充分运用“预防、日常、专项、重点、信用”五种监管手段，对市场主体实施分类分级精准监管。要结合工作实际，做好年度执法监督检查计划的落实。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left="0" w:right="0" w:firstLine="420"/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</w:rPr>
      </w:pP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（三）狠抓工作落实。要督促企业落实主体责任，对行政执法检查中发现的问题，督促企业立即整改，一时不能整改到位的要跟踪督办。对检查中发现的重大安全隐患问题，要及时下发安全检查整改通知书，并对整改落实情况开展“回头看”。整改后仍达不到安全标准要求的，列入信用等级分类监督管理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left="0" w:right="0" w:firstLine="420"/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</w:pP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（四）加强监督指导。要加强对执法计划落实情况的监督检查，通过年度考核、相互评比、明察暗访等不同方式，推动各项工作落实落细。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left="0" w:right="0" w:firstLine="420"/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</w:rPr>
      </w:pPr>
      <w:r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  <w:t>（五）加强信息报送。依据本执法监管计划认真抓好组织实施。工作开展中，要注重总结好的经验做法，做好宣传报道，强化舆论引导，努力推动交通执法工作再上新台阶。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left="0" w:right="0" w:firstLine="420"/>
        <w:rPr>
          <w:rFonts w:ascii="仿宋_GB2312" w:eastAsia="仿宋_GB2312" w:cs="仿宋_GB2312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420" w:lineRule="atLeast"/>
        <w:ind w:right="0"/>
        <w:rPr>
          <w:rFonts w:ascii="仿宋_GB2312" w:eastAsia="仿宋_GB2312" w:cs="仿宋_GB2312" w:hint="eastAsia"/>
          <w:i w:val="0"/>
          <w:iCs w:val="0"/>
          <w:caps w:val="0"/>
          <w:small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sectPr>
          <w:pgSz w:w="11906" w:h="16838"/>
          <w:pgMar w:top="1440" w:right="1800" w:bottom="1440" w:left="1800" w:header="851" w:footer="992" w:gutter="0"/>
          <w:cols w:num="1" w:space="425"/>
          <w:docGrid w:type="lines" w:linePitch="312" w:charSpace="0"/>
        </w:sectPr>
      </w:pPr>
      <w:bookmarkStart w:id="0" w:name="_GoBack"/>
      <w:bookmarkEnd w:id="0"/>
    </w:p>
    <w:p>
      <w:pPr>
        <w:jc w:val="both"/>
        <w:rPr>
          <w:rFonts w:ascii="仿宋" w:eastAsia="仿宋" w:cs="仿宋" w:hAnsi="仿宋" w:hint="eastAsia"/>
          <w:i w:val="0"/>
          <w:iCs w:val="0"/>
          <w:caps w:val="0"/>
          <w:smallCaps w:val="0"/>
          <w:color w:val="333333"/>
          <w:spacing w:val="0"/>
          <w:kern w:val="0"/>
          <w:sz w:val="24"/>
          <w:shd w:val="clear" w:color="auto" w:fill="FFFFFF"/>
          <w:lang w:val="en-US" w:eastAsia="zh-CN"/>
        </w:rPr>
      </w:pPr>
    </w:p>
    <w:sectPr>
      <w:pgSz w:w="16838" w:h="11906" w:orient="landscape"/>
      <w:pgMar w:top="1803" w:right="1440" w:bottom="1803" w:left="1440" w:header="851" w:footer="992" w:gutter="0"/>
      <w:cols w:num="1" w:space="0"/>
      <w:rtlGutter/>
      <w:docGrid w:type="lines" w:linePitch="319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方正小标宋简体">
    <w:altName w:val="黑体"/>
    <w:panose1 w:val="02010601030101010101"/>
    <w:charset w:val="86"/>
    <w:family w:val="auto"/>
    <w:pitch w:val="variable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86"/>
    <w:family w:val="auto"/>
    <w:pitch w:val="variable"/>
    <w:sig w:usb0="E0002EFF" w:usb1="C000785B" w:usb2="00000009" w:usb3="00000000" w:csb0="400001FF" w:csb1="FFFF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  <w:font w:name="Calibri">
    <w:panose1 w:val="020F0502020204030204"/>
    <w:charset w:val="00"/>
    <w:family w:val="swiss"/>
    <w:pitch w:val="variable"/>
    <w:sig w:usb0="E4002EFF" w:usb1="C000247B" w:usb2="00000009" w:usb3="00000000" w:csb0="200001F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tabs>
        <w:tab w:val="clear" w:pos="4153"/>
        <w:tab w:val="center" w:pos="4422"/>
        <w:tab w:val="right" w:pos="8306"/>
      </w:tabs>
    </w:pPr>
    <w:r>
      <w:rPr>
        <w:rFonts w:hint="eastAsia"/>
        <w:lang w:eastAsia="zh-CN"/>
      </w:rPr>
      <w:tab/>
    </w: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4"/>
  <w:bordersDoNotSurroundHeader w:val="0"/>
  <w:bordersDoNotSurroundFooter w:val="0"/>
  <w:defaultTabStop w:val="420"/>
  <w:drawingGridHorizontalSpacing w:val="105"/>
  <w:drawingGridVerticalSpacing w:val="159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compatSetting w:name="compatibilityMode" w:uri="http://schemas.microsoft.com/office/word" w:val="14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index 8"/>
    <w:qFormat/>
    <w:basedOn w:val="0"/>
    <w:autoRedefine/>
    <w:next w:val="0"/>
    <w:pPr>
      <w:ind w:left="2940"/>
    </w:pPr>
  </w:style>
  <w:style w:type="paragraph" w:styleId="16">
    <w:name w:val="footer"/>
    <w:qFormat/>
    <w:basedOn w:val="0"/>
    <w:next w:val="17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eastAsia="宋体" w:cs="Times New Roman" w:hAnsi="宋体"/>
      <w:kern w:val="2"/>
      <w:sz w:val="18"/>
      <w:szCs w:val="24"/>
      <w:lang w:val="en-US" w:eastAsia="zh-CN" w:bidi="ar-SA"/>
    </w:rPr>
  </w:style>
  <w:style w:type="paragraph" w:styleId="17">
    <w:name w:val="Normal (Web)"/>
    <w:qFormat/>
    <w:basedOn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styleId="18">
    <w:name w:val="Hyperlink"/>
    <w:qFormat/>
    <w:basedOn w:val="10"/>
    <w:rPr>
      <w:color w:val="0000FF"/>
      <w:u w:val="single"/>
    </w:rPr>
  </w:style>
  <w:style w:type="paragraph" w:customStyle="1" w:styleId="19">
    <w:name w:val="Table Paragraph"/>
    <w:qFormat/>
    <w:basedOn w:val="0"/>
    <w:pPr>
      <w:widowControl w:val="0"/>
      <w:jc w:val="both"/>
    </w:pPr>
    <w:rPr>
      <w:rFonts w:ascii="宋体" w:eastAsia="宋体" w:cs="宋体" w:hAnsi="宋体"/>
      <w:kern w:val="2"/>
      <w:sz w:val="21"/>
      <w:szCs w:val="21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fontTable" Target="fontTable.xml"/><Relationship Id="rId5" Type="http://schemas.openxmlformats.org/officeDocument/2006/relationships/customXml" Target="../customXml/item1.xml"/><Relationship Id="rId6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WPS">
      <a:fillStyleLst>
        <a:solidFill>
          <a:schemeClr val="phClr"/>
        </a:solidFill>
        <a:gradFill rotWithShape="1"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1"/>
        </a:gradFill>
        <a:gradFill rotWithShape="1"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1"/>
        </a:gradFill>
      </a:fillStyleLst>
      <a:lnStyleLst>
        <a:ln w="1270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2700" cmpd="sng" cap="flat">
          <a:gradFill rotWithShape="1"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/>
        </a:ln>
      </a:lnStyleLst>
      <a:effectStyleLst>
        <a:effectStyle>
          <a:effectLst>
            <a:outerShdw sx="100000" sy="100000" algn="ctr" rotWithShape="0" blurRad="101600" dist="50800" dir="540000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  <sectPr/>
    <sectPr/>
  </customProps>
</customData>
</file>

<file path=customXml/itemProps1.xml><?xml version="1.0" encoding="utf-8"?>
<ds:datastoreItem xmlns:ds="http://schemas.openxmlformats.org/officeDocument/2006/customXml" ds:itemID="{8722A1BA-CA2E-4E69-A4A6-4A45B6D89C4C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672</TotalTime>
  <Application>Yozo_Office27021597764231189</Application>
  <Pages>7</Pages>
  <Words>0</Words>
  <Characters>1678</Characters>
  <Lines>0</Lines>
  <Paragraphs>47</Paragraphs>
  <CharactersWithSpaces>2238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Administrator</cp:lastModifiedBy>
  <cp:revision>1</cp:revision>
  <cp:lastPrinted>2025-02-11T02:58:00Z</cp:lastPrinted>
  <dcterms:created xsi:type="dcterms:W3CDTF">2025-01-04T07:21:00Z</dcterms:created>
  <dcterms:modified xsi:type="dcterms:W3CDTF">2025-09-04T03:01:11Z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2052-12.1.0.22529</vt:lpwstr>
  </property>
  <property fmtid="{D5CDD505-2E9C-101B-9397-08002B2CF9AE}" pid="3" name="ICV">
    <vt:lpwstr>FCB415876332446BB1CA7C9D599C1BAF_11</vt:lpwstr>
  </property>
  <property fmtid="{D5CDD505-2E9C-101B-9397-08002B2CF9AE}" pid="4" name="KSOTemplateDocerSaveRecord">
    <vt:lpwstr>eyJoZGlkIjoiOTIyN2YyN2I5NDcxN2FmODQ3ZWQyOGMyNDUxMzE1OTEiLCJ1c2VySWQiOiI0NDU5NDQ0NTcifQ==</vt:lpwstr>
  </property>
</Properties>
</file>