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p>
    <w:p>
      <w:pPr>
        <w:widowControl/>
        <w:jc w:val="left"/>
      </w:pPr>
      <w:r>
        <w:drawing>
          <wp:anchor distT="0" distB="0" distL="114300" distR="114300" simplePos="0" relativeHeight="251661312" behindDoc="0" locked="0" layoutInCell="1" allowOverlap="1">
            <wp:simplePos x="0" y="0"/>
            <wp:positionH relativeFrom="column">
              <wp:posOffset>-95250</wp:posOffset>
            </wp:positionH>
            <wp:positionV relativeFrom="margin">
              <wp:posOffset>549275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06095" cy="506095"/>
                    </a:xfrm>
                    <a:prstGeom prst="rect">
                      <a:avLst/>
                    </a:prstGeom>
                  </pic:spPr>
                </pic:pic>
              </a:graphicData>
            </a:graphic>
          </wp:anchor>
        </w:drawing>
      </w:r>
    </w:p>
    <w:p>
      <w:pPr>
        <w:widowControl/>
        <w:jc w:val="left"/>
      </w:pPr>
      <w:r>
        <w:drawing>
          <wp:anchor distT="0" distB="0" distL="114300" distR="114300" simplePos="0" relativeHeight="251663360"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1"/>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2"/>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3"/>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0288"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165"/>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0288;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Dp1IfX3QAAAAwBAAAPAAAAAAAAAAEAIAAAACIAAABkcnMvZG93bnJl&#10;di54bWxQSwECFAAUAAAACACHTuJAz8A1lcADAACBDAAADgAAAAAAAAABACAAAAAsAQAAZHJzL2Uy&#10;b0RvYy54bWxQSwUGAAAAAAYABgBZAQAAXg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59264;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3360;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pPr>
        <w:widowControl/>
        <w:jc w:val="left"/>
      </w:pPr>
      <w:r>
        <w:drawing>
          <wp:anchor distT="0" distB="0" distL="114300" distR="114300" simplePos="0" relativeHeight="251662336" behindDoc="1" locked="0" layoutInCell="1" allowOverlap="1">
            <wp:simplePos x="0" y="0"/>
            <wp:positionH relativeFrom="margin">
              <wp:posOffset>-2893060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left"/>
        <w:rPr>
          <w:rFonts w:hint="eastAsia" w:ascii="楷体_GB2312" w:hAnsi="楷体_GB2312" w:eastAsia="楷体_GB2312" w:cs="楷体_GB2312"/>
          <w:color w:val="000000"/>
          <w:sz w:val="40"/>
          <w:szCs w:val="40"/>
        </w:rPr>
      </w:pPr>
      <w:r>
        <w:rPr>
          <w:rFonts w:ascii="黑体" w:hAnsi="黑体" w:eastAsia="黑体" w:cs="黑体"/>
          <w:color w:val="000000"/>
          <w:sz w:val="40"/>
          <w:szCs w:val="40"/>
        </w:rPr>
        <mc:AlternateContent>
          <mc:Choice Requires="wps">
            <w:drawing>
              <wp:anchor distT="45720" distB="45720" distL="114300" distR="114300" simplePos="0" relativeHeight="251665408" behindDoc="0" locked="0" layoutInCell="1" allowOverlap="1">
                <wp:simplePos x="0" y="0"/>
                <wp:positionH relativeFrom="column">
                  <wp:posOffset>1170940</wp:posOffset>
                </wp:positionH>
                <wp:positionV relativeFrom="paragraph">
                  <wp:posOffset>558165</wp:posOffset>
                </wp:positionV>
                <wp:extent cx="4105275" cy="171450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05275" cy="1714500"/>
                        </a:xfrm>
                        <a:prstGeom prst="rect">
                          <a:avLst/>
                        </a:prstGeom>
                        <a:noFill/>
                        <a:ln w="9525">
                          <a:noFill/>
                          <a:miter lim="800000"/>
                        </a:ln>
                      </wps:spPr>
                      <wps:txbx>
                        <w:txbxContent>
                          <w:p>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河北抚宁经济开发区管理委员会（部门）</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2.2pt;margin-top:43.95pt;height:135pt;width:323.25pt;z-index:251665408;mso-width-relative:page;mso-height-relative:page;" filled="f" stroked="f" coordsize="21600,21600" o:gfxdata="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Gyum1gAAAAoBAAAPAAAAAAAAAAEAIAAAACIAAABkcnMvZG93bnJldi54bWxQSwECFAAUAAAACACH&#10;TuJAs50sKiYCAAAsBAAADgAAAAAAAAABACAAAAAlAQAAZHJzL2Uyb0RvYy54bWxQSwUGAAAAAAYA&#10;BgBZAQAAvQUAAAAA&#10;">
                <v:fill on="f" focussize="0,0"/>
                <v:stroke on="f" miterlimit="8" joinstyle="miter"/>
                <v:imagedata o:title=""/>
                <o:lock v:ext="edit" aspectratio="f"/>
                <v:textbox>
                  <w:txbxContent>
                    <w:p>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河北抚宁经济开发区管理委员会（部门）</w:t>
                      </w:r>
                    </w:p>
                  </w:txbxContent>
                </v:textbox>
              </v:shape>
            </w:pict>
          </mc:Fallback>
        </mc:AlternateContent>
      </w: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 w:hAnsi="楷体" w:eastAsia="楷体" w:cs="黑体"/>
          <w:color w:val="000000"/>
          <w:sz w:val="40"/>
          <w:szCs w:val="40"/>
        </w:rPr>
        <w:t>328</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部门名称</w:t>
      </w:r>
      <w:r>
        <w:rPr>
          <w:rFonts w:hint="eastAsia" w:ascii="楷体_GB2312" w:hAnsi="楷体_GB2312" w:eastAsia="楷体_GB2312" w:cs="楷体_GB2312"/>
          <w:color w:val="000000"/>
          <w:sz w:val="40"/>
          <w:szCs w:val="40"/>
        </w:rPr>
        <w:t>：</w:t>
      </w:r>
    </w:p>
    <w:p>
      <w:pPr>
        <w:spacing w:line="600" w:lineRule="auto"/>
        <w:rPr>
          <w:rFonts w:hint="eastAsia" w:ascii="楷体_GB2312" w:hAnsi="楷体_GB2312" w:eastAsia="楷体_GB2312" w:cs="楷体_GB2312"/>
          <w:color w:val="000000"/>
          <w:sz w:val="40"/>
          <w:szCs w:val="40"/>
        </w:rPr>
      </w:pPr>
    </w:p>
    <w:p>
      <w:pPr>
        <w:spacing w:line="600" w:lineRule="auto"/>
        <w:rPr>
          <w:rFonts w:hint="eastAsia" w:ascii="楷体_GB2312" w:hAnsi="楷体_GB2312" w:eastAsia="楷体_GB2312" w:cs="楷体_GB2312"/>
          <w:color w:val="000000"/>
          <w:sz w:val="40"/>
          <w:szCs w:val="40"/>
        </w:rPr>
      </w:pPr>
    </w:p>
    <w:p>
      <w:pPr>
        <w:spacing w:line="600" w:lineRule="auto"/>
        <w:jc w:val="center"/>
        <w:rPr>
          <w:rFonts w:hint="eastAsia" w:ascii="楷体" w:hAnsi="楷体" w:eastAsia="楷体" w:cs="楷体_GB2312"/>
          <w:color w:val="000000"/>
          <w:sz w:val="40"/>
          <w:szCs w:val="40"/>
        </w:rPr>
      </w:pPr>
      <w:r>
        <w:rPr>
          <w:rFonts w:hint="eastAsia" w:ascii="楷体" w:hAnsi="楷体" w:eastAsia="楷体" w:cs="楷体_GB2312"/>
          <w:color w:val="000000"/>
          <w:sz w:val="40"/>
          <w:szCs w:val="40"/>
        </w:rPr>
        <w:t>二〇二四年十月</w:t>
      </w:r>
    </w:p>
    <w:p>
      <w:pPr>
        <w:spacing w:line="600" w:lineRule="auto"/>
        <w:jc w:val="center"/>
        <w:rPr>
          <w:rFonts w:hint="eastAsia" w:ascii="楷体" w:hAnsi="楷体" w:eastAsia="楷体" w:cs="楷体_GB2312"/>
          <w:color w:val="000000"/>
          <w:sz w:val="40"/>
          <w:szCs w:val="40"/>
        </w:rPr>
      </w:pPr>
    </w:p>
    <w:p>
      <w:pPr>
        <w:tabs>
          <w:tab w:val="left" w:pos="2728"/>
        </w:tabs>
        <w:jc w:val="center"/>
        <w:rPr>
          <w:rFonts w:ascii="黑体" w:hAnsi="Times New Roman" w:eastAsia="黑体" w:cs="Times New Roman"/>
          <w:sz w:val="48"/>
          <w:szCs w:val="48"/>
        </w:rPr>
      </w:pPr>
    </w:p>
    <w:p>
      <w:pPr>
        <w:tabs>
          <w:tab w:val="left" w:pos="2728"/>
        </w:tabs>
        <w:spacing w:after="0" w:line="360" w:lineRule="auto"/>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0" w:line="360" w:lineRule="auto"/>
        <w:ind w:firstLine="640" w:firstLineChars="200"/>
        <w:rPr>
          <w:rFonts w:ascii="Times New Roman" w:hAnsi="Times New Roman" w:eastAsia="黑体" w:cs="Times New Roman"/>
          <w:sz w:val="32"/>
          <w:szCs w:val="32"/>
        </w:rPr>
      </w:pPr>
    </w:p>
    <w:p>
      <w:pPr>
        <w:widowControl/>
        <w:spacing w:after="0" w:line="360" w:lineRule="auto"/>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黑体" w:hAnsi="黑体" w:eastAsia="黑体" w:cs="Times New Roman"/>
          <w:sz w:val="32"/>
          <w:szCs w:val="32"/>
        </w:rPr>
        <w:t>部门</w:t>
      </w:r>
      <w:r>
        <w:rPr>
          <w:rFonts w:ascii="Times New Roman" w:hAnsi="Times New Roman" w:eastAsia="黑体" w:cs="Times New Roman"/>
          <w:sz w:val="32"/>
          <w:szCs w:val="32"/>
        </w:rPr>
        <w:t>概况</w:t>
      </w:r>
    </w:p>
    <w:p>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部门职责</w:t>
      </w:r>
    </w:p>
    <w:p>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机构设置</w:t>
      </w:r>
    </w:p>
    <w:p>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度部门决算报表</w:t>
      </w:r>
    </w:p>
    <w:p>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收入支出决算总表</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w:t>
      </w:r>
      <w:r>
        <w:rPr>
          <w:rFonts w:hint="eastAsia" w:ascii="仿宋" w:hAnsi="仿宋" w:eastAsia="仿宋" w:cs="Times New Roman"/>
          <w:sz w:val="32"/>
          <w:szCs w:val="32"/>
        </w:rPr>
        <w:t>表</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w:t>
      </w:r>
      <w:r>
        <w:rPr>
          <w:rFonts w:hint="eastAsia" w:ascii="仿宋" w:hAnsi="仿宋" w:eastAsia="仿宋" w:cs="Times New Roman"/>
          <w:sz w:val="32"/>
          <w:szCs w:val="32"/>
        </w:rPr>
        <w:t>表</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四、</w:t>
      </w:r>
      <w:r>
        <w:rPr>
          <w:rFonts w:hint="eastAsia" w:ascii="仿宋" w:hAnsi="仿宋" w:eastAsia="仿宋" w:cs="Times New Roman"/>
          <w:sz w:val="32"/>
          <w:szCs w:val="32"/>
        </w:rPr>
        <w:t>财政拨款收入支出决算总表</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五、一般公共预算财政拨款支出决算表</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六、一般公共预算财政拨款基本支出决算明细表</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七、政府性基金预算财政拨款收入支出决算表</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w:t>
      </w:r>
      <w:r>
        <w:rPr>
          <w:rFonts w:ascii="仿宋" w:hAnsi="仿宋" w:eastAsia="仿宋" w:cs="Times New Roman"/>
          <w:sz w:val="32"/>
          <w:szCs w:val="32"/>
        </w:rPr>
        <w:t>、</w:t>
      </w:r>
      <w:r>
        <w:rPr>
          <w:rFonts w:hint="eastAsia" w:ascii="仿宋" w:hAnsi="仿宋" w:eastAsia="仿宋" w:cs="Times New Roman"/>
          <w:sz w:val="32"/>
          <w:szCs w:val="32"/>
        </w:rPr>
        <w:t>国有资本经营预算财政拨款支出决算表</w:t>
      </w:r>
    </w:p>
    <w:p>
      <w:pPr>
        <w:widowControl/>
        <w:spacing w:after="0" w:line="360" w:lineRule="auto"/>
        <w:ind w:left="640" w:firstLine="640" w:firstLineChars="200"/>
        <w:rPr>
          <w:rFonts w:ascii="Times New Roman" w:hAnsi="Times New Roman" w:eastAsia="仿宋_GB2312" w:cs="Times New Roman"/>
          <w:sz w:val="20"/>
          <w:szCs w:val="32"/>
        </w:rPr>
      </w:pPr>
      <w:r>
        <w:rPr>
          <w:rFonts w:hint="eastAsia" w:ascii="仿宋" w:hAnsi="仿宋" w:eastAsia="仿宋" w:cs="Times New Roman"/>
          <w:sz w:val="32"/>
          <w:szCs w:val="32"/>
        </w:rPr>
        <w:t>九、财政拨款“三公”经费支出决算表</w:t>
      </w:r>
    </w:p>
    <w:p>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年度</w:t>
      </w:r>
      <w:r>
        <w:rPr>
          <w:rFonts w:ascii="Times New Roman" w:hAnsi="Times New Roman" w:eastAsia="黑体" w:cs="Times New Roman"/>
          <w:sz w:val="32"/>
          <w:szCs w:val="32"/>
        </w:rPr>
        <w:t>部门决算情况说明</w:t>
      </w:r>
    </w:p>
    <w:p>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收入支出决算总体情况说明</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二、收入决算情况说明</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四、财政拨款收入支出决算总体情况说明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五、财政拨款“三公” 经费支出决算情况说明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六、机关运行经费支出说明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七、政府采购支出说明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八、国有资产占用情况说明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九、预算绩效情况说明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十、其他需要说明的情况</w:t>
      </w:r>
    </w:p>
    <w:p>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ascii="Times New Roman" w:hAnsi="Times New Roman" w:eastAsia="黑体" w:cs="Times New Roman"/>
          <w:sz w:val="32"/>
          <w:szCs w:val="32"/>
        </w:rPr>
      </w:pPr>
    </w:p>
    <w:p>
      <w:pPr>
        <w:rPr>
          <w:rFonts w:ascii="Times New Roman" w:hAnsi="Times New Roman" w:eastAsia="黑体" w:cs="Times New Roman"/>
          <w:sz w:val="32"/>
          <w:szCs w:val="32"/>
        </w:rPr>
      </w:pPr>
    </w:p>
    <w:p>
      <w:pPr>
        <w:rPr>
          <w:rFonts w:ascii="Times New Roman" w:hAnsi="Times New Roman" w:eastAsia="黑体" w:cs="Times New Roman"/>
          <w:sz w:val="32"/>
          <w:szCs w:val="32"/>
        </w:rPr>
      </w:pPr>
    </w:p>
    <w:p>
      <w:pPr>
        <w:rPr>
          <w:rFonts w:ascii="Times New Roman" w:hAnsi="Times New Roman" w:eastAsia="黑体" w:cs="Times New Roman"/>
          <w:sz w:val="32"/>
          <w:szCs w:val="32"/>
        </w:rPr>
      </w:pPr>
    </w:p>
    <w:p>
      <w:pP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tabs>
          <w:tab w:val="center" w:pos="4422"/>
        </w:tabs>
        <w:rPr>
          <w:rFonts w:ascii="Times New Roman" w:hAnsi="Times New Roman" w:eastAsia="黑体" w:cs="Times New Roman"/>
          <w:sz w:val="32"/>
          <w:szCs w:val="32"/>
        </w:rPr>
        <w:sectPr>
          <w:footerReference r:id="rId6" w:type="first"/>
          <w:footerReference r:id="rId5" w:type="default"/>
          <w:pgSz w:w="11906" w:h="16838"/>
          <w:pgMar w:top="1474" w:right="1531" w:bottom="1474" w:left="1531" w:header="851" w:footer="510" w:gutter="0"/>
          <w:cols w:space="0" w:num="1"/>
          <w:titlePg/>
          <w:docGrid w:type="lines" w:linePitch="326" w:charSpace="0"/>
        </w:sectPr>
      </w:pPr>
      <w:r>
        <w:rPr>
          <w:rFonts w:ascii="Times New Roman" w:hAnsi="Times New Roman" w:eastAsia="黑体" w:cs="Times New Roman"/>
          <w:sz w:val="32"/>
          <w:szCs w:val="32"/>
        </w:rPr>
        <w:tab/>
      </w:r>
    </w:p>
    <w:p>
      <w:pPr>
        <w:spacing w:line="360" w:lineRule="auto"/>
        <w:rPr>
          <w:rFonts w:ascii="Arial" w:hAnsi="Arial" w:eastAsia="Arial" w:cs="Arial"/>
          <w:color w:val="000000"/>
          <w:sz w:val="18"/>
          <w:szCs w:val="18"/>
          <w:shd w:val="clear" w:color="auto" w:fill="FFFFFF"/>
        </w:rPr>
      </w:pPr>
    </w:p>
    <w:p>
      <w:pPr>
        <w:pStyle w:val="10"/>
        <w:widowControl/>
        <w:shd w:val="clear" w:color="auto" w:fill="FFFFFF"/>
        <w:spacing w:beforeAutospacing="0" w:afterAutospacing="0" w:line="360" w:lineRule="auto"/>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line="360" w:lineRule="auto"/>
        <w:rPr>
          <w:rFonts w:ascii="Arial" w:hAnsi="Arial" w:eastAsia="Arial" w:cs="Arial"/>
          <w:color w:val="000000"/>
          <w:sz w:val="18"/>
          <w:szCs w:val="18"/>
          <w:shd w:val="clear" w:color="auto" w:fill="FFFFFF"/>
        </w:rPr>
      </w:pPr>
    </w:p>
    <w:p>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0"/>
        <w:widowControl/>
        <w:shd w:val="clear" w:color="auto" w:fill="FFFFFF"/>
        <w:spacing w:beforeAutospacing="0" w:afterAutospacing="0" w:line="360" w:lineRule="auto"/>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部门概况</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pPr>
        <w:spacing w:after="0" w:line="360" w:lineRule="auto"/>
        <w:ind w:firstLine="640" w:firstLineChars="200"/>
        <w:rPr>
          <w:rFonts w:hint="eastAsia" w:ascii="黑体" w:hAnsi="黑体" w:eastAsia="黑体" w:cs="Arial"/>
          <w:sz w:val="32"/>
          <w:szCs w:val="32"/>
        </w:rPr>
      </w:pPr>
      <w:r>
        <w:rPr>
          <w:rFonts w:hint="eastAsia" w:ascii="黑体" w:hAnsi="黑体" w:eastAsia="黑体"/>
          <w:sz w:val="32"/>
          <w:szCs w:val="32"/>
          <w:shd w:val="clear" w:color="auto" w:fill="FFFFFF"/>
        </w:rPr>
        <w:t>一、</w:t>
      </w:r>
      <w:r>
        <w:rPr>
          <w:rFonts w:ascii="黑体" w:hAnsi="黑体" w:eastAsia="黑体"/>
          <w:sz w:val="32"/>
          <w:szCs w:val="32"/>
        </w:rPr>
        <w:t>部门</w:t>
      </w:r>
      <w:r>
        <w:rPr>
          <w:rFonts w:hint="eastAsia" w:ascii="黑体" w:hAnsi="黑体" w:eastAsia="黑体"/>
          <w:sz w:val="32"/>
          <w:szCs w:val="32"/>
          <w:shd w:val="clear" w:color="auto" w:fill="FFFFFF"/>
        </w:rPr>
        <w:t>职责</w:t>
      </w:r>
    </w:p>
    <w:p>
      <w:pPr>
        <w:ind w:firstLine="960" w:firstLineChars="300"/>
        <w:rPr>
          <w:rFonts w:hint="eastAsia" w:ascii="仿宋" w:hAnsi="仿宋" w:eastAsia="仿宋" w:cs="仿宋"/>
          <w:sz w:val="32"/>
          <w:szCs w:val="32"/>
          <w:highlight w:val="yellow"/>
        </w:rPr>
      </w:pPr>
      <w:r>
        <w:rPr>
          <w:rFonts w:hint="eastAsia" w:ascii="仿宋" w:hAnsi="仿宋" w:eastAsia="仿宋" w:cs="仿宋"/>
          <w:sz w:val="32"/>
          <w:szCs w:val="32"/>
        </w:rPr>
        <w:t>河北抚宁经济开发区管理委员会主要职责:编制开发区总体规划和经济、社会发展规划，经批准后组织实施;编制开发区区域性城市发展规划、国土利用规划，经批准后组织实施;负责开发区基础设施、公用设施的建设和管理;负责与秦皇岛经济技术开发区深度合作的相关工作;负责开发区的招商引资、进出口贸易和国内外经济技术合作工作;负责开发区人事工作;负责协调配合区直有关部门及派驻机构的工作;完成抚宁区政府交办的其它事项。</w:t>
      </w:r>
    </w:p>
    <w:p>
      <w:pPr>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二、机构设置</w:t>
      </w:r>
    </w:p>
    <w:p>
      <w:pPr>
        <w:pStyle w:val="10"/>
        <w:widowControl/>
        <w:shd w:val="clear" w:color="auto" w:fill="FFFFFF"/>
        <w:spacing w:beforeAutospacing="0" w:afterAutospacing="0" w:line="360" w:lineRule="auto"/>
        <w:ind w:firstLine="640" w:firstLineChars="200"/>
        <w:rPr>
          <w:rFonts w:hint="eastAsia" w:ascii="仿宋" w:hAnsi="仿宋" w:eastAsia="仿宋" w:cs="仿宋_GB2312"/>
          <w:sz w:val="32"/>
          <w:szCs w:val="32"/>
          <w:shd w:val="clear" w:color="auto" w:fill="FFFFFF"/>
        </w:rPr>
      </w:pPr>
      <w:r>
        <w:rPr>
          <w:rFonts w:ascii="仿宋" w:hAnsi="仿宋" w:eastAsia="仿宋" w:cs="仿宋_GB2312"/>
          <w:sz w:val="32"/>
          <w:szCs w:val="32"/>
          <w:shd w:val="clear" w:color="auto" w:fill="FFFFFF"/>
        </w:rPr>
        <w:t>从决算编报</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构成看，纳入</w:t>
      </w:r>
      <w:r>
        <w:rPr>
          <w:rFonts w:hint="eastAsia" w:ascii="仿宋" w:hAnsi="仿宋" w:eastAsia="仿宋" w:cs="仿宋_GB2312"/>
          <w:sz w:val="32"/>
          <w:szCs w:val="32"/>
          <w:shd w:val="clear" w:color="auto" w:fill="FFFFFF"/>
        </w:rPr>
        <w:t>2023</w:t>
      </w:r>
      <w:r>
        <w:rPr>
          <w:rFonts w:ascii="仿宋" w:hAnsi="仿宋" w:eastAsia="仿宋" w:cs="仿宋_GB2312"/>
          <w:sz w:val="32"/>
          <w:szCs w:val="32"/>
          <w:shd w:val="clear" w:color="auto" w:fill="FFFFFF"/>
        </w:rPr>
        <w:t>年度</w:t>
      </w:r>
      <w:r>
        <w:rPr>
          <w:rFonts w:hint="eastAsia" w:ascii="仿宋" w:hAnsi="仿宋" w:eastAsia="仿宋" w:cs="仿宋_GB2312"/>
          <w:sz w:val="32"/>
          <w:szCs w:val="32"/>
          <w:shd w:val="clear" w:color="auto" w:fill="FFFFFF"/>
        </w:rPr>
        <w:t>本部门</w:t>
      </w:r>
      <w:r>
        <w:rPr>
          <w:rFonts w:ascii="仿宋" w:hAnsi="仿宋" w:eastAsia="仿宋" w:cs="仿宋_GB2312"/>
          <w:sz w:val="32"/>
          <w:szCs w:val="32"/>
          <w:shd w:val="clear" w:color="auto" w:fill="FFFFFF"/>
        </w:rPr>
        <w:t>决算汇编范围的独立核算</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（以下简称“</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w:t>
      </w:r>
      <w:r>
        <w:rPr>
          <w:rFonts w:ascii="仿宋" w:hAnsi="仿宋" w:eastAsia="仿宋" w:cs="仿宋_GB2312"/>
          <w:sz w:val="32"/>
          <w:szCs w:val="32"/>
          <w:highlight w:val="none"/>
          <w:shd w:val="clear" w:color="auto" w:fill="FFFFFF"/>
        </w:rPr>
        <w:t xml:space="preserve">共 </w:t>
      </w:r>
      <w:r>
        <w:rPr>
          <w:rFonts w:hint="eastAsia" w:ascii="仿宋" w:hAnsi="仿宋" w:eastAsia="仿宋" w:cs="仿宋_GB2312"/>
          <w:sz w:val="32"/>
          <w:szCs w:val="32"/>
          <w:highlight w:val="none"/>
          <w:shd w:val="clear" w:color="auto" w:fill="FFFFFF"/>
          <w:lang w:val="en-US" w:eastAsia="zh-CN"/>
        </w:rPr>
        <w:t>1</w:t>
      </w:r>
      <w:r>
        <w:rPr>
          <w:rFonts w:ascii="仿宋" w:hAnsi="仿宋" w:eastAsia="仿宋" w:cs="仿宋_GB2312"/>
          <w:sz w:val="32"/>
          <w:szCs w:val="32"/>
          <w:highlight w:val="none"/>
          <w:shd w:val="clear" w:color="auto" w:fill="FFFFFF"/>
        </w:rPr>
        <w:t>个，</w:t>
      </w:r>
      <w:r>
        <w:rPr>
          <w:rFonts w:ascii="仿宋" w:hAnsi="仿宋" w:eastAsia="仿宋" w:cs="仿宋_GB2312"/>
          <w:sz w:val="32"/>
          <w:szCs w:val="32"/>
          <w:shd w:val="clear" w:color="auto" w:fill="FFFFFF"/>
        </w:rPr>
        <w:t>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序号</w:t>
            </w:r>
          </w:p>
        </w:tc>
        <w:tc>
          <w:tcPr>
            <w:tcW w:w="3485" w:type="dxa"/>
            <w:vAlign w:val="center"/>
          </w:tcPr>
          <w:p>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单位名称</w:t>
            </w:r>
          </w:p>
        </w:tc>
        <w:tc>
          <w:tcPr>
            <w:tcW w:w="2445" w:type="dxa"/>
            <w:vAlign w:val="center"/>
          </w:tcPr>
          <w:p>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单位基本性质</w:t>
            </w:r>
          </w:p>
        </w:tc>
        <w:tc>
          <w:tcPr>
            <w:tcW w:w="2665" w:type="dxa"/>
            <w:vAlign w:val="center"/>
          </w:tcPr>
          <w:p>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pPr>
              <w:spacing w:line="560" w:lineRule="exact"/>
              <w:jc w:val="center"/>
              <w:rPr>
                <w:rFonts w:hint="eastAsia" w:ascii="仿宋" w:hAnsi="仿宋" w:eastAsia="仿宋" w:cs="ArialUnicodeMS"/>
                <w:sz w:val="28"/>
                <w:szCs w:val="28"/>
              </w:rPr>
            </w:pPr>
            <w:r>
              <w:rPr>
                <w:rFonts w:hint="eastAsia" w:ascii="仿宋" w:hAnsi="仿宋" w:eastAsia="仿宋" w:cs="ArialUnicodeMS"/>
                <w:sz w:val="28"/>
                <w:szCs w:val="28"/>
              </w:rPr>
              <w:t>1</w:t>
            </w:r>
          </w:p>
        </w:tc>
        <w:tc>
          <w:tcPr>
            <w:tcW w:w="3485" w:type="dxa"/>
            <w:vAlign w:val="center"/>
          </w:tcPr>
          <w:p>
            <w:pPr>
              <w:spacing w:line="560" w:lineRule="exact"/>
              <w:rPr>
                <w:rFonts w:hint="default" w:ascii="仿宋" w:hAnsi="仿宋" w:eastAsia="仿宋" w:cs="ArialUnicodeMS"/>
                <w:sz w:val="28"/>
                <w:szCs w:val="28"/>
                <w:lang w:val="en-US" w:eastAsia="zh-CN"/>
              </w:rPr>
            </w:pPr>
            <w:r>
              <w:rPr>
                <w:rFonts w:hint="eastAsia" w:ascii="仿宋" w:hAnsi="仿宋" w:eastAsia="仿宋" w:cs="ArialUnicodeMS"/>
                <w:sz w:val="28"/>
                <w:szCs w:val="28"/>
                <w:lang w:val="en-US" w:eastAsia="zh-CN"/>
              </w:rPr>
              <w:t>河北抚宁经济开发区管理委员会</w:t>
            </w:r>
          </w:p>
        </w:tc>
        <w:tc>
          <w:tcPr>
            <w:tcW w:w="2445" w:type="dxa"/>
            <w:vAlign w:val="center"/>
          </w:tcPr>
          <w:p>
            <w:pPr>
              <w:spacing w:line="560" w:lineRule="exact"/>
              <w:jc w:val="center"/>
              <w:rPr>
                <w:rFonts w:hint="eastAsia" w:ascii="仿宋" w:hAnsi="仿宋" w:eastAsia="仿宋" w:cs="ArialUnicodeMS"/>
                <w:sz w:val="28"/>
                <w:szCs w:val="28"/>
                <w:lang w:val="en-US" w:eastAsia="zh-CN"/>
              </w:rPr>
            </w:pPr>
            <w:r>
              <w:rPr>
                <w:rFonts w:hint="eastAsia" w:ascii="仿宋" w:hAnsi="仿宋" w:eastAsia="仿宋" w:cs="ArialUnicodeMS"/>
                <w:sz w:val="28"/>
                <w:szCs w:val="28"/>
                <w:lang w:val="en-US" w:eastAsia="zh-CN"/>
              </w:rPr>
              <w:t>行政单位</w:t>
            </w:r>
          </w:p>
        </w:tc>
        <w:tc>
          <w:tcPr>
            <w:tcW w:w="2665" w:type="dxa"/>
            <w:vAlign w:val="center"/>
          </w:tcPr>
          <w:p>
            <w:pPr>
              <w:spacing w:line="560" w:lineRule="exact"/>
              <w:jc w:val="center"/>
              <w:rPr>
                <w:rFonts w:hint="eastAsia" w:ascii="仿宋" w:hAnsi="仿宋" w:eastAsia="仿宋" w:cs="ArialUnicodeMS"/>
                <w:sz w:val="28"/>
                <w:szCs w:val="28"/>
                <w:lang w:val="en-US" w:eastAsia="zh-CN"/>
              </w:rPr>
            </w:pPr>
            <w:r>
              <w:rPr>
                <w:rFonts w:hint="eastAsia" w:ascii="仿宋" w:hAnsi="仿宋" w:eastAsia="仿宋" w:cs="ArialUnicodeMS"/>
                <w:sz w:val="28"/>
                <w:szCs w:val="28"/>
                <w:lang w:val="en-US" w:eastAsia="zh-CN"/>
              </w:rPr>
              <w:t>财政拨款</w:t>
            </w:r>
          </w:p>
        </w:tc>
      </w:tr>
    </w:tbl>
    <w:p>
      <w:pPr>
        <w:widowControl/>
        <w:spacing w:after="0" w:line="360" w:lineRule="auto"/>
        <w:ind w:left="-850" w:leftChars="-354" w:right="-821" w:rightChars="-342"/>
        <w:rPr>
          <w:rFonts w:hint="eastAsia" w:ascii="仿宋" w:hAnsi="仿宋" w:eastAsia="仿宋" w:cs="Times New Roman"/>
          <w:sz w:val="28"/>
          <w:szCs w:val="28"/>
        </w:rPr>
        <w:sectPr>
          <w:headerReference r:id="rId7" w:type="default"/>
          <w:pgSz w:w="11906" w:h="16838"/>
          <w:pgMar w:top="1531" w:right="1984" w:bottom="1531" w:left="2098" w:header="851" w:footer="992" w:gutter="0"/>
          <w:cols w:space="720" w:num="1"/>
          <w:docGrid w:type="lines" w:linePitch="312" w:charSpace="0"/>
        </w:sectPr>
      </w:pPr>
      <w:r>
        <w:rPr>
          <w:rFonts w:hint="eastAsia" w:ascii="仿宋" w:hAnsi="仿宋" w:eastAsia="仿宋" w:cs="Times New Roman"/>
          <w:sz w:val="28"/>
          <w:szCs w:val="28"/>
        </w:rPr>
        <w:t>注：1、单位基本性质分为行政单位、参公事业单位、财政补助事业单位、经费自理事业单位四类。</w:t>
      </w:r>
      <w:r>
        <w:rPr>
          <w:rFonts w:hint="eastAsia" w:ascii="仿宋" w:hAnsi="仿宋" w:eastAsia="仿宋" w:cs="Times New Roman"/>
          <w:sz w:val="28"/>
          <w:szCs w:val="28"/>
        </w:rPr>
        <w:cr/>
      </w:r>
      <w:r>
        <w:rPr>
          <w:rFonts w:hint="eastAsia" w:ascii="仿宋" w:hAnsi="仿宋" w:eastAsia="仿宋" w:cs="Times New Roman"/>
          <w:sz w:val="28"/>
          <w:szCs w:val="28"/>
        </w:rPr>
        <w:t xml:space="preserve">    2、经费形式分为财政拨款、财政性资金基本保证、财政性资金定额或定项补助、财政性资金零补助四类。</w:t>
      </w:r>
      <w:r>
        <w:rPr>
          <w:rFonts w:hint="eastAsia" w:ascii="仿宋" w:hAnsi="仿宋" w:eastAsia="仿宋" w:cs="Times New Roman"/>
          <w:sz w:val="28"/>
          <w:szCs w:val="28"/>
        </w:rPr>
        <w:cr/>
      </w:r>
      <w:r>
        <w:rPr>
          <w:rFonts w:hint="eastAsia" w:ascii="仿宋" w:hAnsi="仿宋" w:eastAsia="仿宋" w:cs="Times New Roman"/>
          <w:sz w:val="28"/>
          <w:szCs w:val="28"/>
        </w:rPr>
        <w:t xml:space="preserve">    3、我部门无二级预算单位，因此，河北抚宁经济开发区管理委员会2023年度部门决算即河北抚宁经济开发区管理委员会本级2023年度决算。</w:t>
      </w:r>
      <w:r>
        <w:rPr>
          <w:rFonts w:ascii="仿宋" w:hAnsi="仿宋" w:eastAsia="仿宋" w:cs="Times New Roman"/>
          <w:sz w:val="28"/>
          <w:szCs w:val="28"/>
        </w:rPr>
        <w:cr/>
      </w:r>
    </w:p>
    <w:p>
      <w:pPr>
        <w:widowControl/>
        <w:spacing w:line="580" w:lineRule="exact"/>
        <w:ind w:firstLine="640" w:firstLineChars="200"/>
        <w:rPr>
          <w:rFonts w:ascii="Times New Roman" w:hAnsi="Times New Roman" w:eastAsia="黑体" w:cs="Times New Roman"/>
          <w:sz w:val="32"/>
          <w:szCs w:val="32"/>
          <w:highlight w:val="yellow"/>
        </w:rPr>
      </w:pPr>
    </w:p>
    <w:p>
      <w:pPr>
        <w:pStyle w:val="10"/>
        <w:widowControl/>
        <w:shd w:val="clear" w:color="auto" w:fill="FFFFFF"/>
        <w:spacing w:beforeAutospacing="0" w:afterAutospacing="0"/>
        <w:rPr>
          <w:rFonts w:ascii="Arial" w:hAnsi="Arial" w:eastAsia="Arial" w:cs="Arial"/>
          <w:color w:val="000000"/>
          <w:sz w:val="18"/>
          <w:szCs w:val="18"/>
          <w:shd w:val="clear" w:color="auto" w:fill="FFFFFF"/>
          <w:lang w:bidi="ar"/>
        </w:rPr>
      </w:pPr>
    </w:p>
    <w:p>
      <w:pPr>
        <w:widowControl/>
        <w:shd w:val="clear" w:color="auto" w:fill="FFFFFF"/>
        <w:spacing w:after="0"/>
        <w:jc w:val="left"/>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第二部分</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2023年度部门决算报表</w:t>
      </w:r>
    </w:p>
    <w:p>
      <w:pPr>
        <w:pStyle w:val="10"/>
        <w:widowControl/>
        <w:spacing w:beforeAutospacing="0" w:afterAutospacing="0"/>
        <w:jc w:val="center"/>
        <w:rPr>
          <w:rFonts w:hint="eastAsia" w:ascii="仿宋_GB2312" w:hAnsi="仿宋_GB2312" w:eastAsia="仿宋_GB2312" w:cs="仿宋_GB2312"/>
          <w:color w:val="FF0000"/>
          <w:sz w:val="33"/>
          <w:szCs w:val="33"/>
          <w:shd w:val="clear" w:color="auto" w:fill="FFFFFF"/>
        </w:rPr>
        <w:sectPr>
          <w:pgSz w:w="11906" w:h="16838"/>
          <w:pgMar w:top="1531" w:right="1984" w:bottom="1531" w:left="2098" w:header="851" w:footer="992" w:gutter="0"/>
          <w:cols w:space="720" w:num="1"/>
          <w:docGrid w:type="lines" w:linePitch="312" w:charSpace="0"/>
        </w:sectPr>
      </w:pPr>
    </w:p>
    <w:tbl>
      <w:tblPr>
        <w:tblStyle w:val="12"/>
        <w:tblW w:w="139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30" w:hRule="atLeast"/>
        </w:trPr>
        <w:tc>
          <w:tcPr>
            <w:tcW w:w="13992" w:type="dxa"/>
            <w:tcBorders>
              <w:top w:val="nil"/>
              <w:left w:val="nil"/>
              <w:bottom w:val="nil"/>
              <w:right w:val="nil"/>
            </w:tcBorders>
          </w:tcPr>
          <w:p>
            <w:pPr>
              <w:jc w:val="center"/>
              <w:rPr>
                <w:sz w:val="20"/>
                <w:szCs w:val="20"/>
              </w:rPr>
            </w:pPr>
            <w:r>
              <w:rPr>
                <w:rFonts w:hint="eastAsia"/>
                <w:sz w:val="20"/>
                <w:szCs w:val="20"/>
              </w:rPr>
              <w:drawing>
                <wp:anchor distT="0" distB="0" distL="114300" distR="114300" simplePos="0" relativeHeight="251666432" behindDoc="0" locked="0" layoutInCell="1" allowOverlap="1">
                  <wp:simplePos x="0" y="0"/>
                  <wp:positionH relativeFrom="column">
                    <wp:posOffset>774065</wp:posOffset>
                  </wp:positionH>
                  <wp:positionV relativeFrom="paragraph">
                    <wp:posOffset>55880</wp:posOffset>
                  </wp:positionV>
                  <wp:extent cx="6994525" cy="5400040"/>
                  <wp:effectExtent l="0" t="0" r="15875" b="10160"/>
                  <wp:wrapNone/>
                  <wp:docPr id="15240971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97124"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994525" cy="5400040"/>
                          </a:xfrm>
                          <a:prstGeom prst="rect">
                            <a:avLst/>
                          </a:prstGeom>
                          <a:noFill/>
                          <a:ln>
                            <a:noFill/>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7" w:hRule="atLeast"/>
        </w:trPr>
        <w:tc>
          <w:tcPr>
            <w:tcW w:w="13992" w:type="dxa"/>
            <w:tcBorders>
              <w:top w:val="nil"/>
              <w:left w:val="nil"/>
              <w:bottom w:val="nil"/>
              <w:right w:val="nil"/>
            </w:tcBorders>
          </w:tcPr>
          <w:p>
            <w:pPr>
              <w:jc w:val="center"/>
              <w:rPr>
                <w:sz w:val="20"/>
                <w:szCs w:val="20"/>
              </w:rPr>
            </w:pPr>
            <w:r>
              <w:rPr>
                <w:rFonts w:hint="eastAsia"/>
                <w:sz w:val="20"/>
                <w:szCs w:val="20"/>
              </w:rPr>
              <w:drawing>
                <wp:anchor distT="0" distB="0" distL="114300" distR="114300" simplePos="0" relativeHeight="251667456" behindDoc="0" locked="0" layoutInCell="1" allowOverlap="1">
                  <wp:simplePos x="0" y="0"/>
                  <wp:positionH relativeFrom="column">
                    <wp:posOffset>-635</wp:posOffset>
                  </wp:positionH>
                  <wp:positionV relativeFrom="paragraph">
                    <wp:posOffset>52070</wp:posOffset>
                  </wp:positionV>
                  <wp:extent cx="8743950" cy="4845050"/>
                  <wp:effectExtent l="0" t="0" r="0" b="0"/>
                  <wp:wrapNone/>
                  <wp:docPr id="9718772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77241"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743950" cy="4845050"/>
                          </a:xfrm>
                          <a:prstGeom prst="rect">
                            <a:avLst/>
                          </a:prstGeom>
                          <a:noFill/>
                          <a:ln>
                            <a:noFill/>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92" w:hRule="atLeast"/>
        </w:trPr>
        <w:tc>
          <w:tcPr>
            <w:tcW w:w="13992" w:type="dxa"/>
            <w:tcBorders>
              <w:top w:val="nil"/>
              <w:left w:val="nil"/>
              <w:bottom w:val="nil"/>
              <w:right w:val="nil"/>
            </w:tcBorders>
          </w:tcPr>
          <w:p>
            <w:pPr>
              <w:jc w:val="center"/>
              <w:rPr>
                <w:sz w:val="20"/>
                <w:szCs w:val="20"/>
              </w:rPr>
            </w:pPr>
            <w:r>
              <w:rPr>
                <w:rFonts w:hint="eastAsia"/>
                <w:sz w:val="20"/>
                <w:szCs w:val="20"/>
              </w:rPr>
              <w:drawing>
                <wp:anchor distT="0" distB="0" distL="114300" distR="114300" simplePos="0" relativeHeight="251668480" behindDoc="0" locked="0" layoutInCell="1" allowOverlap="1">
                  <wp:simplePos x="0" y="0"/>
                  <wp:positionH relativeFrom="column">
                    <wp:posOffset>348615</wp:posOffset>
                  </wp:positionH>
                  <wp:positionV relativeFrom="paragraph">
                    <wp:posOffset>90170</wp:posOffset>
                  </wp:positionV>
                  <wp:extent cx="8045450" cy="4965700"/>
                  <wp:effectExtent l="0" t="0" r="0" b="6350"/>
                  <wp:wrapNone/>
                  <wp:docPr id="9854457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45738"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045450" cy="4965700"/>
                          </a:xfrm>
                          <a:prstGeom prst="rect">
                            <a:avLst/>
                          </a:prstGeom>
                          <a:noFill/>
                          <a:ln>
                            <a:noFill/>
                          </a:ln>
                        </pic:spPr>
                      </pic:pic>
                    </a:graphicData>
                  </a:graphic>
                </wp:anchor>
              </w:drawing>
            </w:r>
          </w:p>
          <w:p>
            <w:pPr>
              <w:widowControl/>
              <w:tabs>
                <w:tab w:val="left" w:pos="5484"/>
              </w:tabs>
              <w:jc w:val="left"/>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7" w:hRule="atLeast"/>
        </w:trPr>
        <w:tc>
          <w:tcPr>
            <w:tcW w:w="13992" w:type="dxa"/>
            <w:tcBorders>
              <w:top w:val="nil"/>
              <w:left w:val="nil"/>
              <w:bottom w:val="nil"/>
              <w:right w:val="nil"/>
            </w:tcBorders>
          </w:tcPr>
          <w:tbl>
            <w:tblPr>
              <w:tblStyle w:val="12"/>
              <w:tblpPr w:leftFromText="180" w:rightFromText="180" w:vertAnchor="text" w:horzAnchor="margin" w:tblpY="21"/>
              <w:tblOverlap w:val="never"/>
              <w:tblW w:w="1376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34" w:hRule="atLeast"/>
              </w:trPr>
              <w:tc>
                <w:tcPr>
                  <w:tcW w:w="13766" w:type="dxa"/>
                  <w:tcBorders>
                    <w:top w:val="nil"/>
                    <w:left w:val="nil"/>
                    <w:bottom w:val="nil"/>
                    <w:right w:val="nil"/>
                  </w:tcBorders>
                </w:tcPr>
                <w:p>
                  <w:pPr>
                    <w:widowControl/>
                    <w:jc w:val="center"/>
                    <w:rPr>
                      <w:sz w:val="20"/>
                      <w:szCs w:val="20"/>
                    </w:rPr>
                  </w:pPr>
                  <w:r>
                    <w:rPr>
                      <w:rFonts w:hint="eastAsia"/>
                      <w:sz w:val="20"/>
                      <w:szCs w:val="20"/>
                    </w:rPr>
                    <w:drawing>
                      <wp:anchor distT="0" distB="0" distL="114300" distR="114300" simplePos="0" relativeHeight="251669504" behindDoc="0" locked="0" layoutInCell="1" allowOverlap="1">
                        <wp:simplePos x="0" y="0"/>
                        <wp:positionH relativeFrom="column">
                          <wp:posOffset>95885</wp:posOffset>
                        </wp:positionH>
                        <wp:positionV relativeFrom="paragraph">
                          <wp:posOffset>13970</wp:posOffset>
                        </wp:positionV>
                        <wp:extent cx="8399780" cy="5917565"/>
                        <wp:effectExtent l="0" t="0" r="1270" b="6985"/>
                        <wp:wrapNone/>
                        <wp:docPr id="61161719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17196"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8399780" cy="5917565"/>
                                </a:xfrm>
                                <a:prstGeom prst="rect">
                                  <a:avLst/>
                                </a:prstGeom>
                                <a:noFill/>
                                <a:ln>
                                  <a:noFill/>
                                </a:ln>
                              </pic:spPr>
                            </pic:pic>
                          </a:graphicData>
                        </a:graphic>
                      </wp:anchor>
                    </w:drawing>
                  </w:r>
                </w:p>
              </w:tc>
            </w:tr>
          </w:tbl>
          <w:p>
            <w:pPr>
              <w:widowControl/>
              <w:jc w:val="center"/>
              <w:rPr>
                <w:sz w:val="20"/>
                <w:szCs w:val="20"/>
              </w:rPr>
            </w:pPr>
            <w:r>
              <w:rPr>
                <w:sz w:val="20"/>
                <w:szCs w:val="20"/>
              </w:rPr>
              <w:drawing>
                <wp:anchor distT="0" distB="0" distL="114300" distR="114300" simplePos="0" relativeHeight="251670528" behindDoc="0" locked="0" layoutInCell="1" allowOverlap="1">
                  <wp:simplePos x="0" y="0"/>
                  <wp:positionH relativeFrom="column">
                    <wp:posOffset>1294765</wp:posOffset>
                  </wp:positionH>
                  <wp:positionV relativeFrom="paragraph">
                    <wp:posOffset>182245</wp:posOffset>
                  </wp:positionV>
                  <wp:extent cx="6570980" cy="4968240"/>
                  <wp:effectExtent l="0" t="0" r="1270" b="3810"/>
                  <wp:wrapNone/>
                  <wp:docPr id="8783280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28077"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570980" cy="4968240"/>
                          </a:xfrm>
                          <a:prstGeom prst="rect">
                            <a:avLst/>
                          </a:prstGeom>
                          <a:noFill/>
                          <a:ln>
                            <a:noFill/>
                          </a:ln>
                        </pic:spPr>
                      </pic:pic>
                    </a:graphicData>
                  </a:graphic>
                </wp:anchor>
              </w:drawing>
            </w:r>
          </w:p>
        </w:tc>
      </w:tr>
    </w:tbl>
    <w:p>
      <w:pPr>
        <w:widowControl/>
        <w:jc w:val="center"/>
        <w:rPr>
          <w:sz w:val="20"/>
          <w:szCs w:val="20"/>
        </w:rPr>
        <w:sectPr>
          <w:pgSz w:w="16838" w:h="11906" w:orient="landscape"/>
          <w:pgMar w:top="2098" w:right="1531" w:bottom="1984" w:left="1531" w:header="851" w:footer="992" w:gutter="0"/>
          <w:cols w:space="720" w:num="1"/>
          <w:docGrid w:type="lines" w:linePitch="326" w:charSpace="0"/>
        </w:sectPr>
      </w:pPr>
    </w:p>
    <w:p>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rFonts w:hint="eastAsia"/>
          <w:sz w:val="20"/>
          <w:szCs w:val="20"/>
        </w:rPr>
        <w:drawing>
          <wp:anchor distT="0" distB="0" distL="114300" distR="114300" simplePos="0" relativeHeight="251671552" behindDoc="0" locked="0" layoutInCell="1" allowOverlap="1">
            <wp:simplePos x="0" y="0"/>
            <wp:positionH relativeFrom="column">
              <wp:posOffset>-203835</wp:posOffset>
            </wp:positionH>
            <wp:positionV relativeFrom="paragraph">
              <wp:posOffset>-36195</wp:posOffset>
            </wp:positionV>
            <wp:extent cx="9242425" cy="5735955"/>
            <wp:effectExtent l="0" t="0" r="15875" b="17145"/>
            <wp:wrapNone/>
            <wp:docPr id="20216631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63115"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242425" cy="5735955"/>
                    </a:xfrm>
                    <a:prstGeom prst="rect">
                      <a:avLst/>
                    </a:prstGeom>
                    <a:noFill/>
                    <a:ln>
                      <a:noFill/>
                    </a:ln>
                  </pic:spPr>
                </pic:pic>
              </a:graphicData>
            </a:graphic>
          </wp:anchor>
        </w:drawing>
      </w:r>
      <w:r>
        <w:rPr>
          <w:sz w:val="20"/>
          <w:szCs w:val="20"/>
        </w:rPr>
        <w:t xml:space="preserve"> </w:t>
      </w:r>
      <w:r>
        <w:rPr>
          <w:sz w:val="20"/>
          <w:szCs w:val="20"/>
        </w:rPr>
        <w:br w:type="page"/>
      </w:r>
    </w:p>
    <w:p>
      <w:pPr>
        <w:widowControl/>
        <w:jc w:val="center"/>
        <w:rPr>
          <w:sz w:val="20"/>
          <w:szCs w:val="20"/>
        </w:rPr>
      </w:pPr>
    </w:p>
    <w:p>
      <w:pPr>
        <w:widowControl/>
        <w:jc w:val="center"/>
        <w:rPr>
          <w:sz w:val="20"/>
          <w:szCs w:val="20"/>
        </w:rPr>
      </w:pPr>
      <w:r>
        <w:rPr>
          <w:rFonts w:hint="eastAsia"/>
          <w:sz w:val="20"/>
          <w:szCs w:val="20"/>
        </w:rPr>
        <w:drawing>
          <wp:anchor distT="0" distB="0" distL="114300" distR="114300" simplePos="0" relativeHeight="251672576" behindDoc="0" locked="0" layoutInCell="1" allowOverlap="1">
            <wp:simplePos x="0" y="0"/>
            <wp:positionH relativeFrom="column">
              <wp:posOffset>-635</wp:posOffset>
            </wp:positionH>
            <wp:positionV relativeFrom="paragraph">
              <wp:posOffset>70485</wp:posOffset>
            </wp:positionV>
            <wp:extent cx="8747760" cy="3023235"/>
            <wp:effectExtent l="0" t="0" r="0" b="5715"/>
            <wp:wrapNone/>
            <wp:docPr id="21443310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31063"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747760" cy="3023235"/>
                    </a:xfrm>
                    <a:prstGeom prst="rect">
                      <a:avLst/>
                    </a:prstGeom>
                    <a:noFill/>
                    <a:ln>
                      <a:noFill/>
                    </a:ln>
                  </pic:spPr>
                </pic:pic>
              </a:graphicData>
            </a:graphic>
          </wp:anchor>
        </w:drawing>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3600" behindDoc="0" locked="0" layoutInCell="1" allowOverlap="1">
            <wp:simplePos x="0" y="0"/>
            <wp:positionH relativeFrom="column">
              <wp:posOffset>1047115</wp:posOffset>
            </wp:positionH>
            <wp:positionV relativeFrom="paragraph">
              <wp:posOffset>1270</wp:posOffset>
            </wp:positionV>
            <wp:extent cx="6642100" cy="3162300"/>
            <wp:effectExtent l="0" t="0" r="6350" b="0"/>
            <wp:wrapNone/>
            <wp:docPr id="14495221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22122"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642100" cy="3162300"/>
                    </a:xfrm>
                    <a:prstGeom prst="rect">
                      <a:avLst/>
                    </a:prstGeom>
                    <a:noFill/>
                    <a:ln>
                      <a:noFill/>
                    </a:ln>
                  </pic:spPr>
                </pic:pic>
              </a:graphicData>
            </a:graphic>
          </wp:anchor>
        </w:drawing>
      </w:r>
      <w:r>
        <w:rPr>
          <w:sz w:val="20"/>
          <w:szCs w:val="20"/>
        </w:rPr>
        <w:br w:type="page"/>
      </w:r>
    </w:p>
    <w:p>
      <w:pPr>
        <w:widowControl/>
        <w:jc w:val="center"/>
        <w:rPr>
          <w:sz w:val="20"/>
          <w:szCs w:val="20"/>
        </w:rPr>
        <w:sectPr>
          <w:pgSz w:w="16838" w:h="11906" w:orient="landscape"/>
          <w:pgMar w:top="2098" w:right="1531" w:bottom="1984" w:left="1531" w:header="851" w:footer="992" w:gutter="0"/>
          <w:cols w:space="720" w:num="1"/>
          <w:docGrid w:type="lines" w:linePitch="312" w:charSpace="0"/>
        </w:sectPr>
      </w:pPr>
      <w:r>
        <w:rPr>
          <w:rFonts w:hint="eastAsia"/>
          <w:sz w:val="20"/>
          <w:szCs w:val="20"/>
        </w:rPr>
        <w:drawing>
          <wp:anchor distT="0" distB="0" distL="114300" distR="114300" simplePos="0" relativeHeight="251674624" behindDoc="0" locked="0" layoutInCell="1" allowOverlap="1">
            <wp:simplePos x="0" y="0"/>
            <wp:positionH relativeFrom="column">
              <wp:posOffset>-635</wp:posOffset>
            </wp:positionH>
            <wp:positionV relativeFrom="paragraph">
              <wp:posOffset>13970</wp:posOffset>
            </wp:positionV>
            <wp:extent cx="8747760" cy="1747520"/>
            <wp:effectExtent l="0" t="0" r="0" b="5080"/>
            <wp:wrapNone/>
            <wp:docPr id="12468397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39732"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747760" cy="1747520"/>
                    </a:xfrm>
                    <a:prstGeom prst="rect">
                      <a:avLst/>
                    </a:prstGeom>
                    <a:noFill/>
                    <a:ln>
                      <a:noFill/>
                    </a:ln>
                  </pic:spPr>
                </pic:pic>
              </a:graphicData>
            </a:graphic>
          </wp:anchor>
        </w:drawing>
      </w:r>
    </w:p>
    <w:p>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第三部分</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2023年度部门决算情况</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说明</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rPr>
      </w:pPr>
      <w:r>
        <w:rPr>
          <w:rFonts w:ascii="Arial" w:hAnsi="Arial" w:eastAsia="Arial" w:cs="Arial"/>
          <w:color w:val="000000"/>
          <w:sz w:val="18"/>
          <w:szCs w:val="18"/>
          <w:shd w:val="clear" w:color="auto" w:fill="FFFFFF"/>
        </w:rPr>
        <w:br w:type="page"/>
      </w:r>
    </w:p>
    <w:p>
      <w:pPr>
        <w:snapToGrid w:val="0"/>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一、收入支出决算总体情况说明</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本部门2023年度收、支总计（含结转和结余）14059.69万元。与2022年度决算相比，收支各增加13155.02万元，增长1454.1%，</w:t>
      </w:r>
      <w:r>
        <w:rPr>
          <w:rFonts w:ascii="仿宋" w:hAnsi="仿宋" w:eastAsia="仿宋" w:cs="Times New Roman"/>
          <w:kern w:val="2"/>
          <w:sz w:val="32"/>
          <w:szCs w:val="32"/>
          <w:highlight w:val="none"/>
        </w:rPr>
        <w:t>主要原因是</w:t>
      </w:r>
      <w:r>
        <w:rPr>
          <w:rFonts w:hint="eastAsia" w:ascii="仿宋" w:hAnsi="仿宋" w:eastAsia="仿宋" w:cs="Times New Roman"/>
          <w:kern w:val="2"/>
          <w:sz w:val="32"/>
          <w:szCs w:val="32"/>
          <w:highlight w:val="none"/>
          <w:lang w:val="en-US" w:eastAsia="zh-CN"/>
        </w:rPr>
        <w:t>政府性基金预算财政拨款收入增加</w:t>
      </w:r>
      <w:r>
        <w:rPr>
          <w:rFonts w:ascii="仿宋" w:hAnsi="仿宋" w:eastAsia="仿宋" w:cs="Times New Roman"/>
          <w:kern w:val="2"/>
          <w:sz w:val="32"/>
          <w:szCs w:val="32"/>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5648" behindDoc="0" locked="0" layoutInCell="1" allowOverlap="1">
                  <wp:simplePos x="0" y="0"/>
                  <wp:positionH relativeFrom="column">
                    <wp:posOffset>302260</wp:posOffset>
                  </wp:positionH>
                  <wp:positionV relativeFrom="paragraph">
                    <wp:posOffset>69850</wp:posOffset>
                  </wp:positionV>
                  <wp:extent cx="4229100" cy="2851150"/>
                  <wp:effectExtent l="0" t="0" r="0" b="6350"/>
                  <wp:wrapNone/>
                  <wp:docPr id="7720979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9795"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29100" cy="2851150"/>
                          </a:xfrm>
                          <a:prstGeom prst="rect">
                            <a:avLst/>
                          </a:prstGeom>
                          <a:noFill/>
                          <a:ln>
                            <a:noFill/>
                          </a:ln>
                        </pic:spPr>
                      </pic:pic>
                    </a:graphicData>
                  </a:graphic>
                </wp:anchor>
              </w:drawing>
            </w:r>
          </w:p>
        </w:tc>
      </w:tr>
    </w:tbl>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二、收入决算情况说明</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本部门2023年度本年收入合计14059.69万元，其中：财政拨款收入14059.69万元，占100.0%；上级补助收入0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w:t>
      </w:r>
      <w:r>
        <w:rPr>
          <w:rFonts w:hint="eastAsia" w:ascii="仿宋" w:hAnsi="仿宋" w:eastAsia="仿宋" w:cs="Times New Roman"/>
          <w:kern w:val="2"/>
          <w:sz w:val="32"/>
          <w:szCs w:val="32"/>
        </w:rPr>
        <w:t>0.0</w:t>
      </w:r>
      <w:r>
        <w:rPr>
          <w:rFonts w:ascii="仿宋" w:hAnsi="仿宋" w:eastAsia="仿宋" w:cs="Times New Roman"/>
          <w:kern w:val="2"/>
          <w:sz w:val="32"/>
          <w:szCs w:val="32"/>
          <w:lang w:val="zh-CN"/>
        </w:rPr>
        <w:t>%；事业收入0.00万元，占0.0%；经营收入0.00万元，占0.0%；附属单位上缴收入0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lang w:val="zh-CN"/>
        </w:rPr>
        <w:t>，占0.0%</w:t>
      </w:r>
      <w:r>
        <w:rPr>
          <w:rFonts w:ascii="仿宋" w:hAnsi="仿宋" w:eastAsia="仿宋" w:cs="Times New Roman"/>
          <w:kern w:val="2"/>
          <w:sz w:val="32"/>
          <w:szCs w:val="32"/>
          <w:lang w:val="zh-CN"/>
        </w:rPr>
        <w:t>；其他收入</w:t>
      </w:r>
      <w:r>
        <w:rPr>
          <w:rFonts w:hint="eastAsia" w:ascii="仿宋" w:hAnsi="仿宋" w:eastAsia="仿宋" w:cs="Times New Roman"/>
          <w:kern w:val="2"/>
          <w:sz w:val="32"/>
          <w:szCs w:val="32"/>
          <w:lang w:val="zh-CN"/>
        </w:rPr>
        <w:t>0.00</w:t>
      </w:r>
      <w:r>
        <w:rPr>
          <w:rFonts w:ascii="仿宋" w:hAnsi="仿宋" w:eastAsia="仿宋" w:cs="Times New Roman"/>
          <w:kern w:val="2"/>
          <w:sz w:val="32"/>
          <w:szCs w:val="32"/>
          <w:lang w:val="zh-CN"/>
        </w:rPr>
        <w:t>万元，占0.0%</w:t>
      </w:r>
      <w:r>
        <w:rPr>
          <w:rFonts w:hint="eastAsia" w:ascii="仿宋" w:hAnsi="仿宋" w:eastAsia="仿宋" w:cs="Times New Roman"/>
          <w:kern w:val="2"/>
          <w:sz w:val="32"/>
          <w:szCs w:val="32"/>
          <w:lang w:val="zh-CN"/>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8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6672" behindDoc="0" locked="0" layoutInCell="1" allowOverlap="1">
                  <wp:simplePos x="0" y="0"/>
                  <wp:positionH relativeFrom="column">
                    <wp:posOffset>276860</wp:posOffset>
                  </wp:positionH>
                  <wp:positionV relativeFrom="paragraph">
                    <wp:posOffset>-292100</wp:posOffset>
                  </wp:positionV>
                  <wp:extent cx="4273550" cy="3213100"/>
                  <wp:effectExtent l="0" t="0" r="0" b="6350"/>
                  <wp:wrapNone/>
                  <wp:docPr id="9197080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08055"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73550" cy="3213100"/>
                          </a:xfrm>
                          <a:prstGeom prst="rect">
                            <a:avLst/>
                          </a:prstGeom>
                          <a:noFill/>
                          <a:ln>
                            <a:noFill/>
                          </a:ln>
                        </pic:spPr>
                      </pic:pic>
                    </a:graphicData>
                  </a:graphic>
                </wp:anchor>
              </w:drawing>
            </w:r>
          </w:p>
        </w:tc>
      </w:tr>
    </w:tbl>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三、支出决算情况说明</w:t>
      </w:r>
    </w:p>
    <w:p>
      <w:pPr>
        <w:autoSpaceDE w:val="0"/>
        <w:autoSpaceDN w:val="0"/>
        <w:adjustRightInd w:val="0"/>
        <w:snapToGrid w:val="0"/>
        <w:spacing w:after="0" w:line="360" w:lineRule="auto"/>
        <w:ind w:firstLine="6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本部门2023年度本年支出合计14059.69万元，其中：基本支出205.36万元，占1.5%；项目支出13854.33万元，占98.5%；上缴上级支出0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%；经营支出0.00万元，占0.0%；对附属单位补助支出0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bookmarkStart w:id="0" w:name="_Hlk177575033"/>
            <w:r>
              <w:rPr>
                <w:rFonts w:hint="eastAsia" w:ascii="仿宋_GB2312" w:hAnsi="Times New Roman" w:eastAsia="仿宋" w:cs="DengXian-Regular"/>
                <w:sz w:val="32"/>
                <w:szCs w:val="32"/>
              </w:rPr>
              <w:drawing>
                <wp:anchor distT="0" distB="0" distL="114300" distR="114300" simplePos="0" relativeHeight="251677696" behindDoc="0" locked="0" layoutInCell="1" allowOverlap="1">
                  <wp:simplePos x="0" y="0"/>
                  <wp:positionH relativeFrom="column">
                    <wp:posOffset>289560</wp:posOffset>
                  </wp:positionH>
                  <wp:positionV relativeFrom="paragraph">
                    <wp:posOffset>106045</wp:posOffset>
                  </wp:positionV>
                  <wp:extent cx="4254500" cy="2813050"/>
                  <wp:effectExtent l="0" t="0" r="0" b="6350"/>
                  <wp:wrapNone/>
                  <wp:docPr id="20436324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32455"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54500" cy="2813050"/>
                          </a:xfrm>
                          <a:prstGeom prst="rect">
                            <a:avLst/>
                          </a:prstGeom>
                          <a:noFill/>
                          <a:ln>
                            <a:noFill/>
                          </a:ln>
                        </pic:spPr>
                      </pic:pic>
                    </a:graphicData>
                  </a:graphic>
                </wp:anchor>
              </w:drawing>
            </w:r>
          </w:p>
        </w:tc>
      </w:tr>
      <w:bookmarkEnd w:id="0"/>
    </w:tbl>
    <w:p>
      <w:pPr>
        <w:snapToGrid w:val="0"/>
        <w:spacing w:after="0" w:line="360" w:lineRule="auto"/>
        <w:ind w:firstLine="640" w:firstLineChars="200"/>
        <w:rPr>
          <w:rFonts w:ascii="黑体" w:hAnsi="黑体" w:eastAsia="黑体"/>
          <w:sz w:val="32"/>
          <w:szCs w:val="32"/>
          <w:shd w:val="clear" w:color="auto" w:fill="FFFFFF"/>
        </w:rPr>
      </w:pP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四、财政拨款收入支出决算总体情况说明</w:t>
      </w:r>
    </w:p>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（一）财政拨款收支与2022年度决算对比情况</w:t>
      </w:r>
    </w:p>
    <w:p>
      <w:pPr>
        <w:pStyle w:val="10"/>
        <w:widowControl/>
        <w:snapToGrid w:val="0"/>
        <w:spacing w:beforeAutospacing="0" w:afterAutospacing="0" w:line="360" w:lineRule="auto"/>
        <w:ind w:firstLine="640" w:firstLineChars="200"/>
        <w:rPr>
          <w:rFonts w:hint="eastAsia" w:ascii="仿宋" w:hAnsi="仿宋" w:eastAsia="仿宋"/>
          <w:sz w:val="30"/>
          <w:szCs w:val="30"/>
        </w:rPr>
      </w:pP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kern w:val="2"/>
          <w:sz w:val="32"/>
          <w:szCs w:val="32"/>
        </w:rPr>
        <w:t>14059.69万</w:t>
      </w:r>
      <w:r>
        <w:rPr>
          <w:rFonts w:ascii="仿宋" w:hAnsi="仿宋" w:eastAsia="仿宋"/>
          <w:kern w:val="2"/>
          <w:sz w:val="32"/>
          <w:szCs w:val="32"/>
          <w:lang w:val="zh-CN"/>
        </w:rPr>
        <w:t>元</w:t>
      </w:r>
      <w:r>
        <w:rPr>
          <w:rFonts w:hint="eastAsia"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增加13155.02</w:t>
      </w:r>
      <w:r>
        <w:rPr>
          <w:rFonts w:ascii="仿宋" w:hAnsi="仿宋" w:eastAsia="仿宋"/>
          <w:kern w:val="2"/>
          <w:sz w:val="32"/>
          <w:szCs w:val="32"/>
          <w:lang w:val="zh-CN"/>
        </w:rPr>
        <w:t>万元</w:t>
      </w:r>
      <w:r>
        <w:rPr>
          <w:rFonts w:ascii="仿宋" w:hAnsi="仿宋" w:eastAsia="仿宋"/>
          <w:kern w:val="2"/>
          <w:sz w:val="32"/>
          <w:szCs w:val="32"/>
        </w:rPr>
        <w:t>，增长1454.1%，</w:t>
      </w:r>
      <w:r>
        <w:rPr>
          <w:rFonts w:ascii="仿宋" w:hAnsi="仿宋" w:eastAsia="仿宋"/>
          <w:kern w:val="2"/>
          <w:sz w:val="32"/>
          <w:szCs w:val="32"/>
          <w:highlight w:val="none"/>
          <w:lang w:val="zh-CN"/>
        </w:rPr>
        <w:t>主要</w:t>
      </w:r>
      <w:r>
        <w:rPr>
          <w:rFonts w:hint="eastAsia" w:ascii="仿宋" w:hAnsi="仿宋" w:eastAsia="仿宋"/>
          <w:kern w:val="2"/>
          <w:sz w:val="32"/>
          <w:szCs w:val="32"/>
          <w:highlight w:val="none"/>
          <w:lang w:val="zh-CN"/>
        </w:rPr>
        <w:t>原因是</w:t>
      </w:r>
      <w:r>
        <w:rPr>
          <w:rFonts w:hint="eastAsia" w:ascii="仿宋" w:hAnsi="仿宋" w:eastAsia="仿宋"/>
          <w:kern w:val="2"/>
          <w:sz w:val="32"/>
          <w:szCs w:val="32"/>
          <w:highlight w:val="none"/>
        </w:rPr>
        <w:t>：</w:t>
      </w:r>
      <w:r>
        <w:rPr>
          <w:rFonts w:hint="eastAsia" w:ascii="仿宋" w:hAnsi="仿宋" w:eastAsia="仿宋" w:cs="Times New Roman"/>
          <w:kern w:val="2"/>
          <w:sz w:val="32"/>
          <w:szCs w:val="32"/>
          <w:highlight w:val="none"/>
          <w:lang w:val="en-US" w:eastAsia="zh-CN"/>
        </w:rPr>
        <w:t>政府性基金预算财政拨款收入增加</w:t>
      </w:r>
      <w:r>
        <w:rPr>
          <w:rFonts w:ascii="仿宋" w:hAnsi="仿宋" w:eastAsia="仿宋"/>
          <w:kern w:val="2"/>
          <w:sz w:val="32"/>
          <w:szCs w:val="32"/>
        </w:rPr>
        <w:t>；</w:t>
      </w:r>
      <w:r>
        <w:rPr>
          <w:rFonts w:ascii="仿宋" w:hAnsi="仿宋" w:eastAsia="仿宋"/>
          <w:kern w:val="2"/>
          <w:sz w:val="32"/>
          <w:szCs w:val="32"/>
          <w:lang w:val="zh-CN"/>
        </w:rPr>
        <w:t>本年支出</w:t>
      </w:r>
      <w:r>
        <w:rPr>
          <w:rFonts w:hint="eastAsia" w:ascii="仿宋" w:hAnsi="仿宋" w:eastAsia="仿宋"/>
          <w:kern w:val="2"/>
          <w:sz w:val="32"/>
          <w:szCs w:val="32"/>
          <w:lang w:val="zh-CN"/>
        </w:rPr>
        <w:t>合计</w:t>
      </w:r>
      <w:r>
        <w:rPr>
          <w:rFonts w:ascii="仿宋" w:hAnsi="仿宋" w:eastAsia="仿宋"/>
          <w:kern w:val="2"/>
          <w:sz w:val="32"/>
          <w:szCs w:val="32"/>
        </w:rPr>
        <w:t>14059.69</w:t>
      </w:r>
      <w:r>
        <w:rPr>
          <w:rFonts w:ascii="仿宋" w:hAnsi="仿宋" w:eastAsia="仿宋"/>
          <w:kern w:val="2"/>
          <w:sz w:val="32"/>
          <w:szCs w:val="32"/>
          <w:lang w:val="zh-CN"/>
        </w:rPr>
        <w:t>元</w:t>
      </w:r>
      <w:r>
        <w:rPr>
          <w:rFonts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增加13155.02</w:t>
      </w:r>
      <w:r>
        <w:rPr>
          <w:rFonts w:ascii="仿宋" w:hAnsi="仿宋" w:eastAsia="仿宋"/>
          <w:kern w:val="2"/>
          <w:sz w:val="32"/>
          <w:szCs w:val="32"/>
          <w:lang w:val="zh-CN"/>
        </w:rPr>
        <w:t>万元</w:t>
      </w:r>
      <w:r>
        <w:rPr>
          <w:rFonts w:ascii="仿宋" w:hAnsi="仿宋" w:eastAsia="仿宋"/>
          <w:kern w:val="2"/>
          <w:sz w:val="32"/>
          <w:szCs w:val="32"/>
        </w:rPr>
        <w:t>，增长1454.1%，</w:t>
      </w:r>
      <w:r>
        <w:rPr>
          <w:rFonts w:ascii="仿宋" w:hAnsi="仿宋" w:eastAsia="仿宋"/>
          <w:kern w:val="2"/>
          <w:sz w:val="32"/>
          <w:szCs w:val="32"/>
          <w:highlight w:val="none"/>
          <w:lang w:val="zh-CN"/>
        </w:rPr>
        <w:t>主要</w:t>
      </w:r>
      <w:r>
        <w:rPr>
          <w:rFonts w:hint="eastAsia" w:ascii="仿宋" w:hAnsi="仿宋" w:eastAsia="仿宋"/>
          <w:kern w:val="2"/>
          <w:sz w:val="32"/>
          <w:szCs w:val="32"/>
          <w:highlight w:val="none"/>
          <w:lang w:val="zh-CN"/>
        </w:rPr>
        <w:t>原因是</w:t>
      </w:r>
      <w:r>
        <w:rPr>
          <w:rFonts w:hint="eastAsia" w:ascii="仿宋" w:hAnsi="仿宋" w:eastAsia="仿宋"/>
          <w:kern w:val="2"/>
          <w:sz w:val="32"/>
          <w:szCs w:val="32"/>
          <w:highlight w:val="none"/>
        </w:rPr>
        <w:t>：</w:t>
      </w:r>
      <w:r>
        <w:rPr>
          <w:rFonts w:hint="eastAsia" w:ascii="仿宋" w:hAnsi="仿宋" w:eastAsia="仿宋" w:cs="Times New Roman"/>
          <w:kern w:val="2"/>
          <w:sz w:val="32"/>
          <w:szCs w:val="32"/>
          <w:highlight w:val="none"/>
          <w:lang w:val="en-US" w:eastAsia="zh-CN"/>
        </w:rPr>
        <w:t>政府性基金预算财政拨款收入增加</w:t>
      </w:r>
      <w:r>
        <w:rPr>
          <w:rFonts w:ascii="仿宋" w:hAnsi="仿宋" w:eastAsia="仿宋"/>
          <w:kern w:val="2"/>
          <w:sz w:val="32"/>
          <w:szCs w:val="32"/>
          <w:lang w:val="zh-CN"/>
        </w:rPr>
        <w:t>。具体情况如下：</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1. </w:t>
      </w:r>
      <w:r>
        <w:rPr>
          <w:rFonts w:ascii="仿宋" w:hAnsi="仿宋" w:eastAsia="仿宋" w:cs="Times New Roman"/>
          <w:kern w:val="2"/>
          <w:sz w:val="32"/>
          <w:szCs w:val="32"/>
          <w:lang w:val="zh-CN"/>
        </w:rPr>
        <w:t>一般公共预算财政拨款本年收入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1016.99</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增加112.32</w:t>
      </w:r>
      <w:r>
        <w:rPr>
          <w:rFonts w:ascii="仿宋" w:hAnsi="仿宋" w:eastAsia="仿宋" w:cs="Times New Roman"/>
          <w:kern w:val="2"/>
          <w:sz w:val="32"/>
          <w:szCs w:val="32"/>
          <w:lang w:val="zh-CN"/>
        </w:rPr>
        <w:t>万元</w:t>
      </w:r>
      <w:r>
        <w:rPr>
          <w:rFonts w:ascii="仿宋" w:hAnsi="仿宋" w:eastAsia="仿宋" w:cs="Times New Roman"/>
          <w:kern w:val="2"/>
          <w:sz w:val="32"/>
          <w:szCs w:val="32"/>
        </w:rPr>
        <w:t>，增长12.4%</w:t>
      </w:r>
      <w:r>
        <w:rPr>
          <w:rFonts w:hint="eastAsia" w:ascii="仿宋" w:hAnsi="仿宋" w:eastAsia="仿宋" w:cs="Times New Roman"/>
          <w:kern w:val="2"/>
          <w:sz w:val="32"/>
          <w:szCs w:val="32"/>
        </w:rPr>
        <w:t>，</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rPr>
        <w:t>：</w:t>
      </w:r>
      <w:r>
        <w:rPr>
          <w:rFonts w:hint="eastAsia" w:ascii="仿宋" w:hAnsi="仿宋" w:eastAsia="仿宋" w:cs="Times New Roman"/>
          <w:kern w:val="2"/>
          <w:sz w:val="32"/>
          <w:szCs w:val="32"/>
          <w:highlight w:val="none"/>
          <w:lang w:val="en-US" w:eastAsia="zh-CN"/>
        </w:rPr>
        <w:t>城乡社区支出增加</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1016.99万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增加112.32</w:t>
      </w:r>
      <w:r>
        <w:rPr>
          <w:rFonts w:ascii="仿宋" w:hAnsi="仿宋" w:eastAsia="仿宋" w:cs="Times New Roman"/>
          <w:kern w:val="2"/>
          <w:sz w:val="32"/>
          <w:szCs w:val="32"/>
          <w:lang w:val="zh-CN"/>
        </w:rPr>
        <w:t>万元</w:t>
      </w:r>
      <w:r>
        <w:rPr>
          <w:rFonts w:ascii="仿宋" w:hAnsi="仿宋" w:eastAsia="仿宋" w:cs="Times New Roman"/>
          <w:kern w:val="2"/>
          <w:sz w:val="32"/>
          <w:szCs w:val="32"/>
        </w:rPr>
        <w:t>，增长12.4%，</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rPr>
        <w:t>：</w:t>
      </w:r>
      <w:r>
        <w:rPr>
          <w:rFonts w:hint="eastAsia" w:ascii="仿宋" w:hAnsi="仿宋" w:eastAsia="仿宋" w:cs="Times New Roman"/>
          <w:kern w:val="2"/>
          <w:sz w:val="32"/>
          <w:szCs w:val="32"/>
          <w:highlight w:val="none"/>
          <w:lang w:val="en-US" w:eastAsia="zh-CN"/>
        </w:rPr>
        <w:t>城乡社区支出增加</w:t>
      </w:r>
      <w:r>
        <w:rPr>
          <w:rFonts w:ascii="仿宋" w:hAnsi="仿宋" w:eastAsia="仿宋" w:cs="Times New Roman"/>
          <w:kern w:val="2"/>
          <w:sz w:val="32"/>
          <w:szCs w:val="32"/>
          <w:lang w:val="zh-CN"/>
        </w:rPr>
        <w:t>。</w:t>
      </w:r>
    </w:p>
    <w:p>
      <w:pPr>
        <w:autoSpaceDE w:val="0"/>
        <w:autoSpaceDN w:val="0"/>
        <w:adjustRightInd w:val="0"/>
        <w:snapToGrid w:val="0"/>
        <w:spacing w:after="0" w:line="360" w:lineRule="auto"/>
        <w:ind w:firstLine="640" w:firstLineChars="200"/>
        <w:jc w:val="left"/>
        <w:rPr>
          <w:rFonts w:hint="eastAsia" w:ascii="仿宋" w:hAnsi="仿宋" w:eastAsia="仿宋" w:cs="Times New Roman"/>
          <w:sz w:val="32"/>
          <w:szCs w:val="32"/>
        </w:rPr>
      </w:pPr>
      <w:r>
        <w:rPr>
          <w:rFonts w:ascii="仿宋" w:hAnsi="仿宋" w:eastAsia="仿宋" w:cs="Times New Roman"/>
          <w:kern w:val="2"/>
          <w:sz w:val="32"/>
          <w:szCs w:val="32"/>
        </w:rPr>
        <w:t xml:space="preserve">2. </w:t>
      </w:r>
      <w:r>
        <w:rPr>
          <w:rFonts w:ascii="仿宋" w:hAnsi="仿宋" w:eastAsia="仿宋" w:cs="Times New Roman"/>
          <w:kern w:val="2"/>
          <w:sz w:val="32"/>
          <w:szCs w:val="32"/>
          <w:lang w:val="zh-CN"/>
        </w:rPr>
        <w:t>政府性基金预算财政拨款本年收入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13042.70万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增加13042.70</w:t>
      </w:r>
      <w:r>
        <w:rPr>
          <w:rFonts w:ascii="仿宋" w:hAnsi="仿宋" w:eastAsia="仿宋" w:cs="Times New Roman"/>
          <w:kern w:val="2"/>
          <w:sz w:val="32"/>
          <w:szCs w:val="32"/>
          <w:lang w:val="zh-CN"/>
        </w:rPr>
        <w:t>万元</w:t>
      </w:r>
      <w:r>
        <w:rPr>
          <w:rFonts w:ascii="仿宋" w:hAnsi="仿宋" w:eastAsia="仿宋" w:cs="Times New Roman"/>
          <w:kern w:val="2"/>
          <w:sz w:val="32"/>
          <w:szCs w:val="32"/>
        </w:rPr>
        <w:t>，增长</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rPr>
        <w:t>：</w:t>
      </w:r>
      <w:r>
        <w:rPr>
          <w:rFonts w:hint="eastAsia" w:ascii="仿宋" w:hAnsi="仿宋" w:eastAsia="仿宋" w:cs="Times New Roman"/>
          <w:kern w:val="2"/>
          <w:sz w:val="32"/>
          <w:szCs w:val="32"/>
          <w:highlight w:val="none"/>
          <w:lang w:val="en-US" w:eastAsia="zh-CN"/>
        </w:rPr>
        <w:t>城乡社区支出增加</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13042.70万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增加13042.70</w:t>
      </w:r>
      <w:r>
        <w:rPr>
          <w:rFonts w:ascii="仿宋" w:hAnsi="仿宋" w:eastAsia="仿宋" w:cs="Times New Roman"/>
          <w:kern w:val="2"/>
          <w:sz w:val="32"/>
          <w:szCs w:val="32"/>
          <w:lang w:val="zh-CN"/>
        </w:rPr>
        <w:t>万元</w:t>
      </w:r>
      <w:r>
        <w:rPr>
          <w:rFonts w:ascii="仿宋" w:hAnsi="仿宋" w:eastAsia="仿宋" w:cs="Times New Roman"/>
          <w:kern w:val="2"/>
          <w:sz w:val="32"/>
          <w:szCs w:val="32"/>
        </w:rPr>
        <w:t>，</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rPr>
        <w:t>：</w:t>
      </w:r>
      <w:r>
        <w:rPr>
          <w:rFonts w:hint="eastAsia" w:ascii="仿宋" w:hAnsi="仿宋" w:eastAsia="仿宋" w:cs="Times New Roman"/>
          <w:kern w:val="2"/>
          <w:sz w:val="32"/>
          <w:szCs w:val="32"/>
          <w:highlight w:val="none"/>
          <w:lang w:val="en-US" w:eastAsia="zh-CN"/>
        </w:rPr>
        <w:t>城乡社区支出增加</w:t>
      </w:r>
      <w:r>
        <w:rPr>
          <w:rFonts w:ascii="仿宋" w:hAnsi="仿宋" w:eastAsia="仿宋" w:cs="Times New Roman"/>
          <w:kern w:val="2"/>
          <w:sz w:val="32"/>
          <w:szCs w:val="32"/>
          <w:lang w:val="zh-CN"/>
        </w:rPr>
        <w:t>。</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3. </w:t>
      </w:r>
      <w:r>
        <w:rPr>
          <w:rFonts w:ascii="仿宋" w:hAnsi="仿宋" w:eastAsia="仿宋" w:cs="Times New Roman"/>
          <w:kern w:val="2"/>
          <w:sz w:val="32"/>
          <w:szCs w:val="32"/>
          <w:lang w:val="zh-CN"/>
        </w:rPr>
        <w:t>国有资本经营预算财政拨款本年收入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537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bookmarkStart w:id="1" w:name="_Hlk177574799"/>
            <w:r>
              <w:rPr>
                <w:rFonts w:hint="eastAsia" w:ascii="仿宋_GB2312" w:hAnsi="Times New Roman" w:eastAsia="仿宋" w:cs="DengXian-Regular"/>
                <w:sz w:val="32"/>
                <w:szCs w:val="32"/>
              </w:rPr>
              <w:drawing>
                <wp:anchor distT="0" distB="0" distL="114300" distR="114300" simplePos="0" relativeHeight="251678720" behindDoc="0" locked="0" layoutInCell="1" allowOverlap="1">
                  <wp:simplePos x="0" y="0"/>
                  <wp:positionH relativeFrom="column">
                    <wp:posOffset>276860</wp:posOffset>
                  </wp:positionH>
                  <wp:positionV relativeFrom="paragraph">
                    <wp:posOffset>69850</wp:posOffset>
                  </wp:positionV>
                  <wp:extent cx="4273550" cy="3168650"/>
                  <wp:effectExtent l="0" t="0" r="0" b="0"/>
                  <wp:wrapNone/>
                  <wp:docPr id="63601876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18768" name="图片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73550" cy="3168650"/>
                          </a:xfrm>
                          <a:prstGeom prst="rect">
                            <a:avLst/>
                          </a:prstGeom>
                          <a:noFill/>
                          <a:ln>
                            <a:noFill/>
                          </a:ln>
                        </pic:spPr>
                      </pic:pic>
                    </a:graphicData>
                  </a:graphic>
                </wp:anchor>
              </w:drawing>
            </w:r>
          </w:p>
        </w:tc>
      </w:tr>
      <w:bookmarkEnd w:id="1"/>
    </w:tbl>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（二）财政拨款收支与年初预算数对比情况</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w:t>
      </w:r>
      <w:r>
        <w:rPr>
          <w:rFonts w:hint="eastAsia" w:ascii="仿宋" w:hAnsi="仿宋" w:eastAsia="仿宋" w:cs="Times New Roman"/>
          <w:kern w:val="2"/>
          <w:sz w:val="32"/>
          <w:szCs w:val="32"/>
          <w:lang w:val="zh-CN"/>
        </w:rPr>
        <w:t>部门</w:t>
      </w:r>
      <w:r>
        <w:rPr>
          <w:rFonts w:ascii="仿宋" w:hAnsi="仿宋" w:eastAsia="仿宋" w:cs="Times New Roman"/>
          <w:kern w:val="2"/>
          <w:sz w:val="32"/>
          <w:szCs w:val="32"/>
          <w:lang w:val="zh-CN"/>
        </w:rPr>
        <w:t>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14059.69万元，完成年初预算的119.4%，比年初预算增加2283.52万元，决算数大于预算数</w:t>
      </w:r>
      <w:r>
        <w:rPr>
          <w:rFonts w:hint="eastAsia" w:ascii="仿宋" w:hAnsi="仿宋" w:eastAsia="仿宋" w:cs="Times New Roman"/>
          <w:kern w:val="2"/>
          <w:sz w:val="32"/>
          <w:szCs w:val="32"/>
          <w:lang w:val="zh-CN"/>
        </w:rPr>
        <w:t>，</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val="en-US" w:eastAsia="zh-CN"/>
        </w:rPr>
        <w:t>政府性基金预算财政拨款收入增加</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14059.69万元，完成年初预算的119.4%，比年初预算增加2283.52万元，决算数大于预算数</w:t>
      </w:r>
      <w:r>
        <w:rPr>
          <w:rFonts w:hint="eastAsia" w:ascii="仿宋" w:hAnsi="仿宋" w:eastAsia="仿宋" w:cs="Times New Roman"/>
          <w:kern w:val="2"/>
          <w:sz w:val="32"/>
          <w:szCs w:val="32"/>
          <w:lang w:val="zh-CN"/>
        </w:rPr>
        <w:t>，</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val="en-US" w:eastAsia="zh-CN"/>
        </w:rPr>
        <w:t>政府性基金预算财政拨款收入增加</w:t>
      </w:r>
      <w:r>
        <w:rPr>
          <w:rFonts w:ascii="仿宋" w:hAnsi="仿宋" w:eastAsia="仿宋" w:cs="Times New Roman"/>
          <w:kern w:val="2"/>
          <w:sz w:val="32"/>
          <w:szCs w:val="32"/>
          <w:lang w:val="zh-CN"/>
        </w:rPr>
        <w:t>。具体情况如下：</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rPr>
        <w:t>1.</w:t>
      </w:r>
      <w:r>
        <w:rPr>
          <w:rFonts w:ascii="仿宋" w:hAnsi="仿宋" w:eastAsia="仿宋" w:cs="Times New Roman"/>
          <w:kern w:val="2"/>
          <w:sz w:val="32"/>
          <w:szCs w:val="32"/>
          <w:lang w:val="zh-CN"/>
        </w:rPr>
        <w:t>一般公共预算财政拨款</w:t>
      </w:r>
      <w:r>
        <w:rPr>
          <w:rFonts w:ascii="仿宋" w:hAnsi="仿宋" w:eastAsia="仿宋" w:cs="Times New Roman"/>
          <w:kern w:val="2"/>
          <w:sz w:val="32"/>
          <w:szCs w:val="32"/>
        </w:rPr>
        <w:t>本年</w:t>
      </w:r>
      <w:r>
        <w:rPr>
          <w:rFonts w:ascii="仿宋" w:hAnsi="仿宋" w:eastAsia="仿宋" w:cs="Times New Roman"/>
          <w:kern w:val="2"/>
          <w:sz w:val="32"/>
          <w:szCs w:val="32"/>
          <w:lang w:val="zh-CN"/>
        </w:rPr>
        <w:t>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1016.99</w:t>
      </w:r>
      <w:r>
        <w:rPr>
          <w:rFonts w:ascii="仿宋" w:hAnsi="仿宋" w:eastAsia="仿宋" w:cs="Times New Roman"/>
          <w:kern w:val="2"/>
          <w:sz w:val="32"/>
          <w:szCs w:val="32"/>
          <w:lang w:val="zh-CN"/>
        </w:rPr>
        <w:t>万元，完成年初预算的57.3%，比年初预算减少759.18万元，</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val="en-US" w:eastAsia="zh-CN"/>
        </w:rPr>
        <w:t>部分项目支出减少</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1016.99</w:t>
      </w:r>
      <w:r>
        <w:rPr>
          <w:rFonts w:ascii="仿宋" w:hAnsi="仿宋" w:eastAsia="仿宋" w:cs="Times New Roman"/>
          <w:kern w:val="2"/>
          <w:sz w:val="32"/>
          <w:szCs w:val="32"/>
          <w:lang w:val="zh-CN"/>
        </w:rPr>
        <w:t>万元，完成年初预算的57.3%，比年初预算减少759.18万元，</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val="en-US" w:eastAsia="zh-CN"/>
        </w:rPr>
        <w:t>部分项目支出减少</w:t>
      </w:r>
      <w:r>
        <w:rPr>
          <w:rFonts w:ascii="仿宋" w:hAnsi="仿宋" w:eastAsia="仿宋" w:cs="Times New Roman"/>
          <w:kern w:val="2"/>
          <w:sz w:val="32"/>
          <w:szCs w:val="32"/>
          <w:lang w:val="zh-CN"/>
        </w:rPr>
        <w:t>。</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2. 政府性基金预算财政拨款本年收入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13042.70</w:t>
      </w:r>
      <w:r>
        <w:rPr>
          <w:rFonts w:ascii="仿宋" w:hAnsi="仿宋" w:eastAsia="仿宋" w:cs="Times New Roman"/>
          <w:kern w:val="2"/>
          <w:sz w:val="32"/>
          <w:szCs w:val="32"/>
          <w:lang w:val="zh-CN"/>
        </w:rPr>
        <w:t>万元，完成年初预算的130.4%，比年初预算增加3042.70万元，</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val="en-US" w:eastAsia="zh-CN"/>
        </w:rPr>
        <w:t>城乡社区支出增加</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13042.70</w:t>
      </w:r>
      <w:r>
        <w:rPr>
          <w:rFonts w:ascii="仿宋" w:hAnsi="仿宋" w:eastAsia="仿宋" w:cs="Times New Roman"/>
          <w:kern w:val="2"/>
          <w:sz w:val="32"/>
          <w:szCs w:val="32"/>
          <w:lang w:val="zh-CN"/>
        </w:rPr>
        <w:t>万元，完成年初预算的130.4%，比年初预算增加3042.70万元，</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val="en-US" w:eastAsia="zh-CN"/>
        </w:rPr>
        <w:t>城乡社区支出增加</w:t>
      </w:r>
      <w:r>
        <w:rPr>
          <w:rFonts w:ascii="仿宋" w:hAnsi="仿宋" w:eastAsia="仿宋" w:cs="Times New Roman"/>
          <w:kern w:val="2"/>
          <w:sz w:val="32"/>
          <w:szCs w:val="32"/>
          <w:lang w:val="zh-CN"/>
        </w:rPr>
        <w:t>。</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 xml:space="preserve">3. </w:t>
      </w:r>
      <w:r>
        <w:rPr>
          <w:rFonts w:hint="eastAsia" w:ascii="仿宋" w:hAnsi="仿宋" w:eastAsia="仿宋" w:cs="仿宋_GB2312"/>
          <w:kern w:val="2"/>
          <w:sz w:val="32"/>
          <w:szCs w:val="32"/>
          <w:lang w:val="zh-CN"/>
        </w:rPr>
        <w:t>国有资本经营预算财政拨款本年收入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w:t>
      </w:r>
      <w:r>
        <w:rPr>
          <w:rFonts w:ascii="仿宋" w:hAnsi="仿宋" w:eastAsia="仿宋" w:cs="Times New Roman"/>
          <w:kern w:val="2"/>
          <w:sz w:val="32"/>
          <w:szCs w:val="32"/>
          <w:lang w:val="zh-CN"/>
        </w:rPr>
        <w:t>。</w:t>
      </w:r>
    </w:p>
    <w:tbl>
      <w:tblPr>
        <w:tblStyle w:val="12"/>
        <w:tblW w:w="78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cantSplit/>
          <w:trHeight w:val="5203" w:hRule="atLeast"/>
          <w:jc w:val="center"/>
        </w:trPr>
        <w:tc>
          <w:tcPr>
            <w:tcW w:w="7842"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9744" behindDoc="0" locked="0" layoutInCell="1" allowOverlap="1">
                  <wp:simplePos x="0" y="0"/>
                  <wp:positionH relativeFrom="column">
                    <wp:posOffset>260350</wp:posOffset>
                  </wp:positionH>
                  <wp:positionV relativeFrom="paragraph">
                    <wp:posOffset>271145</wp:posOffset>
                  </wp:positionV>
                  <wp:extent cx="4324350" cy="2857500"/>
                  <wp:effectExtent l="0" t="0" r="0" b="0"/>
                  <wp:wrapNone/>
                  <wp:docPr id="61584900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49003" name="图片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324350" cy="2857500"/>
                          </a:xfrm>
                          <a:prstGeom prst="rect">
                            <a:avLst/>
                          </a:prstGeom>
                          <a:noFill/>
                          <a:ln>
                            <a:noFill/>
                          </a:ln>
                        </pic:spPr>
                      </pic:pic>
                    </a:graphicData>
                  </a:graphic>
                </wp:anchor>
              </w:drawing>
            </w:r>
          </w:p>
        </w:tc>
      </w:tr>
    </w:tbl>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（三）财政拨款支出决算结构情况</w:t>
      </w:r>
    </w:p>
    <w:p>
      <w:pPr>
        <w:adjustRightInd w:val="0"/>
        <w:snapToGrid w:val="0"/>
        <w:spacing w:after="0" w:line="360" w:lineRule="auto"/>
        <w:ind w:firstLine="640" w:firstLineChars="200"/>
        <w:jc w:val="left"/>
        <w:rPr>
          <w:rFonts w:hint="eastAsia" w:ascii="仿宋" w:hAnsi="仿宋" w:eastAsia="仿宋" w:cs="Times New Roman"/>
          <w:sz w:val="32"/>
          <w:szCs w:val="32"/>
          <w:highlight w:val="yellow"/>
        </w:rPr>
      </w:pPr>
      <w:r>
        <w:rPr>
          <w:rFonts w:ascii="仿宋" w:hAnsi="仿宋" w:eastAsia="仿宋" w:cs="Times New Roman"/>
          <w:kern w:val="2"/>
          <w:sz w:val="32"/>
          <w:szCs w:val="32"/>
          <w:lang w:val="zh-CN"/>
        </w:rPr>
        <w:t>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年度财政拨款支出</w:t>
      </w:r>
      <w:r>
        <w:rPr>
          <w:rFonts w:hint="eastAsia" w:ascii="仿宋" w:hAnsi="仿宋" w:eastAsia="仿宋"/>
          <w:kern w:val="2"/>
          <w:sz w:val="32"/>
          <w:szCs w:val="32"/>
          <w:lang w:val="zh-CN"/>
        </w:rPr>
        <w:t>合计</w:t>
      </w:r>
      <w:r>
        <w:rPr>
          <w:rFonts w:hint="eastAsia" w:ascii="仿宋" w:hAnsi="仿宋" w:eastAsia="仿宋" w:cs="仿宋_GB2312"/>
          <w:kern w:val="2"/>
          <w:sz w:val="32"/>
          <w:szCs w:val="32"/>
          <w:lang w:val="zh-CN"/>
        </w:rPr>
        <w:t>14059.69</w:t>
      </w:r>
      <w:r>
        <w:rPr>
          <w:rFonts w:ascii="仿宋" w:hAnsi="仿宋" w:eastAsia="仿宋" w:cs="Times New Roman"/>
          <w:kern w:val="2"/>
          <w:sz w:val="32"/>
          <w:szCs w:val="32"/>
          <w:lang w:val="zh-CN"/>
        </w:rPr>
        <w:t>万元，主要用于以下方面：</w:t>
      </w:r>
    </w:p>
    <w:p>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hint="eastAsia" w:ascii="仿宋" w:hAnsi="仿宋" w:eastAsia="仿宋" w:cs="仿宋_GB2312"/>
          <w:sz w:val="32"/>
          <w:szCs w:val="32"/>
        </w:rPr>
        <w:t>一般公共服务（类）支出565.90万元，占4.0%，</w:t>
      </w:r>
      <w:r>
        <w:rPr>
          <w:rFonts w:hint="eastAsia" w:ascii="仿宋" w:hAnsi="仿宋" w:eastAsia="仿宋" w:cs="仿宋_GB2312"/>
          <w:sz w:val="32"/>
          <w:szCs w:val="32"/>
          <w:highlight w:val="none"/>
        </w:rPr>
        <w:t>主要用于</w:t>
      </w:r>
      <w:r>
        <w:rPr>
          <w:rFonts w:hint="eastAsia" w:ascii="仿宋" w:hAnsi="仿宋" w:eastAsia="仿宋" w:cs="仿宋_GB2312"/>
          <w:sz w:val="32"/>
          <w:szCs w:val="32"/>
          <w:highlight w:val="none"/>
          <w:lang w:val="en-US" w:eastAsia="zh-CN"/>
        </w:rPr>
        <w:t>行政运行，招商引资</w:t>
      </w:r>
      <w:r>
        <w:rPr>
          <w:rFonts w:hint="eastAsia" w:ascii="仿宋" w:hAnsi="仿宋" w:eastAsia="仿宋" w:cs="仿宋_GB2312"/>
          <w:sz w:val="32"/>
          <w:szCs w:val="32"/>
          <w:highlight w:val="none"/>
        </w:rPr>
        <w:t>等支出</w:t>
      </w:r>
      <w:r>
        <w:rPr>
          <w:rFonts w:hint="eastAsia" w:ascii="仿宋" w:hAnsi="仿宋" w:eastAsia="仿宋" w:cs="仿宋_GB2312"/>
          <w:sz w:val="32"/>
          <w:szCs w:val="32"/>
        </w:rPr>
        <w:t>；社会保障和就业（类）支出15.17万元，占0.1%，</w:t>
      </w:r>
      <w:r>
        <w:rPr>
          <w:rFonts w:hint="eastAsia" w:ascii="仿宋" w:hAnsi="仿宋" w:eastAsia="仿宋" w:cs="仿宋_GB2312"/>
          <w:sz w:val="32"/>
          <w:szCs w:val="32"/>
          <w:highlight w:val="none"/>
        </w:rPr>
        <w:t>主要用于</w:t>
      </w:r>
      <w:r>
        <w:rPr>
          <w:rFonts w:hint="eastAsia" w:ascii="仿宋" w:hAnsi="仿宋" w:eastAsia="仿宋" w:cs="仿宋_GB2312"/>
          <w:sz w:val="32"/>
          <w:szCs w:val="32"/>
          <w:highlight w:val="none"/>
          <w:lang w:val="en-US" w:eastAsia="zh-CN"/>
        </w:rPr>
        <w:t>行政事业单位养老支出和机关事业单位基本养老保险缴费</w:t>
      </w:r>
      <w:r>
        <w:rPr>
          <w:rFonts w:hint="eastAsia" w:ascii="仿宋" w:hAnsi="仿宋" w:eastAsia="仿宋" w:cs="仿宋_GB2312"/>
          <w:sz w:val="32"/>
          <w:szCs w:val="32"/>
          <w:highlight w:val="none"/>
        </w:rPr>
        <w:t>等支出</w:t>
      </w:r>
      <w:r>
        <w:rPr>
          <w:rFonts w:hint="eastAsia" w:ascii="仿宋" w:hAnsi="仿宋" w:eastAsia="仿宋" w:cs="仿宋_GB2312"/>
          <w:sz w:val="32"/>
          <w:szCs w:val="32"/>
        </w:rPr>
        <w:t>；卫生健康（类）支出5.57万元，占0.0%，</w:t>
      </w:r>
      <w:r>
        <w:rPr>
          <w:rFonts w:hint="eastAsia" w:ascii="仿宋" w:hAnsi="仿宋" w:eastAsia="仿宋" w:cs="仿宋_GB2312"/>
          <w:sz w:val="32"/>
          <w:szCs w:val="32"/>
          <w:highlight w:val="none"/>
        </w:rPr>
        <w:t>主要用于</w:t>
      </w:r>
      <w:r>
        <w:rPr>
          <w:rFonts w:hint="eastAsia" w:ascii="仿宋" w:hAnsi="仿宋" w:eastAsia="仿宋" w:cs="仿宋_GB2312"/>
          <w:sz w:val="32"/>
          <w:szCs w:val="32"/>
          <w:highlight w:val="none"/>
          <w:lang w:val="en-US" w:eastAsia="zh-CN"/>
        </w:rPr>
        <w:t>行政事业单位医疗</w:t>
      </w:r>
      <w:r>
        <w:rPr>
          <w:rFonts w:hint="eastAsia" w:ascii="仿宋" w:hAnsi="仿宋" w:eastAsia="仿宋" w:cs="仿宋_GB2312"/>
          <w:sz w:val="32"/>
          <w:szCs w:val="32"/>
          <w:highlight w:val="none"/>
        </w:rPr>
        <w:t>等支出</w:t>
      </w:r>
      <w:r>
        <w:rPr>
          <w:rFonts w:hint="eastAsia" w:ascii="仿宋" w:hAnsi="仿宋" w:eastAsia="仿宋" w:cs="仿宋_GB2312"/>
          <w:sz w:val="32"/>
          <w:szCs w:val="32"/>
        </w:rPr>
        <w:t>；城乡社区（类）支出13462.70万元，占95.8%，</w:t>
      </w:r>
      <w:r>
        <w:rPr>
          <w:rFonts w:hint="eastAsia" w:ascii="仿宋" w:hAnsi="仿宋" w:eastAsia="仿宋" w:cs="仿宋_GB2312"/>
          <w:sz w:val="32"/>
          <w:szCs w:val="32"/>
          <w:highlight w:val="none"/>
        </w:rPr>
        <w:t>主要用于</w:t>
      </w:r>
      <w:r>
        <w:rPr>
          <w:rFonts w:hint="eastAsia" w:ascii="仿宋" w:hAnsi="仿宋" w:eastAsia="仿宋" w:cs="仿宋_GB2312"/>
          <w:sz w:val="32"/>
          <w:szCs w:val="32"/>
          <w:highlight w:val="none"/>
          <w:lang w:val="en-US" w:eastAsia="zh-CN"/>
        </w:rPr>
        <w:t>土地开发支出和其他国有土地使用权出让收入安排</w:t>
      </w:r>
      <w:r>
        <w:rPr>
          <w:rFonts w:hint="eastAsia" w:ascii="仿宋" w:hAnsi="仿宋" w:eastAsia="仿宋" w:cs="仿宋_GB2312"/>
          <w:sz w:val="32"/>
          <w:szCs w:val="32"/>
          <w:highlight w:val="none"/>
        </w:rPr>
        <w:t>等支出</w:t>
      </w:r>
      <w:r>
        <w:rPr>
          <w:rFonts w:hint="eastAsia" w:ascii="仿宋" w:hAnsi="仿宋" w:eastAsia="仿宋" w:cs="仿宋_GB2312"/>
          <w:sz w:val="32"/>
          <w:szCs w:val="32"/>
        </w:rPr>
        <w:t>；住房保障（类）支出10.34万元，占0.1%，</w:t>
      </w:r>
      <w:r>
        <w:rPr>
          <w:rFonts w:hint="eastAsia" w:ascii="仿宋" w:hAnsi="仿宋" w:eastAsia="仿宋" w:cs="仿宋_GB2312"/>
          <w:sz w:val="32"/>
          <w:szCs w:val="32"/>
          <w:highlight w:val="none"/>
        </w:rPr>
        <w:t>主要用于</w:t>
      </w:r>
      <w:r>
        <w:rPr>
          <w:rFonts w:hint="eastAsia" w:ascii="仿宋" w:hAnsi="仿宋" w:eastAsia="仿宋" w:cs="仿宋_GB2312"/>
          <w:sz w:val="32"/>
          <w:szCs w:val="32"/>
          <w:highlight w:val="none"/>
          <w:lang w:val="en-US" w:eastAsia="zh-CN"/>
        </w:rPr>
        <w:t>住房改革</w:t>
      </w:r>
      <w:r>
        <w:rPr>
          <w:rFonts w:hint="eastAsia" w:ascii="仿宋" w:hAnsi="仿宋" w:eastAsia="仿宋" w:cs="仿宋_GB2312"/>
          <w:sz w:val="32"/>
          <w:szCs w:val="32"/>
          <w:highlight w:val="none"/>
        </w:rPr>
        <w:t>等支出</w:t>
      </w:r>
      <w:r>
        <w:rPr>
          <w:rFonts w:ascii="仿宋" w:hAnsi="仿宋" w:eastAsia="仿宋"/>
          <w:kern w:val="2"/>
          <w:sz w:val="32"/>
          <w:szCs w:val="32"/>
          <w:lang w:val="zh-CN"/>
        </w:rPr>
        <w:t>。</w:t>
      </w:r>
    </w:p>
    <w:p>
      <w:pPr>
        <w:snapToGrid w:val="0"/>
        <w:spacing w:after="0" w:line="360" w:lineRule="auto"/>
        <w:ind w:firstLine="643" w:firstLineChars="200"/>
        <w:rPr>
          <w:rFonts w:hint="eastAsia" w:ascii="楷体" w:hAnsi="楷体" w:eastAsia="楷体"/>
          <w:b/>
          <w:bCs/>
          <w:sz w:val="32"/>
          <w:szCs w:val="32"/>
        </w:rPr>
      </w:pPr>
      <w:r>
        <w:rPr>
          <w:rFonts w:hint="eastAsia" w:ascii="楷体" w:hAnsi="楷体" w:eastAsia="楷体"/>
          <w:b/>
          <w:bCs/>
          <w:sz w:val="32"/>
          <w:szCs w:val="32"/>
        </w:rPr>
        <w:t>（四）</w:t>
      </w:r>
      <w:r>
        <w:rPr>
          <w:rFonts w:ascii="楷体" w:hAnsi="楷体" w:eastAsia="楷体"/>
          <w:b/>
          <w:bCs/>
          <w:sz w:val="32"/>
          <w:szCs w:val="32"/>
        </w:rPr>
        <w:t>一般公共预算基本支出决算情况说明</w:t>
      </w:r>
    </w:p>
    <w:p>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2023年度财政拨款基本支出205.36万元，其中：</w:t>
      </w:r>
    </w:p>
    <w:p>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人员经费197.75万元，主要包括:基本工资、津贴补贴、奖金、绩效工资、机关事业单位基本养老保险缴费、职工基本医疗保险缴费、其他社会保障缴费、住房公积金、其他工资福利支出、奖励金、其他对个人和家庭的补助；</w:t>
      </w:r>
    </w:p>
    <w:p>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公用经费7.60万元，主要包括:电费、邮电费、工会经费、其他交通费用。</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五、财政拨款“三公” 经费支出决算情况说明</w:t>
      </w:r>
    </w:p>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（一）“三公”经费财政拨款支出决算总体情况说明</w:t>
      </w:r>
    </w:p>
    <w:p>
      <w:pPr>
        <w:pStyle w:val="10"/>
        <w:widowControl/>
        <w:snapToGrid w:val="0"/>
        <w:spacing w:beforeAutospacing="0" w:afterAutospacing="0" w:line="360" w:lineRule="auto"/>
        <w:ind w:firstLine="640" w:firstLineChars="200"/>
        <w:rPr>
          <w:rFonts w:hint="eastAsia" w:ascii="仿宋" w:hAnsi="仿宋" w:eastAsia="仿宋"/>
          <w:kern w:val="2"/>
          <w:sz w:val="32"/>
          <w:szCs w:val="32"/>
        </w:rPr>
      </w:pP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w:t>
      </w:r>
      <w:r>
        <w:rPr>
          <w:rFonts w:ascii="仿宋" w:hAnsi="仿宋" w:eastAsia="仿宋"/>
          <w:kern w:val="2"/>
          <w:sz w:val="32"/>
          <w:szCs w:val="32"/>
        </w:rPr>
        <w:t>“</w:t>
      </w:r>
      <w:r>
        <w:rPr>
          <w:rFonts w:ascii="仿宋" w:hAnsi="仿宋" w:eastAsia="仿宋"/>
          <w:kern w:val="2"/>
          <w:sz w:val="32"/>
          <w:szCs w:val="32"/>
          <w:lang w:val="zh-CN"/>
        </w:rPr>
        <w:t>三公</w:t>
      </w:r>
      <w:r>
        <w:rPr>
          <w:rFonts w:ascii="仿宋" w:hAnsi="仿宋" w:eastAsia="仿宋"/>
          <w:kern w:val="2"/>
          <w:sz w:val="32"/>
          <w:szCs w:val="32"/>
        </w:rPr>
        <w:t>”</w:t>
      </w:r>
      <w:r>
        <w:rPr>
          <w:rFonts w:ascii="仿宋" w:hAnsi="仿宋" w:eastAsia="仿宋"/>
          <w:kern w:val="2"/>
          <w:sz w:val="32"/>
          <w:szCs w:val="32"/>
          <w:lang w:val="zh-CN"/>
        </w:rPr>
        <w:t>经费财政拨款支出预算为</w:t>
      </w:r>
      <w:r>
        <w:rPr>
          <w:rFonts w:ascii="仿宋" w:hAnsi="仿宋" w:eastAsia="仿宋"/>
          <w:kern w:val="2"/>
          <w:sz w:val="32"/>
          <w:szCs w:val="32"/>
        </w:rPr>
        <w:t>0.00</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支出决算为</w:t>
      </w:r>
      <w:r>
        <w:rPr>
          <w:rFonts w:ascii="仿宋" w:hAnsi="仿宋" w:eastAsia="仿宋"/>
          <w:kern w:val="2"/>
          <w:sz w:val="32"/>
          <w:szCs w:val="32"/>
        </w:rPr>
        <w:t>0.00</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与预算持平，与2022年度决算持平。</w:t>
      </w:r>
    </w:p>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（二）“三公”经费财政拨款支出决算具体情况说明</w:t>
      </w:r>
    </w:p>
    <w:p>
      <w:pPr>
        <w:pStyle w:val="10"/>
        <w:widowControl/>
        <w:snapToGrid w:val="0"/>
        <w:spacing w:beforeAutospacing="0" w:afterAutospacing="0" w:line="360" w:lineRule="auto"/>
        <w:ind w:firstLine="643" w:firstLineChars="200"/>
        <w:rPr>
          <w:rFonts w:hint="eastAsia" w:ascii="仿宋" w:hAnsi="仿宋" w:eastAsia="仿宋"/>
          <w:kern w:val="2"/>
          <w:sz w:val="32"/>
          <w:szCs w:val="32"/>
        </w:rPr>
      </w:pPr>
      <w:r>
        <w:rPr>
          <w:rFonts w:ascii="仿宋" w:hAnsi="仿宋" w:eastAsia="仿宋"/>
          <w:b/>
          <w:bCs/>
          <w:kern w:val="2"/>
          <w:sz w:val="32"/>
          <w:szCs w:val="32"/>
        </w:rPr>
        <w:t>1.因公出国（境）费支出情况。</w:t>
      </w:r>
      <w:r>
        <w:rPr>
          <w:rFonts w:ascii="仿宋" w:hAnsi="仿宋" w:eastAsia="仿宋"/>
          <w:kern w:val="2"/>
          <w:sz w:val="32"/>
          <w:szCs w:val="32"/>
          <w:lang w:val="zh-CN"/>
        </w:rPr>
        <w:t>本部门</w:t>
      </w:r>
      <w:r>
        <w:rPr>
          <w:rFonts w:ascii="仿宋" w:hAnsi="仿宋" w:eastAsia="仿宋"/>
          <w:kern w:val="2"/>
          <w:sz w:val="32"/>
          <w:szCs w:val="32"/>
        </w:rPr>
        <w:t>2023年度因公出国（境）费支出预算为0.00万元</w:t>
      </w:r>
      <w:r>
        <w:rPr>
          <w:rFonts w:hint="eastAsia" w:ascii="仿宋" w:hAnsi="仿宋" w:eastAsia="仿宋"/>
          <w:kern w:val="2"/>
          <w:sz w:val="32"/>
          <w:szCs w:val="32"/>
        </w:rPr>
        <w:t>，</w:t>
      </w:r>
      <w:r>
        <w:rPr>
          <w:rFonts w:ascii="仿宋" w:hAnsi="仿宋" w:eastAsia="仿宋"/>
          <w:kern w:val="2"/>
          <w:sz w:val="32"/>
          <w:szCs w:val="32"/>
        </w:rPr>
        <w:t>支出决算0.00万元。因公出国（境）费支出与预算持平，与上年持平。因公出国（境）团组0个、共0人</w:t>
      </w:r>
      <w:r>
        <w:rPr>
          <w:rFonts w:hint="eastAsia" w:ascii="仿宋" w:hAnsi="仿宋" w:eastAsia="仿宋"/>
          <w:kern w:val="2"/>
          <w:sz w:val="32"/>
          <w:szCs w:val="32"/>
        </w:rPr>
        <w:t>，其中：</w:t>
      </w:r>
      <w:r>
        <w:rPr>
          <w:rFonts w:ascii="仿宋" w:hAnsi="仿宋" w:eastAsia="仿宋"/>
          <w:kern w:val="2"/>
          <w:sz w:val="32"/>
          <w:szCs w:val="32"/>
        </w:rPr>
        <w:t>本部门组织的出国（境）团组</w:t>
      </w:r>
      <w:r>
        <w:rPr>
          <w:rFonts w:hint="eastAsia" w:ascii="仿宋" w:hAnsi="仿宋" w:eastAsia="仿宋"/>
          <w:kern w:val="2"/>
          <w:sz w:val="32"/>
          <w:szCs w:val="32"/>
        </w:rPr>
        <w:t>0个、共0人;</w:t>
      </w:r>
      <w:r>
        <w:rPr>
          <w:rFonts w:ascii="仿宋" w:hAnsi="仿宋" w:eastAsia="仿宋"/>
          <w:kern w:val="2"/>
          <w:sz w:val="32"/>
          <w:szCs w:val="32"/>
        </w:rPr>
        <w:t xml:space="preserve"> 参加其他单位组织的因公出国（境）团组</w:t>
      </w:r>
      <w:r>
        <w:rPr>
          <w:rFonts w:hint="eastAsia" w:ascii="仿宋" w:hAnsi="仿宋" w:eastAsia="仿宋"/>
          <w:kern w:val="2"/>
          <w:sz w:val="32"/>
          <w:szCs w:val="32"/>
        </w:rPr>
        <w:t>0</w:t>
      </w:r>
      <w:r>
        <w:rPr>
          <w:rFonts w:ascii="仿宋" w:hAnsi="仿宋" w:eastAsia="仿宋"/>
          <w:kern w:val="2"/>
          <w:sz w:val="32"/>
          <w:szCs w:val="32"/>
        </w:rPr>
        <w:t>个、共</w:t>
      </w:r>
      <w:r>
        <w:rPr>
          <w:rFonts w:hint="eastAsia" w:ascii="仿宋" w:hAnsi="仿宋" w:eastAsia="仿宋"/>
          <w:kern w:val="2"/>
          <w:sz w:val="32"/>
          <w:szCs w:val="32"/>
        </w:rPr>
        <w:t>0</w:t>
      </w:r>
      <w:r>
        <w:rPr>
          <w:rFonts w:ascii="仿宋" w:hAnsi="仿宋" w:eastAsia="仿宋"/>
          <w:kern w:val="2"/>
          <w:sz w:val="32"/>
          <w:szCs w:val="32"/>
        </w:rPr>
        <w:t>人。</w:t>
      </w:r>
    </w:p>
    <w:p>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2.</w:t>
      </w:r>
      <w:r>
        <w:rPr>
          <w:rFonts w:hint="eastAsia" w:ascii="仿宋" w:hAnsi="仿宋" w:eastAsia="仿宋"/>
          <w:b/>
          <w:bCs/>
          <w:sz w:val="32"/>
          <w:szCs w:val="32"/>
        </w:rPr>
        <w:t>公务用车购置及运行维护费支出情况。</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年度公务用车购置及运行维护费预算为0.00万元，支出决算0.00万元</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公务用车购置及运行维护费支出与预算持平，与上年持平。其中：</w:t>
      </w:r>
    </w:p>
    <w:p>
      <w:pPr>
        <w:adjustRightInd w:val="0"/>
        <w:snapToGrid w:val="0"/>
        <w:spacing w:after="0" w:line="360" w:lineRule="auto"/>
        <w:ind w:firstLine="643" w:firstLineChars="200"/>
        <w:rPr>
          <w:rFonts w:hint="eastAsia" w:ascii="仿宋" w:hAnsi="仿宋" w:eastAsia="仿宋" w:cs="Times New Roman"/>
          <w:kern w:val="2"/>
          <w:sz w:val="32"/>
          <w:szCs w:val="32"/>
          <w:lang w:val="zh-CN"/>
        </w:rPr>
      </w:pPr>
      <w:r>
        <w:rPr>
          <w:rFonts w:ascii="仿宋" w:hAnsi="仿宋" w:eastAsia="仿宋" w:cs="Times New Roman"/>
          <w:b/>
          <w:sz w:val="32"/>
          <w:szCs w:val="32"/>
        </w:rPr>
        <w:t>公务用车购置费支出</w:t>
      </w:r>
      <w:r>
        <w:rPr>
          <w:rFonts w:ascii="仿宋" w:hAnsi="仿宋" w:eastAsia="仿宋" w:cs="Times New Roman"/>
          <w:b/>
          <w:bCs/>
          <w:sz w:val="32"/>
          <w:szCs w:val="32"/>
        </w:rPr>
        <w:t>0.00万元</w:t>
      </w:r>
      <w:r>
        <w:rPr>
          <w:rFonts w:ascii="仿宋" w:hAnsi="仿宋" w:eastAsia="仿宋" w:cs="Times New Roman"/>
          <w:b/>
          <w:sz w:val="32"/>
          <w:szCs w:val="32"/>
        </w:rPr>
        <w:t>：</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年度公务用车购置量0辆，发生“公务用车购置”经费支出0.00万元。公务用车购置费支出与预算持平，与上年持平。</w:t>
      </w:r>
    </w:p>
    <w:p>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sz w:val="32"/>
          <w:szCs w:val="32"/>
        </w:rPr>
        <w:t>公务用车运行维护费支出0.00</w:t>
      </w:r>
      <w:r>
        <w:rPr>
          <w:rFonts w:ascii="仿宋" w:hAnsi="仿宋" w:eastAsia="仿宋" w:cs="Times New Roman"/>
          <w:b/>
          <w:bCs/>
          <w:sz w:val="32"/>
          <w:szCs w:val="32"/>
        </w:rPr>
        <w:t>万元</w:t>
      </w:r>
      <w:r>
        <w:rPr>
          <w:rFonts w:ascii="仿宋" w:hAnsi="仿宋" w:eastAsia="仿宋" w:cs="Times New Roman"/>
          <w:b/>
          <w:sz w:val="32"/>
          <w:szCs w:val="32"/>
        </w:rPr>
        <w:t>：</w:t>
      </w:r>
      <w:r>
        <w:rPr>
          <w:rFonts w:ascii="仿宋" w:hAnsi="仿宋" w:eastAsia="仿宋" w:cs="Times New Roman"/>
          <w:kern w:val="2"/>
          <w:sz w:val="32"/>
          <w:szCs w:val="32"/>
          <w:lang w:val="zh-CN"/>
        </w:rPr>
        <w:t>本</w:t>
      </w:r>
      <w:r>
        <w:rPr>
          <w:rFonts w:hint="eastAsia" w:ascii="仿宋" w:hAnsi="仿宋" w:eastAsia="仿宋" w:cs="Times New Roman"/>
          <w:kern w:val="2"/>
          <w:sz w:val="32"/>
          <w:szCs w:val="32"/>
          <w:lang w:val="zh-CN"/>
        </w:rPr>
        <w:t>部门</w:t>
      </w:r>
      <w:r>
        <w:rPr>
          <w:rFonts w:ascii="仿宋" w:hAnsi="仿宋" w:eastAsia="仿宋" w:cs="Times New Roman"/>
          <w:kern w:val="2"/>
          <w:sz w:val="32"/>
          <w:szCs w:val="32"/>
          <w:lang w:val="zh-CN"/>
        </w:rPr>
        <w:t>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年度公务用车保有量0辆，发生运行维护费支出</w:t>
      </w:r>
      <w:r>
        <w:rPr>
          <w:rFonts w:hint="eastAsia" w:ascii="仿宋" w:hAnsi="仿宋" w:eastAsia="仿宋" w:cs="Times New Roman"/>
          <w:kern w:val="2"/>
          <w:sz w:val="32"/>
          <w:szCs w:val="32"/>
        </w:rPr>
        <w:t>0.00</w:t>
      </w:r>
      <w:r>
        <w:rPr>
          <w:rFonts w:ascii="仿宋" w:hAnsi="仿宋" w:eastAsia="仿宋" w:cs="Times New Roman"/>
          <w:kern w:val="2"/>
          <w:sz w:val="32"/>
          <w:szCs w:val="32"/>
          <w:lang w:val="zh-CN"/>
        </w:rPr>
        <w:t>万元。公车运行维护费支出与预算持平，与上年持平。</w:t>
      </w:r>
    </w:p>
    <w:p>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3.公务接待费</w:t>
      </w:r>
      <w:r>
        <w:rPr>
          <w:rFonts w:hint="eastAsia" w:ascii="仿宋" w:hAnsi="仿宋" w:eastAsia="仿宋" w:cs="Times New Roman"/>
          <w:b/>
          <w:bCs/>
          <w:kern w:val="2"/>
          <w:sz w:val="32"/>
          <w:szCs w:val="32"/>
        </w:rPr>
        <w:t>支出情况</w:t>
      </w:r>
      <w:r>
        <w:rPr>
          <w:rFonts w:ascii="仿宋" w:hAnsi="仿宋" w:eastAsia="仿宋" w:cs="Times New Roman"/>
          <w:b/>
          <w:bCs/>
          <w:kern w:val="2"/>
          <w:sz w:val="32"/>
          <w:szCs w:val="32"/>
        </w:rPr>
        <w:t>。</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年度公务接待费支出预算为0.00万元，支出决算0.00万元。公务接待费支出与预算持平，与上年持平。本年度共发生公务接待0批次、0人次。</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六、机关运行经费支出说明</w:t>
      </w:r>
    </w:p>
    <w:p>
      <w:pPr>
        <w:pStyle w:val="10"/>
        <w:widowControl/>
        <w:snapToGrid w:val="0"/>
        <w:spacing w:beforeAutospacing="0" w:afterAutospacing="0" w:line="360" w:lineRule="auto"/>
        <w:ind w:firstLine="200"/>
        <w:jc w:val="both"/>
        <w:rPr>
          <w:rFonts w:hint="eastAsia" w:ascii="仿宋" w:hAnsi="仿宋" w:eastAsia="仿宋"/>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宋体"/>
          <w:color w:val="333333"/>
          <w:sz w:val="19"/>
          <w:szCs w:val="19"/>
          <w:shd w:val="clear" w:color="auto" w:fill="FFFFFF"/>
        </w:rPr>
        <w:t xml:space="preserve">  </w:t>
      </w:r>
      <w:r>
        <w:rPr>
          <w:rFonts w:ascii="Times New Roman" w:hAnsi="Times New Roman" w:eastAsia="仿宋_GB2312"/>
          <w:color w:val="333333"/>
          <w:sz w:val="33"/>
          <w:szCs w:val="33"/>
          <w:shd w:val="clear" w:color="auto" w:fill="FFFFFF"/>
        </w:rPr>
        <w:t>   </w:t>
      </w: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年度机关运行经费支出</w:t>
      </w:r>
      <w:r>
        <w:rPr>
          <w:rFonts w:ascii="仿宋" w:hAnsi="仿宋" w:eastAsia="仿宋"/>
          <w:kern w:val="2"/>
          <w:sz w:val="32"/>
          <w:szCs w:val="32"/>
        </w:rPr>
        <w:t>7.60</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较</w:t>
      </w:r>
      <w:r>
        <w:rPr>
          <w:rFonts w:ascii="仿宋" w:hAnsi="仿宋" w:eastAsia="仿宋"/>
          <w:kern w:val="2"/>
          <w:sz w:val="32"/>
          <w:szCs w:val="32"/>
        </w:rPr>
        <w:t>2022</w:t>
      </w:r>
      <w:r>
        <w:rPr>
          <w:rFonts w:ascii="仿宋" w:hAnsi="仿宋" w:eastAsia="仿宋"/>
          <w:kern w:val="2"/>
          <w:sz w:val="32"/>
          <w:szCs w:val="32"/>
          <w:lang w:val="zh-CN"/>
        </w:rPr>
        <w:t>年度</w:t>
      </w:r>
      <w:r>
        <w:rPr>
          <w:rFonts w:ascii="仿宋" w:hAnsi="仿宋" w:eastAsia="仿宋"/>
          <w:kern w:val="2"/>
          <w:sz w:val="32"/>
          <w:szCs w:val="32"/>
        </w:rPr>
        <w:t>减少2.59</w:t>
      </w:r>
      <w:r>
        <w:rPr>
          <w:rFonts w:ascii="仿宋" w:hAnsi="仿宋" w:eastAsia="仿宋"/>
          <w:kern w:val="2"/>
          <w:sz w:val="32"/>
          <w:szCs w:val="32"/>
          <w:lang w:val="zh-CN"/>
        </w:rPr>
        <w:t>万元</w:t>
      </w:r>
      <w:r>
        <w:rPr>
          <w:rFonts w:ascii="仿宋" w:hAnsi="仿宋" w:eastAsia="仿宋"/>
          <w:kern w:val="2"/>
          <w:sz w:val="32"/>
          <w:szCs w:val="32"/>
        </w:rPr>
        <w:t>，降低25.4%</w:t>
      </w:r>
      <w:r>
        <w:rPr>
          <w:rFonts w:ascii="仿宋" w:hAnsi="仿宋" w:eastAsia="仿宋"/>
          <w:kern w:val="2"/>
          <w:sz w:val="32"/>
          <w:szCs w:val="32"/>
          <w:lang w:val="zh-CN"/>
        </w:rPr>
        <w:t>。</w:t>
      </w:r>
      <w:r>
        <w:rPr>
          <w:rFonts w:ascii="仿宋" w:hAnsi="仿宋" w:eastAsia="仿宋"/>
          <w:kern w:val="2"/>
          <w:sz w:val="32"/>
          <w:szCs w:val="32"/>
          <w:highlight w:val="none"/>
          <w:lang w:val="zh-CN"/>
        </w:rPr>
        <w:t>主要原因</w:t>
      </w:r>
      <w:r>
        <w:rPr>
          <w:rFonts w:hint="eastAsia" w:ascii="仿宋" w:hAnsi="仿宋" w:eastAsia="仿宋"/>
          <w:kern w:val="2"/>
          <w:sz w:val="32"/>
          <w:szCs w:val="32"/>
          <w:highlight w:val="none"/>
          <w:lang w:val="zh-CN"/>
        </w:rPr>
        <w:t>是</w:t>
      </w:r>
      <w:r>
        <w:rPr>
          <w:rFonts w:hint="eastAsia" w:ascii="仿宋" w:hAnsi="仿宋" w:eastAsia="仿宋"/>
          <w:kern w:val="2"/>
          <w:sz w:val="32"/>
          <w:szCs w:val="32"/>
          <w:highlight w:val="none"/>
        </w:rPr>
        <w:t>：</w:t>
      </w:r>
      <w:r>
        <w:rPr>
          <w:rFonts w:hint="eastAsia" w:ascii="仿宋" w:hAnsi="仿宋" w:eastAsia="仿宋"/>
          <w:kern w:val="2"/>
          <w:sz w:val="32"/>
          <w:szCs w:val="32"/>
          <w:highlight w:val="none"/>
          <w:lang w:val="en-US" w:eastAsia="zh-CN"/>
        </w:rPr>
        <w:t>福利费减少1.42万元电费增加0.67万元邮电费增加0.23万元工会经费减少0.97万元，交通费减少1.00</w:t>
      </w:r>
      <w:bookmarkStart w:id="2" w:name="_GoBack"/>
      <w:bookmarkEnd w:id="2"/>
      <w:r>
        <w:rPr>
          <w:rFonts w:hint="eastAsia" w:ascii="仿宋" w:hAnsi="仿宋" w:eastAsia="仿宋"/>
          <w:kern w:val="2"/>
          <w:sz w:val="32"/>
          <w:szCs w:val="32"/>
          <w:highlight w:val="none"/>
          <w:lang w:val="en-US" w:eastAsia="zh-CN"/>
        </w:rPr>
        <w:t>万元</w:t>
      </w:r>
      <w:r>
        <w:rPr>
          <w:rFonts w:ascii="仿宋" w:hAnsi="仿宋" w:eastAsia="仿宋"/>
          <w:kern w:val="2"/>
          <w:sz w:val="32"/>
          <w:szCs w:val="32"/>
          <w:lang w:val="zh-CN"/>
        </w:rPr>
        <w:t>。</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七、政府采购支出说明</w:t>
      </w:r>
    </w:p>
    <w:p>
      <w:pPr>
        <w:pStyle w:val="10"/>
        <w:widowControl/>
        <w:snapToGrid w:val="0"/>
        <w:spacing w:beforeAutospacing="0" w:afterAutospacing="0" w:line="360" w:lineRule="auto"/>
        <w:ind w:firstLine="640" w:firstLineChars="200"/>
        <w:rPr>
          <w:rFonts w:hint="eastAsia" w:ascii="仿宋" w:hAnsi="仿宋" w:eastAsia="仿宋"/>
          <w:sz w:val="32"/>
          <w:szCs w:val="32"/>
          <w:highlight w:val="yellow"/>
        </w:rPr>
      </w:pPr>
      <w:r>
        <w:rPr>
          <w:rFonts w:ascii="仿宋" w:hAnsi="仿宋" w:eastAsia="仿宋"/>
          <w:kern w:val="2"/>
          <w:sz w:val="32"/>
          <w:szCs w:val="32"/>
          <w:lang w:val="zh-CN"/>
        </w:rPr>
        <w:t>本部门202</w:t>
      </w:r>
      <w:r>
        <w:rPr>
          <w:rFonts w:ascii="仿宋" w:hAnsi="仿宋" w:eastAsia="仿宋"/>
          <w:kern w:val="2"/>
          <w:sz w:val="32"/>
          <w:szCs w:val="32"/>
        </w:rPr>
        <w:t>3</w:t>
      </w:r>
      <w:r>
        <w:rPr>
          <w:rFonts w:ascii="仿宋" w:hAnsi="仿宋" w:eastAsia="仿宋"/>
          <w:kern w:val="2"/>
          <w:sz w:val="32"/>
          <w:szCs w:val="32"/>
          <w:lang w:val="zh-CN"/>
        </w:rPr>
        <w:t>年度政府采购支出总额161.50万元，从采购类型来看，政府采购货物支出0.00万元、政府采购工程支出0.00万元、政府采购服务支出161.50万元。授予中小企业</w:t>
      </w:r>
      <w:r>
        <w:rPr>
          <w:rFonts w:ascii="仿宋" w:hAnsi="仿宋" w:eastAsia="仿宋"/>
          <w:kern w:val="2"/>
          <w:sz w:val="32"/>
          <w:szCs w:val="32"/>
        </w:rPr>
        <w:t>合同金额</w:t>
      </w:r>
      <w:r>
        <w:rPr>
          <w:rFonts w:ascii="仿宋" w:hAnsi="仿宋" w:eastAsia="仿宋"/>
          <w:kern w:val="2"/>
          <w:sz w:val="32"/>
          <w:szCs w:val="32"/>
          <w:lang w:val="zh-CN"/>
        </w:rPr>
        <w:t>161.50万元，占政府采购支出总额的100.0%，其中授予小微企业合同金额37.50万元，占政府采购支出总额的23.2%。</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八、国有资产占用情况说明</w:t>
      </w:r>
    </w:p>
    <w:p>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截至202</w:t>
      </w:r>
      <w:r>
        <w:rPr>
          <w:rFonts w:ascii="仿宋" w:hAnsi="仿宋" w:eastAsia="仿宋"/>
          <w:kern w:val="2"/>
          <w:sz w:val="32"/>
          <w:szCs w:val="32"/>
        </w:rPr>
        <w:t>3</w:t>
      </w:r>
      <w:r>
        <w:rPr>
          <w:rFonts w:ascii="仿宋" w:hAnsi="仿宋" w:eastAsia="仿宋"/>
          <w:kern w:val="2"/>
          <w:sz w:val="32"/>
          <w:szCs w:val="32"/>
          <w:lang w:val="zh-CN"/>
        </w:rPr>
        <w:t>年12月31日，本部门共有车辆0辆，与上年持平。其中，副部（省）级及以上领导用车0辆，主要</w:t>
      </w:r>
      <w:r>
        <w:rPr>
          <w:rFonts w:ascii="仿宋" w:hAnsi="仿宋" w:eastAsia="仿宋"/>
          <w:kern w:val="2"/>
          <w:sz w:val="32"/>
          <w:szCs w:val="32"/>
        </w:rPr>
        <w:t>负责人</w:t>
      </w:r>
      <w:r>
        <w:rPr>
          <w:rFonts w:ascii="仿宋" w:hAnsi="仿宋" w:eastAsia="仿宋"/>
          <w:kern w:val="2"/>
          <w:sz w:val="32"/>
          <w:szCs w:val="32"/>
          <w:lang w:val="zh-CN"/>
        </w:rPr>
        <w:t>用车0辆，机要通信用车0辆，应急保障用车0辆，执法执勤用车0辆，特种专业技术用车0辆，离退休干部用车0辆，其他用车0辆。</w:t>
      </w:r>
    </w:p>
    <w:p>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单位价值100</w:t>
      </w:r>
      <w:r>
        <w:rPr>
          <w:rFonts w:hint="eastAsia" w:ascii="仿宋" w:hAnsi="仿宋" w:eastAsia="仿宋"/>
          <w:kern w:val="2"/>
          <w:sz w:val="32"/>
          <w:szCs w:val="32"/>
          <w:lang w:val="en-US" w:eastAsia="zh-CN"/>
        </w:rPr>
        <w:t>.00</w:t>
      </w:r>
      <w:r>
        <w:rPr>
          <w:rFonts w:ascii="仿宋" w:hAnsi="仿宋" w:eastAsia="仿宋"/>
          <w:kern w:val="2"/>
          <w:sz w:val="32"/>
          <w:szCs w:val="32"/>
          <w:lang w:val="zh-CN"/>
        </w:rPr>
        <w:t>万元（含）以上设备（不含车辆）0台（套）。</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九、预算绩效情况说明</w:t>
      </w:r>
    </w:p>
    <w:p>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（一）预算绩效管理工作开展情况</w:t>
      </w:r>
    </w:p>
    <w:p>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根据预算绩效管理要求，本部门组织对2023年度一般公共预算项目支出全面开展绩效自评，其中，一级项目</w:t>
      </w:r>
      <w:r>
        <w:rPr>
          <w:rFonts w:hint="eastAsia" w:ascii="仿宋" w:hAnsi="仿宋" w:eastAsia="仿宋"/>
          <w:kern w:val="2"/>
          <w:sz w:val="32"/>
          <w:szCs w:val="32"/>
          <w:lang w:val="en-US" w:eastAsia="zh-CN"/>
        </w:rPr>
        <w:t xml:space="preserve">0 </w:t>
      </w:r>
      <w:r>
        <w:rPr>
          <w:rFonts w:ascii="仿宋" w:hAnsi="仿宋" w:eastAsia="仿宋"/>
          <w:kern w:val="2"/>
          <w:sz w:val="32"/>
          <w:szCs w:val="32"/>
          <w:lang w:val="zh-CN"/>
        </w:rPr>
        <w:t>个，二级项目</w:t>
      </w:r>
      <w:r>
        <w:rPr>
          <w:rFonts w:hint="eastAsia" w:ascii="仿宋" w:hAnsi="仿宋" w:eastAsia="仿宋"/>
          <w:kern w:val="2"/>
          <w:sz w:val="32"/>
          <w:szCs w:val="32"/>
          <w:lang w:val="en-US" w:eastAsia="zh-CN"/>
        </w:rPr>
        <w:t>15</w:t>
      </w:r>
      <w:r>
        <w:rPr>
          <w:rFonts w:ascii="仿宋" w:hAnsi="仿宋" w:eastAsia="仿宋"/>
          <w:kern w:val="2"/>
          <w:sz w:val="32"/>
          <w:szCs w:val="32"/>
          <w:lang w:val="zh-CN"/>
        </w:rPr>
        <w:t>个，共涉及资金</w:t>
      </w:r>
      <w:r>
        <w:rPr>
          <w:rFonts w:hint="eastAsia" w:ascii="仿宋" w:hAnsi="仿宋" w:eastAsia="仿宋"/>
          <w:kern w:val="2"/>
          <w:sz w:val="32"/>
          <w:szCs w:val="32"/>
          <w:lang w:val="en-US" w:eastAsia="zh-CN"/>
        </w:rPr>
        <w:t>811.63</w:t>
      </w:r>
      <w:r>
        <w:rPr>
          <w:rFonts w:ascii="仿宋" w:hAnsi="仿宋" w:eastAsia="仿宋"/>
          <w:kern w:val="2"/>
          <w:sz w:val="32"/>
          <w:szCs w:val="32"/>
          <w:lang w:val="zh-CN"/>
        </w:rPr>
        <w:t>万元，占一般公共预算项目支出总额的</w:t>
      </w:r>
      <w:r>
        <w:rPr>
          <w:rFonts w:hint="eastAsia" w:ascii="仿宋" w:hAnsi="仿宋" w:eastAsia="仿宋"/>
          <w:kern w:val="2"/>
          <w:sz w:val="32"/>
          <w:szCs w:val="32"/>
          <w:lang w:val="en-US" w:eastAsia="zh-CN"/>
        </w:rPr>
        <w:t>46.9</w:t>
      </w:r>
      <w:r>
        <w:rPr>
          <w:rFonts w:ascii="仿宋" w:hAnsi="仿宋" w:eastAsia="仿宋"/>
          <w:kern w:val="2"/>
          <w:sz w:val="32"/>
          <w:szCs w:val="32"/>
          <w:lang w:val="zh-CN"/>
        </w:rPr>
        <w:t>%。组织对2023年度</w:t>
      </w:r>
      <w:r>
        <w:rPr>
          <w:rFonts w:hint="eastAsia" w:ascii="仿宋" w:hAnsi="仿宋" w:eastAsia="仿宋"/>
          <w:kern w:val="2"/>
          <w:sz w:val="32"/>
          <w:szCs w:val="32"/>
          <w:lang w:val="en-US" w:eastAsia="zh-CN"/>
        </w:rPr>
        <w:t>拨付经济开发区市政道路一期、二期土地划拨价款</w:t>
      </w:r>
      <w:r>
        <w:rPr>
          <w:rFonts w:ascii="仿宋" w:hAnsi="仿宋" w:eastAsia="仿宋"/>
          <w:kern w:val="2"/>
          <w:sz w:val="32"/>
          <w:szCs w:val="32"/>
          <w:lang w:val="zh-CN"/>
        </w:rPr>
        <w:t>、</w:t>
      </w:r>
      <w:r>
        <w:rPr>
          <w:rFonts w:hint="eastAsia" w:ascii="仿宋" w:hAnsi="仿宋" w:eastAsia="仿宋"/>
          <w:kern w:val="2"/>
          <w:sz w:val="32"/>
          <w:szCs w:val="32"/>
          <w:lang w:val="en-US" w:eastAsia="zh-CN"/>
        </w:rPr>
        <w:t>骊仁林业发展有限公司发展金</w:t>
      </w:r>
      <w:r>
        <w:rPr>
          <w:rFonts w:ascii="仿宋" w:hAnsi="仿宋" w:eastAsia="仿宋"/>
          <w:kern w:val="2"/>
          <w:sz w:val="32"/>
          <w:szCs w:val="32"/>
          <w:lang w:val="zh-CN"/>
        </w:rPr>
        <w:t>等</w:t>
      </w:r>
      <w:r>
        <w:rPr>
          <w:rFonts w:hint="eastAsia" w:ascii="仿宋" w:hAnsi="仿宋" w:eastAsia="仿宋"/>
          <w:kern w:val="2"/>
          <w:sz w:val="32"/>
          <w:szCs w:val="32"/>
          <w:lang w:val="en-US" w:eastAsia="zh-CN"/>
        </w:rPr>
        <w:t>8</w:t>
      </w:r>
      <w:r>
        <w:rPr>
          <w:rFonts w:ascii="仿宋" w:hAnsi="仿宋" w:eastAsia="仿宋"/>
          <w:kern w:val="2"/>
          <w:sz w:val="32"/>
          <w:szCs w:val="32"/>
          <w:lang w:val="zh-CN"/>
        </w:rPr>
        <w:t>个政府性基金预算项目支出开展绩效自评，共涉及资金</w:t>
      </w:r>
      <w:r>
        <w:rPr>
          <w:rFonts w:hint="eastAsia" w:ascii="仿宋" w:hAnsi="仿宋" w:eastAsia="仿宋"/>
          <w:kern w:val="2"/>
          <w:sz w:val="32"/>
          <w:szCs w:val="32"/>
          <w:lang w:val="en-US" w:eastAsia="zh-CN"/>
        </w:rPr>
        <w:t>13042.70</w:t>
      </w:r>
      <w:r>
        <w:rPr>
          <w:rFonts w:ascii="仿宋" w:hAnsi="仿宋" w:eastAsia="仿宋"/>
          <w:kern w:val="2"/>
          <w:sz w:val="32"/>
          <w:szCs w:val="32"/>
          <w:lang w:val="zh-CN"/>
        </w:rPr>
        <w:t>万元，占政府性基金预算项目支出总额的</w:t>
      </w:r>
      <w:r>
        <w:rPr>
          <w:rFonts w:hint="eastAsia" w:ascii="仿宋" w:hAnsi="仿宋" w:eastAsia="仿宋"/>
          <w:kern w:val="2"/>
          <w:sz w:val="32"/>
          <w:szCs w:val="32"/>
          <w:lang w:val="en-US" w:eastAsia="zh-CN"/>
        </w:rPr>
        <w:t>80.3</w:t>
      </w:r>
      <w:r>
        <w:rPr>
          <w:rFonts w:ascii="仿宋" w:hAnsi="仿宋" w:eastAsia="仿宋"/>
          <w:kern w:val="2"/>
          <w:sz w:val="32"/>
          <w:szCs w:val="32"/>
          <w:lang w:val="zh-CN"/>
        </w:rPr>
        <w:t>%。组织对2023年度</w:t>
      </w:r>
      <w:r>
        <w:rPr>
          <w:rFonts w:hint="eastAsia" w:ascii="仿宋" w:hAnsi="仿宋" w:eastAsia="仿宋"/>
          <w:kern w:val="2"/>
          <w:sz w:val="32"/>
          <w:szCs w:val="32"/>
          <w:lang w:val="en-US" w:eastAsia="zh-CN"/>
        </w:rPr>
        <w:t>0</w:t>
      </w:r>
      <w:r>
        <w:rPr>
          <w:rFonts w:ascii="仿宋" w:hAnsi="仿宋" w:eastAsia="仿宋"/>
          <w:kern w:val="2"/>
          <w:sz w:val="32"/>
          <w:szCs w:val="32"/>
          <w:lang w:val="zh-CN"/>
        </w:rPr>
        <w:t>个国有资本经营预算项目支出开展绩效自评，共涉及资金</w:t>
      </w:r>
      <w:r>
        <w:rPr>
          <w:rFonts w:hint="eastAsia" w:ascii="仿宋" w:hAnsi="仿宋" w:eastAsia="仿宋"/>
          <w:kern w:val="2"/>
          <w:sz w:val="32"/>
          <w:szCs w:val="32"/>
          <w:lang w:val="en-US" w:eastAsia="zh-CN"/>
        </w:rPr>
        <w:t>0.00</w:t>
      </w:r>
      <w:r>
        <w:rPr>
          <w:rFonts w:ascii="仿宋" w:hAnsi="仿宋" w:eastAsia="仿宋"/>
          <w:kern w:val="2"/>
          <w:sz w:val="32"/>
          <w:szCs w:val="32"/>
          <w:lang w:val="zh-CN"/>
        </w:rPr>
        <w:t>万元，占国有资本经营预算项目支出总额的</w:t>
      </w:r>
      <w:r>
        <w:rPr>
          <w:rFonts w:hint="eastAsia" w:ascii="仿宋" w:hAnsi="仿宋" w:eastAsia="仿宋"/>
          <w:kern w:val="2"/>
          <w:sz w:val="32"/>
          <w:szCs w:val="32"/>
          <w:lang w:val="en-US" w:eastAsia="zh-CN"/>
        </w:rPr>
        <w:t>0.0</w:t>
      </w:r>
      <w:r>
        <w:rPr>
          <w:rFonts w:ascii="仿宋" w:hAnsi="仿宋" w:eastAsia="仿宋"/>
          <w:kern w:val="2"/>
          <w:sz w:val="32"/>
          <w:szCs w:val="32"/>
          <w:lang w:val="zh-CN"/>
        </w:rPr>
        <w:t>%。</w:t>
      </w:r>
    </w:p>
    <w:p>
      <w:pPr>
        <w:pStyle w:val="10"/>
        <w:widowControl/>
        <w:snapToGrid w:val="0"/>
        <w:spacing w:beforeAutospacing="0" w:afterAutospacing="0" w:line="360" w:lineRule="auto"/>
        <w:ind w:firstLine="640" w:firstLineChars="200"/>
        <w:rPr>
          <w:rFonts w:ascii="仿宋" w:hAnsi="仿宋" w:eastAsia="仿宋"/>
          <w:kern w:val="2"/>
          <w:sz w:val="32"/>
          <w:szCs w:val="32"/>
          <w:lang w:val="zh-CN"/>
        </w:rPr>
      </w:pPr>
      <w:r>
        <w:rPr>
          <w:rFonts w:ascii="仿宋" w:hAnsi="仿宋" w:eastAsia="仿宋"/>
          <w:kern w:val="2"/>
          <w:sz w:val="32"/>
          <w:szCs w:val="32"/>
          <w:lang w:val="zh-CN"/>
        </w:rPr>
        <w:t>组织对“</w:t>
      </w:r>
      <w:r>
        <w:rPr>
          <w:rFonts w:hint="eastAsia" w:ascii="仿宋" w:hAnsi="仿宋" w:eastAsia="仿宋"/>
          <w:kern w:val="2"/>
          <w:sz w:val="32"/>
          <w:szCs w:val="32"/>
          <w:lang w:val="en-US" w:eastAsia="zh-CN"/>
        </w:rPr>
        <w:t>偿还2021年度第56批次5号地块社保费及风险基金</w:t>
      </w:r>
      <w:r>
        <w:rPr>
          <w:rFonts w:ascii="仿宋" w:hAnsi="仿宋" w:eastAsia="仿宋"/>
          <w:kern w:val="2"/>
          <w:sz w:val="32"/>
          <w:szCs w:val="32"/>
          <w:lang w:val="zh-CN"/>
        </w:rPr>
        <w:t>”“</w:t>
      </w:r>
      <w:r>
        <w:rPr>
          <w:rFonts w:hint="eastAsia" w:ascii="仿宋" w:hAnsi="仿宋" w:eastAsia="仿宋"/>
          <w:kern w:val="2"/>
          <w:sz w:val="32"/>
          <w:szCs w:val="32"/>
          <w:lang w:val="en-US" w:eastAsia="zh-CN"/>
        </w:rPr>
        <w:t>骊仁林业发展有限公司发展金</w:t>
      </w:r>
      <w:r>
        <w:rPr>
          <w:rFonts w:ascii="仿宋" w:hAnsi="仿宋" w:eastAsia="仿宋"/>
          <w:kern w:val="2"/>
          <w:sz w:val="32"/>
          <w:szCs w:val="32"/>
          <w:lang w:val="zh-CN"/>
        </w:rPr>
        <w:t>”等</w:t>
      </w:r>
      <w:r>
        <w:rPr>
          <w:rFonts w:hint="eastAsia" w:ascii="仿宋" w:hAnsi="仿宋" w:eastAsia="仿宋"/>
          <w:kern w:val="2"/>
          <w:sz w:val="32"/>
          <w:szCs w:val="32"/>
          <w:lang w:val="en-US" w:eastAsia="zh-CN"/>
        </w:rPr>
        <w:t>15</w:t>
      </w:r>
      <w:r>
        <w:rPr>
          <w:rFonts w:ascii="仿宋" w:hAnsi="仿宋" w:eastAsia="仿宋"/>
          <w:kern w:val="2"/>
          <w:sz w:val="32"/>
          <w:szCs w:val="32"/>
          <w:lang w:val="zh-CN"/>
        </w:rPr>
        <w:t>个项目开展了部门评价，涉及一般公共预算支出</w:t>
      </w:r>
      <w:r>
        <w:rPr>
          <w:rFonts w:hint="eastAsia" w:ascii="仿宋" w:hAnsi="仿宋" w:eastAsia="仿宋"/>
          <w:kern w:val="2"/>
          <w:sz w:val="32"/>
          <w:szCs w:val="32"/>
          <w:lang w:val="en-US" w:eastAsia="zh-CN"/>
        </w:rPr>
        <w:t>811.63</w:t>
      </w:r>
      <w:r>
        <w:rPr>
          <w:rFonts w:ascii="仿宋" w:hAnsi="仿宋" w:eastAsia="仿宋"/>
          <w:kern w:val="2"/>
          <w:sz w:val="32"/>
          <w:szCs w:val="32"/>
          <w:lang w:val="zh-CN"/>
        </w:rPr>
        <w:t>万元，政府性基金预算支出</w:t>
      </w:r>
      <w:r>
        <w:rPr>
          <w:rFonts w:hint="eastAsia" w:ascii="仿宋" w:hAnsi="仿宋" w:eastAsia="仿宋"/>
          <w:kern w:val="2"/>
          <w:sz w:val="32"/>
          <w:szCs w:val="32"/>
          <w:lang w:val="en-US" w:eastAsia="zh-CN"/>
        </w:rPr>
        <w:t>13042.70</w:t>
      </w:r>
      <w:r>
        <w:rPr>
          <w:rFonts w:ascii="仿宋" w:hAnsi="仿宋" w:eastAsia="仿宋"/>
          <w:kern w:val="2"/>
          <w:sz w:val="32"/>
          <w:szCs w:val="32"/>
          <w:lang w:val="zh-CN"/>
        </w:rPr>
        <w:t>万元，国有资本经营预算支出</w:t>
      </w:r>
      <w:r>
        <w:rPr>
          <w:rFonts w:hint="eastAsia" w:ascii="仿宋" w:hAnsi="仿宋" w:eastAsia="仿宋"/>
          <w:kern w:val="2"/>
          <w:sz w:val="32"/>
          <w:szCs w:val="32"/>
          <w:lang w:val="en-US" w:eastAsia="zh-CN"/>
        </w:rPr>
        <w:t>0.00</w:t>
      </w:r>
      <w:r>
        <w:rPr>
          <w:rFonts w:ascii="仿宋" w:hAnsi="仿宋" w:eastAsia="仿宋"/>
          <w:kern w:val="2"/>
          <w:sz w:val="32"/>
          <w:szCs w:val="32"/>
          <w:lang w:val="zh-CN"/>
        </w:rPr>
        <w:t>万元。</w:t>
      </w:r>
    </w:p>
    <w:p>
      <w:pPr>
        <w:pStyle w:val="10"/>
        <w:widowControl/>
        <w:snapToGrid w:val="0"/>
        <w:spacing w:beforeAutospacing="0" w:afterAutospacing="0" w:line="360" w:lineRule="auto"/>
        <w:ind w:firstLine="640" w:firstLineChars="200"/>
        <w:rPr>
          <w:rFonts w:hint="default" w:ascii="仿宋" w:hAnsi="仿宋" w:eastAsia="仿宋"/>
          <w:sz w:val="32"/>
          <w:szCs w:val="32"/>
          <w:highlight w:val="yellow"/>
          <w:lang w:val="en-US" w:eastAsia="zh-CN"/>
        </w:rPr>
      </w:pPr>
      <w:r>
        <w:rPr>
          <w:rFonts w:ascii="仿宋" w:hAnsi="仿宋" w:eastAsia="仿宋"/>
          <w:kern w:val="2"/>
          <w:sz w:val="32"/>
          <w:szCs w:val="32"/>
          <w:lang w:val="zh-CN"/>
        </w:rPr>
        <w:t>从评价情况看，</w:t>
      </w:r>
      <w:r>
        <w:rPr>
          <w:rFonts w:hint="eastAsia" w:ascii="仿宋" w:hAnsi="仿宋" w:eastAsia="仿宋"/>
          <w:kern w:val="2"/>
          <w:sz w:val="32"/>
          <w:szCs w:val="32"/>
          <w:lang w:val="en-US" w:eastAsia="zh-CN"/>
        </w:rPr>
        <w:t>项目支出评价等级为“优”项目15个，“良”项目0个，“中”项目0个，“差”项目0个，评优率100.0%。</w:t>
      </w:r>
    </w:p>
    <w:p>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（二）部门决算中项目绩效自评结果（如有）</w:t>
      </w:r>
    </w:p>
    <w:p>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本</w:t>
      </w:r>
      <w:r>
        <w:rPr>
          <w:rFonts w:hint="eastAsia" w:ascii="仿宋" w:hAnsi="仿宋" w:eastAsia="仿宋"/>
          <w:kern w:val="2"/>
          <w:sz w:val="32"/>
          <w:szCs w:val="32"/>
          <w:lang w:val="zh-CN"/>
        </w:rPr>
        <w:t>部门</w:t>
      </w:r>
      <w:r>
        <w:rPr>
          <w:rFonts w:ascii="仿宋" w:hAnsi="仿宋" w:eastAsia="仿宋"/>
          <w:kern w:val="2"/>
          <w:sz w:val="32"/>
          <w:szCs w:val="32"/>
          <w:lang w:val="zh-CN"/>
        </w:rPr>
        <w:t>在今年部门决算公开中</w:t>
      </w:r>
      <w:r>
        <w:rPr>
          <w:rFonts w:hint="eastAsia" w:ascii="仿宋" w:hAnsi="仿宋" w:eastAsia="仿宋"/>
          <w:kern w:val="2"/>
          <w:sz w:val="32"/>
          <w:szCs w:val="32"/>
          <w:lang w:val="en-US" w:eastAsia="zh-CN"/>
        </w:rPr>
        <w:t>偿还2021年度第56批次5号地块社保费及风险基金</w:t>
      </w:r>
      <w:r>
        <w:rPr>
          <w:rFonts w:ascii="仿宋" w:hAnsi="仿宋" w:eastAsia="仿宋"/>
          <w:kern w:val="2"/>
          <w:sz w:val="32"/>
          <w:szCs w:val="32"/>
          <w:lang w:val="zh-CN"/>
        </w:rPr>
        <w:t>项目及</w:t>
      </w:r>
      <w:r>
        <w:rPr>
          <w:rFonts w:hint="eastAsia" w:ascii="仿宋" w:hAnsi="仿宋" w:eastAsia="仿宋"/>
          <w:kern w:val="2"/>
          <w:sz w:val="32"/>
          <w:szCs w:val="32"/>
          <w:lang w:val="en-US" w:eastAsia="zh-CN"/>
        </w:rPr>
        <w:t>骊仁林业发展有限公司发展金</w:t>
      </w:r>
      <w:r>
        <w:rPr>
          <w:rFonts w:ascii="仿宋" w:hAnsi="仿宋" w:eastAsia="仿宋"/>
          <w:kern w:val="2"/>
          <w:sz w:val="32"/>
          <w:szCs w:val="32"/>
          <w:lang w:val="zh-CN"/>
        </w:rPr>
        <w:t>项目等</w:t>
      </w:r>
      <w:r>
        <w:rPr>
          <w:rFonts w:hint="eastAsia" w:ascii="仿宋" w:hAnsi="仿宋" w:eastAsia="仿宋"/>
          <w:kern w:val="2"/>
          <w:sz w:val="32"/>
          <w:szCs w:val="32"/>
          <w:lang w:val="en-US" w:eastAsia="zh-CN"/>
        </w:rPr>
        <w:t>15</w:t>
      </w:r>
      <w:r>
        <w:rPr>
          <w:rFonts w:ascii="仿宋" w:hAnsi="仿宋" w:eastAsia="仿宋"/>
          <w:kern w:val="2"/>
          <w:sz w:val="32"/>
          <w:szCs w:val="32"/>
          <w:lang w:val="zh-CN"/>
        </w:rPr>
        <w:t>个项目绩效自评结果。</w:t>
      </w:r>
    </w:p>
    <w:p>
      <w:pPr>
        <w:pStyle w:val="10"/>
        <w:widowControl/>
        <w:snapToGrid w:val="0"/>
        <w:spacing w:beforeAutospacing="0" w:afterAutospacing="0" w:line="360" w:lineRule="auto"/>
        <w:ind w:firstLine="640" w:firstLineChars="200"/>
        <w:rPr>
          <w:rFonts w:ascii="仿宋" w:hAnsi="仿宋" w:eastAsia="仿宋" w:cs="Times New Roman"/>
          <w:sz w:val="32"/>
          <w:szCs w:val="32"/>
          <w:highlight w:val="yellow"/>
        </w:rPr>
      </w:pPr>
      <w:r>
        <w:rPr>
          <w:rFonts w:hint="eastAsia" w:ascii="仿宋" w:hAnsi="仿宋" w:eastAsia="仿宋"/>
          <w:kern w:val="2"/>
          <w:sz w:val="32"/>
          <w:szCs w:val="32"/>
          <w:lang w:val="en-US" w:eastAsia="zh-CN"/>
        </w:rPr>
        <w:t>1，偿还2021年度第56批次5号地块社保费及风险基金</w:t>
      </w:r>
      <w:r>
        <w:rPr>
          <w:rFonts w:ascii="仿宋" w:hAnsi="仿宋" w:eastAsia="仿宋"/>
          <w:kern w:val="2"/>
          <w:sz w:val="32"/>
          <w:szCs w:val="32"/>
          <w:lang w:val="zh-CN"/>
        </w:rPr>
        <w:t>项目绩效自评情况：根据年初设定的绩效目标，</w:t>
      </w:r>
      <w:r>
        <w:rPr>
          <w:rFonts w:hint="eastAsia" w:ascii="仿宋" w:hAnsi="仿宋" w:eastAsia="仿宋"/>
          <w:kern w:val="2"/>
          <w:sz w:val="32"/>
          <w:szCs w:val="32"/>
          <w:lang w:val="en-US" w:eastAsia="zh-CN"/>
        </w:rPr>
        <w:t>注册资本金</w:t>
      </w:r>
      <w:r>
        <w:rPr>
          <w:rFonts w:ascii="仿宋" w:hAnsi="仿宋" w:eastAsia="仿宋"/>
          <w:kern w:val="2"/>
          <w:sz w:val="32"/>
          <w:szCs w:val="32"/>
          <w:lang w:val="zh-CN"/>
        </w:rPr>
        <w:t>项目绩效自评得分为</w:t>
      </w:r>
      <w:r>
        <w:rPr>
          <w:rFonts w:hint="eastAsia" w:ascii="仿宋" w:hAnsi="仿宋" w:eastAsia="仿宋"/>
          <w:kern w:val="2"/>
          <w:sz w:val="32"/>
          <w:szCs w:val="32"/>
          <w:lang w:val="en-US" w:eastAsia="zh-CN"/>
        </w:rPr>
        <w:t>100</w:t>
      </w:r>
      <w:r>
        <w:rPr>
          <w:rFonts w:ascii="仿宋" w:hAnsi="仿宋" w:eastAsia="仿宋"/>
          <w:kern w:val="2"/>
          <w:sz w:val="32"/>
          <w:szCs w:val="32"/>
          <w:lang w:val="zh-CN"/>
        </w:rPr>
        <w:t>分（绩效自评表附后）。全年预算数为</w:t>
      </w:r>
      <w:r>
        <w:rPr>
          <w:rFonts w:hint="eastAsia" w:ascii="仿宋" w:hAnsi="仿宋" w:eastAsia="仿宋"/>
          <w:kern w:val="2"/>
          <w:sz w:val="32"/>
          <w:szCs w:val="32"/>
          <w:lang w:val="en-US" w:eastAsia="zh-CN"/>
        </w:rPr>
        <w:t>63.29</w:t>
      </w:r>
      <w:r>
        <w:rPr>
          <w:rFonts w:ascii="仿宋" w:hAnsi="仿宋" w:eastAsia="仿宋"/>
          <w:kern w:val="2"/>
          <w:sz w:val="32"/>
          <w:szCs w:val="32"/>
          <w:lang w:val="zh-CN"/>
        </w:rPr>
        <w:t>万元，执行数为</w:t>
      </w:r>
      <w:r>
        <w:rPr>
          <w:rFonts w:hint="eastAsia" w:ascii="仿宋" w:hAnsi="仿宋" w:eastAsia="仿宋"/>
          <w:kern w:val="2"/>
          <w:sz w:val="32"/>
          <w:szCs w:val="32"/>
          <w:lang w:val="en-US" w:eastAsia="zh-CN"/>
        </w:rPr>
        <w:t>63.29</w:t>
      </w:r>
      <w:r>
        <w:rPr>
          <w:rFonts w:ascii="仿宋" w:hAnsi="仿宋" w:eastAsia="仿宋"/>
          <w:kern w:val="2"/>
          <w:sz w:val="32"/>
          <w:szCs w:val="32"/>
          <w:lang w:val="zh-CN"/>
        </w:rPr>
        <w:t>万元，完成预算的</w:t>
      </w:r>
      <w:r>
        <w:rPr>
          <w:rFonts w:hint="eastAsia" w:ascii="仿宋" w:hAnsi="仿宋" w:eastAsia="仿宋"/>
          <w:kern w:val="2"/>
          <w:sz w:val="32"/>
          <w:szCs w:val="32"/>
          <w:lang w:val="en-US" w:eastAsia="zh-CN"/>
        </w:rPr>
        <w:t>100.0</w:t>
      </w:r>
      <w:r>
        <w:rPr>
          <w:rFonts w:ascii="仿宋" w:hAnsi="仿宋" w:eastAsia="仿宋"/>
          <w:kern w:val="2"/>
          <w:sz w:val="32"/>
          <w:szCs w:val="32"/>
          <w:lang w:val="zh-CN"/>
        </w:rPr>
        <w:t>%。项目绩效目标完成情况：</w:t>
      </w:r>
      <w:r>
        <w:rPr>
          <w:rFonts w:hint="eastAsia" w:ascii="仿宋" w:hAnsi="仿宋" w:eastAsia="仿宋"/>
          <w:kern w:val="2"/>
          <w:sz w:val="32"/>
          <w:szCs w:val="32"/>
          <w:lang w:val="en-US" w:eastAsia="zh-CN"/>
        </w:rPr>
        <w:t>通过项目实施，总体完成了年初设定的各项绩效目标，未发现问题。</w:t>
      </w:r>
    </w:p>
    <w:p>
      <w:pPr>
        <w:pStyle w:val="10"/>
        <w:widowControl/>
        <w:snapToGrid w:val="0"/>
        <w:spacing w:beforeAutospacing="0" w:afterAutospacing="0" w:line="360" w:lineRule="auto"/>
        <w:ind w:firstLine="640" w:firstLineChars="200"/>
        <w:rPr>
          <w:rFonts w:ascii="仿宋" w:hAnsi="仿宋" w:eastAsia="仿宋"/>
          <w:kern w:val="2"/>
          <w:sz w:val="32"/>
          <w:szCs w:val="32"/>
          <w:lang w:val="zh-CN"/>
        </w:rPr>
      </w:pPr>
      <w:r>
        <w:rPr>
          <w:rFonts w:hint="eastAsia" w:ascii="仿宋" w:hAnsi="仿宋" w:eastAsia="仿宋"/>
          <w:kern w:val="2"/>
          <w:sz w:val="32"/>
          <w:szCs w:val="32"/>
          <w:lang w:val="en-US" w:eastAsia="zh-CN"/>
        </w:rPr>
        <w:t>2，骊仁林业发展有限公司发展金</w:t>
      </w:r>
      <w:r>
        <w:rPr>
          <w:rFonts w:ascii="仿宋" w:hAnsi="仿宋" w:eastAsia="仿宋"/>
          <w:kern w:val="2"/>
          <w:sz w:val="32"/>
          <w:szCs w:val="32"/>
          <w:lang w:val="zh-CN"/>
        </w:rPr>
        <w:t>项目绩效自评情况：根据年初设定的绩效目标，</w:t>
      </w:r>
      <w:r>
        <w:rPr>
          <w:rFonts w:hint="eastAsia" w:ascii="仿宋" w:hAnsi="仿宋" w:eastAsia="仿宋"/>
          <w:kern w:val="2"/>
          <w:sz w:val="32"/>
          <w:szCs w:val="32"/>
          <w:lang w:val="en-US" w:eastAsia="zh-CN"/>
        </w:rPr>
        <w:t>注册资本金</w:t>
      </w:r>
      <w:r>
        <w:rPr>
          <w:rFonts w:ascii="仿宋" w:hAnsi="仿宋" w:eastAsia="仿宋"/>
          <w:kern w:val="2"/>
          <w:sz w:val="32"/>
          <w:szCs w:val="32"/>
          <w:lang w:val="zh-CN"/>
        </w:rPr>
        <w:t>项目绩效自评得分为</w:t>
      </w:r>
      <w:r>
        <w:rPr>
          <w:rFonts w:hint="eastAsia" w:ascii="仿宋" w:hAnsi="仿宋" w:eastAsia="仿宋"/>
          <w:kern w:val="2"/>
          <w:sz w:val="32"/>
          <w:szCs w:val="32"/>
          <w:lang w:val="en-US" w:eastAsia="zh-CN"/>
        </w:rPr>
        <w:t>96</w:t>
      </w:r>
      <w:r>
        <w:rPr>
          <w:rFonts w:ascii="仿宋" w:hAnsi="仿宋" w:eastAsia="仿宋"/>
          <w:kern w:val="2"/>
          <w:sz w:val="32"/>
          <w:szCs w:val="32"/>
          <w:lang w:val="zh-CN"/>
        </w:rPr>
        <w:t>分（绩效自评表附后）。全年预算数为</w:t>
      </w:r>
      <w:r>
        <w:rPr>
          <w:rFonts w:hint="eastAsia" w:ascii="仿宋" w:hAnsi="仿宋" w:eastAsia="仿宋"/>
          <w:kern w:val="2"/>
          <w:sz w:val="32"/>
          <w:szCs w:val="32"/>
          <w:lang w:val="en-US" w:eastAsia="zh-CN"/>
        </w:rPr>
        <w:t>7500.00</w:t>
      </w:r>
      <w:r>
        <w:rPr>
          <w:rFonts w:ascii="仿宋" w:hAnsi="仿宋" w:eastAsia="仿宋"/>
          <w:kern w:val="2"/>
          <w:sz w:val="32"/>
          <w:szCs w:val="32"/>
          <w:lang w:val="zh-CN"/>
        </w:rPr>
        <w:t>万元，执行数为</w:t>
      </w:r>
      <w:r>
        <w:rPr>
          <w:rFonts w:hint="eastAsia" w:ascii="仿宋" w:hAnsi="仿宋" w:eastAsia="仿宋"/>
          <w:kern w:val="2"/>
          <w:sz w:val="32"/>
          <w:szCs w:val="32"/>
          <w:lang w:val="en-US" w:eastAsia="zh-CN"/>
        </w:rPr>
        <w:t>7200.00</w:t>
      </w:r>
      <w:r>
        <w:rPr>
          <w:rFonts w:ascii="仿宋" w:hAnsi="仿宋" w:eastAsia="仿宋"/>
          <w:kern w:val="2"/>
          <w:sz w:val="32"/>
          <w:szCs w:val="32"/>
          <w:lang w:val="zh-CN"/>
        </w:rPr>
        <w:t>万元，完成预算的</w:t>
      </w:r>
      <w:r>
        <w:rPr>
          <w:rFonts w:hint="eastAsia" w:ascii="仿宋" w:hAnsi="仿宋" w:eastAsia="仿宋"/>
          <w:kern w:val="2"/>
          <w:sz w:val="32"/>
          <w:szCs w:val="32"/>
          <w:lang w:val="en-US" w:eastAsia="zh-CN"/>
        </w:rPr>
        <w:t>96.0</w:t>
      </w:r>
      <w:r>
        <w:rPr>
          <w:rFonts w:ascii="仿宋" w:hAnsi="仿宋" w:eastAsia="仿宋"/>
          <w:kern w:val="2"/>
          <w:sz w:val="32"/>
          <w:szCs w:val="32"/>
          <w:lang w:val="zh-CN"/>
        </w:rPr>
        <w:t>%。项目绩效目标完成情况：</w:t>
      </w:r>
      <w:r>
        <w:rPr>
          <w:rFonts w:hint="eastAsia" w:ascii="仿宋" w:hAnsi="仿宋" w:eastAsia="仿宋"/>
          <w:kern w:val="2"/>
          <w:sz w:val="32"/>
          <w:szCs w:val="32"/>
          <w:lang w:val="en-US" w:eastAsia="zh-CN"/>
        </w:rPr>
        <w:t>通过项目实施，总体完成了年初设定的各项绩效目标</w:t>
      </w:r>
      <w:r>
        <w:rPr>
          <w:rFonts w:ascii="仿宋" w:hAnsi="仿宋" w:eastAsia="仿宋"/>
          <w:kern w:val="2"/>
          <w:sz w:val="32"/>
          <w:szCs w:val="32"/>
          <w:lang w:val="zh-CN"/>
        </w:rPr>
        <w:t>。发现的主要问题及原因是：一是</w:t>
      </w:r>
      <w:r>
        <w:rPr>
          <w:rFonts w:hint="eastAsia" w:ascii="仿宋" w:hAnsi="仿宋" w:eastAsia="仿宋"/>
          <w:kern w:val="2"/>
          <w:sz w:val="32"/>
          <w:szCs w:val="32"/>
          <w:lang w:val="en-US" w:eastAsia="zh-CN"/>
        </w:rPr>
        <w:t>预算绩效指标设置不专业</w:t>
      </w:r>
      <w:r>
        <w:rPr>
          <w:rFonts w:ascii="仿宋" w:hAnsi="仿宋" w:eastAsia="仿宋"/>
          <w:kern w:val="2"/>
          <w:sz w:val="32"/>
          <w:szCs w:val="32"/>
          <w:lang w:val="zh-CN"/>
        </w:rPr>
        <w:t>；二是</w:t>
      </w:r>
      <w:r>
        <w:rPr>
          <w:rFonts w:hint="eastAsia" w:ascii="仿宋" w:hAnsi="仿宋" w:eastAsia="仿宋"/>
          <w:kern w:val="2"/>
          <w:sz w:val="32"/>
          <w:szCs w:val="32"/>
          <w:lang w:val="en-US" w:eastAsia="zh-CN"/>
        </w:rPr>
        <w:t>对绩效目标执行效果关注度不强，缺少长期跟踪评价</w:t>
      </w:r>
      <w:r>
        <w:rPr>
          <w:rFonts w:ascii="仿宋" w:hAnsi="仿宋" w:eastAsia="仿宋"/>
          <w:kern w:val="2"/>
          <w:sz w:val="32"/>
          <w:szCs w:val="32"/>
          <w:lang w:val="zh-CN"/>
        </w:rPr>
        <w:t>。下一步改进措施：一是</w:t>
      </w:r>
      <w:r>
        <w:rPr>
          <w:rFonts w:hint="eastAsia" w:ascii="仿宋" w:hAnsi="仿宋" w:eastAsia="仿宋"/>
          <w:kern w:val="2"/>
          <w:sz w:val="32"/>
          <w:szCs w:val="32"/>
          <w:lang w:val="en-US" w:eastAsia="zh-CN"/>
        </w:rPr>
        <w:t>需要制定更加完整、准确、合理的绩效目标</w:t>
      </w:r>
      <w:r>
        <w:rPr>
          <w:rFonts w:ascii="仿宋" w:hAnsi="仿宋" w:eastAsia="仿宋"/>
          <w:kern w:val="2"/>
          <w:sz w:val="32"/>
          <w:szCs w:val="32"/>
          <w:lang w:val="zh-CN"/>
        </w:rPr>
        <w:t>；二是</w:t>
      </w:r>
      <w:r>
        <w:rPr>
          <w:rFonts w:hint="eastAsia" w:ascii="仿宋" w:hAnsi="仿宋" w:eastAsia="仿宋"/>
          <w:kern w:val="2"/>
          <w:sz w:val="32"/>
          <w:szCs w:val="32"/>
          <w:lang w:val="en-US" w:eastAsia="zh-CN"/>
        </w:rPr>
        <w:t>加强长期跟踪评价</w:t>
      </w:r>
      <w:r>
        <w:rPr>
          <w:rFonts w:ascii="仿宋" w:hAnsi="仿宋" w:eastAsia="仿宋"/>
          <w:kern w:val="2"/>
          <w:sz w:val="32"/>
          <w:szCs w:val="32"/>
          <w:lang w:val="zh-CN"/>
        </w:rPr>
        <w:t>。</w:t>
      </w:r>
    </w:p>
    <w:p>
      <w:pPr>
        <w:pStyle w:val="10"/>
        <w:widowControl/>
        <w:snapToGrid w:val="0"/>
        <w:spacing w:beforeAutospacing="0" w:afterAutospacing="0" w:line="360" w:lineRule="auto"/>
        <w:rPr>
          <w:rFonts w:hint="default" w:ascii="仿宋" w:hAnsi="仿宋" w:eastAsia="仿宋"/>
          <w:kern w:val="2"/>
          <w:sz w:val="32"/>
          <w:szCs w:val="32"/>
          <w:lang w:val="en-US" w:eastAsia="zh-CN"/>
        </w:rPr>
      </w:pPr>
      <w:r>
        <w:rPr>
          <w:rFonts w:hint="eastAsia" w:ascii="仿宋" w:hAnsi="仿宋" w:eastAsia="仿宋"/>
          <w:kern w:val="2"/>
          <w:sz w:val="32"/>
          <w:szCs w:val="32"/>
          <w:lang w:val="en-US" w:eastAsia="zh-CN"/>
        </w:rPr>
        <w:t xml:space="preserve"> 附项目支出绩效自评表</w:t>
      </w:r>
    </w:p>
    <w:tbl>
      <w:tblPr>
        <w:tblStyle w:val="11"/>
        <w:tblW w:w="107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5"/>
        <w:gridCol w:w="675"/>
        <w:gridCol w:w="810"/>
        <w:gridCol w:w="1485"/>
        <w:gridCol w:w="1380"/>
        <w:gridCol w:w="1080"/>
        <w:gridCol w:w="455"/>
        <w:gridCol w:w="25"/>
        <w:gridCol w:w="375"/>
        <w:gridCol w:w="369"/>
        <w:gridCol w:w="434"/>
        <w:gridCol w:w="451"/>
        <w:gridCol w:w="434"/>
        <w:gridCol w:w="826"/>
        <w:gridCol w:w="10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785" w:type="dxa"/>
            <w:gridSpan w:val="15"/>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b/>
                <w:bCs/>
                <w:i w:val="0"/>
                <w:iCs w:val="0"/>
                <w:color w:val="000000"/>
                <w:sz w:val="36"/>
                <w:szCs w:val="36"/>
                <w:u w:val="none"/>
              </w:rPr>
            </w:pPr>
            <w:r>
              <w:rPr>
                <w:rFonts w:ascii="宋体" w:hAnsi="宋体" w:eastAsia="宋体" w:cs="宋体"/>
                <w:b/>
                <w:bCs/>
                <w:i w:val="0"/>
                <w:iCs w:val="0"/>
                <w:color w:val="000000"/>
                <w:kern w:val="0"/>
                <w:sz w:val="36"/>
                <w:szCs w:val="36"/>
                <w:u w:val="none"/>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785" w:type="dxa"/>
            <w:gridSpan w:val="15"/>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pPr>
              <w:jc w:val="center"/>
              <w:rPr>
                <w:rFonts w:hint="eastAsia" w:ascii="宋体" w:hAnsi="宋体" w:eastAsia="宋体" w:cs="宋体"/>
                <w:b/>
                <w:bCs/>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一、基本情况</w:t>
            </w:r>
          </w:p>
        </w:tc>
        <w:tc>
          <w:tcPr>
            <w:tcW w:w="675"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项目名称</w:t>
            </w:r>
          </w:p>
        </w:tc>
        <w:tc>
          <w:tcPr>
            <w:tcW w:w="2295"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偿还2021年度第56批次5号地块社保费及风险基金</w:t>
            </w:r>
          </w:p>
        </w:tc>
        <w:tc>
          <w:tcPr>
            <w:tcW w:w="1380"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项目级次</w:t>
            </w:r>
          </w:p>
        </w:tc>
        <w:tc>
          <w:tcPr>
            <w:tcW w:w="1080"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855" w:type="dxa"/>
            <w:gridSpan w:val="3"/>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实施主管单位</w:t>
            </w:r>
          </w:p>
        </w:tc>
        <w:tc>
          <w:tcPr>
            <w:tcW w:w="1688"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328001 - 河北抚宁经济开发区管理委员会本级</w:t>
            </w:r>
          </w:p>
        </w:tc>
        <w:tc>
          <w:tcPr>
            <w:tcW w:w="826"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金额单位</w:t>
            </w:r>
          </w:p>
        </w:tc>
        <w:tc>
          <w:tcPr>
            <w:tcW w:w="1041" w:type="dxa"/>
            <w:tcBorders>
              <w:top w:val="single" w:color="B0C4DE" w:sz="4" w:space="0"/>
              <w:left w:val="single" w:color="B0C4DE" w:sz="4" w:space="0"/>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restart"/>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二、预算执行情况</w:t>
            </w:r>
          </w:p>
        </w:tc>
        <w:tc>
          <w:tcPr>
            <w:tcW w:w="1485" w:type="dxa"/>
            <w:gridSpan w:val="2"/>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预算安排情况(调整后)</w:t>
            </w:r>
          </w:p>
        </w:tc>
        <w:tc>
          <w:tcPr>
            <w:tcW w:w="4400" w:type="dxa"/>
            <w:gridSpan w:val="4"/>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资金到位情况</w:t>
            </w:r>
          </w:p>
        </w:tc>
        <w:tc>
          <w:tcPr>
            <w:tcW w:w="1654" w:type="dxa"/>
            <w:gridSpan w:val="5"/>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资金执行情况</w:t>
            </w:r>
          </w:p>
        </w:tc>
        <w:tc>
          <w:tcPr>
            <w:tcW w:w="2301" w:type="dxa"/>
            <w:gridSpan w:val="3"/>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noWrap/>
            <w:vAlign w:val="top"/>
          </w:tcPr>
          <w:p>
            <w:pPr>
              <w:rPr>
                <w:rFonts w:hint="eastAsia" w:ascii="宋体" w:hAnsi="宋体" w:eastAsia="宋体" w:cs="宋体"/>
                <w:b/>
                <w:bCs/>
                <w:i w:val="0"/>
                <w:iCs w:val="0"/>
                <w:color w:val="000000"/>
                <w:sz w:val="22"/>
                <w:szCs w:val="22"/>
                <w:u w:val="none"/>
              </w:rPr>
            </w:pPr>
          </w:p>
        </w:tc>
        <w:tc>
          <w:tcPr>
            <w:tcW w:w="675"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预算数</w:t>
            </w:r>
          </w:p>
        </w:tc>
        <w:tc>
          <w:tcPr>
            <w:tcW w:w="810"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63.29</w:t>
            </w:r>
          </w:p>
        </w:tc>
        <w:tc>
          <w:tcPr>
            <w:tcW w:w="1485"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到位数</w:t>
            </w:r>
          </w:p>
        </w:tc>
        <w:tc>
          <w:tcPr>
            <w:tcW w:w="2915" w:type="dxa"/>
            <w:gridSpan w:val="3"/>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63.29</w:t>
            </w:r>
          </w:p>
        </w:tc>
        <w:tc>
          <w:tcPr>
            <w:tcW w:w="769" w:type="dxa"/>
            <w:gridSpan w:val="3"/>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执行数</w:t>
            </w:r>
          </w:p>
        </w:tc>
        <w:tc>
          <w:tcPr>
            <w:tcW w:w="885" w:type="dxa"/>
            <w:gridSpan w:val="2"/>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63.29</w:t>
            </w:r>
          </w:p>
        </w:tc>
        <w:tc>
          <w:tcPr>
            <w:tcW w:w="2301" w:type="dxa"/>
            <w:gridSpan w:val="3"/>
            <w:vMerge w:val="restart"/>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lang w:val="en-US"/>
              </w:rPr>
            </w:pPr>
            <w:r>
              <w:rPr>
                <w:rFonts w:hint="default" w:ascii="Calibri" w:hAnsi="Calibri" w:eastAsia="宋体" w:cs="Calibri"/>
                <w:i w:val="0"/>
                <w:iCs w:val="0"/>
                <w:color w:val="000000"/>
                <w:kern w:val="0"/>
                <w:sz w:val="22"/>
                <w:szCs w:val="22"/>
                <w:u w:val="none"/>
                <w:lang w:val="en-US" w:eastAsia="zh-CN" w:bidi="ar"/>
              </w:rPr>
              <w:t>100</w:t>
            </w:r>
            <w:r>
              <w:rPr>
                <w:rFonts w:hint="eastAsia" w:ascii="Calibri" w:hAnsi="Calibri" w:eastAsia="宋体" w:cs="Calibri"/>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noWrap/>
            <w:vAlign w:val="top"/>
          </w:tcPr>
          <w:p>
            <w:pPr>
              <w:rPr>
                <w:rFonts w:hint="eastAsia" w:ascii="宋体" w:hAnsi="宋体" w:eastAsia="宋体" w:cs="宋体"/>
                <w:b/>
                <w:bCs/>
                <w:i w:val="0"/>
                <w:iCs w:val="0"/>
                <w:color w:val="000000"/>
                <w:sz w:val="22"/>
                <w:szCs w:val="22"/>
                <w:u w:val="none"/>
              </w:rPr>
            </w:pPr>
          </w:p>
        </w:tc>
        <w:tc>
          <w:tcPr>
            <w:tcW w:w="675"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810"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63.29</w:t>
            </w:r>
          </w:p>
        </w:tc>
        <w:tc>
          <w:tcPr>
            <w:tcW w:w="1485"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2915" w:type="dxa"/>
            <w:gridSpan w:val="3"/>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63.29</w:t>
            </w:r>
          </w:p>
        </w:tc>
        <w:tc>
          <w:tcPr>
            <w:tcW w:w="769" w:type="dxa"/>
            <w:gridSpan w:val="3"/>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885" w:type="dxa"/>
            <w:gridSpan w:val="2"/>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63.29</w:t>
            </w:r>
          </w:p>
        </w:tc>
        <w:tc>
          <w:tcPr>
            <w:tcW w:w="2301" w:type="dxa"/>
            <w:gridSpan w:val="3"/>
            <w:vMerge w:val="continue"/>
            <w:tcBorders>
              <w:top w:val="nil"/>
              <w:left w:val="nil"/>
              <w:bottom w:val="single" w:color="B0C4DE" w:sz="4" w:space="0"/>
              <w:right w:val="single" w:color="B0C4DE" w:sz="4" w:space="0"/>
            </w:tcBorders>
            <w:shd w:val="clear" w:color="auto" w:fill="auto"/>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noWrap/>
            <w:vAlign w:val="top"/>
          </w:tcPr>
          <w:p>
            <w:pPr>
              <w:rPr>
                <w:rFonts w:hint="eastAsia" w:ascii="宋体" w:hAnsi="宋体" w:eastAsia="宋体" w:cs="宋体"/>
                <w:b/>
                <w:bCs/>
                <w:i w:val="0"/>
                <w:iCs w:val="0"/>
                <w:color w:val="000000"/>
                <w:sz w:val="22"/>
                <w:szCs w:val="22"/>
                <w:u w:val="none"/>
              </w:rPr>
            </w:pPr>
          </w:p>
        </w:tc>
        <w:tc>
          <w:tcPr>
            <w:tcW w:w="675"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810"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lang w:val="en-US"/>
              </w:rPr>
            </w:pPr>
            <w:r>
              <w:rPr>
                <w:rFonts w:hint="default" w:ascii="Calibri" w:hAnsi="Calibri" w:eastAsia="宋体" w:cs="Calibri"/>
                <w:i w:val="0"/>
                <w:iCs w:val="0"/>
                <w:color w:val="000000"/>
                <w:kern w:val="0"/>
                <w:sz w:val="22"/>
                <w:szCs w:val="22"/>
                <w:u w:val="none"/>
                <w:lang w:val="en-US" w:eastAsia="zh-CN" w:bidi="ar"/>
              </w:rPr>
              <w:t>0</w:t>
            </w:r>
            <w:r>
              <w:rPr>
                <w:rFonts w:hint="eastAsia" w:ascii="Calibri" w:hAnsi="Calibri" w:eastAsia="宋体" w:cs="Calibri"/>
                <w:i w:val="0"/>
                <w:iCs w:val="0"/>
                <w:color w:val="000000"/>
                <w:kern w:val="0"/>
                <w:sz w:val="22"/>
                <w:szCs w:val="22"/>
                <w:u w:val="none"/>
                <w:lang w:val="en-US" w:eastAsia="zh-CN" w:bidi="ar"/>
              </w:rPr>
              <w:t>.00</w:t>
            </w:r>
          </w:p>
        </w:tc>
        <w:tc>
          <w:tcPr>
            <w:tcW w:w="1485"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2915" w:type="dxa"/>
            <w:gridSpan w:val="3"/>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lang w:val="en-US"/>
              </w:rPr>
            </w:pPr>
            <w:r>
              <w:rPr>
                <w:rFonts w:hint="default" w:ascii="Calibri" w:hAnsi="Calibri" w:eastAsia="宋体" w:cs="Calibri"/>
                <w:i w:val="0"/>
                <w:iCs w:val="0"/>
                <w:color w:val="000000"/>
                <w:kern w:val="0"/>
                <w:sz w:val="22"/>
                <w:szCs w:val="22"/>
                <w:u w:val="none"/>
                <w:lang w:val="en-US" w:eastAsia="zh-CN" w:bidi="ar"/>
              </w:rPr>
              <w:t>0</w:t>
            </w:r>
            <w:r>
              <w:rPr>
                <w:rFonts w:hint="eastAsia" w:ascii="Calibri" w:hAnsi="Calibri" w:eastAsia="宋体" w:cs="Calibri"/>
                <w:i w:val="0"/>
                <w:iCs w:val="0"/>
                <w:color w:val="000000"/>
                <w:kern w:val="0"/>
                <w:sz w:val="22"/>
                <w:szCs w:val="22"/>
                <w:u w:val="none"/>
                <w:lang w:val="en-US" w:eastAsia="zh-CN" w:bidi="ar"/>
              </w:rPr>
              <w:t>.00</w:t>
            </w:r>
          </w:p>
        </w:tc>
        <w:tc>
          <w:tcPr>
            <w:tcW w:w="769" w:type="dxa"/>
            <w:gridSpan w:val="3"/>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885" w:type="dxa"/>
            <w:gridSpan w:val="2"/>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lang w:val="en-US"/>
              </w:rPr>
            </w:pPr>
            <w:r>
              <w:rPr>
                <w:rFonts w:hint="default" w:ascii="Calibri" w:hAnsi="Calibri" w:eastAsia="宋体" w:cs="Calibri"/>
                <w:i w:val="0"/>
                <w:iCs w:val="0"/>
                <w:color w:val="000000"/>
                <w:kern w:val="0"/>
                <w:sz w:val="22"/>
                <w:szCs w:val="22"/>
                <w:u w:val="none"/>
                <w:lang w:val="en-US" w:eastAsia="zh-CN" w:bidi="ar"/>
              </w:rPr>
              <w:t>0</w:t>
            </w:r>
            <w:r>
              <w:rPr>
                <w:rFonts w:hint="eastAsia" w:ascii="Calibri" w:hAnsi="Calibri" w:eastAsia="宋体" w:cs="Calibri"/>
                <w:i w:val="0"/>
                <w:iCs w:val="0"/>
                <w:color w:val="000000"/>
                <w:kern w:val="0"/>
                <w:sz w:val="22"/>
                <w:szCs w:val="22"/>
                <w:u w:val="none"/>
                <w:lang w:val="en-US" w:eastAsia="zh-CN" w:bidi="ar"/>
              </w:rPr>
              <w:t>.00</w:t>
            </w:r>
          </w:p>
        </w:tc>
        <w:tc>
          <w:tcPr>
            <w:tcW w:w="2301" w:type="dxa"/>
            <w:gridSpan w:val="3"/>
            <w:vMerge w:val="continue"/>
            <w:tcBorders>
              <w:top w:val="nil"/>
              <w:left w:val="nil"/>
              <w:bottom w:val="single" w:color="B0C4DE" w:sz="4" w:space="0"/>
              <w:right w:val="single" w:color="B0C4DE" w:sz="4" w:space="0"/>
            </w:tcBorders>
            <w:shd w:val="clear" w:color="auto" w:fill="auto"/>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三、目标完成情况</w:t>
            </w:r>
          </w:p>
        </w:tc>
        <w:tc>
          <w:tcPr>
            <w:tcW w:w="4350" w:type="dxa"/>
            <w:gridSpan w:val="4"/>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年度预期目标</w:t>
            </w:r>
          </w:p>
        </w:tc>
        <w:tc>
          <w:tcPr>
            <w:tcW w:w="3189" w:type="dxa"/>
            <w:gridSpan w:val="7"/>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具体完成情况</w:t>
            </w:r>
          </w:p>
        </w:tc>
        <w:tc>
          <w:tcPr>
            <w:tcW w:w="2301" w:type="dxa"/>
            <w:gridSpan w:val="3"/>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4350"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为优化营商环境，确保项目落地</w:t>
            </w:r>
          </w:p>
        </w:tc>
        <w:tc>
          <w:tcPr>
            <w:tcW w:w="3189" w:type="dxa"/>
            <w:gridSpan w:val="7"/>
            <w:tcBorders>
              <w:top w:val="single" w:color="B0C4DE" w:sz="4" w:space="0"/>
              <w:left w:val="single" w:color="B0C4DE" w:sz="4" w:space="0"/>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优化营商环境，确保项目落地目标已完成</w:t>
            </w:r>
          </w:p>
        </w:tc>
        <w:tc>
          <w:tcPr>
            <w:tcW w:w="2301" w:type="dxa"/>
            <w:gridSpan w:val="3"/>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4350"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为开发区及全区工业项目提供社保及风险基金等服务</w:t>
            </w:r>
          </w:p>
        </w:tc>
        <w:tc>
          <w:tcPr>
            <w:tcW w:w="3189" w:type="dxa"/>
            <w:gridSpan w:val="7"/>
            <w:tcBorders>
              <w:top w:val="single" w:color="B0C4DE" w:sz="4" w:space="0"/>
              <w:left w:val="single" w:color="B0C4DE" w:sz="4" w:space="0"/>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为开发区及全区工业项目提供社保及风险基金等服务目标已完成</w:t>
            </w:r>
          </w:p>
        </w:tc>
        <w:tc>
          <w:tcPr>
            <w:tcW w:w="2301" w:type="dxa"/>
            <w:gridSpan w:val="3"/>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四、年度绩效</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指标完成情况</w:t>
            </w:r>
          </w:p>
        </w:tc>
        <w:tc>
          <w:tcPr>
            <w:tcW w:w="675"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一级指标</w:t>
            </w:r>
          </w:p>
        </w:tc>
        <w:tc>
          <w:tcPr>
            <w:tcW w:w="810"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二级指标</w:t>
            </w:r>
          </w:p>
        </w:tc>
        <w:tc>
          <w:tcPr>
            <w:tcW w:w="1485"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三级指标</w:t>
            </w:r>
          </w:p>
        </w:tc>
        <w:tc>
          <w:tcPr>
            <w:tcW w:w="1380"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指标说明</w:t>
            </w:r>
          </w:p>
        </w:tc>
        <w:tc>
          <w:tcPr>
            <w:tcW w:w="1080"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指标分值</w:t>
            </w:r>
          </w:p>
        </w:tc>
        <w:tc>
          <w:tcPr>
            <w:tcW w:w="1658" w:type="dxa"/>
            <w:gridSpan w:val="5"/>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预期指标值</w:t>
            </w:r>
          </w:p>
        </w:tc>
        <w:tc>
          <w:tcPr>
            <w:tcW w:w="885" w:type="dxa"/>
            <w:gridSpan w:val="2"/>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单项指标实际完成值</w:t>
            </w:r>
          </w:p>
        </w:tc>
        <w:tc>
          <w:tcPr>
            <w:tcW w:w="826"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单项指标完成情况</w:t>
            </w:r>
          </w:p>
        </w:tc>
        <w:tc>
          <w:tcPr>
            <w:tcW w:w="1041"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67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81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48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38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08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480" w:type="dxa"/>
            <w:gridSpan w:val="2"/>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符号</w:t>
            </w:r>
          </w:p>
        </w:tc>
        <w:tc>
          <w:tcPr>
            <w:tcW w:w="375" w:type="dxa"/>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值</w:t>
            </w:r>
          </w:p>
        </w:tc>
        <w:tc>
          <w:tcPr>
            <w:tcW w:w="803" w:type="dxa"/>
            <w:gridSpan w:val="2"/>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单位(文字描述)</w:t>
            </w:r>
          </w:p>
        </w:tc>
        <w:tc>
          <w:tcPr>
            <w:tcW w:w="885" w:type="dxa"/>
            <w:gridSpan w:val="2"/>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826"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041"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675"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产出指标</w:t>
            </w:r>
          </w:p>
        </w:tc>
        <w:tc>
          <w:tcPr>
            <w:tcW w:w="8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148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支付项目社保及风险基金费用批次个数</w:t>
            </w:r>
          </w:p>
        </w:tc>
        <w:tc>
          <w:tcPr>
            <w:tcW w:w="138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支付项目社保及风险基金费用批次个数</w:t>
            </w:r>
          </w:p>
        </w:tc>
        <w:tc>
          <w:tcPr>
            <w:tcW w:w="1080"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480"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7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803"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个</w:t>
            </w:r>
          </w:p>
        </w:tc>
        <w:tc>
          <w:tcPr>
            <w:tcW w:w="885" w:type="dxa"/>
            <w:gridSpan w:val="2"/>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826"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1041"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67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8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148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确保开发区项目建设准确合理率</w:t>
            </w:r>
          </w:p>
        </w:tc>
        <w:tc>
          <w:tcPr>
            <w:tcW w:w="138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确保开发区项目建设准确合理率</w:t>
            </w:r>
          </w:p>
        </w:tc>
        <w:tc>
          <w:tcPr>
            <w:tcW w:w="1080"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480"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7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803"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885" w:type="dxa"/>
            <w:gridSpan w:val="2"/>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826"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1041"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67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8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148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项目手续按时完成率</w:t>
            </w:r>
          </w:p>
        </w:tc>
        <w:tc>
          <w:tcPr>
            <w:tcW w:w="138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项目手续按时完成率</w:t>
            </w:r>
          </w:p>
        </w:tc>
        <w:tc>
          <w:tcPr>
            <w:tcW w:w="1080"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480"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7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803"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个月</w:t>
            </w:r>
          </w:p>
        </w:tc>
        <w:tc>
          <w:tcPr>
            <w:tcW w:w="885" w:type="dxa"/>
            <w:gridSpan w:val="2"/>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826"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1041"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67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8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148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产生土地效益</w:t>
            </w:r>
          </w:p>
        </w:tc>
        <w:tc>
          <w:tcPr>
            <w:tcW w:w="138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产生土地效益</w:t>
            </w:r>
          </w:p>
        </w:tc>
        <w:tc>
          <w:tcPr>
            <w:tcW w:w="1080"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480"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7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400</w:t>
            </w:r>
          </w:p>
        </w:tc>
        <w:tc>
          <w:tcPr>
            <w:tcW w:w="803"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w:t>
            </w:r>
          </w:p>
        </w:tc>
        <w:tc>
          <w:tcPr>
            <w:tcW w:w="885" w:type="dxa"/>
            <w:gridSpan w:val="2"/>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400</w:t>
            </w:r>
          </w:p>
        </w:tc>
        <w:tc>
          <w:tcPr>
            <w:tcW w:w="826"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1041"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2" w:hRule="atLeast"/>
          <w:jc w:val="center"/>
        </w:trPr>
        <w:tc>
          <w:tcPr>
            <w:tcW w:w="94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67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8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148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成本金额</w:t>
            </w:r>
          </w:p>
        </w:tc>
        <w:tc>
          <w:tcPr>
            <w:tcW w:w="138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成本金额</w:t>
            </w:r>
          </w:p>
        </w:tc>
        <w:tc>
          <w:tcPr>
            <w:tcW w:w="1080"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480"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7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63.29</w:t>
            </w:r>
          </w:p>
        </w:tc>
        <w:tc>
          <w:tcPr>
            <w:tcW w:w="803"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w:t>
            </w:r>
          </w:p>
        </w:tc>
        <w:tc>
          <w:tcPr>
            <w:tcW w:w="885" w:type="dxa"/>
            <w:gridSpan w:val="2"/>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63.29</w:t>
            </w:r>
          </w:p>
        </w:tc>
        <w:tc>
          <w:tcPr>
            <w:tcW w:w="826"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1041"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675"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效益指标</w:t>
            </w:r>
          </w:p>
        </w:tc>
        <w:tc>
          <w:tcPr>
            <w:tcW w:w="8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可持续影响指标</w:t>
            </w:r>
          </w:p>
        </w:tc>
        <w:tc>
          <w:tcPr>
            <w:tcW w:w="148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项目建设发展可持续性</w:t>
            </w:r>
          </w:p>
        </w:tc>
        <w:tc>
          <w:tcPr>
            <w:tcW w:w="138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项目建设发展可持续性</w:t>
            </w:r>
          </w:p>
        </w:tc>
        <w:tc>
          <w:tcPr>
            <w:tcW w:w="1080"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7.50</w:t>
            </w:r>
          </w:p>
        </w:tc>
        <w:tc>
          <w:tcPr>
            <w:tcW w:w="480"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375"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803"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项目建设发展可持续</w:t>
            </w:r>
          </w:p>
        </w:tc>
        <w:tc>
          <w:tcPr>
            <w:tcW w:w="885" w:type="dxa"/>
            <w:gridSpan w:val="2"/>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项目建设发展可持续</w:t>
            </w:r>
          </w:p>
        </w:tc>
        <w:tc>
          <w:tcPr>
            <w:tcW w:w="826"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1041"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67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8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经济效益指标</w:t>
            </w:r>
          </w:p>
        </w:tc>
        <w:tc>
          <w:tcPr>
            <w:tcW w:w="148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促进项目早日完工，投产达效</w:t>
            </w:r>
          </w:p>
        </w:tc>
        <w:tc>
          <w:tcPr>
            <w:tcW w:w="138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促进项目早日完工，投产达效</w:t>
            </w:r>
          </w:p>
        </w:tc>
        <w:tc>
          <w:tcPr>
            <w:tcW w:w="1080"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7.50</w:t>
            </w:r>
          </w:p>
        </w:tc>
        <w:tc>
          <w:tcPr>
            <w:tcW w:w="480"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375"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803"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满足项目方各阶段需要</w:t>
            </w:r>
          </w:p>
        </w:tc>
        <w:tc>
          <w:tcPr>
            <w:tcW w:w="885" w:type="dxa"/>
            <w:gridSpan w:val="2"/>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满足项目方各阶段需求</w:t>
            </w:r>
          </w:p>
        </w:tc>
        <w:tc>
          <w:tcPr>
            <w:tcW w:w="826"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1041"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67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8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148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促进社会发展</w:t>
            </w:r>
          </w:p>
        </w:tc>
        <w:tc>
          <w:tcPr>
            <w:tcW w:w="138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促进社会发展</w:t>
            </w:r>
          </w:p>
        </w:tc>
        <w:tc>
          <w:tcPr>
            <w:tcW w:w="1080"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7.50</w:t>
            </w:r>
          </w:p>
        </w:tc>
        <w:tc>
          <w:tcPr>
            <w:tcW w:w="480"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375"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803"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促进社会发展</w:t>
            </w:r>
          </w:p>
        </w:tc>
        <w:tc>
          <w:tcPr>
            <w:tcW w:w="885" w:type="dxa"/>
            <w:gridSpan w:val="2"/>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促进社会发展</w:t>
            </w:r>
          </w:p>
        </w:tc>
        <w:tc>
          <w:tcPr>
            <w:tcW w:w="826"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1041"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67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8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生态效益指标</w:t>
            </w:r>
          </w:p>
        </w:tc>
        <w:tc>
          <w:tcPr>
            <w:tcW w:w="148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实现资源合理利用</w:t>
            </w:r>
          </w:p>
        </w:tc>
        <w:tc>
          <w:tcPr>
            <w:tcW w:w="138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实现资源合理利用</w:t>
            </w:r>
          </w:p>
        </w:tc>
        <w:tc>
          <w:tcPr>
            <w:tcW w:w="1080"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7.50</w:t>
            </w:r>
          </w:p>
        </w:tc>
        <w:tc>
          <w:tcPr>
            <w:tcW w:w="480"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375"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803"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实现资源合理利用</w:t>
            </w:r>
          </w:p>
        </w:tc>
        <w:tc>
          <w:tcPr>
            <w:tcW w:w="885" w:type="dxa"/>
            <w:gridSpan w:val="2"/>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实现资源合理利用</w:t>
            </w:r>
          </w:p>
        </w:tc>
        <w:tc>
          <w:tcPr>
            <w:tcW w:w="826"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1041"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675" w:type="dxa"/>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满意度指标</w:t>
            </w:r>
          </w:p>
        </w:tc>
        <w:tc>
          <w:tcPr>
            <w:tcW w:w="8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148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项目建设单位满意度</w:t>
            </w:r>
          </w:p>
        </w:tc>
        <w:tc>
          <w:tcPr>
            <w:tcW w:w="138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项目建设单位满意度</w:t>
            </w:r>
          </w:p>
        </w:tc>
        <w:tc>
          <w:tcPr>
            <w:tcW w:w="1080"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480"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37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803" w:type="dxa"/>
            <w:gridSpan w:val="2"/>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885" w:type="dxa"/>
            <w:gridSpan w:val="2"/>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826"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1041"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675" w:type="dxa"/>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预算执行率</w:t>
            </w:r>
          </w:p>
        </w:tc>
        <w:tc>
          <w:tcPr>
            <w:tcW w:w="8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1485"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1380"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1080" w:type="dxa"/>
            <w:tcBorders>
              <w:top w:val="nil"/>
              <w:left w:val="nil"/>
              <w:bottom w:val="nil"/>
              <w:right w:val="nil"/>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480" w:type="dxa"/>
            <w:gridSpan w:val="2"/>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375"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803" w:type="dxa"/>
            <w:gridSpan w:val="2"/>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885" w:type="dxa"/>
            <w:gridSpan w:val="2"/>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826"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1041"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675" w:type="dxa"/>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自评总分</w:t>
            </w:r>
          </w:p>
        </w:tc>
        <w:tc>
          <w:tcPr>
            <w:tcW w:w="9165" w:type="dxa"/>
            <w:gridSpan w:val="13"/>
            <w:tcBorders>
              <w:top w:val="nil"/>
              <w:left w:val="nil"/>
              <w:bottom w:val="single" w:color="B0C4DE" w:sz="4" w:space="0"/>
              <w:right w:val="single" w:color="B0C4DE"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45"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五、存在问题</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原因及整改措施</w:t>
            </w:r>
          </w:p>
        </w:tc>
        <w:tc>
          <w:tcPr>
            <w:tcW w:w="9840" w:type="dxa"/>
            <w:gridSpan w:val="14"/>
            <w:vMerge w:val="restart"/>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绩效目标制定需更加科学、合理。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4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9840" w:type="dxa"/>
            <w:gridSpan w:val="14"/>
            <w:vMerge w:val="continue"/>
            <w:tcBorders>
              <w:top w:val="nil"/>
              <w:left w:val="nil"/>
              <w:bottom w:val="single" w:color="B0C4DE" w:sz="4" w:space="0"/>
              <w:right w:val="single" w:color="B0C4DE" w:sz="4" w:space="0"/>
            </w:tcBorders>
            <w:shd w:val="clear" w:color="auto" w:fill="auto"/>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5" w:type="dxa"/>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填报人:</w:t>
            </w:r>
          </w:p>
        </w:tc>
        <w:tc>
          <w:tcPr>
            <w:tcW w:w="2970" w:type="dxa"/>
            <w:gridSpan w:val="3"/>
            <w:tcBorders>
              <w:top w:val="single" w:color="B0C4DE" w:sz="4" w:space="0"/>
              <w:left w:val="single" w:color="B0C4DE" w:sz="4" w:space="0"/>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赵云</w:t>
            </w:r>
          </w:p>
        </w:tc>
        <w:tc>
          <w:tcPr>
            <w:tcW w:w="1380" w:type="dxa"/>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联系电话:</w:t>
            </w:r>
          </w:p>
        </w:tc>
        <w:tc>
          <w:tcPr>
            <w:tcW w:w="5490" w:type="dxa"/>
            <w:gridSpan w:val="10"/>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0335-7810266</w:t>
            </w:r>
          </w:p>
        </w:tc>
      </w:tr>
    </w:tbl>
    <w:p>
      <w:pPr>
        <w:snapToGrid w:val="0"/>
        <w:spacing w:after="0" w:line="360" w:lineRule="auto"/>
        <w:ind w:firstLine="200"/>
        <w:rPr>
          <w:rFonts w:hint="eastAsia" w:ascii="仿宋" w:hAnsi="仿宋" w:eastAsia="仿宋" w:cs="Times New Roman"/>
          <w:sz w:val="32"/>
          <w:szCs w:val="32"/>
          <w:highlight w:val="yellow"/>
        </w:rPr>
      </w:pPr>
    </w:p>
    <w:tbl>
      <w:tblPr>
        <w:tblStyle w:val="11"/>
        <w:tblW w:w="10830" w:type="dxa"/>
        <w:tblInd w:w="-113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1372"/>
        <w:gridCol w:w="1088"/>
        <w:gridCol w:w="939"/>
        <w:gridCol w:w="765"/>
        <w:gridCol w:w="658"/>
        <w:gridCol w:w="818"/>
        <w:gridCol w:w="450"/>
        <w:gridCol w:w="1110"/>
        <w:gridCol w:w="1230"/>
        <w:gridCol w:w="915"/>
        <w:gridCol w:w="5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50" w:hRule="atLeast"/>
        </w:trPr>
        <w:tc>
          <w:tcPr>
            <w:tcW w:w="10830" w:type="dxa"/>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b/>
                <w:bCs/>
                <w:i w:val="0"/>
                <w:iCs w:val="0"/>
                <w:color w:val="000000"/>
                <w:kern w:val="0"/>
                <w:sz w:val="36"/>
                <w:szCs w:val="36"/>
                <w:u w:val="none"/>
                <w:lang w:val="en-US" w:eastAsia="zh-CN" w:bidi="ar"/>
              </w:rPr>
            </w:pPr>
          </w:p>
          <w:p>
            <w:pPr>
              <w:keepNext w:val="0"/>
              <w:keepLines w:val="0"/>
              <w:widowControl/>
              <w:suppressLineNumbers w:val="0"/>
              <w:jc w:val="center"/>
              <w:textAlignment w:val="center"/>
              <w:rPr>
                <w:rFonts w:ascii="宋体" w:hAnsi="宋体" w:eastAsia="宋体" w:cs="宋体"/>
                <w:b/>
                <w:bCs/>
                <w:i w:val="0"/>
                <w:iCs w:val="0"/>
                <w:color w:val="000000"/>
                <w:kern w:val="0"/>
                <w:sz w:val="36"/>
                <w:szCs w:val="36"/>
                <w:u w:val="none"/>
                <w:lang w:val="en-US" w:eastAsia="zh-CN" w:bidi="ar"/>
              </w:rPr>
            </w:pPr>
          </w:p>
          <w:p>
            <w:pPr>
              <w:keepNext w:val="0"/>
              <w:keepLines w:val="0"/>
              <w:widowControl/>
              <w:suppressLineNumbers w:val="0"/>
              <w:jc w:val="center"/>
              <w:textAlignment w:val="center"/>
              <w:rPr>
                <w:rFonts w:ascii="宋体" w:hAnsi="宋体" w:eastAsia="宋体" w:cs="宋体"/>
                <w:b/>
                <w:bCs/>
                <w:i w:val="0"/>
                <w:iCs w:val="0"/>
                <w:color w:val="000000"/>
                <w:sz w:val="36"/>
                <w:szCs w:val="36"/>
                <w:u w:val="none"/>
              </w:rPr>
            </w:pPr>
            <w:r>
              <w:rPr>
                <w:rFonts w:ascii="宋体" w:hAnsi="宋体" w:eastAsia="宋体" w:cs="宋体"/>
                <w:b/>
                <w:bCs/>
                <w:i w:val="0"/>
                <w:iCs w:val="0"/>
                <w:color w:val="000000"/>
                <w:kern w:val="0"/>
                <w:sz w:val="36"/>
                <w:szCs w:val="36"/>
                <w:u w:val="none"/>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10830" w:type="dxa"/>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pPr>
              <w:jc w:val="center"/>
              <w:rPr>
                <w:rFonts w:hint="eastAsia" w:ascii="宋体" w:hAnsi="宋体" w:eastAsia="宋体" w:cs="宋体"/>
                <w:b/>
                <w:bCs/>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一、基本情况</w:t>
            </w:r>
          </w:p>
        </w:tc>
        <w:tc>
          <w:tcPr>
            <w:tcW w:w="1372"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项目名称</w:t>
            </w:r>
          </w:p>
        </w:tc>
        <w:tc>
          <w:tcPr>
            <w:tcW w:w="2027"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骊仁林业发展有限公司发展金</w:t>
            </w:r>
          </w:p>
        </w:tc>
        <w:tc>
          <w:tcPr>
            <w:tcW w:w="765"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项目级次</w:t>
            </w:r>
          </w:p>
        </w:tc>
        <w:tc>
          <w:tcPr>
            <w:tcW w:w="658"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1268" w:type="dxa"/>
            <w:gridSpan w:val="2"/>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实施主管单位</w:t>
            </w:r>
          </w:p>
        </w:tc>
        <w:tc>
          <w:tcPr>
            <w:tcW w:w="2340"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328001 - 河北抚宁经济开发区管理委员会本级</w:t>
            </w:r>
          </w:p>
        </w:tc>
        <w:tc>
          <w:tcPr>
            <w:tcW w:w="915"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金额单位</w:t>
            </w:r>
          </w:p>
        </w:tc>
        <w:tc>
          <w:tcPr>
            <w:tcW w:w="525" w:type="dxa"/>
            <w:tcBorders>
              <w:top w:val="single" w:color="B0C4DE" w:sz="4" w:space="0"/>
              <w:left w:val="single" w:color="B0C4DE" w:sz="4" w:space="0"/>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restart"/>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二、预算执行情况</w:t>
            </w:r>
          </w:p>
        </w:tc>
        <w:tc>
          <w:tcPr>
            <w:tcW w:w="2460" w:type="dxa"/>
            <w:gridSpan w:val="2"/>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预算安排情况(调整后)</w:t>
            </w:r>
          </w:p>
        </w:tc>
        <w:tc>
          <w:tcPr>
            <w:tcW w:w="2362" w:type="dxa"/>
            <w:gridSpan w:val="3"/>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资金到位情况</w:t>
            </w:r>
          </w:p>
        </w:tc>
        <w:tc>
          <w:tcPr>
            <w:tcW w:w="3608" w:type="dxa"/>
            <w:gridSpan w:val="4"/>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资金执行情况</w:t>
            </w:r>
          </w:p>
        </w:tc>
        <w:tc>
          <w:tcPr>
            <w:tcW w:w="1440" w:type="dxa"/>
            <w:gridSpan w:val="2"/>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noWrap/>
            <w:vAlign w:val="top"/>
          </w:tcPr>
          <w:p>
            <w:pPr>
              <w:rPr>
                <w:rFonts w:hint="eastAsia" w:ascii="宋体" w:hAnsi="宋体" w:eastAsia="宋体" w:cs="宋体"/>
                <w:b/>
                <w:bCs/>
                <w:i w:val="0"/>
                <w:iCs w:val="0"/>
                <w:color w:val="000000"/>
                <w:sz w:val="22"/>
                <w:szCs w:val="22"/>
                <w:u w:val="none"/>
              </w:rPr>
            </w:pPr>
          </w:p>
        </w:tc>
        <w:tc>
          <w:tcPr>
            <w:tcW w:w="1372"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预算数</w:t>
            </w:r>
          </w:p>
        </w:tc>
        <w:tc>
          <w:tcPr>
            <w:tcW w:w="1088"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7500.000000</w:t>
            </w:r>
          </w:p>
        </w:tc>
        <w:tc>
          <w:tcPr>
            <w:tcW w:w="939"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到位数</w:t>
            </w:r>
          </w:p>
        </w:tc>
        <w:tc>
          <w:tcPr>
            <w:tcW w:w="1423" w:type="dxa"/>
            <w:gridSpan w:val="2"/>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7200.000000</w:t>
            </w:r>
          </w:p>
        </w:tc>
        <w:tc>
          <w:tcPr>
            <w:tcW w:w="1268" w:type="dxa"/>
            <w:gridSpan w:val="2"/>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执行数</w:t>
            </w:r>
          </w:p>
        </w:tc>
        <w:tc>
          <w:tcPr>
            <w:tcW w:w="2340" w:type="dxa"/>
            <w:gridSpan w:val="2"/>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7200.000000</w:t>
            </w:r>
          </w:p>
        </w:tc>
        <w:tc>
          <w:tcPr>
            <w:tcW w:w="1440" w:type="dxa"/>
            <w:gridSpan w:val="2"/>
            <w:vMerge w:val="restart"/>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noWrap/>
            <w:vAlign w:val="top"/>
          </w:tcPr>
          <w:p>
            <w:pPr>
              <w:rPr>
                <w:rFonts w:hint="eastAsia" w:ascii="宋体" w:hAnsi="宋体" w:eastAsia="宋体" w:cs="宋体"/>
                <w:b/>
                <w:bCs/>
                <w:i w:val="0"/>
                <w:iCs w:val="0"/>
                <w:color w:val="000000"/>
                <w:sz w:val="22"/>
                <w:szCs w:val="22"/>
                <w:u w:val="none"/>
              </w:rPr>
            </w:pPr>
          </w:p>
        </w:tc>
        <w:tc>
          <w:tcPr>
            <w:tcW w:w="1372"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1088"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7500.000000</w:t>
            </w:r>
          </w:p>
        </w:tc>
        <w:tc>
          <w:tcPr>
            <w:tcW w:w="939"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1423" w:type="dxa"/>
            <w:gridSpan w:val="2"/>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7200.000000</w:t>
            </w:r>
          </w:p>
        </w:tc>
        <w:tc>
          <w:tcPr>
            <w:tcW w:w="1268" w:type="dxa"/>
            <w:gridSpan w:val="2"/>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2340" w:type="dxa"/>
            <w:gridSpan w:val="2"/>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7200.000000</w:t>
            </w:r>
          </w:p>
        </w:tc>
        <w:tc>
          <w:tcPr>
            <w:tcW w:w="1440" w:type="dxa"/>
            <w:gridSpan w:val="2"/>
            <w:vMerge w:val="continue"/>
            <w:tcBorders>
              <w:top w:val="nil"/>
              <w:left w:val="nil"/>
              <w:bottom w:val="single" w:color="B0C4DE" w:sz="4" w:space="0"/>
              <w:right w:val="single" w:color="B0C4DE" w:sz="4" w:space="0"/>
            </w:tcBorders>
            <w:shd w:val="clear" w:color="auto" w:fill="auto"/>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noWrap/>
            <w:vAlign w:val="top"/>
          </w:tcPr>
          <w:p>
            <w:pPr>
              <w:rPr>
                <w:rFonts w:hint="eastAsia" w:ascii="宋体" w:hAnsi="宋体" w:eastAsia="宋体" w:cs="宋体"/>
                <w:b/>
                <w:bCs/>
                <w:i w:val="0"/>
                <w:iCs w:val="0"/>
                <w:color w:val="000000"/>
                <w:sz w:val="22"/>
                <w:szCs w:val="22"/>
                <w:u w:val="none"/>
              </w:rPr>
            </w:pPr>
          </w:p>
        </w:tc>
        <w:tc>
          <w:tcPr>
            <w:tcW w:w="1372"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1088"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939"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1423" w:type="dxa"/>
            <w:gridSpan w:val="2"/>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268" w:type="dxa"/>
            <w:gridSpan w:val="2"/>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2340" w:type="dxa"/>
            <w:gridSpan w:val="2"/>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440" w:type="dxa"/>
            <w:gridSpan w:val="2"/>
            <w:vMerge w:val="continue"/>
            <w:tcBorders>
              <w:top w:val="nil"/>
              <w:left w:val="nil"/>
              <w:bottom w:val="single" w:color="B0C4DE" w:sz="4" w:space="0"/>
              <w:right w:val="single" w:color="B0C4DE" w:sz="4" w:space="0"/>
            </w:tcBorders>
            <w:shd w:val="clear" w:color="auto" w:fill="auto"/>
            <w:noWrap/>
            <w:vAlign w:val="top"/>
          </w:tcPr>
          <w:p>
            <w:pPr>
              <w:jc w:val="righ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三、目标完成情况</w:t>
            </w:r>
          </w:p>
        </w:tc>
        <w:tc>
          <w:tcPr>
            <w:tcW w:w="4164" w:type="dxa"/>
            <w:gridSpan w:val="4"/>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年度预期目标</w:t>
            </w:r>
          </w:p>
        </w:tc>
        <w:tc>
          <w:tcPr>
            <w:tcW w:w="4266" w:type="dxa"/>
            <w:gridSpan w:val="5"/>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具体完成情况</w:t>
            </w:r>
          </w:p>
        </w:tc>
        <w:tc>
          <w:tcPr>
            <w:tcW w:w="1440" w:type="dxa"/>
            <w:gridSpan w:val="2"/>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4164"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促进本地区经济发展</w:t>
            </w:r>
          </w:p>
        </w:tc>
        <w:tc>
          <w:tcPr>
            <w:tcW w:w="4266" w:type="dxa"/>
            <w:gridSpan w:val="5"/>
            <w:tcBorders>
              <w:top w:val="single" w:color="B0C4DE" w:sz="4" w:space="0"/>
              <w:left w:val="single" w:color="B0C4DE" w:sz="4" w:space="0"/>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促进本地区经济发展目标已完成</w:t>
            </w:r>
          </w:p>
        </w:tc>
        <w:tc>
          <w:tcPr>
            <w:tcW w:w="1440" w:type="dxa"/>
            <w:gridSpan w:val="2"/>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4164"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增加项目储备</w:t>
            </w:r>
          </w:p>
        </w:tc>
        <w:tc>
          <w:tcPr>
            <w:tcW w:w="4266" w:type="dxa"/>
            <w:gridSpan w:val="5"/>
            <w:tcBorders>
              <w:top w:val="single" w:color="B0C4DE" w:sz="4" w:space="0"/>
              <w:left w:val="single" w:color="B0C4DE" w:sz="4" w:space="0"/>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增加项目储备目标已完成</w:t>
            </w:r>
          </w:p>
        </w:tc>
        <w:tc>
          <w:tcPr>
            <w:tcW w:w="1440" w:type="dxa"/>
            <w:gridSpan w:val="2"/>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四、年度绩效</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指标完成情况</w:t>
            </w:r>
          </w:p>
        </w:tc>
        <w:tc>
          <w:tcPr>
            <w:tcW w:w="1372"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一级指标</w:t>
            </w:r>
          </w:p>
        </w:tc>
        <w:tc>
          <w:tcPr>
            <w:tcW w:w="1088"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二级指标</w:t>
            </w:r>
          </w:p>
        </w:tc>
        <w:tc>
          <w:tcPr>
            <w:tcW w:w="939"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三级指标</w:t>
            </w:r>
          </w:p>
        </w:tc>
        <w:tc>
          <w:tcPr>
            <w:tcW w:w="765"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指标说明</w:t>
            </w:r>
          </w:p>
        </w:tc>
        <w:tc>
          <w:tcPr>
            <w:tcW w:w="658"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指标分值</w:t>
            </w:r>
          </w:p>
        </w:tc>
        <w:tc>
          <w:tcPr>
            <w:tcW w:w="2378" w:type="dxa"/>
            <w:gridSpan w:val="3"/>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预期指标值</w:t>
            </w:r>
          </w:p>
        </w:tc>
        <w:tc>
          <w:tcPr>
            <w:tcW w:w="1230"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单项指标实际完成值</w:t>
            </w:r>
          </w:p>
        </w:tc>
        <w:tc>
          <w:tcPr>
            <w:tcW w:w="915"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单项指标完成情况</w:t>
            </w:r>
          </w:p>
        </w:tc>
        <w:tc>
          <w:tcPr>
            <w:tcW w:w="525"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372"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088"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939"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76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658"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818" w:type="dxa"/>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符号</w:t>
            </w:r>
          </w:p>
        </w:tc>
        <w:tc>
          <w:tcPr>
            <w:tcW w:w="450" w:type="dxa"/>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值</w:t>
            </w:r>
          </w:p>
        </w:tc>
        <w:tc>
          <w:tcPr>
            <w:tcW w:w="1110" w:type="dxa"/>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单位(文字描述)</w:t>
            </w:r>
          </w:p>
        </w:tc>
        <w:tc>
          <w:tcPr>
            <w:tcW w:w="123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91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525"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372"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产出指标</w:t>
            </w:r>
          </w:p>
        </w:tc>
        <w:tc>
          <w:tcPr>
            <w:tcW w:w="108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939"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岗位数</w:t>
            </w:r>
          </w:p>
        </w:tc>
        <w:tc>
          <w:tcPr>
            <w:tcW w:w="76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岗位数</w:t>
            </w:r>
          </w:p>
        </w:tc>
        <w:tc>
          <w:tcPr>
            <w:tcW w:w="658"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8.00</w:t>
            </w:r>
          </w:p>
        </w:tc>
        <w:tc>
          <w:tcPr>
            <w:tcW w:w="81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450"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11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提供就业岗位数</w:t>
            </w:r>
          </w:p>
        </w:tc>
        <w:tc>
          <w:tcPr>
            <w:tcW w:w="1230"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提供就业岗位</w:t>
            </w:r>
          </w:p>
        </w:tc>
        <w:tc>
          <w:tcPr>
            <w:tcW w:w="915"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25"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372"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08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939"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资金按时拨付</w:t>
            </w:r>
          </w:p>
        </w:tc>
        <w:tc>
          <w:tcPr>
            <w:tcW w:w="76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资金按时拨付</w:t>
            </w:r>
          </w:p>
        </w:tc>
        <w:tc>
          <w:tcPr>
            <w:tcW w:w="658"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7.00</w:t>
            </w:r>
          </w:p>
        </w:tc>
        <w:tc>
          <w:tcPr>
            <w:tcW w:w="81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450"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11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本年拨付到位</w:t>
            </w:r>
          </w:p>
        </w:tc>
        <w:tc>
          <w:tcPr>
            <w:tcW w:w="1230"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本年拨付到位</w:t>
            </w:r>
          </w:p>
        </w:tc>
        <w:tc>
          <w:tcPr>
            <w:tcW w:w="915"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25"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372"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08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939"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完成率</w:t>
            </w:r>
          </w:p>
        </w:tc>
        <w:tc>
          <w:tcPr>
            <w:tcW w:w="76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完成率</w:t>
            </w:r>
          </w:p>
        </w:tc>
        <w:tc>
          <w:tcPr>
            <w:tcW w:w="658"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7.00</w:t>
            </w:r>
          </w:p>
        </w:tc>
        <w:tc>
          <w:tcPr>
            <w:tcW w:w="81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45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1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230"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915"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25"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372"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08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939"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项目注册资本金</w:t>
            </w:r>
          </w:p>
        </w:tc>
        <w:tc>
          <w:tcPr>
            <w:tcW w:w="76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项目注册资本金</w:t>
            </w:r>
          </w:p>
        </w:tc>
        <w:tc>
          <w:tcPr>
            <w:tcW w:w="658"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7.00</w:t>
            </w:r>
          </w:p>
        </w:tc>
        <w:tc>
          <w:tcPr>
            <w:tcW w:w="81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45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7500</w:t>
            </w:r>
          </w:p>
        </w:tc>
        <w:tc>
          <w:tcPr>
            <w:tcW w:w="11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1230"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7200</w:t>
            </w:r>
          </w:p>
        </w:tc>
        <w:tc>
          <w:tcPr>
            <w:tcW w:w="915"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25"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372"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08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939"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完成时限</w:t>
            </w:r>
          </w:p>
        </w:tc>
        <w:tc>
          <w:tcPr>
            <w:tcW w:w="76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完成时限</w:t>
            </w:r>
          </w:p>
        </w:tc>
        <w:tc>
          <w:tcPr>
            <w:tcW w:w="658"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7.00</w:t>
            </w:r>
          </w:p>
        </w:tc>
        <w:tc>
          <w:tcPr>
            <w:tcW w:w="81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450"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11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本年完成注册</w:t>
            </w:r>
          </w:p>
        </w:tc>
        <w:tc>
          <w:tcPr>
            <w:tcW w:w="1230"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本年完成注册</w:t>
            </w:r>
          </w:p>
        </w:tc>
        <w:tc>
          <w:tcPr>
            <w:tcW w:w="915"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25"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372"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08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939"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减少水土流失</w:t>
            </w:r>
          </w:p>
        </w:tc>
        <w:tc>
          <w:tcPr>
            <w:tcW w:w="76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减少水土流失</w:t>
            </w:r>
          </w:p>
        </w:tc>
        <w:tc>
          <w:tcPr>
            <w:tcW w:w="658"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7.00</w:t>
            </w:r>
          </w:p>
        </w:tc>
        <w:tc>
          <w:tcPr>
            <w:tcW w:w="81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45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3900</w:t>
            </w:r>
          </w:p>
        </w:tc>
        <w:tc>
          <w:tcPr>
            <w:tcW w:w="11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亩</w:t>
            </w:r>
          </w:p>
        </w:tc>
        <w:tc>
          <w:tcPr>
            <w:tcW w:w="1230"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3900</w:t>
            </w:r>
          </w:p>
        </w:tc>
        <w:tc>
          <w:tcPr>
            <w:tcW w:w="915"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25"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372"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08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939"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新增就业人数</w:t>
            </w:r>
          </w:p>
        </w:tc>
        <w:tc>
          <w:tcPr>
            <w:tcW w:w="76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新增就业人数</w:t>
            </w:r>
          </w:p>
        </w:tc>
        <w:tc>
          <w:tcPr>
            <w:tcW w:w="658"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7.00</w:t>
            </w:r>
          </w:p>
        </w:tc>
        <w:tc>
          <w:tcPr>
            <w:tcW w:w="81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45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11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w:t>
            </w:r>
          </w:p>
        </w:tc>
        <w:tc>
          <w:tcPr>
            <w:tcW w:w="1230"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915"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25"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372"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效益指标</w:t>
            </w:r>
          </w:p>
        </w:tc>
        <w:tc>
          <w:tcPr>
            <w:tcW w:w="108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经济效益指标</w:t>
            </w:r>
          </w:p>
        </w:tc>
        <w:tc>
          <w:tcPr>
            <w:tcW w:w="939"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促进林业产业化推广</w:t>
            </w:r>
          </w:p>
        </w:tc>
        <w:tc>
          <w:tcPr>
            <w:tcW w:w="76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亩数</w:t>
            </w:r>
          </w:p>
        </w:tc>
        <w:tc>
          <w:tcPr>
            <w:tcW w:w="658"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81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45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3900</w:t>
            </w:r>
          </w:p>
        </w:tc>
        <w:tc>
          <w:tcPr>
            <w:tcW w:w="11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亩</w:t>
            </w:r>
          </w:p>
        </w:tc>
        <w:tc>
          <w:tcPr>
            <w:tcW w:w="1230"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3900</w:t>
            </w:r>
          </w:p>
        </w:tc>
        <w:tc>
          <w:tcPr>
            <w:tcW w:w="915"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25"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372"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08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可持续影响指标</w:t>
            </w:r>
          </w:p>
        </w:tc>
        <w:tc>
          <w:tcPr>
            <w:tcW w:w="939"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项目持续发挥作用的期限</w:t>
            </w:r>
          </w:p>
        </w:tc>
        <w:tc>
          <w:tcPr>
            <w:tcW w:w="76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w:t>
            </w:r>
          </w:p>
        </w:tc>
        <w:tc>
          <w:tcPr>
            <w:tcW w:w="658"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81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45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30</w:t>
            </w:r>
          </w:p>
        </w:tc>
        <w:tc>
          <w:tcPr>
            <w:tcW w:w="11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年</w:t>
            </w:r>
          </w:p>
        </w:tc>
        <w:tc>
          <w:tcPr>
            <w:tcW w:w="1230"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30</w:t>
            </w:r>
          </w:p>
        </w:tc>
        <w:tc>
          <w:tcPr>
            <w:tcW w:w="915"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25"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372" w:type="dxa"/>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满意度指标</w:t>
            </w:r>
          </w:p>
        </w:tc>
        <w:tc>
          <w:tcPr>
            <w:tcW w:w="108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939"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企业满意度</w:t>
            </w:r>
          </w:p>
        </w:tc>
        <w:tc>
          <w:tcPr>
            <w:tcW w:w="765"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企业满意度</w:t>
            </w:r>
          </w:p>
        </w:tc>
        <w:tc>
          <w:tcPr>
            <w:tcW w:w="658"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81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45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1110"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230" w:type="dxa"/>
            <w:tcBorders>
              <w:top w:val="nil"/>
              <w:left w:val="nil"/>
              <w:bottom w:val="nil"/>
              <w:right w:val="nil"/>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915" w:type="dxa"/>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25"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372" w:type="dxa"/>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预算执行率</w:t>
            </w:r>
          </w:p>
        </w:tc>
        <w:tc>
          <w:tcPr>
            <w:tcW w:w="1088" w:type="dxa"/>
            <w:tcBorders>
              <w:top w:val="nil"/>
              <w:left w:val="nil"/>
              <w:bottom w:val="nil"/>
              <w:right w:val="nil"/>
            </w:tcBorders>
            <w:shd w:val="clear" w:color="auto" w:fill="E9EFF6"/>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939"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765"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658" w:type="dxa"/>
            <w:tcBorders>
              <w:top w:val="nil"/>
              <w:left w:val="nil"/>
              <w:bottom w:val="nil"/>
              <w:right w:val="nil"/>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818"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450"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1110"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1230"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915" w:type="dxa"/>
            <w:tcBorders>
              <w:top w:val="nil"/>
              <w:left w:val="nil"/>
              <w:bottom w:val="nil"/>
              <w:right w:val="nil"/>
            </w:tcBorders>
            <w:shd w:val="clear" w:color="auto" w:fill="E9EFF6"/>
            <w:noWrap/>
            <w:vAlign w:val="top"/>
          </w:tcPr>
          <w:p>
            <w:pPr>
              <w:rPr>
                <w:rFonts w:hint="default" w:ascii="Calibri" w:hAnsi="Calibri" w:eastAsia="宋体" w:cs="Calibri"/>
                <w:i w:val="0"/>
                <w:iCs w:val="0"/>
                <w:color w:val="000000"/>
                <w:sz w:val="22"/>
                <w:szCs w:val="22"/>
                <w:u w:val="none"/>
              </w:rPr>
            </w:pPr>
          </w:p>
        </w:tc>
        <w:tc>
          <w:tcPr>
            <w:tcW w:w="525" w:type="dxa"/>
            <w:tcBorders>
              <w:top w:val="nil"/>
              <w:left w:val="nil"/>
              <w:bottom w:val="nil"/>
              <w:right w:val="nil"/>
            </w:tcBorders>
            <w:shd w:val="clear" w:color="auto" w:fill="auto"/>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1372" w:type="dxa"/>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自评总分</w:t>
            </w:r>
          </w:p>
        </w:tc>
        <w:tc>
          <w:tcPr>
            <w:tcW w:w="8498" w:type="dxa"/>
            <w:gridSpan w:val="10"/>
            <w:tcBorders>
              <w:top w:val="nil"/>
              <w:left w:val="nil"/>
              <w:bottom w:val="single" w:color="B0C4DE" w:sz="4" w:space="0"/>
              <w:right w:val="single" w:color="B0C4DE" w:sz="4" w:space="0"/>
            </w:tcBorders>
            <w:shd w:val="clear" w:color="auto" w:fill="E9EFF6"/>
            <w:noWrap/>
            <w:vAlign w:val="top"/>
          </w:tcPr>
          <w:p>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restart"/>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五、存在问题</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原因及整改措施</w:t>
            </w:r>
          </w:p>
        </w:tc>
        <w:tc>
          <w:tcPr>
            <w:tcW w:w="9870" w:type="dxa"/>
            <w:gridSpan w:val="11"/>
            <w:vMerge w:val="restart"/>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需要制定更加完整、准确、合理的绩效目标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vMerge w:val="continue"/>
            <w:tcBorders>
              <w:top w:val="nil"/>
              <w:left w:val="nil"/>
              <w:bottom w:val="nil"/>
              <w:right w:val="nil"/>
            </w:tcBorders>
            <w:shd w:val="clear" w:color="auto" w:fill="auto"/>
            <w:vAlign w:val="top"/>
          </w:tcPr>
          <w:p>
            <w:pPr>
              <w:jc w:val="center"/>
              <w:rPr>
                <w:rFonts w:hint="eastAsia" w:ascii="宋体" w:hAnsi="宋体" w:eastAsia="宋体" w:cs="宋体"/>
                <w:b/>
                <w:bCs/>
                <w:i w:val="0"/>
                <w:iCs w:val="0"/>
                <w:color w:val="000000"/>
                <w:sz w:val="22"/>
                <w:szCs w:val="22"/>
                <w:u w:val="none"/>
              </w:rPr>
            </w:pPr>
          </w:p>
        </w:tc>
        <w:tc>
          <w:tcPr>
            <w:tcW w:w="9870" w:type="dxa"/>
            <w:gridSpan w:val="11"/>
            <w:vMerge w:val="continue"/>
            <w:tcBorders>
              <w:top w:val="nil"/>
              <w:left w:val="nil"/>
              <w:bottom w:val="single" w:color="B0C4DE" w:sz="4" w:space="0"/>
              <w:right w:val="single" w:color="B0C4DE" w:sz="4" w:space="0"/>
            </w:tcBorders>
            <w:shd w:val="clear" w:color="auto" w:fill="auto"/>
            <w:noWrap/>
            <w:vAlign w:val="top"/>
          </w:tcPr>
          <w:p>
            <w:pPr>
              <w:jc w:val="left"/>
              <w:rPr>
                <w:rFonts w:hint="default" w:ascii="Calibri" w:hAnsi="Calibri" w:eastAsia="宋体"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rPr>
        <w:tc>
          <w:tcPr>
            <w:tcW w:w="960" w:type="dxa"/>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填报人:</w:t>
            </w:r>
          </w:p>
        </w:tc>
        <w:tc>
          <w:tcPr>
            <w:tcW w:w="3399" w:type="dxa"/>
            <w:gridSpan w:val="3"/>
            <w:tcBorders>
              <w:top w:val="single" w:color="B0C4DE" w:sz="4" w:space="0"/>
              <w:left w:val="single" w:color="B0C4DE" w:sz="4" w:space="0"/>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赵云</w:t>
            </w:r>
          </w:p>
        </w:tc>
        <w:tc>
          <w:tcPr>
            <w:tcW w:w="765" w:type="dxa"/>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联系电话:</w:t>
            </w:r>
          </w:p>
        </w:tc>
        <w:tc>
          <w:tcPr>
            <w:tcW w:w="5706" w:type="dxa"/>
            <w:gridSpan w:val="7"/>
            <w:tcBorders>
              <w:top w:val="nil"/>
              <w:left w:val="nil"/>
              <w:bottom w:val="single" w:color="B0C4DE" w:sz="4" w:space="0"/>
              <w:right w:val="single" w:color="B0C4DE" w:sz="4" w:space="0"/>
            </w:tcBorders>
            <w:shd w:val="clear" w:color="auto" w:fill="auto"/>
            <w:noWrap/>
            <w:vAlign w:val="top"/>
          </w:tcPr>
          <w:p>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0335-7810266</w:t>
            </w:r>
          </w:p>
        </w:tc>
      </w:tr>
    </w:tbl>
    <w:p>
      <w:pPr>
        <w:snapToGrid w:val="0"/>
        <w:spacing w:after="0" w:line="360" w:lineRule="auto"/>
        <w:rPr>
          <w:rFonts w:hint="eastAsia" w:ascii="仿宋" w:hAnsi="仿宋" w:eastAsia="仿宋" w:cs="Times New Roman"/>
          <w:sz w:val="32"/>
          <w:szCs w:val="32"/>
          <w:highlight w:val="yellow"/>
        </w:rPr>
      </w:pPr>
    </w:p>
    <w:p>
      <w:pPr>
        <w:numPr>
          <w:ilvl w:val="0"/>
          <w:numId w:val="2"/>
        </w:numPr>
        <w:adjustRightInd w:val="0"/>
        <w:snapToGrid w:val="0"/>
        <w:spacing w:after="0" w:line="360" w:lineRule="auto"/>
        <w:ind w:firstLine="321" w:firstLineChars="100"/>
        <w:rPr>
          <w:rFonts w:ascii="仿宋" w:hAnsi="仿宋" w:eastAsia="仿宋" w:cs="Times New Roman"/>
          <w:b/>
          <w:bCs/>
          <w:sz w:val="32"/>
          <w:szCs w:val="32"/>
        </w:rPr>
      </w:pPr>
      <w:r>
        <w:rPr>
          <w:rFonts w:ascii="仿宋" w:hAnsi="仿宋" w:eastAsia="仿宋" w:cs="Times New Roman"/>
          <w:b/>
          <w:bCs/>
          <w:sz w:val="32"/>
          <w:szCs w:val="32"/>
        </w:rPr>
        <w:t>部门评价项目绩效评价结果</w:t>
      </w:r>
    </w:p>
    <w:p>
      <w:pPr>
        <w:numPr>
          <w:ilvl w:val="0"/>
          <w:numId w:val="0"/>
        </w:numPr>
        <w:adjustRightInd w:val="0"/>
        <w:snapToGrid w:val="0"/>
        <w:spacing w:after="0" w:line="360" w:lineRule="auto"/>
        <w:rPr>
          <w:rFonts w:hint="default" w:ascii="仿宋" w:hAnsi="仿宋" w:eastAsia="仿宋" w:cs="仿宋_GB2312"/>
          <w:sz w:val="32"/>
          <w:szCs w:val="32"/>
          <w:highlight w:val="yellow"/>
          <w:lang w:val="en-US" w:eastAsia="zh-CN"/>
        </w:rPr>
      </w:pPr>
      <w:r>
        <w:rPr>
          <w:rFonts w:hint="eastAsia" w:ascii="仿宋" w:hAnsi="仿宋" w:eastAsia="仿宋" w:cs="Times New Roman"/>
          <w:b/>
          <w:bCs/>
          <w:sz w:val="32"/>
          <w:szCs w:val="32"/>
          <w:lang w:val="en-US" w:eastAsia="zh-CN"/>
        </w:rPr>
        <w:t xml:space="preserve"> 部门整体绩效自评结果得分95.43分，评价等级为优。</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十、其他需要说明的情况</w:t>
      </w:r>
    </w:p>
    <w:p>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1.本部门2023年度国有资本经营预算经费无收支及结转结余情况, 故公开08表以空表列示；财政拨款“三公”经费无收支及结转结余情况，故公开09表以空表列示。</w:t>
      </w:r>
    </w:p>
    <w:p>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2. 由于决算公开表格中金额数值应当保留两位小数，公开数据为四舍五入计算结果，个别数据合计项与分项之和存在小数点后差额，特此说明。</w:t>
      </w:r>
    </w:p>
    <w:p>
      <w:pPr>
        <w:adjustRightInd w:val="0"/>
        <w:snapToGrid w:val="0"/>
        <w:spacing w:after="0" w:line="360" w:lineRule="auto"/>
        <w:ind w:firstLine="640" w:firstLineChars="200"/>
        <w:rPr>
          <w:rFonts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pPr>
        <w:adjustRightInd w:val="0"/>
        <w:snapToGrid w:val="0"/>
        <w:spacing w:line="580" w:lineRule="exact"/>
        <w:ind w:firstLine="640" w:firstLineChars="200"/>
        <w:rPr>
          <w:rFonts w:ascii="Times New Roman" w:hAnsi="Times New Roman" w:eastAsia="仿宋_GB2312" w:cs="Times New Roman"/>
          <w:sz w:val="32"/>
          <w:szCs w:val="32"/>
        </w:rPr>
      </w:pPr>
    </w:p>
    <w:p>
      <w:pPr>
        <w:adjustRightInd w:val="0"/>
        <w:snapToGrid w:val="0"/>
        <w:spacing w:line="580" w:lineRule="exact"/>
        <w:rPr>
          <w:rFonts w:ascii="Times New Roman" w:hAnsi="Times New Roman" w:eastAsia="仿宋_GB2312" w:cs="Times New Roman"/>
          <w:sz w:val="32"/>
          <w:szCs w:val="32"/>
        </w:rPr>
      </w:pPr>
    </w:p>
    <w:p>
      <w:pPr>
        <w:adjustRightInd w:val="0"/>
        <w:snapToGrid w:val="0"/>
        <w:spacing w:line="580" w:lineRule="exact"/>
        <w:ind w:firstLine="640" w:firstLineChars="200"/>
        <w:rPr>
          <w:rFonts w:ascii="Times New Roman" w:hAnsi="Times New Roman" w:eastAsia="仿宋_GB2312" w:cs="Times New Roman"/>
          <w:sz w:val="32"/>
          <w:szCs w:val="32"/>
        </w:rPr>
      </w:pPr>
    </w:p>
    <w:p>
      <w:pPr>
        <w:adjustRightInd w:val="0"/>
        <w:snapToGrid w:val="0"/>
        <w:spacing w:line="580" w:lineRule="exact"/>
        <w:ind w:firstLine="640" w:firstLineChars="200"/>
        <w:rPr>
          <w:rFonts w:ascii="Times New Roman" w:hAnsi="Times New Roman" w:eastAsia="仿宋_GB2312" w:cs="Times New Roman"/>
          <w:sz w:val="32"/>
          <w:szCs w:val="32"/>
        </w:rPr>
      </w:pP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pacing w:after="0" w:line="360" w:lineRule="auto"/>
        <w:jc w:val="center"/>
        <w:rPr>
          <w:rFonts w:hint="eastAsia"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一、</w:t>
      </w:r>
      <w:r>
        <w:rPr>
          <w:rFonts w:ascii="仿宋" w:hAnsi="仿宋" w:eastAsia="仿宋" w:cs="Times New Roman"/>
          <w:b/>
          <w:bCs/>
          <w:color w:val="000000"/>
          <w:sz w:val="32"/>
          <w:szCs w:val="32"/>
        </w:rPr>
        <w:t>财政拨款收入：</w:t>
      </w:r>
      <w:r>
        <w:rPr>
          <w:rFonts w:ascii="仿宋" w:hAnsi="仿宋" w:eastAsia="仿宋" w:cs="Times New Roman"/>
          <w:bCs/>
          <w:color w:val="000000"/>
          <w:sz w:val="32"/>
          <w:szCs w:val="32"/>
        </w:rPr>
        <w:t>指单位从同级财政部门取得的财政预算资金。</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二、</w:t>
      </w:r>
      <w:r>
        <w:rPr>
          <w:rFonts w:ascii="仿宋" w:hAnsi="仿宋" w:eastAsia="仿宋" w:cs="Times New Roman"/>
          <w:b/>
          <w:bCs/>
          <w:color w:val="000000"/>
          <w:sz w:val="32"/>
          <w:szCs w:val="32"/>
        </w:rPr>
        <w:t>事业收入：</w:t>
      </w:r>
      <w:r>
        <w:rPr>
          <w:rFonts w:ascii="仿宋" w:hAnsi="仿宋" w:eastAsia="仿宋" w:cs="Times New Roman"/>
          <w:bCs/>
          <w:color w:val="000000"/>
          <w:sz w:val="32"/>
          <w:szCs w:val="32"/>
        </w:rPr>
        <w:t>指事业单位开展专业业务活动及辅助活动取得的收入。</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三、</w:t>
      </w:r>
      <w:r>
        <w:rPr>
          <w:rFonts w:ascii="仿宋" w:hAnsi="仿宋" w:eastAsia="仿宋" w:cs="Times New Roman"/>
          <w:b/>
          <w:bCs/>
          <w:color w:val="000000"/>
          <w:sz w:val="32"/>
          <w:szCs w:val="32"/>
        </w:rPr>
        <w:t>经营收入：</w:t>
      </w:r>
      <w:r>
        <w:rPr>
          <w:rFonts w:ascii="仿宋" w:hAnsi="仿宋" w:eastAsia="仿宋" w:cs="Times New Roman"/>
          <w:bCs/>
          <w:color w:val="000000"/>
          <w:sz w:val="32"/>
          <w:szCs w:val="32"/>
        </w:rPr>
        <w:t>指事业单位在专业业务活动及其辅助活动之外开展非独立核算经营活动取得的收入。</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四、</w:t>
      </w:r>
      <w:r>
        <w:rPr>
          <w:rFonts w:ascii="仿宋" w:hAnsi="仿宋" w:eastAsia="仿宋" w:cs="Times New Roman"/>
          <w:b/>
          <w:bCs/>
          <w:color w:val="000000"/>
          <w:sz w:val="32"/>
          <w:szCs w:val="32"/>
        </w:rPr>
        <w:t>其他收入：</w:t>
      </w:r>
      <w:r>
        <w:rPr>
          <w:rFonts w:ascii="仿宋" w:hAnsi="仿宋" w:eastAsia="仿宋" w:cs="Times New Roman"/>
          <w:bCs/>
          <w:color w:val="000000"/>
          <w:sz w:val="32"/>
          <w:szCs w:val="32"/>
        </w:rPr>
        <w:t>指单位取得的除上述收入以外的各项收</w:t>
      </w:r>
    </w:p>
    <w:p>
      <w:pPr>
        <w:spacing w:after="0" w:line="360" w:lineRule="auto"/>
        <w:ind w:firstLine="200"/>
        <w:rPr>
          <w:rFonts w:hint="eastAsia" w:ascii="仿宋" w:hAnsi="仿宋" w:eastAsia="仿宋" w:cs="Times New Roman"/>
          <w:b/>
          <w:bCs/>
          <w:color w:val="000000"/>
          <w:sz w:val="32"/>
          <w:szCs w:val="32"/>
        </w:rPr>
      </w:pPr>
      <w:r>
        <w:rPr>
          <w:rFonts w:ascii="仿宋" w:hAnsi="仿宋" w:eastAsia="仿宋" w:cs="Times New Roman"/>
          <w:bCs/>
          <w:color w:val="000000"/>
          <w:sz w:val="32"/>
          <w:szCs w:val="32"/>
        </w:rPr>
        <w:t>入。主要是事业单位固定资产出租收入、存款利息收入等。</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五、</w:t>
      </w:r>
      <w:r>
        <w:rPr>
          <w:rFonts w:ascii="仿宋" w:hAnsi="仿宋" w:eastAsia="仿宋" w:cs="Times New Roman"/>
          <w:b/>
          <w:bCs/>
          <w:color w:val="000000"/>
          <w:sz w:val="32"/>
          <w:szCs w:val="32"/>
        </w:rPr>
        <w:t>使用非财政拨款结余（含专用结余）：</w:t>
      </w:r>
      <w:r>
        <w:rPr>
          <w:rFonts w:ascii="仿宋" w:hAnsi="仿宋" w:eastAsia="仿宋" w:cs="Times New Roman"/>
          <w:bCs/>
          <w:color w:val="000000"/>
          <w:sz w:val="32"/>
          <w:szCs w:val="32"/>
        </w:rPr>
        <w:t>指事业单位按照预算管理要求使用非财政拨款结余弥补收支差额的金额，以及使用专用结余安排支出的金额。</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六、</w:t>
      </w:r>
      <w:r>
        <w:rPr>
          <w:rFonts w:ascii="仿宋" w:hAnsi="仿宋" w:eastAsia="仿宋" w:cs="Times New Roman"/>
          <w:b/>
          <w:bCs/>
          <w:color w:val="000000"/>
          <w:sz w:val="32"/>
          <w:szCs w:val="32"/>
        </w:rPr>
        <w:t>年初结转和结余：</w:t>
      </w:r>
      <w:r>
        <w:rPr>
          <w:rFonts w:ascii="仿宋" w:hAnsi="仿宋" w:eastAsia="仿宋" w:cs="Times New Roman"/>
          <w:bCs/>
          <w:color w:val="000000"/>
          <w:sz w:val="32"/>
          <w:szCs w:val="32"/>
        </w:rPr>
        <w:t>指单位以前年度尚未完成、结转到本年仍按原规定用途继续使用的资金，或项目已完成等产生的结余资金。</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七、</w:t>
      </w:r>
      <w:r>
        <w:rPr>
          <w:rFonts w:ascii="仿宋" w:hAnsi="仿宋" w:eastAsia="仿宋" w:cs="Times New Roman"/>
          <w:b/>
          <w:bCs/>
          <w:color w:val="000000"/>
          <w:sz w:val="32"/>
          <w:szCs w:val="32"/>
        </w:rPr>
        <w:t>结余分配：</w:t>
      </w:r>
      <w:r>
        <w:rPr>
          <w:rFonts w:ascii="仿宋" w:hAnsi="仿宋" w:eastAsia="仿宋" w:cs="Times New Roman"/>
          <w:bCs/>
          <w:color w:val="000000"/>
          <w:sz w:val="32"/>
          <w:szCs w:val="32"/>
        </w:rPr>
        <w:t>指事业单位按照会计制度规定缴纳的所得税、提取的专用结余以及转入非财政拨款结余的金额等。</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八、</w:t>
      </w:r>
      <w:r>
        <w:rPr>
          <w:rFonts w:ascii="仿宋" w:hAnsi="仿宋" w:eastAsia="仿宋" w:cs="Times New Roman"/>
          <w:b/>
          <w:bCs/>
          <w:color w:val="000000"/>
          <w:sz w:val="32"/>
          <w:szCs w:val="32"/>
        </w:rPr>
        <w:t>年末结转和结余：</w:t>
      </w:r>
      <w:r>
        <w:rPr>
          <w:rFonts w:ascii="仿宋" w:hAnsi="仿宋" w:eastAsia="仿宋" w:cs="Times New Roman"/>
          <w:bCs/>
          <w:color w:val="000000"/>
          <w:sz w:val="32"/>
          <w:szCs w:val="32"/>
        </w:rPr>
        <w:t>指单位按有关规定结转到下年或以后年度继续使用的资金，或项目已完成等产生的结余资金。</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九、</w:t>
      </w:r>
      <w:r>
        <w:rPr>
          <w:rFonts w:ascii="仿宋" w:hAnsi="仿宋" w:eastAsia="仿宋" w:cs="Times New Roman"/>
          <w:b/>
          <w:bCs/>
          <w:color w:val="000000"/>
          <w:sz w:val="32"/>
          <w:szCs w:val="32"/>
        </w:rPr>
        <w:t>基本支出：</w:t>
      </w:r>
      <w:r>
        <w:rPr>
          <w:rFonts w:ascii="仿宋" w:hAnsi="仿宋" w:eastAsia="仿宋" w:cs="Times New Roman"/>
          <w:bCs/>
          <w:color w:val="000000"/>
          <w:sz w:val="32"/>
          <w:szCs w:val="32"/>
        </w:rPr>
        <w:t>指为保障机构正常运转、完成日常工作任务而发生的人员支出和公用支出。</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w:t>
      </w:r>
      <w:r>
        <w:rPr>
          <w:rFonts w:ascii="仿宋" w:hAnsi="仿宋" w:eastAsia="仿宋" w:cs="Times New Roman"/>
          <w:b/>
          <w:bCs/>
          <w:color w:val="000000"/>
          <w:sz w:val="32"/>
          <w:szCs w:val="32"/>
        </w:rPr>
        <w:t>项目支出：</w:t>
      </w:r>
      <w:r>
        <w:rPr>
          <w:rFonts w:ascii="仿宋" w:hAnsi="仿宋" w:eastAsia="仿宋" w:cs="Times New Roman"/>
          <w:color w:val="000000"/>
          <w:sz w:val="32"/>
          <w:szCs w:val="32"/>
        </w:rPr>
        <w:t>指在基本支出之外为完成特定行政任务和事业发展目标所发生的支出。</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十一、</w:t>
      </w:r>
      <w:r>
        <w:rPr>
          <w:rFonts w:ascii="仿宋" w:hAnsi="仿宋" w:eastAsia="仿宋" w:cs="Times New Roman"/>
          <w:b/>
          <w:bCs/>
          <w:color w:val="000000"/>
          <w:sz w:val="32"/>
          <w:szCs w:val="32"/>
        </w:rPr>
        <w:t>经营支出 ：</w:t>
      </w:r>
      <w:r>
        <w:rPr>
          <w:rFonts w:ascii="仿宋" w:hAnsi="仿宋" w:eastAsia="仿宋" w:cs="Times New Roman"/>
          <w:color w:val="000000"/>
          <w:sz w:val="32"/>
          <w:szCs w:val="32"/>
        </w:rPr>
        <w:t>指事业单位在专业业务活动及其辅助活动之外开展非独立核算经营活动发生的支出。</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十二、</w:t>
      </w:r>
      <w:r>
        <w:rPr>
          <w:rFonts w:ascii="仿宋" w:hAnsi="仿宋" w:eastAsia="仿宋" w:cs="Times New Roman"/>
          <w:b/>
          <w:bCs/>
          <w:color w:val="000000"/>
          <w:sz w:val="32"/>
          <w:szCs w:val="32"/>
        </w:rPr>
        <w:t>基本建设支出：</w:t>
      </w:r>
      <w:r>
        <w:rPr>
          <w:rFonts w:ascii="仿宋" w:hAnsi="仿宋" w:eastAsia="仿宋"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after="0" w:line="360" w:lineRule="auto"/>
        <w:ind w:firstLine="643" w:firstLineChars="200"/>
        <w:rPr>
          <w:rFonts w:hint="eastAsia" w:ascii="仿宋" w:hAnsi="仿宋" w:eastAsia="仿宋" w:cs="Times New Roman"/>
          <w:b/>
          <w:bCs/>
          <w:color w:val="000000"/>
          <w:sz w:val="32"/>
          <w:szCs w:val="32"/>
        </w:rPr>
      </w:pPr>
      <w:r>
        <w:rPr>
          <w:rFonts w:hint="eastAsia" w:ascii="仿宋" w:hAnsi="仿宋" w:eastAsia="仿宋" w:cs="Times New Roman"/>
          <w:b/>
          <w:bCs/>
          <w:color w:val="000000"/>
          <w:sz w:val="32"/>
          <w:szCs w:val="32"/>
        </w:rPr>
        <w:t>十三、</w:t>
      </w:r>
      <w:r>
        <w:rPr>
          <w:rFonts w:ascii="仿宋" w:hAnsi="仿宋" w:eastAsia="仿宋" w:cs="Times New Roman"/>
          <w:b/>
          <w:bCs/>
          <w:color w:val="000000"/>
          <w:sz w:val="32"/>
          <w:szCs w:val="32"/>
        </w:rPr>
        <w:t>其他资本性支出：</w:t>
      </w:r>
      <w:r>
        <w:rPr>
          <w:rFonts w:ascii="仿宋" w:hAnsi="仿宋" w:eastAsia="仿宋"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十四、</w:t>
      </w:r>
      <w:r>
        <w:rPr>
          <w:rFonts w:ascii="仿宋" w:hAnsi="仿宋" w:eastAsia="仿宋" w:cs="Times New Roman"/>
          <w:b/>
          <w:bCs/>
          <w:color w:val="000000"/>
          <w:sz w:val="32"/>
          <w:szCs w:val="32"/>
        </w:rPr>
        <w:t>“三公”经费：</w:t>
      </w:r>
      <w:r>
        <w:rPr>
          <w:rFonts w:ascii="仿宋" w:hAnsi="仿宋" w:eastAsia="仿宋"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十五、</w:t>
      </w:r>
      <w:r>
        <w:rPr>
          <w:rFonts w:ascii="仿宋" w:hAnsi="仿宋" w:eastAsia="仿宋" w:cs="Times New Roman"/>
          <w:b/>
          <w:bCs/>
          <w:color w:val="000000"/>
          <w:sz w:val="32"/>
          <w:szCs w:val="32"/>
        </w:rPr>
        <w:t>其他交通费用：</w:t>
      </w:r>
      <w:r>
        <w:rPr>
          <w:rFonts w:ascii="仿宋" w:hAnsi="仿宋" w:eastAsia="仿宋" w:cs="Times New Roman"/>
          <w:color w:val="000000"/>
          <w:sz w:val="32"/>
          <w:szCs w:val="32"/>
        </w:rPr>
        <w:t>填列单位除公务用车运行维护费以外的其他交通费用。如公务交通补贴、租车费用、出租车费用，飞机、船舶等燃料费、维修费、保险费等。</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十六、</w:t>
      </w:r>
      <w:r>
        <w:rPr>
          <w:rFonts w:ascii="仿宋" w:hAnsi="仿宋" w:eastAsia="仿宋" w:cs="Times New Roman"/>
          <w:b/>
          <w:bCs/>
          <w:color w:val="000000"/>
          <w:sz w:val="32"/>
          <w:szCs w:val="32"/>
        </w:rPr>
        <w:t>公务用车购置：</w:t>
      </w:r>
      <w:r>
        <w:rPr>
          <w:rFonts w:ascii="仿宋" w:hAnsi="仿宋" w:eastAsia="仿宋" w:cs="Times New Roman"/>
          <w:color w:val="000000"/>
          <w:sz w:val="32"/>
          <w:szCs w:val="32"/>
        </w:rPr>
        <w:t>填列单位公务用车车辆购置支出（含车辆购置税、牌照费）。</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十七、</w:t>
      </w:r>
      <w:r>
        <w:rPr>
          <w:rFonts w:ascii="仿宋" w:hAnsi="仿宋" w:eastAsia="仿宋" w:cs="Times New Roman"/>
          <w:b/>
          <w:bCs/>
          <w:color w:val="000000"/>
          <w:sz w:val="32"/>
          <w:szCs w:val="32"/>
        </w:rPr>
        <w:t>其他交通工具购置：</w:t>
      </w:r>
      <w:r>
        <w:rPr>
          <w:rFonts w:ascii="仿宋" w:hAnsi="仿宋" w:eastAsia="仿宋" w:cs="Times New Roman"/>
          <w:color w:val="000000"/>
          <w:sz w:val="32"/>
          <w:szCs w:val="32"/>
        </w:rPr>
        <w:t>填列单位除公务用车外的其他各类交通工具（如船舶、飞机等）购置支出（含车辆购置税、牌照费）。</w:t>
      </w:r>
    </w:p>
    <w:p>
      <w:pPr>
        <w:widowControl/>
        <w:spacing w:after="0" w:line="360" w:lineRule="auto"/>
        <w:ind w:firstLine="643" w:firstLineChars="200"/>
        <w:rPr>
          <w:rFonts w:hint="eastAsia" w:ascii="仿宋" w:hAnsi="仿宋" w:eastAsia="仿宋" w:cs="Times New Roman"/>
          <w:color w:val="000000"/>
          <w:sz w:val="32"/>
          <w:szCs w:val="32"/>
        </w:rPr>
      </w:pPr>
      <w:r>
        <w:rPr>
          <w:rFonts w:ascii="仿宋" w:hAnsi="仿宋" w:eastAsia="仿宋" w:cs="Times New Roman"/>
          <w:b/>
          <w:bCs/>
          <w:color w:val="000000"/>
          <w:sz w:val="32"/>
          <w:szCs w:val="32"/>
        </w:rPr>
        <w:t>十八、机关运行经费：</w:t>
      </w:r>
      <w:r>
        <w:rPr>
          <w:rFonts w:ascii="仿宋" w:hAnsi="仿宋" w:eastAsia="仿宋"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after="0" w:line="360" w:lineRule="auto"/>
        <w:ind w:firstLine="643" w:firstLineChars="200"/>
        <w:jc w:val="left"/>
        <w:rPr>
          <w:rFonts w:hint="eastAsia" w:ascii="仿宋" w:hAnsi="仿宋" w:eastAsia="仿宋" w:cs="Times New Roman"/>
          <w:sz w:val="32"/>
          <w:szCs w:val="32"/>
        </w:rPr>
      </w:pPr>
      <w:r>
        <w:rPr>
          <w:rFonts w:ascii="仿宋" w:hAnsi="仿宋" w:eastAsia="仿宋" w:cs="Times New Roman"/>
          <w:b/>
          <w:bCs/>
          <w:color w:val="000000"/>
          <w:sz w:val="32"/>
          <w:szCs w:val="32"/>
        </w:rPr>
        <w:t>十九、经费形式:</w:t>
      </w:r>
      <w:r>
        <w:rPr>
          <w:rFonts w:ascii="仿宋" w:hAnsi="仿宋" w:eastAsia="仿宋" w:cs="Times New Roman"/>
          <w:color w:val="000000"/>
          <w:sz w:val="32"/>
          <w:szCs w:val="32"/>
        </w:rPr>
        <w:t>按照经费来源，</w:t>
      </w:r>
      <w:r>
        <w:rPr>
          <w:rFonts w:ascii="仿宋" w:hAnsi="仿宋" w:eastAsia="仿宋" w:cs="Times New Roman"/>
          <w:sz w:val="32"/>
          <w:szCs w:val="32"/>
        </w:rPr>
        <w:t>可分为财政拨款、财政性资金基本保证、财政性资金定额或定项补助、财政性资金零补助四类</w:t>
      </w:r>
    </w:p>
    <w:p>
      <w:pPr>
        <w:rPr>
          <w:rFonts w:ascii="Times New Roman" w:hAnsi="Times New Roman" w:cs="Times New Roman"/>
        </w:rPr>
      </w:pPr>
    </w:p>
    <w:p>
      <w:pPr>
        <w:pStyle w:val="10"/>
        <w:widowControl/>
        <w:spacing w:beforeAutospacing="0" w:afterAutospacing="0"/>
        <w:rPr>
          <w:rFonts w:ascii="Times New Roman" w:hAnsi="Times New Roman" w:eastAsia="仿宋_GB2312"/>
          <w:color w:val="333333"/>
          <w:sz w:val="33"/>
          <w:szCs w:val="33"/>
          <w:shd w:val="clear" w:color="auto" w:fill="FFFFFF"/>
        </w:rPr>
      </w:pPr>
    </w:p>
    <w:p>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0E4F61F-067C-4835-9476-E9384AB20C13}"/>
  </w:font>
  <w:font w:name="黑体">
    <w:panose1 w:val="02010609060101010101"/>
    <w:charset w:val="86"/>
    <w:family w:val="auto"/>
    <w:pitch w:val="default"/>
    <w:sig w:usb0="800002BF" w:usb1="38CF7CFA" w:usb2="00000016" w:usb3="00000000" w:csb0="00040001" w:csb1="00000000"/>
    <w:embedRegular r:id="rId2" w:fontKey="{E7E5086E-88A6-4187-8427-ACB3A6EA6BB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2F7E9AE-F035-4805-B8C9-33F1F0A7A606}"/>
  </w:font>
  <w:font w:name="仿宋">
    <w:panose1 w:val="02010609060101010101"/>
    <w:charset w:val="86"/>
    <w:family w:val="modern"/>
    <w:pitch w:val="default"/>
    <w:sig w:usb0="800002BF" w:usb1="38CF7CFA" w:usb2="00000016" w:usb3="00000000" w:csb0="00040001" w:csb1="00000000"/>
    <w:embedRegular r:id="rId4" w:fontKey="{392CAC33-71C2-4A53-BA0A-D75271A095DD}"/>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embedRegular r:id="rId5" w:fontKey="{CDD72AA8-4DEF-4DC0-8C17-45186A6CB2CC}"/>
  </w:font>
  <w:font w:name="思源黑体 CN Heavy">
    <w:altName w:val="黑体"/>
    <w:panose1 w:val="00000000000000000000"/>
    <w:charset w:val="86"/>
    <w:family w:val="swiss"/>
    <w:pitch w:val="default"/>
    <w:sig w:usb0="00000000" w:usb1="00000000" w:usb2="00000016" w:usb3="00000000" w:csb0="00060107" w:csb1="00000000"/>
    <w:embedRegular r:id="rId6" w:fontKey="{6551034C-B2C9-4B95-AAF0-3803C40486AA}"/>
  </w:font>
  <w:font w:name="楷体_GB2312">
    <w:panose1 w:val="02010609030101010101"/>
    <w:charset w:val="86"/>
    <w:family w:val="modern"/>
    <w:pitch w:val="default"/>
    <w:sig w:usb0="00000001" w:usb1="080E0000" w:usb2="00000000" w:usb3="00000000" w:csb0="00040000" w:csb1="00000000"/>
    <w:embedRegular r:id="rId7" w:fontKey="{E0FD8CC3-2F89-4C2D-9C78-25B9C1796041}"/>
  </w:font>
  <w:font w:name="仿宋_GB2312">
    <w:panose1 w:val="02010609030101010101"/>
    <w:charset w:val="86"/>
    <w:family w:val="modern"/>
    <w:pitch w:val="default"/>
    <w:sig w:usb0="00000001" w:usb1="080E0000" w:usb2="00000000" w:usb3="00000000" w:csb0="00040000" w:csb1="00000000"/>
    <w:embedRegular r:id="rId8" w:fontKey="{E91F952D-88BC-4693-9289-0CCAFD1424FD}"/>
  </w:font>
  <w:font w:name="Batang">
    <w:panose1 w:val="02030600000101010101"/>
    <w:charset w:val="81"/>
    <w:family w:val="roman"/>
    <w:pitch w:val="default"/>
    <w:sig w:usb0="B00002AF" w:usb1="69D77CFB" w:usb2="00000030" w:usb3="00000000" w:csb0="4008009F" w:csb1="DFD70000"/>
    <w:embedRegular r:id="rId9" w:fontKey="{5576F531-13EC-48B2-AA52-D4D52D824811}"/>
  </w:font>
  <w:font w:name="ArialUnicodeMS">
    <w:altName w:val="Malgun Gothic"/>
    <w:panose1 w:val="00000000000000000000"/>
    <w:charset w:val="81"/>
    <w:family w:val="auto"/>
    <w:pitch w:val="default"/>
    <w:sig w:usb0="00000000" w:usb1="00000000" w:usb2="00000010" w:usb3="00000000" w:csb0="00080001" w:csb1="00000000"/>
    <w:embedRegular r:id="rId10" w:fontKey="{9F9BB97C-983A-48F0-B094-52DF4BBA74A5}"/>
  </w:font>
  <w:font w:name="DengXian-Regular">
    <w:altName w:val="宋体"/>
    <w:panose1 w:val="00000000000000000000"/>
    <w:charset w:val="86"/>
    <w:family w:val="auto"/>
    <w:pitch w:val="default"/>
    <w:sig w:usb0="00000000" w:usb1="00000000" w:usb2="00000010" w:usb3="00000000" w:csb0="00040001" w:csb1="00000000"/>
    <w:embedRegular r:id="rId11" w:fontKey="{9503F58C-63A2-4092-B153-C31A9FD91CAF}"/>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4518073"/>
      <w:docPartObj>
        <w:docPartGallery w:val="autotext"/>
      </w:docPartObj>
    </w:sdtPr>
    <w:sdtEndPr>
      <w:rPr>
        <w:rFonts w:ascii="Batang" w:hAnsi="Batang" w:eastAsia="Batang"/>
        <w:sz w:val="28"/>
        <w:szCs w:val="28"/>
      </w:rPr>
    </w:sdtEndPr>
    <w:sdtContent>
      <w:p>
        <w:pPr>
          <w:pStyle w:val="8"/>
          <w:jc w:val="center"/>
          <w:rPr>
            <w:rFonts w:hint="eastAsia" w:ascii="Batang" w:hAnsi="Batang" w:eastAsia="Batang"/>
            <w:sz w:val="28"/>
            <w:szCs w:val="28"/>
          </w:rPr>
        </w:pPr>
        <w:r>
          <w:rPr>
            <w:rFonts w:hint="eastAsia" w:ascii="Batang" w:hAnsi="Batang" w:eastAsia="Batang"/>
            <w:sz w:val="28"/>
            <w:szCs w:val="28"/>
          </w:rPr>
          <w:t xml:space="preserve">— </w:t>
        </w:r>
        <w:r>
          <w:rPr>
            <w:rFonts w:ascii="Batang" w:hAnsi="Batang" w:eastAsia="Batang"/>
            <w:sz w:val="28"/>
            <w:szCs w:val="28"/>
          </w:rPr>
          <w:fldChar w:fldCharType="begin"/>
        </w:r>
        <w:r>
          <w:rPr>
            <w:rFonts w:ascii="Batang" w:hAnsi="Batang" w:eastAsia="Batang"/>
            <w:sz w:val="28"/>
            <w:szCs w:val="28"/>
          </w:rPr>
          <w:instrText xml:space="preserve">PAGE   \* MERGEFORMAT</w:instrText>
        </w:r>
        <w:r>
          <w:rPr>
            <w:rFonts w:ascii="Batang" w:hAnsi="Batang" w:eastAsia="Batang"/>
            <w:sz w:val="28"/>
            <w:szCs w:val="28"/>
          </w:rPr>
          <w:fldChar w:fldCharType="separate"/>
        </w:r>
        <w:r>
          <w:rPr>
            <w:rFonts w:ascii="Batang" w:hAnsi="Batang" w:eastAsia="Batang"/>
            <w:sz w:val="28"/>
            <w:szCs w:val="28"/>
            <w:lang w:val="zh-CN"/>
          </w:rPr>
          <w:t>2</w:t>
        </w:r>
        <w:r>
          <w:rPr>
            <w:rFonts w:ascii="Batang" w:hAnsi="Batang" w:eastAsia="Batang"/>
            <w:sz w:val="28"/>
            <w:szCs w:val="28"/>
          </w:rPr>
          <w:fldChar w:fldCharType="end"/>
        </w:r>
        <w:r>
          <w:rPr>
            <w:rFonts w:hint="eastAsia" w:ascii="Batang" w:hAnsi="Batang" w:eastAsia="Batang"/>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0274373"/>
      <w:docPartObj>
        <w:docPartGallery w:val="autotext"/>
      </w:docPartObj>
    </w:sdtPr>
    <w:sdtContent>
      <w:p>
        <w:pPr>
          <w:pStyle w:val="8"/>
          <w:jc w:val="center"/>
        </w:pPr>
        <w:r>
          <w:rPr>
            <w:rFonts w:hint="eastAsia"/>
          </w:rPr>
          <w:t>12313213132213</w:t>
        </w:r>
        <w:r>
          <w:fldChar w:fldCharType="begin"/>
        </w:r>
        <w:r>
          <w:instrText xml:space="preserve">PAGE   \* MERGEFORMAT</w:instrText>
        </w:r>
        <w:r>
          <w:fldChar w:fldCharType="separate"/>
        </w:r>
        <w:r>
          <w:rPr>
            <w:lang w:val="zh-CN"/>
          </w:rPr>
          <w:t>2</w:t>
        </w:r>
        <w:r>
          <w:fldChar w:fldCharType="end"/>
        </w:r>
      </w:p>
    </w:sdtContent>
  </w:sdt>
  <w:p>
    <w:pPr>
      <w:pStyle w:val="8"/>
      <w:jc w:val="center"/>
      <w:rPr>
        <w:rFonts w:hint="eastAsia" w:asciiTheme="minorEastAsia" w:hAnsiTheme="min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73887"/>
    <w:multiLevelType w:val="singleLevel"/>
    <w:tmpl w:val="97973887"/>
    <w:lvl w:ilvl="0" w:tentative="0">
      <w:start w:val="3"/>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csImhkaWQiOiJkNjRjZDZiMDAxNzU0OTg1MjgwOTBkYzRmYjc2YzM5MCIsInVzZXJDb3VudCI6Mn0="/>
  </w:docVars>
  <w:rsids>
    <w:rsidRoot w:val="00287DAF"/>
    <w:rsid w:val="00037B7D"/>
    <w:rsid w:val="000546A1"/>
    <w:rsid w:val="00061C12"/>
    <w:rsid w:val="00086151"/>
    <w:rsid w:val="00092BE6"/>
    <w:rsid w:val="00096086"/>
    <w:rsid w:val="0009670E"/>
    <w:rsid w:val="000B1680"/>
    <w:rsid w:val="000B20F4"/>
    <w:rsid w:val="000B46E5"/>
    <w:rsid w:val="000C78CC"/>
    <w:rsid w:val="000E17E7"/>
    <w:rsid w:val="000E3FCF"/>
    <w:rsid w:val="000F6501"/>
    <w:rsid w:val="00110B73"/>
    <w:rsid w:val="001258D4"/>
    <w:rsid w:val="00135E74"/>
    <w:rsid w:val="001369CA"/>
    <w:rsid w:val="00157078"/>
    <w:rsid w:val="00166836"/>
    <w:rsid w:val="00170E2F"/>
    <w:rsid w:val="001C558D"/>
    <w:rsid w:val="001D611E"/>
    <w:rsid w:val="00204372"/>
    <w:rsid w:val="00236F8C"/>
    <w:rsid w:val="0025113C"/>
    <w:rsid w:val="00267AAE"/>
    <w:rsid w:val="0027101F"/>
    <w:rsid w:val="00275718"/>
    <w:rsid w:val="00287DAF"/>
    <w:rsid w:val="002B2F49"/>
    <w:rsid w:val="002F01EE"/>
    <w:rsid w:val="002F24B7"/>
    <w:rsid w:val="00306385"/>
    <w:rsid w:val="0035487A"/>
    <w:rsid w:val="00361F0E"/>
    <w:rsid w:val="00370DC6"/>
    <w:rsid w:val="00376830"/>
    <w:rsid w:val="00377F32"/>
    <w:rsid w:val="0038751F"/>
    <w:rsid w:val="003A12A0"/>
    <w:rsid w:val="003E3566"/>
    <w:rsid w:val="003F4BEC"/>
    <w:rsid w:val="00407EB8"/>
    <w:rsid w:val="00424926"/>
    <w:rsid w:val="00455DD0"/>
    <w:rsid w:val="00461C8C"/>
    <w:rsid w:val="00461E31"/>
    <w:rsid w:val="00466E2E"/>
    <w:rsid w:val="0047323C"/>
    <w:rsid w:val="0048604A"/>
    <w:rsid w:val="00494B2C"/>
    <w:rsid w:val="004A2A12"/>
    <w:rsid w:val="005243FE"/>
    <w:rsid w:val="0056005C"/>
    <w:rsid w:val="00560623"/>
    <w:rsid w:val="005B0468"/>
    <w:rsid w:val="00626BDC"/>
    <w:rsid w:val="0063657C"/>
    <w:rsid w:val="0066027C"/>
    <w:rsid w:val="0067075F"/>
    <w:rsid w:val="006773D2"/>
    <w:rsid w:val="006A6A08"/>
    <w:rsid w:val="006C5E31"/>
    <w:rsid w:val="006F3637"/>
    <w:rsid w:val="007006C2"/>
    <w:rsid w:val="00790C94"/>
    <w:rsid w:val="007B1888"/>
    <w:rsid w:val="007C3288"/>
    <w:rsid w:val="007E149C"/>
    <w:rsid w:val="007E7600"/>
    <w:rsid w:val="00802C44"/>
    <w:rsid w:val="00822154"/>
    <w:rsid w:val="00823381"/>
    <w:rsid w:val="0087335C"/>
    <w:rsid w:val="008866CD"/>
    <w:rsid w:val="008D5DDB"/>
    <w:rsid w:val="00906187"/>
    <w:rsid w:val="009071A4"/>
    <w:rsid w:val="0091307C"/>
    <w:rsid w:val="00926DCC"/>
    <w:rsid w:val="009325F5"/>
    <w:rsid w:val="0094592D"/>
    <w:rsid w:val="00952863"/>
    <w:rsid w:val="00953488"/>
    <w:rsid w:val="00961352"/>
    <w:rsid w:val="00987665"/>
    <w:rsid w:val="009D7E38"/>
    <w:rsid w:val="00A07CFF"/>
    <w:rsid w:val="00A169CA"/>
    <w:rsid w:val="00A17B27"/>
    <w:rsid w:val="00A50DF3"/>
    <w:rsid w:val="00A62C78"/>
    <w:rsid w:val="00AC6C8A"/>
    <w:rsid w:val="00AF1DD2"/>
    <w:rsid w:val="00AF3C93"/>
    <w:rsid w:val="00B03561"/>
    <w:rsid w:val="00B15D61"/>
    <w:rsid w:val="00B73503"/>
    <w:rsid w:val="00B90C6B"/>
    <w:rsid w:val="00B97EF2"/>
    <w:rsid w:val="00BF067C"/>
    <w:rsid w:val="00C012F0"/>
    <w:rsid w:val="00C1240F"/>
    <w:rsid w:val="00C142C3"/>
    <w:rsid w:val="00C546E9"/>
    <w:rsid w:val="00C65689"/>
    <w:rsid w:val="00C71FEF"/>
    <w:rsid w:val="00CA13DB"/>
    <w:rsid w:val="00CA42FD"/>
    <w:rsid w:val="00CC1334"/>
    <w:rsid w:val="00CC2C8E"/>
    <w:rsid w:val="00D22E56"/>
    <w:rsid w:val="00D56C3E"/>
    <w:rsid w:val="00D777BD"/>
    <w:rsid w:val="00D77ACE"/>
    <w:rsid w:val="00DB5892"/>
    <w:rsid w:val="00DB6259"/>
    <w:rsid w:val="00DC3B1E"/>
    <w:rsid w:val="00DD64E5"/>
    <w:rsid w:val="00DF45A8"/>
    <w:rsid w:val="00E03F28"/>
    <w:rsid w:val="00E15665"/>
    <w:rsid w:val="00E20DD6"/>
    <w:rsid w:val="00E32B11"/>
    <w:rsid w:val="00E86690"/>
    <w:rsid w:val="00EB0434"/>
    <w:rsid w:val="00EC1488"/>
    <w:rsid w:val="00EE6912"/>
    <w:rsid w:val="00F002F9"/>
    <w:rsid w:val="00F03983"/>
    <w:rsid w:val="00F073C6"/>
    <w:rsid w:val="00F30220"/>
    <w:rsid w:val="00F3476A"/>
    <w:rsid w:val="00F373B5"/>
    <w:rsid w:val="00F41289"/>
    <w:rsid w:val="00F44A21"/>
    <w:rsid w:val="00F44C48"/>
    <w:rsid w:val="00F53FC4"/>
    <w:rsid w:val="00F66634"/>
    <w:rsid w:val="00F67D18"/>
    <w:rsid w:val="00F705B2"/>
    <w:rsid w:val="00FA4CE8"/>
    <w:rsid w:val="00FA6F14"/>
    <w:rsid w:val="00FB4967"/>
    <w:rsid w:val="00FE2157"/>
    <w:rsid w:val="01A03C5A"/>
    <w:rsid w:val="01A5267D"/>
    <w:rsid w:val="01AF6A8D"/>
    <w:rsid w:val="024808A2"/>
    <w:rsid w:val="025C3821"/>
    <w:rsid w:val="026B33C3"/>
    <w:rsid w:val="02B551F3"/>
    <w:rsid w:val="02DA3B1B"/>
    <w:rsid w:val="02E57B4D"/>
    <w:rsid w:val="037B12D4"/>
    <w:rsid w:val="03804D63"/>
    <w:rsid w:val="03C81F71"/>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7E0708D"/>
    <w:rsid w:val="086A24BC"/>
    <w:rsid w:val="08AB5AAF"/>
    <w:rsid w:val="09012C64"/>
    <w:rsid w:val="093B2E99"/>
    <w:rsid w:val="095D7943"/>
    <w:rsid w:val="09C006C6"/>
    <w:rsid w:val="0A0E6E5F"/>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6D03C2"/>
    <w:rsid w:val="0E866524"/>
    <w:rsid w:val="0E9268D3"/>
    <w:rsid w:val="0E957F1F"/>
    <w:rsid w:val="0F0E7284"/>
    <w:rsid w:val="0F28110F"/>
    <w:rsid w:val="0F37083F"/>
    <w:rsid w:val="0F891DB8"/>
    <w:rsid w:val="0FAA3B86"/>
    <w:rsid w:val="10191346"/>
    <w:rsid w:val="102A01A6"/>
    <w:rsid w:val="10754A6C"/>
    <w:rsid w:val="108B537D"/>
    <w:rsid w:val="10B11DB1"/>
    <w:rsid w:val="10D54478"/>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64B3A09"/>
    <w:rsid w:val="17223EFF"/>
    <w:rsid w:val="17AA5F28"/>
    <w:rsid w:val="17B713F6"/>
    <w:rsid w:val="184350A0"/>
    <w:rsid w:val="18935485"/>
    <w:rsid w:val="18A34206"/>
    <w:rsid w:val="18DE3B2C"/>
    <w:rsid w:val="1906685D"/>
    <w:rsid w:val="19111683"/>
    <w:rsid w:val="19353916"/>
    <w:rsid w:val="193E101D"/>
    <w:rsid w:val="1953461C"/>
    <w:rsid w:val="19C10AF1"/>
    <w:rsid w:val="19F2732F"/>
    <w:rsid w:val="1A017CDA"/>
    <w:rsid w:val="1A2672DE"/>
    <w:rsid w:val="1AA81D42"/>
    <w:rsid w:val="1AB433D9"/>
    <w:rsid w:val="1AFB6D70"/>
    <w:rsid w:val="1B1B11EE"/>
    <w:rsid w:val="1B3719E0"/>
    <w:rsid w:val="1B6261C3"/>
    <w:rsid w:val="1B731730"/>
    <w:rsid w:val="1B882BB5"/>
    <w:rsid w:val="1B9B33C7"/>
    <w:rsid w:val="1B9D7FEC"/>
    <w:rsid w:val="1BA55461"/>
    <w:rsid w:val="1BBA0FB0"/>
    <w:rsid w:val="1BE74496"/>
    <w:rsid w:val="1C3D67D1"/>
    <w:rsid w:val="1C40731A"/>
    <w:rsid w:val="1C4809C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31705E"/>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B50BD7"/>
    <w:rsid w:val="28EA3248"/>
    <w:rsid w:val="28F879DA"/>
    <w:rsid w:val="294B7731"/>
    <w:rsid w:val="29D21FF2"/>
    <w:rsid w:val="2A611B0F"/>
    <w:rsid w:val="2AC1762B"/>
    <w:rsid w:val="2AE845D0"/>
    <w:rsid w:val="2B4975FB"/>
    <w:rsid w:val="2B695031"/>
    <w:rsid w:val="2B735A8F"/>
    <w:rsid w:val="2BA7478D"/>
    <w:rsid w:val="2BB038DB"/>
    <w:rsid w:val="2BB761E0"/>
    <w:rsid w:val="2BB812F9"/>
    <w:rsid w:val="2BC61BA0"/>
    <w:rsid w:val="2BE35C27"/>
    <w:rsid w:val="2BFA504B"/>
    <w:rsid w:val="2C1D63FA"/>
    <w:rsid w:val="2C23683D"/>
    <w:rsid w:val="2C593D0D"/>
    <w:rsid w:val="2C681F1F"/>
    <w:rsid w:val="2C8608DC"/>
    <w:rsid w:val="2C9D01BD"/>
    <w:rsid w:val="2CA4764A"/>
    <w:rsid w:val="2CC42ECA"/>
    <w:rsid w:val="2CDA4349"/>
    <w:rsid w:val="2D225539"/>
    <w:rsid w:val="2D273A99"/>
    <w:rsid w:val="2D4618D2"/>
    <w:rsid w:val="2D5F021B"/>
    <w:rsid w:val="2D6E1286"/>
    <w:rsid w:val="2D70583E"/>
    <w:rsid w:val="2E0725DC"/>
    <w:rsid w:val="2E1B4BB8"/>
    <w:rsid w:val="2E210B91"/>
    <w:rsid w:val="2E256CB6"/>
    <w:rsid w:val="2E5F27E4"/>
    <w:rsid w:val="2E692720"/>
    <w:rsid w:val="2EBD223E"/>
    <w:rsid w:val="2EC10AD1"/>
    <w:rsid w:val="2ECB6A5A"/>
    <w:rsid w:val="2EE97178"/>
    <w:rsid w:val="2EFC0112"/>
    <w:rsid w:val="2F2B730D"/>
    <w:rsid w:val="2F9F3DC1"/>
    <w:rsid w:val="2FFC7AC2"/>
    <w:rsid w:val="301430AF"/>
    <w:rsid w:val="30171DC7"/>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845F6C"/>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9F84185"/>
    <w:rsid w:val="3A2510B9"/>
    <w:rsid w:val="3A2B1DFC"/>
    <w:rsid w:val="3AA6422C"/>
    <w:rsid w:val="3AAF46D5"/>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3E4155"/>
    <w:rsid w:val="3E6C0DFA"/>
    <w:rsid w:val="3E740322"/>
    <w:rsid w:val="3E7F4380"/>
    <w:rsid w:val="3E8D171B"/>
    <w:rsid w:val="3EA5630D"/>
    <w:rsid w:val="3EBA731B"/>
    <w:rsid w:val="3EE33949"/>
    <w:rsid w:val="3EFB5800"/>
    <w:rsid w:val="3F213F58"/>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1F84B01"/>
    <w:rsid w:val="41FA63FD"/>
    <w:rsid w:val="42293430"/>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8015FF5"/>
    <w:rsid w:val="483820D2"/>
    <w:rsid w:val="48692CD0"/>
    <w:rsid w:val="48AE3D01"/>
    <w:rsid w:val="49067B2F"/>
    <w:rsid w:val="49677E31"/>
    <w:rsid w:val="49686C57"/>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AD559D"/>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9420D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C26F6F"/>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7F02AEA"/>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4848EE"/>
    <w:rsid w:val="5D9217C2"/>
    <w:rsid w:val="5DAD06BF"/>
    <w:rsid w:val="5DD30F98"/>
    <w:rsid w:val="5DE23CB3"/>
    <w:rsid w:val="5DE97EEC"/>
    <w:rsid w:val="5DFA5EB0"/>
    <w:rsid w:val="5E000E4D"/>
    <w:rsid w:val="5E0B583E"/>
    <w:rsid w:val="5E201A7B"/>
    <w:rsid w:val="5EBD0484"/>
    <w:rsid w:val="5F2C5C7C"/>
    <w:rsid w:val="5F36141C"/>
    <w:rsid w:val="5FC5273F"/>
    <w:rsid w:val="604F6C39"/>
    <w:rsid w:val="60806DF2"/>
    <w:rsid w:val="61072DA5"/>
    <w:rsid w:val="611C0817"/>
    <w:rsid w:val="61224A52"/>
    <w:rsid w:val="61520CCB"/>
    <w:rsid w:val="61724C72"/>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40C4C"/>
    <w:rsid w:val="6A292754"/>
    <w:rsid w:val="6A5E3B28"/>
    <w:rsid w:val="6A6B1EBE"/>
    <w:rsid w:val="6A77261D"/>
    <w:rsid w:val="6A8F43F7"/>
    <w:rsid w:val="6AD625F3"/>
    <w:rsid w:val="6B7218BE"/>
    <w:rsid w:val="6B750BA9"/>
    <w:rsid w:val="6BB93285"/>
    <w:rsid w:val="6C0C698C"/>
    <w:rsid w:val="6C222401"/>
    <w:rsid w:val="6C56267F"/>
    <w:rsid w:val="6C826EF9"/>
    <w:rsid w:val="6CAE4C93"/>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2DC3F1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237770"/>
    <w:rsid w:val="779469CE"/>
    <w:rsid w:val="77C875A5"/>
    <w:rsid w:val="77E552D2"/>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AD33BD"/>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after="160" w:line="278" w:lineRule="auto"/>
      <w:jc w:val="both"/>
    </w:pPr>
    <w:rPr>
      <w:rFonts w:cs="宋体" w:asciiTheme="minorHAnsi" w:hAnsiTheme="minorHAnsi" w:eastAsiaTheme="minorEastAsia"/>
      <w:sz w:val="24"/>
      <w:szCs w:val="24"/>
      <w:lang w:val="en-US" w:eastAsia="zh-CN" w:bidi="ar-SA"/>
    </w:rPr>
  </w:style>
  <w:style w:type="paragraph" w:styleId="2">
    <w:name w:val="heading 1"/>
    <w:basedOn w:val="1"/>
    <w:next w:val="1"/>
    <w:autoRedefine/>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autoRedefine/>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autoRedefine/>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autoRedefine/>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autoRedefine/>
    <w:semiHidden/>
    <w:unhideWhenUsed/>
    <w:qFormat/>
    <w:uiPriority w:val="99"/>
    <w:pPr>
      <w:jc w:val="left"/>
    </w:pPr>
  </w:style>
  <w:style w:type="paragraph" w:styleId="7">
    <w:name w:val="Balloon Text"/>
    <w:basedOn w:val="1"/>
    <w:link w:val="24"/>
    <w:autoRedefine/>
    <w:unhideWhenUsed/>
    <w:qFormat/>
    <w:uiPriority w:val="99"/>
    <w:rPr>
      <w:rFonts w:cstheme="minorBidi"/>
      <w:kern w:val="2"/>
      <w:sz w:val="18"/>
      <w:szCs w:val="18"/>
    </w:rPr>
  </w:style>
  <w:style w:type="paragraph" w:styleId="8">
    <w:name w:val="footer"/>
    <w:basedOn w:val="1"/>
    <w:link w:val="16"/>
    <w:autoRedefine/>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autoRedefine/>
    <w:semiHidden/>
    <w:unhideWhenUsed/>
    <w:qFormat/>
    <w:uiPriority w:val="99"/>
    <w:pPr>
      <w:spacing w:beforeAutospacing="1" w:after="0" w:afterAutospacing="1"/>
      <w:jc w:val="left"/>
    </w:pPr>
    <w:rPr>
      <w:rFonts w:cs="Times New Roman"/>
    </w:rPr>
  </w:style>
  <w:style w:type="table" w:styleId="12">
    <w:name w:val="Table Grid"/>
    <w:autoRedefine/>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autoRedefine/>
    <w:qFormat/>
    <w:uiPriority w:val="22"/>
    <w:rPr>
      <w:b/>
    </w:rPr>
  </w:style>
  <w:style w:type="character" w:customStyle="1" w:styleId="15">
    <w:name w:val="标题 2 字符"/>
    <w:link w:val="3"/>
    <w:autoRedefine/>
    <w:qFormat/>
    <w:uiPriority w:val="0"/>
    <w:rPr>
      <w:rFonts w:ascii="Calibri Light" w:hAnsi="Calibri Light" w:eastAsia="宋体" w:cs="Times New Roman"/>
      <w:b/>
      <w:bCs/>
      <w:sz w:val="28"/>
      <w:szCs w:val="32"/>
    </w:rPr>
  </w:style>
  <w:style w:type="character" w:customStyle="1" w:styleId="16">
    <w:name w:val="页脚 字符"/>
    <w:basedOn w:val="13"/>
    <w:link w:val="8"/>
    <w:autoRedefine/>
    <w:qFormat/>
    <w:uiPriority w:val="99"/>
    <w:rPr>
      <w:rFonts w:asciiTheme="minorHAnsi" w:hAnsiTheme="minorHAnsi" w:eastAsiaTheme="minorEastAsia" w:cstheme="minorBidi"/>
      <w:sz w:val="18"/>
      <w:szCs w:val="18"/>
      <w:lang w:val="en-US" w:eastAsia="zh-CN" w:bidi="ar-SA"/>
    </w:rPr>
  </w:style>
  <w:style w:type="character" w:customStyle="1" w:styleId="17">
    <w:name w:val="页眉 字符"/>
    <w:basedOn w:val="13"/>
    <w:link w:val="9"/>
    <w:autoRedefine/>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autoRedefine/>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autoRedefine/>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autoRedefine/>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autoRedefine/>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autoRedefine/>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autoRedefine/>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字符"/>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996ACE-787C-412D-91B2-87BD10C3E55F}">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36</Pages>
  <Words>6903</Words>
  <Characters>7912</Characters>
  <Lines>41</Lines>
  <Paragraphs>11</Paragraphs>
  <TotalTime>348</TotalTime>
  <ScaleCrop>false</ScaleCrop>
  <LinksUpToDate>false</LinksUpToDate>
  <CharactersWithSpaces>8000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2024-10-21T08:19:00Z</dcterms:created>
  <dc:creator>王明新TIAD</dc:creator>
  <cp:lastModifiedBy>常芳月</cp:lastModifiedBy>
  <cp:lastPrinted>2023-08-04T01:00:00Z</cp:lastPrinted>
  <dcterms:modified xsi:type="dcterms:W3CDTF">2025-09-09T05:54:09Z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7D31E0B13F564CEFBF4F9DE908FCF150_13</vt:lpwstr>
  </property>
  <property fmtid="{D5CDD505-2E9C-101B-9397-08002B2CF9AE}" pid="4" name="KSOTemplateUUID">
    <vt:lpwstr>v1.0_mb_S7ajbG3IpAnL1wSthNCxfw==</vt:lpwstr>
  </property>
  <property fmtid="{D5CDD505-2E9C-101B-9397-08002B2CF9AE}" pid="5" name="KSOTemplateDocerSaveRecord">
    <vt:lpwstr>eyJoZGlkIjoiNGJkMGY2ZjdhYjJkZTk3OGRmYmNiMzNjMjdkYmFkNjQifQ==</vt:lpwstr>
  </property>
</Properties>
</file>