
<file path=[Content_Types].xml><?xml version="1.0" encoding="utf-8"?>
<Types xmlns="http://schemas.openxmlformats.org/package/2006/content-types">
  <Default Extension="xml" ContentType="application/xml"/>
  <Default Extension="png" ContentType="image/png"/>
  <Default Extension="emf" ContentType="image/x-e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media/image2.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p>
    <w:p>
      <w:pPr>
        <w:widowControl/>
        <w:jc w:val="left"/>
      </w:pPr>
      <w:r>
        <w:drawing>
          <wp:anchor distT="0" distB="0" distL="114300" distR="114300" simplePos="0" relativeHeight="251661312" behindDoc="0" locked="0" layoutInCell="1" allowOverlap="1">
            <wp:simplePos x="0" y="0"/>
            <wp:positionH relativeFrom="column">
              <wp:posOffset>-95250</wp:posOffset>
            </wp:positionH>
            <wp:positionV relativeFrom="margin">
              <wp:posOffset>549275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9">
                      <a:extLst>
                        <a:ext uri="{96DAC541-7B7A-43D3-8B79-37D633B846F1}">
                          <asvg:svgBlip xmlns:asvg="http://schemas.microsoft.com/office/drawing/2016/SVG/main" r:embed="rId10"/>
                        </a:ext>
                      </a:extLst>
                    </a:blip>
                    <a:stretch>
                      <a:fillRect/>
                    </a:stretch>
                  </pic:blipFill>
                  <pic:spPr>
                    <a:xfrm>
                      <a:off x="0" y="0"/>
                      <a:ext cx="506095" cy="506095"/>
                    </a:xfrm>
                    <a:prstGeom prst="rect">
                      <a:avLst/>
                    </a:prstGeom>
                  </pic:spPr>
                </pic:pic>
              </a:graphicData>
            </a:graphic>
          </wp:anchor>
        </w:drawing>
      </w:r>
    </w:p>
    <w:p>
      <w:pPr>
        <w:widowControl/>
        <w:jc w:val="left"/>
      </w:pPr>
      <w:r>
        <w:drawing>
          <wp:anchor distT="0" distB="0" distL="114300" distR="114300" simplePos="0" relativeHeight="251663360"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1"/>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2"/>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2336"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3"/>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0288"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165"/>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0288;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mc:AlternateContent>
          <mc:Choice Requires="wpg">
            <w:drawing>
              <wp:anchor distT="0" distB="0" distL="114300" distR="114300" simplePos="0" relativeHeight="251659264"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hint="eastAsia" w:ascii="楷体" w:hAnsi="楷体" w:eastAsia="楷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 w:hAnsi="楷体" w:eastAsia="楷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59264;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hint="eastAsia" w:ascii="楷体" w:hAnsi="楷体" w:eastAsia="楷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 w:hAnsi="楷体" w:eastAsia="楷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hint="eastAsia" w:ascii="思源黑体 CN Heavy" w:hAnsi="思源黑体 CN Heavy" w:eastAsia="思源黑体 CN Heavy"/>
                                <w:color w:val="A6A6A6" w:themeColor="background1" w:themeShade="A6"/>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3360;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pPr>
                        <w:jc w:val="distribute"/>
                        <w:rPr>
                          <w:rFonts w:hint="eastAsia" w:ascii="思源黑体 CN Heavy" w:hAnsi="思源黑体 CN Heavy" w:eastAsia="思源黑体 CN Heavy"/>
                          <w:color w:val="A6A6A6" w:themeColor="background1" w:themeShade="A6"/>
                          <w:sz w:val="40"/>
                          <w:szCs w:val="40"/>
                        </w:rPr>
                      </w:pPr>
                    </w:p>
                  </w:txbxContent>
                </v:textbox>
              </v:shape>
            </w:pict>
          </mc:Fallback>
        </mc:AlternateContent>
      </w:r>
    </w:p>
    <w:p>
      <w:pPr>
        <w:widowControl/>
        <w:jc w:val="left"/>
      </w:pPr>
      <w:r>
        <w:drawing>
          <wp:anchor distT="0" distB="0" distL="114300" distR="114300" simplePos="0" relativeHeight="251662336" behindDoc="1" locked="0" layoutInCell="1" allowOverlap="1">
            <wp:simplePos x="0" y="0"/>
            <wp:positionH relativeFrom="margin">
              <wp:posOffset>-2893060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spacing w:line="600" w:lineRule="auto"/>
        <w:jc w:val="left"/>
        <w:rPr>
          <w:rFonts w:hint="eastAsia" w:ascii="楷体_GB2312" w:hAnsi="楷体_GB2312" w:eastAsia="楷体_GB2312" w:cs="楷体_GB2312"/>
          <w:color w:val="000000"/>
          <w:sz w:val="40"/>
          <w:szCs w:val="40"/>
        </w:rPr>
      </w:pPr>
      <w:r>
        <w:rPr>
          <w:rFonts w:ascii="黑体" w:hAnsi="黑体" w:eastAsia="黑体" w:cs="黑体"/>
          <w:color w:val="000000"/>
          <w:sz w:val="40"/>
          <w:szCs w:val="40"/>
        </w:rPr>
        <mc:AlternateContent>
          <mc:Choice Requires="wps">
            <w:drawing>
              <wp:anchor distT="45720" distB="45720" distL="114300" distR="114300" simplePos="0" relativeHeight="251665408" behindDoc="0" locked="0" layoutInCell="1" allowOverlap="1">
                <wp:simplePos x="0" y="0"/>
                <wp:positionH relativeFrom="column">
                  <wp:posOffset>1170940</wp:posOffset>
                </wp:positionH>
                <wp:positionV relativeFrom="paragraph">
                  <wp:posOffset>558165</wp:posOffset>
                </wp:positionV>
                <wp:extent cx="4105275" cy="1714500"/>
                <wp:effectExtent l="0" t="0" r="0" b="0"/>
                <wp:wrapNone/>
                <wp:docPr id="21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4105275" cy="1714500"/>
                        </a:xfrm>
                        <a:prstGeom prst="rect">
                          <a:avLst/>
                        </a:prstGeom>
                        <a:noFill/>
                        <a:ln w="9525">
                          <a:noFill/>
                          <a:miter lim="800000"/>
                        </a:ln>
                      </wps:spPr>
                      <wps:txbx>
                        <w:txbxContent>
                          <w:p>
                            <w:pPr>
                              <w:spacing w:line="600" w:lineRule="auto"/>
                              <w:jc w:val="left"/>
                              <w:rPr>
                                <w:rFonts w:hint="eastAsia" w:ascii="楷体" w:hAnsi="楷体" w:eastAsia="楷体" w:cs="黑体"/>
                                <w:color w:val="000000"/>
                                <w:sz w:val="40"/>
                                <w:szCs w:val="40"/>
                              </w:rPr>
                            </w:pPr>
                            <w:r>
                              <w:rPr>
                                <w:rFonts w:hint="eastAsia" w:ascii="楷体" w:hAnsi="楷体" w:eastAsia="楷体" w:cs="黑体"/>
                                <w:color w:val="000000"/>
                                <w:sz w:val="40"/>
                                <w:szCs w:val="40"/>
                              </w:rPr>
                              <w:t>河北抚宁经济开发区管理委员会（部门）</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92.2pt;margin-top:43.95pt;height:135pt;width:323.25pt;z-index:251665408;mso-width-relative:page;mso-height-relative:page;" filled="f" stroked="f" coordsize="21600,21600" o:gfxdata="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R&#10;Gyum1gAAAAoBAAAPAAAAAAAAAAEAIAAAACIAAABkcnMvZG93bnJldi54bWxQSwECFAAUAAAACACH&#10;TuJAs50sKiYCAAAsBAAADgAAAAAAAAABACAAAAAlAQAAZHJzL2Uyb0RvYy54bWxQSwUGAAAAAAYA&#10;BgBZAQAAvQUAAAAA&#10;">
                <v:fill on="f" focussize="0,0"/>
                <v:stroke on="f" miterlimit="8" joinstyle="miter"/>
                <v:imagedata o:title=""/>
                <o:lock v:ext="edit" aspectratio="f"/>
                <v:textbox>
                  <w:txbxContent>
                    <w:p>
                      <w:pPr>
                        <w:spacing w:line="600" w:lineRule="auto"/>
                        <w:jc w:val="left"/>
                        <w:rPr>
                          <w:rFonts w:hint="eastAsia" w:ascii="楷体" w:hAnsi="楷体" w:eastAsia="楷体" w:cs="黑体"/>
                          <w:color w:val="000000"/>
                          <w:sz w:val="40"/>
                          <w:szCs w:val="40"/>
                        </w:rPr>
                      </w:pPr>
                      <w:r>
                        <w:rPr>
                          <w:rFonts w:hint="eastAsia" w:ascii="楷体" w:hAnsi="楷体" w:eastAsia="楷体" w:cs="黑体"/>
                          <w:color w:val="000000"/>
                          <w:sz w:val="40"/>
                          <w:szCs w:val="40"/>
                        </w:rPr>
                        <w:t>河北抚宁经济开发区管理委员会（部门）</w:t>
                      </w:r>
                    </w:p>
                  </w:txbxContent>
                </v:textbox>
              </v:shape>
            </w:pict>
          </mc:Fallback>
        </mc:AlternateContent>
      </w: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 w:hAnsi="楷体" w:eastAsia="楷体" w:cs="黑体"/>
          <w:color w:val="000000"/>
          <w:sz w:val="40"/>
          <w:szCs w:val="40"/>
        </w:rPr>
        <w:t>328</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部门名称</w:t>
      </w:r>
      <w:r>
        <w:rPr>
          <w:rFonts w:hint="eastAsia" w:ascii="楷体_GB2312" w:hAnsi="楷体_GB2312" w:eastAsia="楷体_GB2312" w:cs="楷体_GB2312"/>
          <w:color w:val="000000"/>
          <w:sz w:val="40"/>
          <w:szCs w:val="40"/>
        </w:rPr>
        <w:t>：</w:t>
      </w:r>
    </w:p>
    <w:p>
      <w:pPr>
        <w:spacing w:line="600" w:lineRule="auto"/>
        <w:rPr>
          <w:rFonts w:hint="eastAsia" w:ascii="楷体_GB2312" w:hAnsi="楷体_GB2312" w:eastAsia="楷体_GB2312" w:cs="楷体_GB2312"/>
          <w:color w:val="000000"/>
          <w:sz w:val="40"/>
          <w:szCs w:val="40"/>
        </w:rPr>
      </w:pPr>
    </w:p>
    <w:p>
      <w:pPr>
        <w:spacing w:line="600" w:lineRule="auto"/>
        <w:rPr>
          <w:rFonts w:hint="eastAsia" w:ascii="楷体_GB2312" w:hAnsi="楷体_GB2312" w:eastAsia="楷体_GB2312" w:cs="楷体_GB2312"/>
          <w:color w:val="000000"/>
          <w:sz w:val="40"/>
          <w:szCs w:val="40"/>
        </w:rPr>
      </w:pPr>
    </w:p>
    <w:p>
      <w:pPr>
        <w:spacing w:line="600" w:lineRule="auto"/>
        <w:jc w:val="center"/>
        <w:rPr>
          <w:rFonts w:hint="eastAsia" w:ascii="楷体" w:hAnsi="楷体" w:eastAsia="楷体" w:cs="楷体_GB2312"/>
          <w:color w:val="000000"/>
          <w:sz w:val="40"/>
          <w:szCs w:val="40"/>
        </w:rPr>
      </w:pPr>
      <w:r>
        <w:rPr>
          <w:rFonts w:hint="eastAsia" w:ascii="楷体" w:hAnsi="楷体" w:eastAsia="楷体" w:cs="楷体_GB2312"/>
          <w:color w:val="000000"/>
          <w:sz w:val="40"/>
          <w:szCs w:val="40"/>
        </w:rPr>
        <w:t>二〇二四年十月</w:t>
      </w:r>
    </w:p>
    <w:p>
      <w:pPr>
        <w:spacing w:line="600" w:lineRule="auto"/>
        <w:jc w:val="center"/>
        <w:rPr>
          <w:rFonts w:hint="eastAsia" w:ascii="楷体" w:hAnsi="楷体" w:eastAsia="楷体" w:cs="楷体_GB2312"/>
          <w:color w:val="000000"/>
          <w:sz w:val="40"/>
          <w:szCs w:val="40"/>
        </w:rPr>
      </w:pPr>
    </w:p>
    <w:p>
      <w:pPr>
        <w:tabs>
          <w:tab w:val="left" w:pos="2728"/>
        </w:tabs>
        <w:jc w:val="center"/>
        <w:rPr>
          <w:rFonts w:ascii="黑体" w:hAnsi="Times New Roman" w:eastAsia="黑体" w:cs="Times New Roman"/>
          <w:sz w:val="48"/>
          <w:szCs w:val="48"/>
        </w:rPr>
      </w:pPr>
    </w:p>
    <w:p>
      <w:pPr>
        <w:tabs>
          <w:tab w:val="left" w:pos="2728"/>
        </w:tabs>
        <w:spacing w:after="0" w:line="360" w:lineRule="auto"/>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0" w:line="360" w:lineRule="auto"/>
        <w:ind w:firstLine="640" w:firstLineChars="200"/>
        <w:rPr>
          <w:rFonts w:ascii="Times New Roman" w:hAnsi="Times New Roman" w:eastAsia="黑体" w:cs="Times New Roman"/>
          <w:sz w:val="32"/>
          <w:szCs w:val="32"/>
        </w:rPr>
      </w:pPr>
    </w:p>
    <w:p>
      <w:pPr>
        <w:widowControl/>
        <w:spacing w:after="0" w:line="360" w:lineRule="auto"/>
        <w:ind w:firstLine="640" w:firstLineChars="200"/>
        <w:rPr>
          <w:rFonts w:ascii="Times New Roman" w:hAnsi="Times New Roman" w:eastAsia="仿宋_GB2312" w:cs="Times New Roman"/>
          <w:szCs w:val="32"/>
        </w:rPr>
      </w:pPr>
      <w:r>
        <w:rPr>
          <w:rFonts w:ascii="Times New Roman" w:hAnsi="Times New Roman" w:eastAsia="黑体" w:cs="Times New Roman"/>
          <w:sz w:val="32"/>
          <w:szCs w:val="32"/>
        </w:rPr>
        <w:t xml:space="preserve">第一部分   </w:t>
      </w:r>
      <w:r>
        <w:rPr>
          <w:rFonts w:hint="eastAsia" w:ascii="黑体" w:hAnsi="黑体" w:eastAsia="黑体" w:cs="Times New Roman"/>
          <w:sz w:val="32"/>
          <w:szCs w:val="32"/>
        </w:rPr>
        <w:t>部门</w:t>
      </w:r>
      <w:r>
        <w:rPr>
          <w:rFonts w:ascii="Times New Roman" w:hAnsi="Times New Roman" w:eastAsia="黑体" w:cs="Times New Roman"/>
          <w:sz w:val="32"/>
          <w:szCs w:val="32"/>
        </w:rPr>
        <w:t>概况</w:t>
      </w:r>
    </w:p>
    <w:p>
      <w:pPr>
        <w:widowControl/>
        <w:spacing w:after="0" w:line="360" w:lineRule="auto"/>
        <w:ind w:firstLine="1273" w:firstLineChars="398"/>
        <w:rPr>
          <w:rFonts w:hint="eastAsia" w:ascii="仿宋" w:hAnsi="仿宋" w:eastAsia="仿宋" w:cs="Times New Roman"/>
          <w:sz w:val="32"/>
          <w:szCs w:val="32"/>
        </w:rPr>
      </w:pPr>
      <w:r>
        <w:rPr>
          <w:rFonts w:ascii="仿宋" w:hAnsi="仿宋" w:eastAsia="仿宋" w:cs="Times New Roman"/>
          <w:sz w:val="32"/>
          <w:szCs w:val="32"/>
        </w:rPr>
        <w:t>一、</w:t>
      </w:r>
      <w:r>
        <w:rPr>
          <w:rFonts w:hint="eastAsia" w:ascii="仿宋" w:hAnsi="仿宋" w:eastAsia="仿宋" w:cs="Times New Roman"/>
          <w:sz w:val="32"/>
          <w:szCs w:val="32"/>
        </w:rPr>
        <w:t>部门职责</w:t>
      </w:r>
    </w:p>
    <w:p>
      <w:pPr>
        <w:widowControl/>
        <w:spacing w:after="0" w:line="360" w:lineRule="auto"/>
        <w:ind w:firstLine="1273" w:firstLineChars="398"/>
        <w:rPr>
          <w:rFonts w:hint="eastAsia" w:ascii="仿宋" w:hAnsi="仿宋" w:eastAsia="仿宋" w:cs="Times New Roman"/>
          <w:sz w:val="32"/>
          <w:szCs w:val="32"/>
        </w:rPr>
      </w:pPr>
      <w:r>
        <w:rPr>
          <w:rFonts w:ascii="仿宋" w:hAnsi="仿宋" w:eastAsia="仿宋" w:cs="Times New Roman"/>
          <w:sz w:val="32"/>
          <w:szCs w:val="32"/>
        </w:rPr>
        <w:t>二、</w:t>
      </w:r>
      <w:r>
        <w:rPr>
          <w:rFonts w:hint="eastAsia" w:ascii="仿宋" w:hAnsi="仿宋" w:eastAsia="仿宋" w:cs="Times New Roman"/>
          <w:sz w:val="32"/>
          <w:szCs w:val="32"/>
        </w:rPr>
        <w:t>机构设置</w:t>
      </w:r>
    </w:p>
    <w:p>
      <w:pPr>
        <w:widowControl/>
        <w:spacing w:after="0" w:line="360" w:lineRule="auto"/>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hint="eastAsia" w:ascii="黑体" w:hAnsi="黑体" w:eastAsia="黑体" w:cs="Times New Roman"/>
          <w:sz w:val="32"/>
          <w:szCs w:val="32"/>
        </w:rPr>
        <w:t>2023</w:t>
      </w:r>
      <w:r>
        <w:rPr>
          <w:rFonts w:hint="eastAsia" w:ascii="Times New Roman" w:hAnsi="Times New Roman" w:eastAsia="黑体" w:cs="Times New Roman"/>
          <w:sz w:val="32"/>
          <w:szCs w:val="32"/>
        </w:rPr>
        <w:t>年</w:t>
      </w:r>
      <w:r>
        <w:rPr>
          <w:rFonts w:ascii="Times New Roman" w:hAnsi="Times New Roman" w:eastAsia="黑体" w:cs="Times New Roman"/>
          <w:sz w:val="32"/>
          <w:szCs w:val="32"/>
        </w:rPr>
        <w:t>度部门决算报表</w:t>
      </w:r>
    </w:p>
    <w:p>
      <w:pPr>
        <w:widowControl/>
        <w:spacing w:after="0" w:line="360" w:lineRule="auto"/>
        <w:ind w:firstLine="1280" w:firstLineChars="400"/>
        <w:rPr>
          <w:rFonts w:hint="eastAsia" w:ascii="仿宋" w:hAnsi="仿宋" w:eastAsia="仿宋" w:cs="Times New Roman"/>
          <w:sz w:val="32"/>
          <w:szCs w:val="32"/>
        </w:rPr>
      </w:pPr>
      <w:r>
        <w:rPr>
          <w:rFonts w:ascii="仿宋" w:hAnsi="仿宋" w:eastAsia="仿宋" w:cs="Times New Roman"/>
          <w:sz w:val="32"/>
          <w:szCs w:val="32"/>
        </w:rPr>
        <w:t>一、</w:t>
      </w:r>
      <w:r>
        <w:rPr>
          <w:rFonts w:hint="eastAsia" w:ascii="仿宋" w:hAnsi="仿宋" w:eastAsia="仿宋" w:cs="Times New Roman"/>
          <w:sz w:val="32"/>
          <w:szCs w:val="32"/>
        </w:rPr>
        <w:t>收入支出决算总表</w:t>
      </w:r>
    </w:p>
    <w:p>
      <w:pPr>
        <w:widowControl/>
        <w:spacing w:after="0" w:line="360" w:lineRule="auto"/>
        <w:ind w:left="640" w:firstLine="640" w:firstLineChars="200"/>
        <w:rPr>
          <w:rFonts w:hint="eastAsia" w:ascii="仿宋" w:hAnsi="仿宋" w:eastAsia="仿宋" w:cs="Times New Roman"/>
          <w:sz w:val="32"/>
          <w:szCs w:val="32"/>
        </w:rPr>
      </w:pPr>
      <w:r>
        <w:rPr>
          <w:rFonts w:ascii="仿宋" w:hAnsi="仿宋" w:eastAsia="仿宋" w:cs="Times New Roman"/>
          <w:sz w:val="32"/>
          <w:szCs w:val="32"/>
        </w:rPr>
        <w:t>二、收入决算</w:t>
      </w:r>
      <w:r>
        <w:rPr>
          <w:rFonts w:hint="eastAsia" w:ascii="仿宋" w:hAnsi="仿宋" w:eastAsia="仿宋" w:cs="Times New Roman"/>
          <w:sz w:val="32"/>
          <w:szCs w:val="32"/>
        </w:rPr>
        <w:t>表</w:t>
      </w:r>
    </w:p>
    <w:p>
      <w:pPr>
        <w:widowControl/>
        <w:spacing w:after="0" w:line="360" w:lineRule="auto"/>
        <w:ind w:left="640" w:firstLine="640" w:firstLineChars="200"/>
        <w:rPr>
          <w:rFonts w:hint="eastAsia" w:ascii="仿宋" w:hAnsi="仿宋" w:eastAsia="仿宋" w:cs="Times New Roman"/>
          <w:sz w:val="32"/>
          <w:szCs w:val="32"/>
        </w:rPr>
      </w:pPr>
      <w:r>
        <w:rPr>
          <w:rFonts w:ascii="仿宋" w:hAnsi="仿宋" w:eastAsia="仿宋" w:cs="Times New Roman"/>
          <w:sz w:val="32"/>
          <w:szCs w:val="32"/>
        </w:rPr>
        <w:t>三、支出决算</w:t>
      </w:r>
      <w:r>
        <w:rPr>
          <w:rFonts w:hint="eastAsia" w:ascii="仿宋" w:hAnsi="仿宋" w:eastAsia="仿宋" w:cs="Times New Roman"/>
          <w:sz w:val="32"/>
          <w:szCs w:val="32"/>
        </w:rPr>
        <w:t>表</w:t>
      </w:r>
    </w:p>
    <w:p>
      <w:pPr>
        <w:widowControl/>
        <w:spacing w:after="0" w:line="360" w:lineRule="auto"/>
        <w:ind w:left="640" w:firstLine="640" w:firstLineChars="200"/>
        <w:rPr>
          <w:rFonts w:hint="eastAsia" w:ascii="仿宋" w:hAnsi="仿宋" w:eastAsia="仿宋" w:cs="Times New Roman"/>
          <w:sz w:val="32"/>
          <w:szCs w:val="32"/>
        </w:rPr>
      </w:pPr>
      <w:r>
        <w:rPr>
          <w:rFonts w:ascii="仿宋" w:hAnsi="仿宋" w:eastAsia="仿宋" w:cs="Times New Roman"/>
          <w:sz w:val="32"/>
          <w:szCs w:val="32"/>
        </w:rPr>
        <w:t>四、</w:t>
      </w:r>
      <w:r>
        <w:rPr>
          <w:rFonts w:hint="eastAsia" w:ascii="仿宋" w:hAnsi="仿宋" w:eastAsia="仿宋" w:cs="Times New Roman"/>
          <w:sz w:val="32"/>
          <w:szCs w:val="32"/>
        </w:rPr>
        <w:t>财政拨款收入支出决算总表</w:t>
      </w:r>
    </w:p>
    <w:p>
      <w:pPr>
        <w:widowControl/>
        <w:spacing w:after="0" w:line="360" w:lineRule="auto"/>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五、一般公共预算财政拨款支出决算表</w:t>
      </w:r>
    </w:p>
    <w:p>
      <w:pPr>
        <w:widowControl/>
        <w:spacing w:after="0" w:line="360" w:lineRule="auto"/>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六、一般公共预算财政拨款基本支出决算明细表</w:t>
      </w:r>
    </w:p>
    <w:p>
      <w:pPr>
        <w:widowControl/>
        <w:spacing w:after="0" w:line="360" w:lineRule="auto"/>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七、政府性基金预算财政拨款收入支出决算表</w:t>
      </w:r>
    </w:p>
    <w:p>
      <w:pPr>
        <w:widowControl/>
        <w:spacing w:after="0" w:line="360" w:lineRule="auto"/>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八</w:t>
      </w:r>
      <w:r>
        <w:rPr>
          <w:rFonts w:ascii="仿宋" w:hAnsi="仿宋" w:eastAsia="仿宋" w:cs="Times New Roman"/>
          <w:sz w:val="32"/>
          <w:szCs w:val="32"/>
        </w:rPr>
        <w:t>、</w:t>
      </w:r>
      <w:r>
        <w:rPr>
          <w:rFonts w:hint="eastAsia" w:ascii="仿宋" w:hAnsi="仿宋" w:eastAsia="仿宋" w:cs="Times New Roman"/>
          <w:sz w:val="32"/>
          <w:szCs w:val="32"/>
        </w:rPr>
        <w:t>国有资本经营预算财政拨款支出决算表</w:t>
      </w:r>
    </w:p>
    <w:p>
      <w:pPr>
        <w:widowControl/>
        <w:spacing w:after="0" w:line="360" w:lineRule="auto"/>
        <w:ind w:left="640" w:firstLine="640" w:firstLineChars="200"/>
        <w:rPr>
          <w:rFonts w:ascii="Times New Roman" w:hAnsi="Times New Roman" w:eastAsia="仿宋_GB2312" w:cs="Times New Roman"/>
          <w:sz w:val="20"/>
          <w:szCs w:val="32"/>
        </w:rPr>
      </w:pPr>
      <w:r>
        <w:rPr>
          <w:rFonts w:hint="eastAsia" w:ascii="仿宋" w:hAnsi="仿宋" w:eastAsia="仿宋" w:cs="Times New Roman"/>
          <w:sz w:val="32"/>
          <w:szCs w:val="32"/>
        </w:rPr>
        <w:t>九、财政拨款“三公”经费支出决算表</w:t>
      </w:r>
    </w:p>
    <w:p>
      <w:pPr>
        <w:widowControl/>
        <w:spacing w:after="0" w:line="360" w:lineRule="auto"/>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黑体" w:hAnsi="黑体" w:eastAsia="黑体" w:cs="Times New Roman"/>
          <w:sz w:val="32"/>
          <w:szCs w:val="32"/>
        </w:rPr>
        <w:t>2023</w:t>
      </w:r>
      <w:r>
        <w:rPr>
          <w:rFonts w:hint="eastAsia" w:ascii="Times New Roman" w:hAnsi="Times New Roman" w:eastAsia="黑体" w:cs="Times New Roman"/>
          <w:sz w:val="32"/>
          <w:szCs w:val="32"/>
        </w:rPr>
        <w:t>年度</w:t>
      </w:r>
      <w:r>
        <w:rPr>
          <w:rFonts w:ascii="Times New Roman" w:hAnsi="Times New Roman" w:eastAsia="黑体" w:cs="Times New Roman"/>
          <w:sz w:val="32"/>
          <w:szCs w:val="32"/>
        </w:rPr>
        <w:t>部门决算情况说明</w:t>
      </w:r>
    </w:p>
    <w:p>
      <w:pPr>
        <w:widowControl/>
        <w:spacing w:after="0" w:line="360" w:lineRule="auto"/>
        <w:ind w:firstLine="1280" w:firstLineChars="400"/>
        <w:rPr>
          <w:rFonts w:hint="eastAsia" w:ascii="仿宋" w:hAnsi="仿宋" w:eastAsia="仿宋" w:cs="Times New Roman"/>
          <w:sz w:val="32"/>
          <w:szCs w:val="32"/>
        </w:rPr>
      </w:pPr>
      <w:r>
        <w:rPr>
          <w:rFonts w:ascii="仿宋" w:hAnsi="仿宋" w:eastAsia="仿宋" w:cs="Times New Roman"/>
          <w:sz w:val="32"/>
          <w:szCs w:val="32"/>
        </w:rPr>
        <w:t>一、</w:t>
      </w:r>
      <w:r>
        <w:rPr>
          <w:rFonts w:hint="eastAsia" w:ascii="仿宋" w:hAnsi="仿宋" w:eastAsia="仿宋" w:cs="Times New Roman"/>
          <w:sz w:val="32"/>
          <w:szCs w:val="32"/>
        </w:rPr>
        <w:t>收入支出决算总体情况说明</w:t>
      </w:r>
    </w:p>
    <w:p>
      <w:pPr>
        <w:widowControl/>
        <w:spacing w:after="0" w:line="360" w:lineRule="auto"/>
        <w:ind w:left="640" w:firstLine="640" w:firstLineChars="200"/>
        <w:rPr>
          <w:rFonts w:hint="eastAsia" w:ascii="仿宋" w:hAnsi="仿宋" w:eastAsia="仿宋" w:cs="Times New Roman"/>
          <w:sz w:val="32"/>
          <w:szCs w:val="32"/>
        </w:rPr>
      </w:pPr>
      <w:r>
        <w:rPr>
          <w:rFonts w:ascii="仿宋" w:hAnsi="仿宋" w:eastAsia="仿宋" w:cs="Times New Roman"/>
          <w:sz w:val="32"/>
          <w:szCs w:val="32"/>
        </w:rPr>
        <w:t>二、收入决算情况说明</w:t>
      </w:r>
    </w:p>
    <w:p>
      <w:pPr>
        <w:widowControl/>
        <w:spacing w:after="0" w:line="360" w:lineRule="auto"/>
        <w:ind w:left="640" w:firstLine="640" w:firstLineChars="200"/>
        <w:rPr>
          <w:rFonts w:hint="eastAsia" w:ascii="仿宋" w:hAnsi="仿宋" w:eastAsia="仿宋" w:cs="Times New Roman"/>
          <w:sz w:val="32"/>
          <w:szCs w:val="32"/>
        </w:rPr>
      </w:pPr>
      <w:r>
        <w:rPr>
          <w:rFonts w:ascii="仿宋" w:hAnsi="仿宋" w:eastAsia="仿宋" w:cs="Times New Roman"/>
          <w:sz w:val="32"/>
          <w:szCs w:val="32"/>
        </w:rPr>
        <w:t>三、支出决算情况说明</w:t>
      </w:r>
    </w:p>
    <w:p>
      <w:pPr>
        <w:widowControl/>
        <w:spacing w:after="0" w:line="360" w:lineRule="auto"/>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四、财政拨款收入支出决算总体情况说明</w:t>
      </w:r>
    </w:p>
    <w:p>
      <w:pPr>
        <w:widowControl/>
        <w:spacing w:after="0" w:line="360" w:lineRule="auto"/>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五、财政拨款“三公” 经费支出决算情况说明</w:t>
      </w:r>
    </w:p>
    <w:p>
      <w:pPr>
        <w:widowControl/>
        <w:spacing w:after="0" w:line="360" w:lineRule="auto"/>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六、机关运行经费支出说明</w:t>
      </w:r>
    </w:p>
    <w:p>
      <w:pPr>
        <w:widowControl/>
        <w:spacing w:after="0" w:line="360" w:lineRule="auto"/>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七、政府采购支出说明</w:t>
      </w:r>
    </w:p>
    <w:p>
      <w:pPr>
        <w:widowControl/>
        <w:spacing w:after="0" w:line="360" w:lineRule="auto"/>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八、国有资产占用情况说明</w:t>
      </w:r>
    </w:p>
    <w:p>
      <w:pPr>
        <w:widowControl/>
        <w:spacing w:after="0" w:line="360" w:lineRule="auto"/>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九、预算绩效情况说明</w:t>
      </w:r>
    </w:p>
    <w:p>
      <w:pPr>
        <w:widowControl/>
        <w:spacing w:after="0" w:line="360" w:lineRule="auto"/>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十、其他需要说明的情况</w:t>
      </w:r>
    </w:p>
    <w:p>
      <w:pPr>
        <w:widowControl/>
        <w:spacing w:after="0" w:line="360" w:lineRule="auto"/>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ascii="Times New Roman" w:hAnsi="Times New Roman" w:eastAsia="黑体" w:cs="Times New Roman"/>
          <w:sz w:val="32"/>
          <w:szCs w:val="32"/>
        </w:rPr>
      </w:pPr>
    </w:p>
    <w:p>
      <w:pPr>
        <w:rPr>
          <w:rFonts w:ascii="Times New Roman" w:hAnsi="Times New Roman" w:eastAsia="黑体" w:cs="Times New Roman"/>
          <w:sz w:val="32"/>
          <w:szCs w:val="32"/>
        </w:rPr>
      </w:pPr>
    </w:p>
    <w:p>
      <w:pPr>
        <w:rPr>
          <w:rFonts w:ascii="Times New Roman" w:hAnsi="Times New Roman" w:eastAsia="黑体" w:cs="Times New Roman"/>
          <w:sz w:val="32"/>
          <w:szCs w:val="32"/>
        </w:rPr>
      </w:pPr>
    </w:p>
    <w:p>
      <w:pPr>
        <w:rPr>
          <w:rFonts w:ascii="Times New Roman" w:hAnsi="Times New Roman" w:eastAsia="黑体" w:cs="Times New Roman"/>
          <w:sz w:val="32"/>
          <w:szCs w:val="32"/>
        </w:rPr>
      </w:pPr>
    </w:p>
    <w:p>
      <w:pPr>
        <w:rPr>
          <w:rFonts w:ascii="Times New Roman" w:hAnsi="Times New Roman" w:eastAsia="黑体" w:cs="Times New Roman"/>
          <w:sz w:val="32"/>
          <w:szCs w:val="32"/>
        </w:rPr>
      </w:pPr>
    </w:p>
    <w:p>
      <w:pPr>
        <w:jc w:val="center"/>
        <w:rPr>
          <w:rFonts w:ascii="Times New Roman" w:hAnsi="Times New Roman" w:eastAsia="黑体" w:cs="Times New Roman"/>
          <w:sz w:val="32"/>
          <w:szCs w:val="32"/>
        </w:rPr>
      </w:pPr>
    </w:p>
    <w:p>
      <w:pPr>
        <w:tabs>
          <w:tab w:val="center" w:pos="4422"/>
        </w:tabs>
        <w:rPr>
          <w:rFonts w:ascii="Times New Roman" w:hAnsi="Times New Roman" w:eastAsia="黑体" w:cs="Times New Roman"/>
          <w:sz w:val="32"/>
          <w:szCs w:val="32"/>
        </w:rPr>
        <w:sectPr>
          <w:footerReference r:id="rId6" w:type="first"/>
          <w:footerReference r:id="rId5" w:type="default"/>
          <w:pgSz w:w="11906" w:h="16838"/>
          <w:pgMar w:top="1474" w:right="1531" w:bottom="1474" w:left="1531" w:header="851" w:footer="510" w:gutter="0"/>
          <w:cols w:space="0" w:num="1"/>
          <w:titlePg/>
          <w:docGrid w:type="lines" w:linePitch="326" w:charSpace="0"/>
        </w:sectPr>
      </w:pPr>
      <w:r>
        <w:rPr>
          <w:rFonts w:ascii="Times New Roman" w:hAnsi="Times New Roman" w:eastAsia="黑体" w:cs="Times New Roman"/>
          <w:sz w:val="32"/>
          <w:szCs w:val="32"/>
        </w:rPr>
        <w:tab/>
      </w:r>
    </w:p>
    <w:p>
      <w:pPr>
        <w:spacing w:line="360" w:lineRule="auto"/>
        <w:rPr>
          <w:rFonts w:ascii="Arial" w:hAnsi="Arial" w:eastAsia="Arial" w:cs="Arial"/>
          <w:color w:val="000000"/>
          <w:sz w:val="18"/>
          <w:szCs w:val="18"/>
          <w:shd w:val="clear" w:color="auto" w:fill="FFFFFF"/>
        </w:rPr>
      </w:pPr>
    </w:p>
    <w:p>
      <w:pPr>
        <w:pStyle w:val="10"/>
        <w:widowControl/>
        <w:shd w:val="clear" w:color="auto" w:fill="FFFFFF"/>
        <w:spacing w:beforeAutospacing="0" w:afterAutospacing="0" w:line="360" w:lineRule="auto"/>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line="360" w:lineRule="auto"/>
        <w:rPr>
          <w:rFonts w:ascii="Arial" w:hAnsi="Arial" w:eastAsia="Arial" w:cs="Arial"/>
          <w:color w:val="000000"/>
          <w:sz w:val="18"/>
          <w:szCs w:val="18"/>
          <w:shd w:val="clear" w:color="auto" w:fill="FFFFFF"/>
        </w:rPr>
      </w:pPr>
    </w:p>
    <w:p>
      <w:pPr>
        <w:pStyle w:val="10"/>
        <w:widowControl/>
        <w:shd w:val="clear" w:color="auto" w:fill="FFFFFF"/>
        <w:spacing w:beforeAutospacing="0" w:afterAutospacing="0" w:line="360" w:lineRule="auto"/>
        <w:jc w:val="center"/>
        <w:rPr>
          <w:rFonts w:hint="eastAsia" w:ascii="黑体" w:hAnsi="宋体" w:eastAsia="黑体" w:cs="黑体"/>
          <w:color w:val="000000"/>
          <w:sz w:val="72"/>
          <w:szCs w:val="72"/>
          <w:shd w:val="clear" w:color="auto" w:fill="FFFFFF"/>
        </w:rPr>
      </w:pPr>
    </w:p>
    <w:p>
      <w:pPr>
        <w:pStyle w:val="10"/>
        <w:widowControl/>
        <w:shd w:val="clear" w:color="auto" w:fill="FFFFFF"/>
        <w:spacing w:beforeAutospacing="0" w:afterAutospacing="0" w:line="360" w:lineRule="auto"/>
        <w:jc w:val="center"/>
        <w:rPr>
          <w:rFonts w:hint="eastAsia" w:ascii="黑体" w:hAnsi="宋体" w:eastAsia="黑体" w:cs="黑体"/>
          <w:color w:val="000000"/>
          <w:sz w:val="72"/>
          <w:szCs w:val="72"/>
          <w:shd w:val="clear" w:color="auto" w:fill="FFFFFF"/>
        </w:rPr>
      </w:pPr>
    </w:p>
    <w:p>
      <w:pPr>
        <w:pStyle w:val="10"/>
        <w:widowControl/>
        <w:shd w:val="clear" w:color="auto" w:fill="FFFFFF"/>
        <w:spacing w:beforeAutospacing="0" w:afterAutospacing="0" w:line="360" w:lineRule="auto"/>
        <w:jc w:val="center"/>
        <w:rPr>
          <w:rFonts w:hint="eastAsia" w:ascii="黑体" w:hAnsi="宋体" w:eastAsia="黑体" w:cs="黑体"/>
          <w:color w:val="000000"/>
          <w:sz w:val="72"/>
          <w:szCs w:val="72"/>
          <w:shd w:val="clear" w:color="auto" w:fill="FFFFFF"/>
        </w:rPr>
      </w:pPr>
    </w:p>
    <w:p>
      <w:pPr>
        <w:pStyle w:val="10"/>
        <w:widowControl/>
        <w:shd w:val="clear" w:color="auto" w:fill="FFFFFF"/>
        <w:spacing w:beforeAutospacing="0" w:afterAutospacing="0" w:line="360" w:lineRule="auto"/>
        <w:jc w:val="center"/>
        <w:rPr>
          <w:rFonts w:hint="eastAsia" w:ascii="黑体" w:hAnsi="宋体" w:eastAsia="黑体" w:cs="黑体"/>
          <w:color w:val="000000"/>
          <w:sz w:val="72"/>
          <w:szCs w:val="72"/>
          <w:shd w:val="clear" w:color="auto" w:fill="FFFFFF"/>
        </w:rPr>
      </w:pPr>
    </w:p>
    <w:p>
      <w:pPr>
        <w:pStyle w:val="10"/>
        <w:widowControl/>
        <w:shd w:val="clear" w:color="auto" w:fill="FFFFFF"/>
        <w:spacing w:beforeAutospacing="0" w:afterAutospacing="0" w:line="360" w:lineRule="auto"/>
        <w:jc w:val="center"/>
        <w:rPr>
          <w:rFonts w:hint="eastAsia" w:ascii="黑体" w:hAnsi="宋体" w:eastAsia="黑体" w:cs="黑体"/>
          <w:color w:val="000000"/>
          <w:sz w:val="72"/>
          <w:szCs w:val="72"/>
          <w:shd w:val="clear" w:color="auto" w:fill="FFFFFF"/>
        </w:rPr>
      </w:pPr>
    </w:p>
    <w:p>
      <w:pPr>
        <w:pStyle w:val="10"/>
        <w:widowControl/>
        <w:shd w:val="clear" w:color="auto" w:fill="FFFFFF"/>
        <w:spacing w:beforeAutospacing="0" w:afterAutospacing="0" w:line="360" w:lineRule="auto"/>
        <w:jc w:val="center"/>
        <w:rPr>
          <w:rFonts w:ascii="Arial" w:hAnsi="Arial" w:eastAsia="Arial" w:cs="Arial"/>
          <w:color w:val="000000"/>
          <w:sz w:val="18"/>
          <w:szCs w:val="18"/>
        </w:rPr>
      </w:pPr>
      <w:r>
        <w:rPr>
          <w:rFonts w:hint="eastAsia" w:ascii="黑体" w:hAnsi="宋体" w:eastAsia="黑体" w:cs="黑体"/>
          <w:color w:val="000000"/>
          <w:sz w:val="72"/>
          <w:szCs w:val="72"/>
          <w:shd w:val="clear" w:color="auto" w:fill="FFFFFF"/>
        </w:rPr>
        <w:t>第一部分  部门概况</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rPr>
          <w:rFonts w:hint="eastAsia"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br w:type="page"/>
      </w:r>
    </w:p>
    <w:p>
      <w:pPr>
        <w:spacing w:after="0" w:line="360" w:lineRule="auto"/>
        <w:ind w:firstLine="640" w:firstLineChars="200"/>
        <w:rPr>
          <w:rFonts w:hint="eastAsia" w:ascii="黑体" w:hAnsi="黑体" w:eastAsia="黑体" w:cs="Arial"/>
          <w:sz w:val="32"/>
          <w:szCs w:val="32"/>
        </w:rPr>
      </w:pPr>
      <w:r>
        <w:rPr>
          <w:rFonts w:hint="eastAsia" w:ascii="黑体" w:hAnsi="黑体" w:eastAsia="黑体"/>
          <w:sz w:val="32"/>
          <w:szCs w:val="32"/>
          <w:shd w:val="clear" w:color="auto" w:fill="FFFFFF"/>
        </w:rPr>
        <w:t>一、</w:t>
      </w:r>
      <w:r>
        <w:rPr>
          <w:rFonts w:ascii="黑体" w:hAnsi="黑体" w:eastAsia="黑体"/>
          <w:sz w:val="32"/>
          <w:szCs w:val="32"/>
        </w:rPr>
        <w:t>部门</w:t>
      </w:r>
      <w:r>
        <w:rPr>
          <w:rFonts w:hint="eastAsia" w:ascii="黑体" w:hAnsi="黑体" w:eastAsia="黑体"/>
          <w:sz w:val="32"/>
          <w:szCs w:val="32"/>
          <w:shd w:val="clear" w:color="auto" w:fill="FFFFFF"/>
        </w:rPr>
        <w:t>职责</w:t>
      </w:r>
    </w:p>
    <w:p>
      <w:pPr>
        <w:ind w:firstLine="960" w:firstLineChars="300"/>
        <w:rPr>
          <w:rFonts w:hint="eastAsia" w:ascii="仿宋" w:hAnsi="仿宋" w:eastAsia="仿宋" w:cs="仿宋"/>
          <w:sz w:val="32"/>
          <w:szCs w:val="32"/>
          <w:highlight w:val="yellow"/>
        </w:rPr>
      </w:pPr>
      <w:r>
        <w:rPr>
          <w:rFonts w:hint="eastAsia" w:ascii="仿宋" w:hAnsi="仿宋" w:eastAsia="仿宋" w:cs="仿宋"/>
          <w:sz w:val="32"/>
          <w:szCs w:val="32"/>
        </w:rPr>
        <w:t>河北抚宁经济开发区管理委员会主要职责:编制开发区总体规划和经济、社会发展规划，经批准后组织实施;编制开发区区域性城市发展规划、国土利用规划，经批准后组织实施;负责开发区基础设施、公用设施的建设和管理;负责与秦皇岛经济技术开发区深度合作的相关工作;负责开发区的招商引资、进出口贸易和国内外经济技术合作工作;负责开发区人事工作;负责协调配合区直有关部门及派驻机构的工作;完成抚宁区政府交办的其它事项。</w:t>
      </w:r>
    </w:p>
    <w:p>
      <w:pPr>
        <w:spacing w:after="0" w:line="360" w:lineRule="auto"/>
        <w:ind w:firstLine="640" w:firstLineChars="200"/>
        <w:rPr>
          <w:rFonts w:hint="eastAsia" w:ascii="黑体" w:hAnsi="黑体" w:eastAsia="黑体"/>
          <w:sz w:val="32"/>
          <w:szCs w:val="32"/>
          <w:shd w:val="clear" w:color="auto" w:fill="FFFFFF"/>
        </w:rPr>
      </w:pPr>
      <w:r>
        <w:rPr>
          <w:rFonts w:hint="eastAsia" w:ascii="黑体" w:hAnsi="黑体" w:eastAsia="黑体"/>
          <w:sz w:val="32"/>
          <w:szCs w:val="32"/>
          <w:shd w:val="clear" w:color="auto" w:fill="FFFFFF"/>
        </w:rPr>
        <w:t>二、机构设置</w:t>
      </w:r>
    </w:p>
    <w:p>
      <w:pPr>
        <w:pStyle w:val="10"/>
        <w:widowControl/>
        <w:shd w:val="clear" w:color="auto" w:fill="FFFFFF"/>
        <w:spacing w:beforeAutospacing="0" w:afterAutospacing="0" w:line="360" w:lineRule="auto"/>
        <w:ind w:firstLine="640" w:firstLineChars="200"/>
        <w:rPr>
          <w:rFonts w:hint="eastAsia" w:ascii="仿宋" w:hAnsi="仿宋" w:eastAsia="仿宋" w:cs="仿宋_GB2312"/>
          <w:sz w:val="32"/>
          <w:szCs w:val="32"/>
          <w:shd w:val="clear" w:color="auto" w:fill="FFFFFF"/>
        </w:rPr>
      </w:pPr>
      <w:r>
        <w:rPr>
          <w:rFonts w:ascii="仿宋" w:hAnsi="仿宋" w:eastAsia="仿宋" w:cs="仿宋_GB2312"/>
          <w:sz w:val="32"/>
          <w:szCs w:val="32"/>
          <w:shd w:val="clear" w:color="auto" w:fill="FFFFFF"/>
        </w:rPr>
        <w:t>从决算编报</w:t>
      </w:r>
      <w:r>
        <w:rPr>
          <w:rFonts w:hint="eastAsia" w:ascii="仿宋" w:hAnsi="仿宋" w:eastAsia="仿宋" w:cs="仿宋_GB2312"/>
          <w:sz w:val="32"/>
          <w:szCs w:val="32"/>
          <w:shd w:val="clear" w:color="auto" w:fill="FFFFFF"/>
        </w:rPr>
        <w:t>单位</w:t>
      </w:r>
      <w:r>
        <w:rPr>
          <w:rFonts w:ascii="仿宋" w:hAnsi="仿宋" w:eastAsia="仿宋" w:cs="仿宋_GB2312"/>
          <w:sz w:val="32"/>
          <w:szCs w:val="32"/>
          <w:shd w:val="clear" w:color="auto" w:fill="FFFFFF"/>
        </w:rPr>
        <w:t>构成看，纳入</w:t>
      </w:r>
      <w:r>
        <w:rPr>
          <w:rFonts w:hint="eastAsia" w:ascii="仿宋" w:hAnsi="仿宋" w:eastAsia="仿宋" w:cs="仿宋_GB2312"/>
          <w:sz w:val="32"/>
          <w:szCs w:val="32"/>
          <w:shd w:val="clear" w:color="auto" w:fill="FFFFFF"/>
        </w:rPr>
        <w:t>2023</w:t>
      </w:r>
      <w:r>
        <w:rPr>
          <w:rFonts w:ascii="仿宋" w:hAnsi="仿宋" w:eastAsia="仿宋" w:cs="仿宋_GB2312"/>
          <w:sz w:val="32"/>
          <w:szCs w:val="32"/>
          <w:shd w:val="clear" w:color="auto" w:fill="FFFFFF"/>
        </w:rPr>
        <w:t>年度</w:t>
      </w:r>
      <w:r>
        <w:rPr>
          <w:rFonts w:hint="eastAsia" w:ascii="仿宋" w:hAnsi="仿宋" w:eastAsia="仿宋" w:cs="仿宋_GB2312"/>
          <w:sz w:val="32"/>
          <w:szCs w:val="32"/>
          <w:shd w:val="clear" w:color="auto" w:fill="FFFFFF"/>
        </w:rPr>
        <w:t>本部门</w:t>
      </w:r>
      <w:r>
        <w:rPr>
          <w:rFonts w:ascii="仿宋" w:hAnsi="仿宋" w:eastAsia="仿宋" w:cs="仿宋_GB2312"/>
          <w:sz w:val="32"/>
          <w:szCs w:val="32"/>
          <w:shd w:val="clear" w:color="auto" w:fill="FFFFFF"/>
        </w:rPr>
        <w:t>决算汇编范围的独立核算</w:t>
      </w:r>
      <w:r>
        <w:rPr>
          <w:rFonts w:hint="eastAsia" w:ascii="仿宋" w:hAnsi="仿宋" w:eastAsia="仿宋" w:cs="仿宋_GB2312"/>
          <w:sz w:val="32"/>
          <w:szCs w:val="32"/>
          <w:shd w:val="clear" w:color="auto" w:fill="FFFFFF"/>
        </w:rPr>
        <w:t>单位</w:t>
      </w:r>
      <w:r>
        <w:rPr>
          <w:rFonts w:ascii="仿宋" w:hAnsi="仿宋" w:eastAsia="仿宋" w:cs="仿宋_GB2312"/>
          <w:sz w:val="32"/>
          <w:szCs w:val="32"/>
          <w:shd w:val="clear" w:color="auto" w:fill="FFFFFF"/>
        </w:rPr>
        <w:t>（以下简称“</w:t>
      </w:r>
      <w:r>
        <w:rPr>
          <w:rFonts w:hint="eastAsia" w:ascii="仿宋" w:hAnsi="仿宋" w:eastAsia="仿宋" w:cs="仿宋_GB2312"/>
          <w:sz w:val="32"/>
          <w:szCs w:val="32"/>
          <w:shd w:val="clear" w:color="auto" w:fill="FFFFFF"/>
        </w:rPr>
        <w:t>单位</w:t>
      </w:r>
      <w:r>
        <w:rPr>
          <w:rFonts w:ascii="仿宋" w:hAnsi="仿宋" w:eastAsia="仿宋" w:cs="仿宋_GB2312"/>
          <w:sz w:val="32"/>
          <w:szCs w:val="32"/>
          <w:shd w:val="clear" w:color="auto" w:fill="FFFFFF"/>
        </w:rPr>
        <w:t>”）</w:t>
      </w:r>
      <w:r>
        <w:rPr>
          <w:rFonts w:ascii="仿宋" w:hAnsi="仿宋" w:eastAsia="仿宋" w:cs="仿宋_GB2312"/>
          <w:sz w:val="32"/>
          <w:szCs w:val="32"/>
          <w:highlight w:val="none"/>
          <w:shd w:val="clear" w:color="auto" w:fill="FFFFFF"/>
        </w:rPr>
        <w:t xml:space="preserve">共 </w:t>
      </w:r>
      <w:r>
        <w:rPr>
          <w:rFonts w:hint="eastAsia" w:ascii="仿宋" w:hAnsi="仿宋" w:eastAsia="仿宋" w:cs="仿宋_GB2312"/>
          <w:sz w:val="32"/>
          <w:szCs w:val="32"/>
          <w:highlight w:val="none"/>
          <w:shd w:val="clear" w:color="auto" w:fill="FFFFFF"/>
          <w:lang w:val="en-US" w:eastAsia="zh-CN"/>
        </w:rPr>
        <w:t>1</w:t>
      </w:r>
      <w:r>
        <w:rPr>
          <w:rFonts w:ascii="仿宋" w:hAnsi="仿宋" w:eastAsia="仿宋" w:cs="仿宋_GB2312"/>
          <w:sz w:val="32"/>
          <w:szCs w:val="32"/>
          <w:highlight w:val="none"/>
          <w:shd w:val="clear" w:color="auto" w:fill="FFFFFF"/>
        </w:rPr>
        <w:t>个，</w:t>
      </w:r>
      <w:r>
        <w:rPr>
          <w:rFonts w:ascii="仿宋" w:hAnsi="仿宋" w:eastAsia="仿宋" w:cs="仿宋_GB2312"/>
          <w:sz w:val="32"/>
          <w:szCs w:val="32"/>
          <w:shd w:val="clear" w:color="auto" w:fill="FFFFFF"/>
        </w:rPr>
        <w:t>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hint="eastAsia" w:ascii="仿宋" w:hAnsi="仿宋" w:eastAsia="仿宋" w:cs="ArialUnicodeMS"/>
                <w:b/>
                <w:bCs/>
                <w:sz w:val="28"/>
                <w:szCs w:val="28"/>
              </w:rPr>
            </w:pPr>
            <w:r>
              <w:rPr>
                <w:rFonts w:hint="eastAsia" w:ascii="仿宋" w:hAnsi="仿宋" w:eastAsia="仿宋" w:cs="ArialUnicodeMS"/>
                <w:b/>
                <w:bCs/>
                <w:sz w:val="28"/>
                <w:szCs w:val="28"/>
              </w:rPr>
              <w:t>序号</w:t>
            </w:r>
          </w:p>
        </w:tc>
        <w:tc>
          <w:tcPr>
            <w:tcW w:w="3485" w:type="dxa"/>
            <w:vAlign w:val="center"/>
          </w:tcPr>
          <w:p>
            <w:pPr>
              <w:spacing w:line="560" w:lineRule="exact"/>
              <w:jc w:val="center"/>
              <w:rPr>
                <w:rFonts w:hint="eastAsia" w:ascii="仿宋" w:hAnsi="仿宋" w:eastAsia="仿宋" w:cs="ArialUnicodeMS"/>
                <w:b/>
                <w:bCs/>
                <w:sz w:val="28"/>
                <w:szCs w:val="28"/>
              </w:rPr>
            </w:pPr>
            <w:r>
              <w:rPr>
                <w:rFonts w:hint="eastAsia" w:ascii="仿宋" w:hAnsi="仿宋" w:eastAsia="仿宋" w:cs="ArialUnicodeMS"/>
                <w:b/>
                <w:bCs/>
                <w:sz w:val="28"/>
                <w:szCs w:val="28"/>
              </w:rPr>
              <w:t>单位名称</w:t>
            </w:r>
          </w:p>
        </w:tc>
        <w:tc>
          <w:tcPr>
            <w:tcW w:w="2445" w:type="dxa"/>
            <w:vAlign w:val="center"/>
          </w:tcPr>
          <w:p>
            <w:pPr>
              <w:spacing w:line="560" w:lineRule="exact"/>
              <w:jc w:val="center"/>
              <w:rPr>
                <w:rFonts w:hint="eastAsia" w:ascii="仿宋" w:hAnsi="仿宋" w:eastAsia="仿宋" w:cs="ArialUnicodeMS"/>
                <w:b/>
                <w:bCs/>
                <w:sz w:val="28"/>
                <w:szCs w:val="28"/>
              </w:rPr>
            </w:pPr>
            <w:r>
              <w:rPr>
                <w:rFonts w:hint="eastAsia" w:ascii="仿宋" w:hAnsi="仿宋" w:eastAsia="仿宋" w:cs="ArialUnicodeMS"/>
                <w:b/>
                <w:bCs/>
                <w:sz w:val="28"/>
                <w:szCs w:val="28"/>
              </w:rPr>
              <w:t>单位基本性质</w:t>
            </w:r>
          </w:p>
        </w:tc>
        <w:tc>
          <w:tcPr>
            <w:tcW w:w="2665" w:type="dxa"/>
            <w:vAlign w:val="center"/>
          </w:tcPr>
          <w:p>
            <w:pPr>
              <w:spacing w:line="560" w:lineRule="exact"/>
              <w:jc w:val="center"/>
              <w:rPr>
                <w:rFonts w:hint="eastAsia" w:ascii="仿宋" w:hAnsi="仿宋" w:eastAsia="仿宋" w:cs="ArialUnicodeMS"/>
                <w:b/>
                <w:bCs/>
                <w:sz w:val="28"/>
                <w:szCs w:val="28"/>
              </w:rPr>
            </w:pPr>
            <w:r>
              <w:rPr>
                <w:rFonts w:hint="eastAsia" w:ascii="仿宋" w:hAnsi="仿宋" w:eastAsia="仿宋" w:cs="ArialUnicodeMS"/>
                <w:b/>
                <w:bCs/>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center"/>
          </w:tcPr>
          <w:p>
            <w:pPr>
              <w:spacing w:line="560" w:lineRule="exact"/>
              <w:jc w:val="center"/>
              <w:rPr>
                <w:rFonts w:hint="eastAsia" w:ascii="仿宋" w:hAnsi="仿宋" w:eastAsia="仿宋" w:cs="ArialUnicodeMS"/>
                <w:sz w:val="28"/>
                <w:szCs w:val="28"/>
              </w:rPr>
            </w:pPr>
            <w:r>
              <w:rPr>
                <w:rFonts w:hint="eastAsia" w:ascii="仿宋" w:hAnsi="仿宋" w:eastAsia="仿宋" w:cs="ArialUnicodeMS"/>
                <w:sz w:val="28"/>
                <w:szCs w:val="28"/>
              </w:rPr>
              <w:t>1</w:t>
            </w:r>
          </w:p>
        </w:tc>
        <w:tc>
          <w:tcPr>
            <w:tcW w:w="3485" w:type="dxa"/>
            <w:vAlign w:val="center"/>
          </w:tcPr>
          <w:p>
            <w:pPr>
              <w:spacing w:line="560" w:lineRule="exact"/>
              <w:rPr>
                <w:rFonts w:hint="default" w:ascii="仿宋" w:hAnsi="仿宋" w:eastAsia="仿宋" w:cs="ArialUnicodeMS"/>
                <w:sz w:val="28"/>
                <w:szCs w:val="28"/>
                <w:lang w:val="en-US" w:eastAsia="zh-CN"/>
              </w:rPr>
            </w:pPr>
            <w:r>
              <w:rPr>
                <w:rFonts w:hint="eastAsia" w:ascii="仿宋" w:hAnsi="仿宋" w:eastAsia="仿宋" w:cs="ArialUnicodeMS"/>
                <w:sz w:val="28"/>
                <w:szCs w:val="28"/>
                <w:lang w:val="en-US" w:eastAsia="zh-CN"/>
              </w:rPr>
              <w:t>河北抚宁经济开发区管理委员会</w:t>
            </w:r>
          </w:p>
        </w:tc>
        <w:tc>
          <w:tcPr>
            <w:tcW w:w="2445" w:type="dxa"/>
            <w:vAlign w:val="center"/>
          </w:tcPr>
          <w:p>
            <w:pPr>
              <w:spacing w:line="560" w:lineRule="exact"/>
              <w:jc w:val="center"/>
              <w:rPr>
                <w:rFonts w:hint="eastAsia" w:ascii="仿宋" w:hAnsi="仿宋" w:eastAsia="仿宋" w:cs="ArialUnicodeMS"/>
                <w:sz w:val="28"/>
                <w:szCs w:val="28"/>
                <w:lang w:val="en-US" w:eastAsia="zh-CN"/>
              </w:rPr>
            </w:pPr>
            <w:r>
              <w:rPr>
                <w:rFonts w:hint="eastAsia" w:ascii="仿宋" w:hAnsi="仿宋" w:eastAsia="仿宋" w:cs="ArialUnicodeMS"/>
                <w:sz w:val="28"/>
                <w:szCs w:val="28"/>
                <w:lang w:val="en-US" w:eastAsia="zh-CN"/>
              </w:rPr>
              <w:t>行政单位</w:t>
            </w:r>
          </w:p>
        </w:tc>
        <w:tc>
          <w:tcPr>
            <w:tcW w:w="2665" w:type="dxa"/>
            <w:vAlign w:val="center"/>
          </w:tcPr>
          <w:p>
            <w:pPr>
              <w:spacing w:line="560" w:lineRule="exact"/>
              <w:jc w:val="center"/>
              <w:rPr>
                <w:rFonts w:hint="eastAsia" w:ascii="仿宋" w:hAnsi="仿宋" w:eastAsia="仿宋" w:cs="ArialUnicodeMS"/>
                <w:sz w:val="28"/>
                <w:szCs w:val="28"/>
                <w:lang w:val="en-US" w:eastAsia="zh-CN"/>
              </w:rPr>
            </w:pPr>
            <w:r>
              <w:rPr>
                <w:rFonts w:hint="eastAsia" w:ascii="仿宋" w:hAnsi="仿宋" w:eastAsia="仿宋" w:cs="ArialUnicodeMS"/>
                <w:sz w:val="28"/>
                <w:szCs w:val="28"/>
                <w:lang w:val="en-US" w:eastAsia="zh-CN"/>
              </w:rPr>
              <w:t>财政拨款</w:t>
            </w:r>
          </w:p>
        </w:tc>
      </w:tr>
    </w:tbl>
    <w:p>
      <w:pPr>
        <w:widowControl/>
        <w:spacing w:after="0" w:line="360" w:lineRule="auto"/>
        <w:ind w:left="-850" w:leftChars="-354" w:right="-821" w:rightChars="-342"/>
        <w:rPr>
          <w:rFonts w:hint="eastAsia" w:ascii="仿宋" w:hAnsi="仿宋" w:eastAsia="仿宋" w:cs="Times New Roman"/>
          <w:sz w:val="28"/>
          <w:szCs w:val="28"/>
        </w:rPr>
        <w:sectPr>
          <w:headerReference r:id="rId7" w:type="default"/>
          <w:pgSz w:w="11906" w:h="16838"/>
          <w:pgMar w:top="1531" w:right="1984" w:bottom="1531" w:left="2098" w:header="851" w:footer="992" w:gutter="0"/>
          <w:cols w:space="720" w:num="1"/>
          <w:docGrid w:type="lines" w:linePitch="312" w:charSpace="0"/>
        </w:sectPr>
      </w:pPr>
      <w:r>
        <w:rPr>
          <w:rFonts w:hint="eastAsia" w:ascii="仿宋" w:hAnsi="仿宋" w:eastAsia="仿宋" w:cs="Times New Roman"/>
          <w:sz w:val="28"/>
          <w:szCs w:val="28"/>
        </w:rPr>
        <w:t>注：1、单位基本性质分为行政单位、参公事业单位、财政补助事业单位、经费自理事业单位四类。</w:t>
      </w:r>
      <w:r>
        <w:rPr>
          <w:rFonts w:hint="eastAsia" w:ascii="仿宋" w:hAnsi="仿宋" w:eastAsia="仿宋" w:cs="Times New Roman"/>
          <w:sz w:val="28"/>
          <w:szCs w:val="28"/>
        </w:rPr>
        <w:cr/>
      </w:r>
      <w:r>
        <w:rPr>
          <w:rFonts w:hint="eastAsia" w:ascii="仿宋" w:hAnsi="仿宋" w:eastAsia="仿宋" w:cs="Times New Roman"/>
          <w:sz w:val="28"/>
          <w:szCs w:val="28"/>
        </w:rPr>
        <w:t xml:space="preserve">    2、经费形式分为财政拨款、财政性资金基本保证、财政性资金定额或定项补助、财政性资金零补助四类。</w:t>
      </w:r>
      <w:r>
        <w:rPr>
          <w:rFonts w:hint="eastAsia" w:ascii="仿宋" w:hAnsi="仿宋" w:eastAsia="仿宋" w:cs="Times New Roman"/>
          <w:sz w:val="28"/>
          <w:szCs w:val="28"/>
        </w:rPr>
        <w:cr/>
      </w:r>
      <w:r>
        <w:rPr>
          <w:rFonts w:hint="eastAsia" w:ascii="仿宋" w:hAnsi="仿宋" w:eastAsia="仿宋" w:cs="Times New Roman"/>
          <w:sz w:val="28"/>
          <w:szCs w:val="28"/>
        </w:rPr>
        <w:t xml:space="preserve">    3、我部门无二级预算单位，因此，河北抚宁经济开发区管理委员会2023年度部门决算即河北抚宁经济开发区管理委员会本级2023年度决算。</w:t>
      </w:r>
      <w:r>
        <w:rPr>
          <w:rFonts w:ascii="仿宋" w:hAnsi="仿宋" w:eastAsia="仿宋" w:cs="Times New Roman"/>
          <w:sz w:val="28"/>
          <w:szCs w:val="28"/>
        </w:rPr>
        <w:cr/>
      </w:r>
    </w:p>
    <w:p>
      <w:pPr>
        <w:widowControl/>
        <w:spacing w:line="580" w:lineRule="exact"/>
        <w:ind w:firstLine="640" w:firstLineChars="200"/>
        <w:rPr>
          <w:rFonts w:ascii="Times New Roman" w:hAnsi="Times New Roman" w:eastAsia="黑体" w:cs="Times New Roman"/>
          <w:sz w:val="32"/>
          <w:szCs w:val="32"/>
          <w:highlight w:val="yellow"/>
        </w:rPr>
      </w:pPr>
    </w:p>
    <w:p>
      <w:pPr>
        <w:pStyle w:val="10"/>
        <w:widowControl/>
        <w:shd w:val="clear" w:color="auto" w:fill="FFFFFF"/>
        <w:spacing w:beforeAutospacing="0" w:afterAutospacing="0"/>
        <w:rPr>
          <w:rFonts w:ascii="Arial" w:hAnsi="Arial" w:eastAsia="Arial" w:cs="Arial"/>
          <w:color w:val="000000"/>
          <w:sz w:val="18"/>
          <w:szCs w:val="18"/>
          <w:shd w:val="clear" w:color="auto" w:fill="FFFFFF"/>
          <w:lang w:bidi="ar"/>
        </w:rPr>
      </w:pPr>
    </w:p>
    <w:p>
      <w:pPr>
        <w:widowControl/>
        <w:shd w:val="clear" w:color="auto" w:fill="FFFFFF"/>
        <w:spacing w:after="0"/>
        <w:jc w:val="left"/>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lang w:bidi="ar"/>
        </w:rPr>
        <w:t> </w:t>
      </w:r>
      <w:r>
        <w:rPr>
          <w:rFonts w:ascii="Arial" w:hAnsi="Arial" w:eastAsia="Arial" w:cs="Arial"/>
          <w:color w:val="000000"/>
          <w:sz w:val="18"/>
          <w:szCs w:val="18"/>
          <w:shd w:val="clear" w:color="auto" w:fill="FFFFFF"/>
        </w:rPr>
        <w:t> </w:t>
      </w:r>
    </w:p>
    <w:p>
      <w:pPr>
        <w:widowControl/>
        <w:shd w:val="clear" w:color="auto" w:fill="FFFFFF"/>
        <w:spacing w:after="0"/>
        <w:jc w:val="left"/>
        <w:rPr>
          <w:rFonts w:ascii="Arial" w:hAnsi="Arial" w:eastAsia="Arial" w:cs="Arial"/>
          <w:color w:val="000000"/>
          <w:sz w:val="18"/>
          <w:szCs w:val="18"/>
          <w:shd w:val="clear" w:color="auto" w:fill="FFFFFF"/>
        </w:rPr>
      </w:pPr>
    </w:p>
    <w:p>
      <w:pPr>
        <w:widowControl/>
        <w:shd w:val="clear" w:color="auto" w:fill="FFFFFF"/>
        <w:spacing w:after="0"/>
        <w:jc w:val="left"/>
        <w:rPr>
          <w:rFonts w:ascii="Arial" w:hAnsi="Arial" w:eastAsia="Arial" w:cs="Arial"/>
          <w:color w:val="000000"/>
          <w:sz w:val="18"/>
          <w:szCs w:val="18"/>
          <w:shd w:val="clear" w:color="auto" w:fill="FFFFFF"/>
        </w:rPr>
      </w:pPr>
    </w:p>
    <w:p>
      <w:pPr>
        <w:widowControl/>
        <w:shd w:val="clear" w:color="auto" w:fill="FFFFFF"/>
        <w:spacing w:after="0"/>
        <w:jc w:val="left"/>
        <w:rPr>
          <w:rFonts w:ascii="Arial" w:hAnsi="Arial" w:eastAsia="Arial" w:cs="Arial"/>
          <w:color w:val="000000"/>
          <w:sz w:val="18"/>
          <w:szCs w:val="18"/>
          <w:shd w:val="clear" w:color="auto" w:fill="FFFFFF"/>
        </w:rPr>
      </w:pPr>
    </w:p>
    <w:p>
      <w:pPr>
        <w:widowControl/>
        <w:shd w:val="clear" w:color="auto" w:fill="FFFFFF"/>
        <w:spacing w:after="0"/>
        <w:jc w:val="left"/>
        <w:rPr>
          <w:rFonts w:ascii="Arial" w:hAnsi="Arial" w:eastAsia="Arial" w:cs="Arial"/>
          <w:color w:val="000000"/>
          <w:sz w:val="18"/>
          <w:szCs w:val="18"/>
          <w:shd w:val="clear" w:color="auto" w:fill="FFFFFF"/>
        </w:rPr>
      </w:pPr>
    </w:p>
    <w:p>
      <w:pPr>
        <w:widowControl/>
        <w:shd w:val="clear" w:color="auto" w:fill="FFFFFF"/>
        <w:spacing w:after="0"/>
        <w:jc w:val="left"/>
        <w:rPr>
          <w:rFonts w:ascii="Arial" w:hAnsi="Arial" w:eastAsia="Arial" w:cs="Arial"/>
          <w:color w:val="000000"/>
          <w:sz w:val="18"/>
          <w:szCs w:val="18"/>
          <w:shd w:val="clear" w:color="auto" w:fill="FFFFFF"/>
        </w:rPr>
      </w:pPr>
    </w:p>
    <w:p>
      <w:pPr>
        <w:widowControl/>
        <w:shd w:val="clear" w:color="auto" w:fill="FFFFFF"/>
        <w:spacing w:after="0"/>
        <w:jc w:val="left"/>
        <w:rPr>
          <w:rFonts w:ascii="Arial" w:hAnsi="Arial" w:eastAsia="Arial" w:cs="Arial"/>
          <w:color w:val="000000"/>
          <w:sz w:val="18"/>
          <w:szCs w:val="18"/>
          <w:shd w:val="clear" w:color="auto" w:fill="FFFFFF"/>
        </w:rPr>
      </w:pPr>
    </w:p>
    <w:p>
      <w:pPr>
        <w:widowControl/>
        <w:shd w:val="clear" w:color="auto" w:fill="FFFFFF"/>
        <w:spacing w:after="0"/>
        <w:jc w:val="left"/>
        <w:rPr>
          <w:rFonts w:ascii="Arial" w:hAnsi="Arial" w:eastAsia="Arial" w:cs="Arial"/>
          <w:color w:val="000000"/>
          <w:sz w:val="18"/>
          <w:szCs w:val="18"/>
          <w:shd w:val="clear" w:color="auto" w:fill="FFFFFF"/>
        </w:rPr>
      </w:pP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spacing w:after="0" w:line="360" w:lineRule="auto"/>
        <w:jc w:val="center"/>
        <w:rPr>
          <w:rFonts w:hint="eastAsia" w:ascii="黑体" w:hAnsi="黑体" w:eastAsia="黑体"/>
          <w:sz w:val="72"/>
          <w:szCs w:val="72"/>
          <w:shd w:val="clear" w:color="auto" w:fill="FFFFFF"/>
        </w:rPr>
      </w:pPr>
      <w:r>
        <w:rPr>
          <w:rFonts w:hint="eastAsia" w:ascii="黑体" w:hAnsi="黑体" w:eastAsia="黑体"/>
          <w:sz w:val="72"/>
          <w:szCs w:val="72"/>
          <w:shd w:val="clear" w:color="auto" w:fill="FFFFFF"/>
        </w:rPr>
        <w:t>第二部分</w:t>
      </w:r>
    </w:p>
    <w:p>
      <w:pPr>
        <w:spacing w:after="0" w:line="360" w:lineRule="auto"/>
        <w:jc w:val="center"/>
        <w:rPr>
          <w:rFonts w:hint="eastAsia" w:ascii="黑体" w:hAnsi="黑体" w:eastAsia="黑体"/>
          <w:sz w:val="72"/>
          <w:szCs w:val="72"/>
          <w:shd w:val="clear" w:color="auto" w:fill="FFFFFF"/>
        </w:rPr>
      </w:pPr>
      <w:r>
        <w:rPr>
          <w:rFonts w:hint="eastAsia" w:ascii="黑体" w:hAnsi="黑体" w:eastAsia="黑体"/>
          <w:sz w:val="72"/>
          <w:szCs w:val="72"/>
          <w:shd w:val="clear" w:color="auto" w:fill="FFFFFF"/>
        </w:rPr>
        <w:t>2023年度部门决算报表</w:t>
      </w:r>
    </w:p>
    <w:p>
      <w:pPr>
        <w:pStyle w:val="10"/>
        <w:widowControl/>
        <w:spacing w:beforeAutospacing="0" w:afterAutospacing="0"/>
        <w:jc w:val="center"/>
        <w:rPr>
          <w:rFonts w:hint="eastAsia" w:ascii="仿宋_GB2312" w:hAnsi="仿宋_GB2312" w:eastAsia="仿宋_GB2312" w:cs="仿宋_GB2312"/>
          <w:color w:val="FF0000"/>
          <w:sz w:val="33"/>
          <w:szCs w:val="33"/>
          <w:shd w:val="clear" w:color="auto" w:fill="FFFFFF"/>
        </w:rPr>
        <w:sectPr>
          <w:pgSz w:w="11906" w:h="16838"/>
          <w:pgMar w:top="1531" w:right="1984" w:bottom="1531" w:left="2098" w:header="851" w:footer="992" w:gutter="0"/>
          <w:cols w:space="720" w:num="1"/>
          <w:docGrid w:type="lines" w:linePitch="312" w:charSpace="0"/>
        </w:sectPr>
      </w:pPr>
    </w:p>
    <w:tbl>
      <w:tblPr>
        <w:tblStyle w:val="12"/>
        <w:tblW w:w="1399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99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8630" w:hRule="atLeast"/>
        </w:trPr>
        <w:tc>
          <w:tcPr>
            <w:tcW w:w="13992" w:type="dxa"/>
            <w:tcBorders>
              <w:top w:val="nil"/>
              <w:left w:val="nil"/>
              <w:bottom w:val="nil"/>
              <w:right w:val="nil"/>
            </w:tcBorders>
          </w:tcPr>
          <w:p>
            <w:pPr>
              <w:jc w:val="center"/>
              <w:rPr>
                <w:sz w:val="20"/>
                <w:szCs w:val="20"/>
              </w:rPr>
            </w:pPr>
            <w:r>
              <w:rPr>
                <w:rFonts w:hint="eastAsia"/>
                <w:sz w:val="20"/>
                <w:szCs w:val="20"/>
              </w:rPr>
              <w:drawing>
                <wp:anchor distT="0" distB="0" distL="114300" distR="114300" simplePos="0" relativeHeight="251666432" behindDoc="0" locked="0" layoutInCell="1" allowOverlap="1">
                  <wp:simplePos x="0" y="0"/>
                  <wp:positionH relativeFrom="column">
                    <wp:posOffset>774065</wp:posOffset>
                  </wp:positionH>
                  <wp:positionV relativeFrom="paragraph">
                    <wp:posOffset>55880</wp:posOffset>
                  </wp:positionV>
                  <wp:extent cx="6994525" cy="5400040"/>
                  <wp:effectExtent l="0" t="0" r="15875" b="10160"/>
                  <wp:wrapNone/>
                  <wp:docPr id="152409712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4097124" name="图片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6994525" cy="5400040"/>
                          </a:xfrm>
                          <a:prstGeom prst="rect">
                            <a:avLst/>
                          </a:prstGeom>
                          <a:noFill/>
                          <a:ln>
                            <a:noFill/>
                          </a:ln>
                        </pic:spPr>
                      </pic:pic>
                    </a:graphicData>
                  </a:graphic>
                </wp:anchor>
              </w:drawing>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37" w:hRule="atLeast"/>
        </w:trPr>
        <w:tc>
          <w:tcPr>
            <w:tcW w:w="13992" w:type="dxa"/>
            <w:tcBorders>
              <w:top w:val="nil"/>
              <w:left w:val="nil"/>
              <w:bottom w:val="nil"/>
              <w:right w:val="nil"/>
            </w:tcBorders>
          </w:tcPr>
          <w:p>
            <w:pPr>
              <w:jc w:val="center"/>
              <w:rPr>
                <w:sz w:val="20"/>
                <w:szCs w:val="20"/>
              </w:rPr>
            </w:pPr>
            <w:r>
              <w:rPr>
                <w:rFonts w:hint="eastAsia"/>
                <w:sz w:val="20"/>
                <w:szCs w:val="20"/>
              </w:rPr>
              <w:drawing>
                <wp:anchor distT="0" distB="0" distL="114300" distR="114300" simplePos="0" relativeHeight="251667456" behindDoc="0" locked="0" layoutInCell="1" allowOverlap="1">
                  <wp:simplePos x="0" y="0"/>
                  <wp:positionH relativeFrom="column">
                    <wp:posOffset>-635</wp:posOffset>
                  </wp:positionH>
                  <wp:positionV relativeFrom="paragraph">
                    <wp:posOffset>52070</wp:posOffset>
                  </wp:positionV>
                  <wp:extent cx="8743950" cy="4845050"/>
                  <wp:effectExtent l="0" t="0" r="0" b="0"/>
                  <wp:wrapNone/>
                  <wp:docPr id="971877241"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1877241" name="图片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743950" cy="4845050"/>
                          </a:xfrm>
                          <a:prstGeom prst="rect">
                            <a:avLst/>
                          </a:prstGeom>
                          <a:noFill/>
                          <a:ln>
                            <a:noFill/>
                          </a:ln>
                        </pic:spPr>
                      </pic:pic>
                    </a:graphicData>
                  </a:graphic>
                </wp:anchor>
              </w:drawing>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8392" w:hRule="atLeast"/>
        </w:trPr>
        <w:tc>
          <w:tcPr>
            <w:tcW w:w="13992" w:type="dxa"/>
            <w:tcBorders>
              <w:top w:val="nil"/>
              <w:left w:val="nil"/>
              <w:bottom w:val="nil"/>
              <w:right w:val="nil"/>
            </w:tcBorders>
          </w:tcPr>
          <w:p>
            <w:pPr>
              <w:jc w:val="center"/>
              <w:rPr>
                <w:sz w:val="20"/>
                <w:szCs w:val="20"/>
              </w:rPr>
            </w:pPr>
            <w:r>
              <w:rPr>
                <w:rFonts w:hint="eastAsia"/>
                <w:sz w:val="20"/>
                <w:szCs w:val="20"/>
              </w:rPr>
              <w:drawing>
                <wp:anchor distT="0" distB="0" distL="114300" distR="114300" simplePos="0" relativeHeight="251668480" behindDoc="0" locked="0" layoutInCell="1" allowOverlap="1">
                  <wp:simplePos x="0" y="0"/>
                  <wp:positionH relativeFrom="column">
                    <wp:posOffset>348615</wp:posOffset>
                  </wp:positionH>
                  <wp:positionV relativeFrom="paragraph">
                    <wp:posOffset>90170</wp:posOffset>
                  </wp:positionV>
                  <wp:extent cx="8045450" cy="4965700"/>
                  <wp:effectExtent l="0" t="0" r="0" b="6350"/>
                  <wp:wrapNone/>
                  <wp:docPr id="985445738"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5445738" name="图片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8045450" cy="4965700"/>
                          </a:xfrm>
                          <a:prstGeom prst="rect">
                            <a:avLst/>
                          </a:prstGeom>
                          <a:noFill/>
                          <a:ln>
                            <a:noFill/>
                          </a:ln>
                        </pic:spPr>
                      </pic:pic>
                    </a:graphicData>
                  </a:graphic>
                </wp:anchor>
              </w:drawing>
            </w:r>
          </w:p>
          <w:p>
            <w:pPr>
              <w:widowControl/>
              <w:tabs>
                <w:tab w:val="left" w:pos="5484"/>
              </w:tabs>
              <w:jc w:val="left"/>
              <w:rPr>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37" w:hRule="atLeast"/>
        </w:trPr>
        <w:tc>
          <w:tcPr>
            <w:tcW w:w="13992" w:type="dxa"/>
            <w:tcBorders>
              <w:top w:val="nil"/>
              <w:left w:val="nil"/>
              <w:bottom w:val="nil"/>
              <w:right w:val="nil"/>
            </w:tcBorders>
          </w:tcPr>
          <w:tbl>
            <w:tblPr>
              <w:tblStyle w:val="12"/>
              <w:tblpPr w:leftFromText="180" w:rightFromText="180" w:vertAnchor="text" w:horzAnchor="margin" w:tblpY="21"/>
              <w:tblOverlap w:val="never"/>
              <w:tblW w:w="1376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7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8634" w:hRule="atLeast"/>
              </w:trPr>
              <w:tc>
                <w:tcPr>
                  <w:tcW w:w="13766" w:type="dxa"/>
                  <w:tcBorders>
                    <w:top w:val="nil"/>
                    <w:left w:val="nil"/>
                    <w:bottom w:val="nil"/>
                    <w:right w:val="nil"/>
                  </w:tcBorders>
                </w:tcPr>
                <w:p>
                  <w:pPr>
                    <w:widowControl/>
                    <w:jc w:val="center"/>
                    <w:rPr>
                      <w:sz w:val="20"/>
                      <w:szCs w:val="20"/>
                    </w:rPr>
                  </w:pPr>
                  <w:r>
                    <w:rPr>
                      <w:rFonts w:hint="eastAsia"/>
                      <w:sz w:val="20"/>
                      <w:szCs w:val="20"/>
                    </w:rPr>
                    <w:drawing>
                      <wp:anchor distT="0" distB="0" distL="114300" distR="114300" simplePos="0" relativeHeight="251669504" behindDoc="0" locked="0" layoutInCell="1" allowOverlap="1">
                        <wp:simplePos x="0" y="0"/>
                        <wp:positionH relativeFrom="column">
                          <wp:posOffset>95885</wp:posOffset>
                        </wp:positionH>
                        <wp:positionV relativeFrom="paragraph">
                          <wp:posOffset>13970</wp:posOffset>
                        </wp:positionV>
                        <wp:extent cx="8399780" cy="5917565"/>
                        <wp:effectExtent l="0" t="0" r="1270" b="6985"/>
                        <wp:wrapNone/>
                        <wp:docPr id="611617196"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617196" name="图片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8399780" cy="5917565"/>
                                </a:xfrm>
                                <a:prstGeom prst="rect">
                                  <a:avLst/>
                                </a:prstGeom>
                                <a:noFill/>
                                <a:ln>
                                  <a:noFill/>
                                </a:ln>
                              </pic:spPr>
                            </pic:pic>
                          </a:graphicData>
                        </a:graphic>
                      </wp:anchor>
                    </w:drawing>
                  </w:r>
                </w:p>
              </w:tc>
            </w:tr>
          </w:tbl>
          <w:p>
            <w:pPr>
              <w:widowControl/>
              <w:jc w:val="center"/>
              <w:rPr>
                <w:sz w:val="20"/>
                <w:szCs w:val="20"/>
              </w:rPr>
            </w:pPr>
            <w:r>
              <w:rPr>
                <w:sz w:val="20"/>
                <w:szCs w:val="20"/>
              </w:rPr>
              <w:drawing>
                <wp:anchor distT="0" distB="0" distL="114300" distR="114300" simplePos="0" relativeHeight="251670528" behindDoc="0" locked="0" layoutInCell="1" allowOverlap="1">
                  <wp:simplePos x="0" y="0"/>
                  <wp:positionH relativeFrom="column">
                    <wp:posOffset>1294765</wp:posOffset>
                  </wp:positionH>
                  <wp:positionV relativeFrom="paragraph">
                    <wp:posOffset>182245</wp:posOffset>
                  </wp:positionV>
                  <wp:extent cx="6570980" cy="4968240"/>
                  <wp:effectExtent l="0" t="0" r="1270" b="3810"/>
                  <wp:wrapNone/>
                  <wp:docPr id="878328077"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8328077" name="图片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6570980" cy="4968240"/>
                          </a:xfrm>
                          <a:prstGeom prst="rect">
                            <a:avLst/>
                          </a:prstGeom>
                          <a:noFill/>
                          <a:ln>
                            <a:noFill/>
                          </a:ln>
                        </pic:spPr>
                      </pic:pic>
                    </a:graphicData>
                  </a:graphic>
                </wp:anchor>
              </w:drawing>
            </w:r>
          </w:p>
        </w:tc>
      </w:tr>
    </w:tbl>
    <w:p>
      <w:pPr>
        <w:widowControl/>
        <w:jc w:val="center"/>
        <w:rPr>
          <w:sz w:val="20"/>
          <w:szCs w:val="20"/>
        </w:rPr>
        <w:sectPr>
          <w:pgSz w:w="16838" w:h="11906" w:orient="landscape"/>
          <w:pgMar w:top="2098" w:right="1531" w:bottom="1984" w:left="1531" w:header="851" w:footer="992" w:gutter="0"/>
          <w:cols w:space="720" w:num="1"/>
          <w:docGrid w:type="lines" w:linePitch="326" w:charSpace="0"/>
        </w:sectPr>
      </w:pPr>
    </w:p>
    <w:p>
      <w:pPr>
        <w:widowControl/>
        <w:jc w:val="center"/>
        <w:rPr>
          <w:sz w:val="20"/>
          <w:szCs w:val="20"/>
        </w:rPr>
        <w:sectPr>
          <w:pgSz w:w="16838" w:h="11906" w:orient="landscape"/>
          <w:pgMar w:top="2098" w:right="1531" w:bottom="1984" w:left="1531" w:header="851" w:footer="992" w:gutter="0"/>
          <w:cols w:space="720" w:num="1"/>
          <w:docGrid w:type="lines" w:linePitch="326" w:charSpace="0"/>
        </w:sectPr>
      </w:pPr>
      <w:r>
        <w:rPr>
          <w:rFonts w:hint="eastAsia"/>
          <w:sz w:val="20"/>
          <w:szCs w:val="20"/>
        </w:rPr>
        <w:drawing>
          <wp:anchor distT="0" distB="0" distL="114300" distR="114300" simplePos="0" relativeHeight="251671552" behindDoc="0" locked="0" layoutInCell="1" allowOverlap="1">
            <wp:simplePos x="0" y="0"/>
            <wp:positionH relativeFrom="column">
              <wp:posOffset>-203835</wp:posOffset>
            </wp:positionH>
            <wp:positionV relativeFrom="paragraph">
              <wp:posOffset>-36195</wp:posOffset>
            </wp:positionV>
            <wp:extent cx="9242425" cy="5735955"/>
            <wp:effectExtent l="0" t="0" r="15875" b="17145"/>
            <wp:wrapNone/>
            <wp:docPr id="2021663115"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1663115" name="图片 1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9242425" cy="5735955"/>
                    </a:xfrm>
                    <a:prstGeom prst="rect">
                      <a:avLst/>
                    </a:prstGeom>
                    <a:noFill/>
                    <a:ln>
                      <a:noFill/>
                    </a:ln>
                  </pic:spPr>
                </pic:pic>
              </a:graphicData>
            </a:graphic>
          </wp:anchor>
        </w:drawing>
      </w:r>
      <w:r>
        <w:rPr>
          <w:sz w:val="20"/>
          <w:szCs w:val="20"/>
        </w:rPr>
        <w:t xml:space="preserve"> </w:t>
      </w:r>
      <w:r>
        <w:rPr>
          <w:sz w:val="20"/>
          <w:szCs w:val="20"/>
        </w:rPr>
        <w:br w:type="page"/>
      </w:r>
    </w:p>
    <w:p>
      <w:pPr>
        <w:widowControl/>
        <w:jc w:val="center"/>
        <w:rPr>
          <w:sz w:val="20"/>
          <w:szCs w:val="20"/>
        </w:rPr>
      </w:pPr>
    </w:p>
    <w:p>
      <w:pPr>
        <w:widowControl/>
        <w:jc w:val="center"/>
        <w:rPr>
          <w:sz w:val="20"/>
          <w:szCs w:val="20"/>
        </w:rPr>
      </w:pPr>
      <w:r>
        <w:rPr>
          <w:rFonts w:hint="eastAsia"/>
          <w:sz w:val="20"/>
          <w:szCs w:val="20"/>
        </w:rPr>
        <w:drawing>
          <wp:anchor distT="0" distB="0" distL="114300" distR="114300" simplePos="0" relativeHeight="251672576" behindDoc="0" locked="0" layoutInCell="1" allowOverlap="1">
            <wp:simplePos x="0" y="0"/>
            <wp:positionH relativeFrom="column">
              <wp:posOffset>-635</wp:posOffset>
            </wp:positionH>
            <wp:positionV relativeFrom="paragraph">
              <wp:posOffset>70485</wp:posOffset>
            </wp:positionV>
            <wp:extent cx="8747760" cy="3023235"/>
            <wp:effectExtent l="0" t="0" r="0" b="5715"/>
            <wp:wrapNone/>
            <wp:docPr id="2144331063"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331063" name="图片 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8747760" cy="3023235"/>
                    </a:xfrm>
                    <a:prstGeom prst="rect">
                      <a:avLst/>
                    </a:prstGeom>
                    <a:noFill/>
                    <a:ln>
                      <a:noFill/>
                    </a:ln>
                  </pic:spPr>
                </pic:pic>
              </a:graphicData>
            </a:graphic>
          </wp:anchor>
        </w:drawing>
      </w:r>
      <w:r>
        <w:rPr>
          <w:sz w:val="20"/>
          <w:szCs w:val="20"/>
        </w:rPr>
        <w:br w:type="page"/>
      </w:r>
    </w:p>
    <w:p>
      <w:pPr>
        <w:widowControl/>
        <w:jc w:val="center"/>
        <w:rPr>
          <w:sz w:val="20"/>
          <w:szCs w:val="20"/>
        </w:rPr>
      </w:pPr>
      <w:r>
        <w:rPr>
          <w:rFonts w:hint="eastAsia"/>
          <w:sz w:val="20"/>
          <w:szCs w:val="20"/>
        </w:rPr>
        <w:drawing>
          <wp:anchor distT="0" distB="0" distL="114300" distR="114300" simplePos="0" relativeHeight="251673600" behindDoc="0" locked="0" layoutInCell="1" allowOverlap="1">
            <wp:simplePos x="0" y="0"/>
            <wp:positionH relativeFrom="column">
              <wp:posOffset>1047115</wp:posOffset>
            </wp:positionH>
            <wp:positionV relativeFrom="paragraph">
              <wp:posOffset>1270</wp:posOffset>
            </wp:positionV>
            <wp:extent cx="6642100" cy="3162300"/>
            <wp:effectExtent l="0" t="0" r="6350" b="0"/>
            <wp:wrapNone/>
            <wp:docPr id="1449522122"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522122" name="图片 1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6642100" cy="3162300"/>
                    </a:xfrm>
                    <a:prstGeom prst="rect">
                      <a:avLst/>
                    </a:prstGeom>
                    <a:noFill/>
                    <a:ln>
                      <a:noFill/>
                    </a:ln>
                  </pic:spPr>
                </pic:pic>
              </a:graphicData>
            </a:graphic>
          </wp:anchor>
        </w:drawing>
      </w:r>
      <w:r>
        <w:rPr>
          <w:sz w:val="20"/>
          <w:szCs w:val="20"/>
        </w:rPr>
        <w:br w:type="page"/>
      </w:r>
    </w:p>
    <w:p>
      <w:pPr>
        <w:widowControl/>
        <w:jc w:val="center"/>
        <w:rPr>
          <w:sz w:val="20"/>
          <w:szCs w:val="20"/>
        </w:rPr>
        <w:sectPr>
          <w:pgSz w:w="16838" w:h="11906" w:orient="landscape"/>
          <w:pgMar w:top="2098" w:right="1531" w:bottom="1984" w:left="1531" w:header="851" w:footer="992" w:gutter="0"/>
          <w:cols w:space="720" w:num="1"/>
          <w:docGrid w:type="lines" w:linePitch="312" w:charSpace="0"/>
        </w:sectPr>
      </w:pPr>
      <w:r>
        <w:rPr>
          <w:rFonts w:hint="eastAsia"/>
          <w:sz w:val="20"/>
          <w:szCs w:val="20"/>
        </w:rPr>
        <w:drawing>
          <wp:anchor distT="0" distB="0" distL="114300" distR="114300" simplePos="0" relativeHeight="251674624" behindDoc="0" locked="0" layoutInCell="1" allowOverlap="1">
            <wp:simplePos x="0" y="0"/>
            <wp:positionH relativeFrom="column">
              <wp:posOffset>-635</wp:posOffset>
            </wp:positionH>
            <wp:positionV relativeFrom="paragraph">
              <wp:posOffset>13970</wp:posOffset>
            </wp:positionV>
            <wp:extent cx="8747760" cy="1747520"/>
            <wp:effectExtent l="0" t="0" r="0" b="5080"/>
            <wp:wrapNone/>
            <wp:docPr id="1246839732"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6839732" name="图片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8747760" cy="1747520"/>
                    </a:xfrm>
                    <a:prstGeom prst="rect">
                      <a:avLst/>
                    </a:prstGeom>
                    <a:noFill/>
                    <a:ln>
                      <a:noFill/>
                    </a:ln>
                  </pic:spPr>
                </pic:pic>
              </a:graphicData>
            </a:graphic>
          </wp:anchor>
        </w:drawing>
      </w:r>
    </w:p>
    <w:p>
      <w:pPr>
        <w:pStyle w:val="10"/>
        <w:widowControl/>
        <w:spacing w:beforeAutospacing="0" w:afterAutospacing="0"/>
        <w:jc w:val="both"/>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color w:val="000000"/>
          <w:sz w:val="18"/>
          <w:szCs w:val="18"/>
          <w:shd w:val="clear" w:color="auto" w:fill="FFFFFF"/>
        </w:rPr>
      </w:pPr>
    </w:p>
    <w:p>
      <w:pPr>
        <w:pStyle w:val="10"/>
        <w:widowControl/>
        <w:spacing w:beforeAutospacing="0" w:afterAutospacing="0"/>
        <w:jc w:val="center"/>
        <w:rPr>
          <w:rFonts w:ascii="Arial" w:hAnsi="Arial" w:eastAsia="Arial" w:cs="Arial"/>
          <w:color w:val="000000"/>
          <w:sz w:val="18"/>
          <w:szCs w:val="18"/>
          <w:shd w:val="clear" w:color="auto" w:fill="FFFFFF"/>
        </w:rPr>
      </w:pPr>
    </w:p>
    <w:p>
      <w:pPr>
        <w:pStyle w:val="10"/>
        <w:widowControl/>
        <w:spacing w:beforeAutospacing="0" w:afterAutospacing="0"/>
        <w:jc w:val="center"/>
        <w:rPr>
          <w:rFonts w:ascii="Arial" w:hAnsi="Arial" w:eastAsia="Arial" w:cs="Arial"/>
          <w:color w:val="000000"/>
          <w:sz w:val="18"/>
          <w:szCs w:val="18"/>
          <w:shd w:val="clear" w:color="auto" w:fill="FFFFFF"/>
        </w:rPr>
      </w:pPr>
    </w:p>
    <w:p>
      <w:pPr>
        <w:pStyle w:val="10"/>
        <w:widowControl/>
        <w:spacing w:beforeAutospacing="0" w:afterAutospacing="0"/>
        <w:jc w:val="center"/>
        <w:rPr>
          <w:rFonts w:ascii="Arial" w:hAnsi="Arial" w:eastAsia="Arial" w:cs="Arial"/>
          <w:color w:val="000000"/>
          <w:sz w:val="18"/>
          <w:szCs w:val="18"/>
          <w:shd w:val="clear" w:color="auto" w:fill="FFFFFF"/>
        </w:rPr>
      </w:pPr>
    </w:p>
    <w:p>
      <w:pPr>
        <w:pStyle w:val="10"/>
        <w:widowControl/>
        <w:spacing w:beforeAutospacing="0" w:afterAutospacing="0"/>
        <w:jc w:val="center"/>
        <w:rPr>
          <w:rFonts w:ascii="Arial" w:hAnsi="Arial" w:eastAsia="Arial" w:cs="Arial"/>
          <w:color w:val="000000"/>
          <w:sz w:val="18"/>
          <w:szCs w:val="18"/>
          <w:shd w:val="clear" w:color="auto" w:fill="FFFFFF"/>
        </w:rPr>
      </w:pP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spacing w:after="0" w:line="360" w:lineRule="auto"/>
        <w:jc w:val="center"/>
        <w:rPr>
          <w:rFonts w:hint="eastAsia" w:ascii="黑体" w:hAnsi="黑体" w:eastAsia="黑体"/>
          <w:sz w:val="72"/>
          <w:szCs w:val="72"/>
          <w:shd w:val="clear" w:color="auto" w:fill="FFFFFF"/>
        </w:rPr>
      </w:pPr>
      <w:r>
        <w:rPr>
          <w:rFonts w:hint="eastAsia" w:ascii="黑体" w:hAnsi="黑体" w:eastAsia="黑体"/>
          <w:sz w:val="72"/>
          <w:szCs w:val="72"/>
          <w:shd w:val="clear" w:color="auto" w:fill="FFFFFF"/>
        </w:rPr>
        <w:t>第三部分</w:t>
      </w:r>
    </w:p>
    <w:p>
      <w:pPr>
        <w:spacing w:after="0" w:line="360" w:lineRule="auto"/>
        <w:jc w:val="center"/>
        <w:rPr>
          <w:rFonts w:hint="eastAsia" w:ascii="黑体" w:hAnsi="黑体" w:eastAsia="黑体"/>
          <w:sz w:val="72"/>
          <w:szCs w:val="72"/>
          <w:shd w:val="clear" w:color="auto" w:fill="FFFFFF"/>
        </w:rPr>
      </w:pPr>
      <w:r>
        <w:rPr>
          <w:rFonts w:hint="eastAsia" w:ascii="黑体" w:hAnsi="黑体" w:eastAsia="黑体"/>
          <w:sz w:val="72"/>
          <w:szCs w:val="72"/>
          <w:shd w:val="clear" w:color="auto" w:fill="FFFFFF"/>
        </w:rPr>
        <w:t>2023年度部门决算情况</w:t>
      </w:r>
    </w:p>
    <w:p>
      <w:pPr>
        <w:spacing w:after="0" w:line="360" w:lineRule="auto"/>
        <w:jc w:val="center"/>
        <w:rPr>
          <w:rFonts w:hint="eastAsia" w:ascii="黑体" w:hAnsi="黑体" w:eastAsia="黑体"/>
          <w:sz w:val="72"/>
          <w:szCs w:val="72"/>
          <w:shd w:val="clear" w:color="auto" w:fill="FFFFFF"/>
        </w:rPr>
      </w:pPr>
      <w:r>
        <w:rPr>
          <w:rFonts w:hint="eastAsia" w:ascii="黑体" w:hAnsi="黑体" w:eastAsia="黑体"/>
          <w:sz w:val="72"/>
          <w:szCs w:val="72"/>
          <w:shd w:val="clear" w:color="auto" w:fill="FFFFFF"/>
        </w:rPr>
        <w:t>说明</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pPr>
        <w:rPr>
          <w:rFonts w:ascii="Arial" w:hAnsi="Arial" w:eastAsia="Arial" w:cs="Arial"/>
        </w:rPr>
      </w:pPr>
      <w:r>
        <w:rPr>
          <w:rFonts w:ascii="Arial" w:hAnsi="Arial" w:eastAsia="Arial" w:cs="Arial"/>
          <w:color w:val="000000"/>
          <w:sz w:val="18"/>
          <w:szCs w:val="18"/>
          <w:shd w:val="clear" w:color="auto" w:fill="FFFFFF"/>
        </w:rPr>
        <w:br w:type="page"/>
      </w:r>
    </w:p>
    <w:p>
      <w:pPr>
        <w:snapToGrid w:val="0"/>
        <w:spacing w:after="0" w:line="360" w:lineRule="auto"/>
        <w:ind w:firstLine="640" w:firstLineChars="200"/>
        <w:rPr>
          <w:rFonts w:hint="eastAsia" w:ascii="黑体" w:hAnsi="黑体" w:eastAsia="黑体"/>
          <w:sz w:val="32"/>
          <w:szCs w:val="32"/>
          <w:shd w:val="clear" w:color="auto" w:fill="FFFFFF"/>
        </w:rPr>
      </w:pPr>
      <w:r>
        <w:rPr>
          <w:rFonts w:hint="eastAsia" w:ascii="黑体" w:hAnsi="黑体" w:eastAsia="黑体"/>
          <w:sz w:val="32"/>
          <w:szCs w:val="32"/>
          <w:shd w:val="clear" w:color="auto" w:fill="FFFFFF"/>
        </w:rPr>
        <w:t>一、收入支出决算总体情况说明</w:t>
      </w:r>
    </w:p>
    <w:p>
      <w:pPr>
        <w:autoSpaceDE w:val="0"/>
        <w:autoSpaceDN w:val="0"/>
        <w:adjustRightInd w:val="0"/>
        <w:snapToGrid w:val="0"/>
        <w:spacing w:after="0" w:line="360" w:lineRule="auto"/>
        <w:ind w:firstLine="640" w:firstLineChars="200"/>
        <w:jc w:val="left"/>
        <w:rPr>
          <w:rFonts w:hint="eastAsia" w:ascii="仿宋" w:hAnsi="仿宋" w:eastAsia="仿宋" w:cs="Times New Roman"/>
          <w:kern w:val="2"/>
          <w:sz w:val="32"/>
          <w:szCs w:val="32"/>
        </w:rPr>
      </w:pPr>
      <w:r>
        <w:rPr>
          <w:rFonts w:ascii="仿宋" w:hAnsi="仿宋" w:eastAsia="仿宋" w:cs="Times New Roman"/>
          <w:kern w:val="2"/>
          <w:sz w:val="32"/>
          <w:szCs w:val="32"/>
        </w:rPr>
        <w:t>本部门2023年度收、支总计（含结转和结余）14059.69万元。与2022年度决算相比，收支各增加13155.02万元，增长1454.1%，</w:t>
      </w:r>
      <w:r>
        <w:rPr>
          <w:rFonts w:ascii="仿宋" w:hAnsi="仿宋" w:eastAsia="仿宋" w:cs="Times New Roman"/>
          <w:kern w:val="2"/>
          <w:sz w:val="32"/>
          <w:szCs w:val="32"/>
          <w:highlight w:val="none"/>
        </w:rPr>
        <w:t>主要原因是</w:t>
      </w:r>
      <w:r>
        <w:rPr>
          <w:rFonts w:hint="eastAsia" w:ascii="仿宋" w:hAnsi="仿宋" w:eastAsia="仿宋" w:cs="Times New Roman"/>
          <w:kern w:val="2"/>
          <w:sz w:val="32"/>
          <w:szCs w:val="32"/>
          <w:highlight w:val="none"/>
          <w:lang w:val="en-US" w:eastAsia="zh-CN"/>
        </w:rPr>
        <w:t>政府性基金预算财政拨款收入增加</w:t>
      </w:r>
      <w:r>
        <w:rPr>
          <w:rFonts w:ascii="仿宋" w:hAnsi="仿宋" w:eastAsia="仿宋" w:cs="Times New Roman"/>
          <w:kern w:val="2"/>
          <w:sz w:val="32"/>
          <w:szCs w:val="32"/>
        </w:rPr>
        <w:t>。</w:t>
      </w:r>
    </w:p>
    <w:tbl>
      <w:tblPr>
        <w:tblStyle w:val="12"/>
        <w:tblW w:w="7825" w:type="dxa"/>
        <w:tblInd w:w="79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113" w:type="dxa"/>
          <w:right w:w="108" w:type="dxa"/>
        </w:tblCellMar>
      </w:tblPr>
      <w:tblGrid>
        <w:gridCol w:w="78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113" w:type="dxa"/>
            <w:right w:w="108" w:type="dxa"/>
          </w:tblCellMar>
        </w:tblPrEx>
        <w:trPr>
          <w:trHeight w:val="4887" w:hRule="atLeast"/>
        </w:trPr>
        <w:tc>
          <w:tcPr>
            <w:tcW w:w="7825" w:type="dxa"/>
            <w:vAlign w:val="bottom"/>
          </w:tcPr>
          <w:p>
            <w:pPr>
              <w:adjustRightInd w:val="0"/>
              <w:snapToGrid w:val="0"/>
              <w:spacing w:line="580" w:lineRule="exact"/>
              <w:jc w:val="center"/>
              <w:rPr>
                <w:rFonts w:ascii="仿宋_GB2312" w:hAnsi="Times New Roman" w:eastAsia="仿宋" w:cs="DengXian-Regular"/>
                <w:sz w:val="32"/>
                <w:szCs w:val="32"/>
                <w:highlight w:val="yellow"/>
              </w:rPr>
            </w:pPr>
            <w:r>
              <w:rPr>
                <w:rFonts w:hint="eastAsia" w:ascii="仿宋_GB2312" w:hAnsi="Times New Roman" w:eastAsia="仿宋" w:cs="DengXian-Regular"/>
                <w:sz w:val="32"/>
                <w:szCs w:val="32"/>
              </w:rPr>
              <w:drawing>
                <wp:anchor distT="0" distB="0" distL="114300" distR="114300" simplePos="0" relativeHeight="251675648" behindDoc="0" locked="0" layoutInCell="1" allowOverlap="1">
                  <wp:simplePos x="0" y="0"/>
                  <wp:positionH relativeFrom="column">
                    <wp:posOffset>302260</wp:posOffset>
                  </wp:positionH>
                  <wp:positionV relativeFrom="paragraph">
                    <wp:posOffset>69850</wp:posOffset>
                  </wp:positionV>
                  <wp:extent cx="4229100" cy="2851150"/>
                  <wp:effectExtent l="0" t="0" r="0" b="6350"/>
                  <wp:wrapNone/>
                  <wp:docPr id="77209795"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209795" name="图片 1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4229100" cy="2851150"/>
                          </a:xfrm>
                          <a:prstGeom prst="rect">
                            <a:avLst/>
                          </a:prstGeom>
                          <a:noFill/>
                          <a:ln>
                            <a:noFill/>
                          </a:ln>
                        </pic:spPr>
                      </pic:pic>
                    </a:graphicData>
                  </a:graphic>
                </wp:anchor>
              </w:drawing>
            </w:r>
          </w:p>
        </w:tc>
      </w:tr>
    </w:tbl>
    <w:p>
      <w:pPr>
        <w:snapToGrid w:val="0"/>
        <w:spacing w:after="0" w:line="360" w:lineRule="auto"/>
        <w:ind w:firstLine="640" w:firstLineChars="200"/>
        <w:rPr>
          <w:rFonts w:hint="eastAsia" w:ascii="黑体" w:hAnsi="黑体" w:eastAsia="黑体"/>
          <w:sz w:val="32"/>
          <w:szCs w:val="32"/>
          <w:shd w:val="clear" w:color="auto" w:fill="FFFFFF"/>
        </w:rPr>
      </w:pPr>
      <w:r>
        <w:rPr>
          <w:rFonts w:ascii="黑体" w:hAnsi="黑体" w:eastAsia="黑体"/>
          <w:sz w:val="32"/>
          <w:szCs w:val="32"/>
          <w:shd w:val="clear" w:color="auto" w:fill="FFFFFF"/>
        </w:rPr>
        <w:t>二、收入决算情况说明</w:t>
      </w:r>
    </w:p>
    <w:p>
      <w:pPr>
        <w:autoSpaceDE w:val="0"/>
        <w:autoSpaceDN w:val="0"/>
        <w:adjustRightInd w:val="0"/>
        <w:snapToGrid w:val="0"/>
        <w:spacing w:after="0" w:line="360" w:lineRule="auto"/>
        <w:ind w:firstLine="640" w:firstLineChars="200"/>
        <w:jc w:val="left"/>
        <w:rPr>
          <w:rFonts w:hint="eastAsia" w:ascii="仿宋" w:hAnsi="仿宋" w:eastAsia="仿宋" w:cs="Times New Roman"/>
          <w:kern w:val="2"/>
          <w:sz w:val="32"/>
          <w:szCs w:val="32"/>
          <w:lang w:val="zh-CN"/>
        </w:rPr>
      </w:pPr>
      <w:r>
        <w:rPr>
          <w:rFonts w:ascii="仿宋" w:hAnsi="仿宋" w:eastAsia="仿宋" w:cs="Times New Roman"/>
          <w:kern w:val="2"/>
          <w:sz w:val="32"/>
          <w:szCs w:val="32"/>
          <w:lang w:val="zh-CN"/>
        </w:rPr>
        <w:t>本部门2023年度本年收入合计14059.69万元，其中：财政拨款收入14059.69万元，占100.0%；上级补助收入0</w:t>
      </w:r>
      <w:r>
        <w:rPr>
          <w:rFonts w:hint="eastAsia" w:ascii="仿宋" w:hAnsi="仿宋" w:eastAsia="仿宋" w:cs="Times New Roman"/>
          <w:kern w:val="2"/>
          <w:sz w:val="32"/>
          <w:szCs w:val="32"/>
          <w:lang w:val="zh-CN"/>
        </w:rPr>
        <w:t>.00</w:t>
      </w:r>
      <w:r>
        <w:rPr>
          <w:rFonts w:ascii="仿宋" w:hAnsi="仿宋" w:eastAsia="仿宋" w:cs="Times New Roman"/>
          <w:kern w:val="2"/>
          <w:sz w:val="32"/>
          <w:szCs w:val="32"/>
          <w:lang w:val="zh-CN"/>
        </w:rPr>
        <w:t>万元，占</w:t>
      </w:r>
      <w:r>
        <w:rPr>
          <w:rFonts w:hint="eastAsia" w:ascii="仿宋" w:hAnsi="仿宋" w:eastAsia="仿宋" w:cs="Times New Roman"/>
          <w:kern w:val="2"/>
          <w:sz w:val="32"/>
          <w:szCs w:val="32"/>
        </w:rPr>
        <w:t>0.0</w:t>
      </w:r>
      <w:r>
        <w:rPr>
          <w:rFonts w:ascii="仿宋" w:hAnsi="仿宋" w:eastAsia="仿宋" w:cs="Times New Roman"/>
          <w:kern w:val="2"/>
          <w:sz w:val="32"/>
          <w:szCs w:val="32"/>
          <w:lang w:val="zh-CN"/>
        </w:rPr>
        <w:t>%；事业收入0.00万元，占0.0%；经营收入0.00万元，占0.0%；附属单位上缴收入0</w:t>
      </w:r>
      <w:r>
        <w:rPr>
          <w:rFonts w:hint="eastAsia" w:ascii="仿宋" w:hAnsi="仿宋" w:eastAsia="仿宋" w:cs="Times New Roman"/>
          <w:kern w:val="2"/>
          <w:sz w:val="32"/>
          <w:szCs w:val="32"/>
          <w:lang w:val="zh-CN"/>
        </w:rPr>
        <w:t>.00</w:t>
      </w:r>
      <w:r>
        <w:rPr>
          <w:rFonts w:ascii="仿宋" w:hAnsi="仿宋" w:eastAsia="仿宋" w:cs="Times New Roman"/>
          <w:kern w:val="2"/>
          <w:sz w:val="32"/>
          <w:szCs w:val="32"/>
          <w:lang w:val="zh-CN"/>
        </w:rPr>
        <w:t>万元</w:t>
      </w:r>
      <w:r>
        <w:rPr>
          <w:rFonts w:hint="eastAsia" w:ascii="仿宋" w:hAnsi="仿宋" w:eastAsia="仿宋" w:cs="Times New Roman"/>
          <w:kern w:val="2"/>
          <w:sz w:val="32"/>
          <w:szCs w:val="32"/>
          <w:lang w:val="zh-CN"/>
        </w:rPr>
        <w:t>，占0.0%</w:t>
      </w:r>
      <w:r>
        <w:rPr>
          <w:rFonts w:ascii="仿宋" w:hAnsi="仿宋" w:eastAsia="仿宋" w:cs="Times New Roman"/>
          <w:kern w:val="2"/>
          <w:sz w:val="32"/>
          <w:szCs w:val="32"/>
          <w:lang w:val="zh-CN"/>
        </w:rPr>
        <w:t>；其他收入</w:t>
      </w:r>
      <w:r>
        <w:rPr>
          <w:rFonts w:hint="eastAsia" w:ascii="仿宋" w:hAnsi="仿宋" w:eastAsia="仿宋" w:cs="Times New Roman"/>
          <w:kern w:val="2"/>
          <w:sz w:val="32"/>
          <w:szCs w:val="32"/>
          <w:lang w:val="zh-CN"/>
        </w:rPr>
        <w:t>0.00</w:t>
      </w:r>
      <w:r>
        <w:rPr>
          <w:rFonts w:ascii="仿宋" w:hAnsi="仿宋" w:eastAsia="仿宋" w:cs="Times New Roman"/>
          <w:kern w:val="2"/>
          <w:sz w:val="32"/>
          <w:szCs w:val="32"/>
          <w:lang w:val="zh-CN"/>
        </w:rPr>
        <w:t>万元，占0.0%</w:t>
      </w:r>
      <w:r>
        <w:rPr>
          <w:rFonts w:hint="eastAsia" w:ascii="仿宋" w:hAnsi="仿宋" w:eastAsia="仿宋" w:cs="Times New Roman"/>
          <w:kern w:val="2"/>
          <w:sz w:val="32"/>
          <w:szCs w:val="32"/>
          <w:lang w:val="zh-CN"/>
        </w:rPr>
        <w:t>。</w:t>
      </w:r>
    </w:p>
    <w:tbl>
      <w:tblPr>
        <w:tblStyle w:val="12"/>
        <w:tblW w:w="7825" w:type="dxa"/>
        <w:tblInd w:w="79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113" w:type="dxa"/>
          <w:right w:w="108" w:type="dxa"/>
        </w:tblCellMar>
      </w:tblPr>
      <w:tblGrid>
        <w:gridCol w:w="78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887" w:hRule="atLeast"/>
        </w:trPr>
        <w:tc>
          <w:tcPr>
            <w:tcW w:w="7825" w:type="dxa"/>
            <w:vAlign w:val="bottom"/>
          </w:tcPr>
          <w:p>
            <w:pPr>
              <w:adjustRightInd w:val="0"/>
              <w:snapToGrid w:val="0"/>
              <w:spacing w:line="580" w:lineRule="exact"/>
              <w:jc w:val="center"/>
              <w:rPr>
                <w:rFonts w:ascii="仿宋_GB2312" w:hAnsi="Times New Roman" w:eastAsia="仿宋" w:cs="DengXian-Regular"/>
                <w:sz w:val="32"/>
                <w:szCs w:val="32"/>
                <w:highlight w:val="yellow"/>
              </w:rPr>
            </w:pPr>
            <w:r>
              <w:rPr>
                <w:rFonts w:hint="eastAsia" w:ascii="仿宋_GB2312" w:hAnsi="Times New Roman" w:eastAsia="仿宋" w:cs="DengXian-Regular"/>
                <w:sz w:val="32"/>
                <w:szCs w:val="32"/>
              </w:rPr>
              <w:drawing>
                <wp:anchor distT="0" distB="0" distL="114300" distR="114300" simplePos="0" relativeHeight="251676672" behindDoc="0" locked="0" layoutInCell="1" allowOverlap="1">
                  <wp:simplePos x="0" y="0"/>
                  <wp:positionH relativeFrom="column">
                    <wp:posOffset>276860</wp:posOffset>
                  </wp:positionH>
                  <wp:positionV relativeFrom="paragraph">
                    <wp:posOffset>-292100</wp:posOffset>
                  </wp:positionV>
                  <wp:extent cx="4273550" cy="3213100"/>
                  <wp:effectExtent l="0" t="0" r="0" b="6350"/>
                  <wp:wrapNone/>
                  <wp:docPr id="919708055"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708055" name="图片 1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4273550" cy="3213100"/>
                          </a:xfrm>
                          <a:prstGeom prst="rect">
                            <a:avLst/>
                          </a:prstGeom>
                          <a:noFill/>
                          <a:ln>
                            <a:noFill/>
                          </a:ln>
                        </pic:spPr>
                      </pic:pic>
                    </a:graphicData>
                  </a:graphic>
                </wp:anchor>
              </w:drawing>
            </w:r>
          </w:p>
        </w:tc>
      </w:tr>
    </w:tbl>
    <w:p>
      <w:pPr>
        <w:snapToGrid w:val="0"/>
        <w:spacing w:after="0" w:line="360" w:lineRule="auto"/>
        <w:ind w:firstLine="640" w:firstLineChars="200"/>
        <w:rPr>
          <w:rFonts w:hint="eastAsia" w:ascii="黑体" w:hAnsi="黑体" w:eastAsia="黑体"/>
          <w:sz w:val="32"/>
          <w:szCs w:val="32"/>
          <w:shd w:val="clear" w:color="auto" w:fill="FFFFFF"/>
        </w:rPr>
      </w:pPr>
      <w:r>
        <w:rPr>
          <w:rFonts w:ascii="黑体" w:hAnsi="黑体" w:eastAsia="黑体"/>
          <w:sz w:val="32"/>
          <w:szCs w:val="32"/>
          <w:shd w:val="clear" w:color="auto" w:fill="FFFFFF"/>
        </w:rPr>
        <w:t>三、支出决算情况说明</w:t>
      </w:r>
    </w:p>
    <w:p>
      <w:pPr>
        <w:autoSpaceDE w:val="0"/>
        <w:autoSpaceDN w:val="0"/>
        <w:adjustRightInd w:val="0"/>
        <w:snapToGrid w:val="0"/>
        <w:spacing w:after="0" w:line="360" w:lineRule="auto"/>
        <w:ind w:firstLine="600"/>
        <w:jc w:val="left"/>
        <w:rPr>
          <w:rFonts w:hint="eastAsia" w:ascii="仿宋" w:hAnsi="仿宋" w:eastAsia="仿宋" w:cs="Times New Roman"/>
          <w:kern w:val="2"/>
          <w:sz w:val="32"/>
          <w:szCs w:val="32"/>
          <w:lang w:val="zh-CN"/>
        </w:rPr>
      </w:pPr>
      <w:r>
        <w:rPr>
          <w:rFonts w:ascii="仿宋" w:hAnsi="仿宋" w:eastAsia="仿宋" w:cs="Times New Roman"/>
          <w:kern w:val="2"/>
          <w:sz w:val="32"/>
          <w:szCs w:val="32"/>
          <w:lang w:val="zh-CN"/>
        </w:rPr>
        <w:t>本部门2023年度本年支出合计14059.69万元，其中：基本支出205.36万元，占1.5%；项目支出13854.33万元，占98.5%；上缴上级支出0</w:t>
      </w:r>
      <w:r>
        <w:rPr>
          <w:rFonts w:hint="eastAsia" w:ascii="仿宋" w:hAnsi="仿宋" w:eastAsia="仿宋" w:cs="Times New Roman"/>
          <w:kern w:val="2"/>
          <w:sz w:val="32"/>
          <w:szCs w:val="32"/>
          <w:lang w:val="zh-CN"/>
        </w:rPr>
        <w:t>.00</w:t>
      </w:r>
      <w:r>
        <w:rPr>
          <w:rFonts w:ascii="仿宋" w:hAnsi="仿宋" w:eastAsia="仿宋" w:cs="Times New Roman"/>
          <w:kern w:val="2"/>
          <w:sz w:val="32"/>
          <w:szCs w:val="32"/>
          <w:lang w:val="zh-CN"/>
        </w:rPr>
        <w:t>万元，占0</w:t>
      </w:r>
      <w:r>
        <w:rPr>
          <w:rFonts w:hint="eastAsia" w:ascii="仿宋" w:hAnsi="仿宋" w:eastAsia="仿宋" w:cs="Times New Roman"/>
          <w:kern w:val="2"/>
          <w:sz w:val="32"/>
          <w:szCs w:val="32"/>
          <w:lang w:val="zh-CN"/>
        </w:rPr>
        <w:t>.0</w:t>
      </w:r>
      <w:r>
        <w:rPr>
          <w:rFonts w:ascii="仿宋" w:hAnsi="仿宋" w:eastAsia="仿宋" w:cs="Times New Roman"/>
          <w:kern w:val="2"/>
          <w:sz w:val="32"/>
          <w:szCs w:val="32"/>
          <w:lang w:val="zh-CN"/>
        </w:rPr>
        <w:t>%；经营支出0.00万元，占0.0%；对附属单位补助支出0</w:t>
      </w:r>
      <w:r>
        <w:rPr>
          <w:rFonts w:hint="eastAsia" w:ascii="仿宋" w:hAnsi="仿宋" w:eastAsia="仿宋" w:cs="Times New Roman"/>
          <w:kern w:val="2"/>
          <w:sz w:val="32"/>
          <w:szCs w:val="32"/>
          <w:lang w:val="zh-CN"/>
        </w:rPr>
        <w:t>.00</w:t>
      </w:r>
      <w:r>
        <w:rPr>
          <w:rFonts w:ascii="仿宋" w:hAnsi="仿宋" w:eastAsia="仿宋" w:cs="Times New Roman"/>
          <w:kern w:val="2"/>
          <w:sz w:val="32"/>
          <w:szCs w:val="32"/>
          <w:lang w:val="zh-CN"/>
        </w:rPr>
        <w:t>万元，占0</w:t>
      </w:r>
      <w:r>
        <w:rPr>
          <w:rFonts w:hint="eastAsia" w:ascii="仿宋" w:hAnsi="仿宋" w:eastAsia="仿宋" w:cs="Times New Roman"/>
          <w:kern w:val="2"/>
          <w:sz w:val="32"/>
          <w:szCs w:val="32"/>
          <w:lang w:val="zh-CN"/>
        </w:rPr>
        <w:t>.0</w:t>
      </w:r>
      <w:r>
        <w:rPr>
          <w:rFonts w:ascii="仿宋" w:hAnsi="仿宋" w:eastAsia="仿宋" w:cs="Times New Roman"/>
          <w:kern w:val="2"/>
          <w:sz w:val="32"/>
          <w:szCs w:val="32"/>
          <w:lang w:val="zh-CN"/>
        </w:rPr>
        <w:t>%</w:t>
      </w:r>
      <w:r>
        <w:rPr>
          <w:rFonts w:hint="eastAsia" w:ascii="仿宋" w:hAnsi="仿宋" w:eastAsia="仿宋" w:cs="Times New Roman"/>
          <w:kern w:val="2"/>
          <w:sz w:val="32"/>
          <w:szCs w:val="32"/>
          <w:lang w:val="zh-CN"/>
        </w:rPr>
        <w:t>。</w:t>
      </w:r>
    </w:p>
    <w:tbl>
      <w:tblPr>
        <w:tblStyle w:val="12"/>
        <w:tblW w:w="7825" w:type="dxa"/>
        <w:tblInd w:w="79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113" w:type="dxa"/>
          <w:right w:w="108" w:type="dxa"/>
        </w:tblCellMar>
      </w:tblPr>
      <w:tblGrid>
        <w:gridCol w:w="78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113" w:type="dxa"/>
            <w:right w:w="108" w:type="dxa"/>
          </w:tblCellMar>
        </w:tblPrEx>
        <w:trPr>
          <w:trHeight w:val="4887" w:hRule="atLeast"/>
        </w:trPr>
        <w:tc>
          <w:tcPr>
            <w:tcW w:w="7825" w:type="dxa"/>
            <w:vAlign w:val="bottom"/>
          </w:tcPr>
          <w:p>
            <w:pPr>
              <w:adjustRightInd w:val="0"/>
              <w:snapToGrid w:val="0"/>
              <w:spacing w:line="580" w:lineRule="exact"/>
              <w:jc w:val="center"/>
              <w:rPr>
                <w:rFonts w:ascii="仿宋_GB2312" w:hAnsi="Times New Roman" w:eastAsia="仿宋" w:cs="DengXian-Regular"/>
                <w:sz w:val="32"/>
                <w:szCs w:val="32"/>
                <w:highlight w:val="yellow"/>
              </w:rPr>
            </w:pPr>
            <w:bookmarkStart w:id="0" w:name="_Hlk177575033"/>
            <w:r>
              <w:rPr>
                <w:rFonts w:hint="eastAsia" w:ascii="仿宋_GB2312" w:hAnsi="Times New Roman" w:eastAsia="仿宋" w:cs="DengXian-Regular"/>
                <w:sz w:val="32"/>
                <w:szCs w:val="32"/>
              </w:rPr>
              <w:drawing>
                <wp:anchor distT="0" distB="0" distL="114300" distR="114300" simplePos="0" relativeHeight="251677696" behindDoc="0" locked="0" layoutInCell="1" allowOverlap="1">
                  <wp:simplePos x="0" y="0"/>
                  <wp:positionH relativeFrom="column">
                    <wp:posOffset>289560</wp:posOffset>
                  </wp:positionH>
                  <wp:positionV relativeFrom="paragraph">
                    <wp:posOffset>106045</wp:posOffset>
                  </wp:positionV>
                  <wp:extent cx="4254500" cy="2813050"/>
                  <wp:effectExtent l="0" t="0" r="0" b="6350"/>
                  <wp:wrapNone/>
                  <wp:docPr id="2043632455"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632455" name="图片 2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4254500" cy="2813050"/>
                          </a:xfrm>
                          <a:prstGeom prst="rect">
                            <a:avLst/>
                          </a:prstGeom>
                          <a:noFill/>
                          <a:ln>
                            <a:noFill/>
                          </a:ln>
                        </pic:spPr>
                      </pic:pic>
                    </a:graphicData>
                  </a:graphic>
                </wp:anchor>
              </w:drawing>
            </w:r>
          </w:p>
        </w:tc>
      </w:tr>
      <w:bookmarkEnd w:id="0"/>
    </w:tbl>
    <w:p>
      <w:pPr>
        <w:snapToGrid w:val="0"/>
        <w:spacing w:after="0" w:line="360" w:lineRule="auto"/>
        <w:ind w:firstLine="640" w:firstLineChars="200"/>
        <w:rPr>
          <w:rFonts w:ascii="黑体" w:hAnsi="黑体" w:eastAsia="黑体"/>
          <w:sz w:val="32"/>
          <w:szCs w:val="32"/>
          <w:shd w:val="clear" w:color="auto" w:fill="FFFFFF"/>
        </w:rPr>
      </w:pPr>
    </w:p>
    <w:p>
      <w:pPr>
        <w:snapToGrid w:val="0"/>
        <w:spacing w:after="0" w:line="360" w:lineRule="auto"/>
        <w:ind w:firstLine="640" w:firstLineChars="200"/>
        <w:rPr>
          <w:rFonts w:hint="eastAsia" w:ascii="黑体" w:hAnsi="黑体" w:eastAsia="黑体"/>
          <w:sz w:val="32"/>
          <w:szCs w:val="32"/>
          <w:shd w:val="clear" w:color="auto" w:fill="FFFFFF"/>
        </w:rPr>
      </w:pPr>
      <w:r>
        <w:rPr>
          <w:rFonts w:ascii="黑体" w:hAnsi="黑体" w:eastAsia="黑体"/>
          <w:sz w:val="32"/>
          <w:szCs w:val="32"/>
          <w:shd w:val="clear" w:color="auto" w:fill="FFFFFF"/>
        </w:rPr>
        <w:t>四、财政拨款收入支出决算总体情况说明</w:t>
      </w:r>
    </w:p>
    <w:p>
      <w:pPr>
        <w:snapToGrid w:val="0"/>
        <w:spacing w:after="0" w:line="360" w:lineRule="auto"/>
        <w:ind w:firstLine="643" w:firstLineChars="200"/>
        <w:rPr>
          <w:rFonts w:hint="eastAsia" w:ascii="楷体" w:hAnsi="楷体" w:eastAsia="楷体"/>
          <w:b/>
          <w:bCs/>
          <w:sz w:val="32"/>
          <w:szCs w:val="32"/>
        </w:rPr>
      </w:pPr>
      <w:r>
        <w:rPr>
          <w:rFonts w:ascii="楷体" w:hAnsi="楷体" w:eastAsia="楷体"/>
          <w:b/>
          <w:bCs/>
          <w:sz w:val="32"/>
          <w:szCs w:val="32"/>
        </w:rPr>
        <w:t>（一）财政拨款收支与2022年度决算对比情况</w:t>
      </w:r>
    </w:p>
    <w:p>
      <w:pPr>
        <w:pStyle w:val="10"/>
        <w:widowControl/>
        <w:snapToGrid w:val="0"/>
        <w:spacing w:beforeAutospacing="0" w:afterAutospacing="0" w:line="360" w:lineRule="auto"/>
        <w:ind w:firstLine="640" w:firstLineChars="200"/>
        <w:rPr>
          <w:rFonts w:hint="eastAsia" w:ascii="仿宋" w:hAnsi="仿宋" w:eastAsia="仿宋"/>
          <w:sz w:val="30"/>
          <w:szCs w:val="30"/>
        </w:rPr>
      </w:pPr>
      <w:r>
        <w:rPr>
          <w:rFonts w:ascii="仿宋" w:hAnsi="仿宋" w:eastAsia="仿宋"/>
          <w:kern w:val="2"/>
          <w:sz w:val="32"/>
          <w:szCs w:val="32"/>
          <w:lang w:val="zh-CN"/>
        </w:rPr>
        <w:t>本</w:t>
      </w:r>
      <w:r>
        <w:rPr>
          <w:rFonts w:ascii="仿宋" w:hAnsi="仿宋" w:eastAsia="仿宋"/>
          <w:kern w:val="2"/>
          <w:sz w:val="32"/>
          <w:szCs w:val="32"/>
        </w:rPr>
        <w:t>部门2023</w:t>
      </w:r>
      <w:r>
        <w:rPr>
          <w:rFonts w:ascii="仿宋" w:hAnsi="仿宋" w:eastAsia="仿宋"/>
          <w:kern w:val="2"/>
          <w:sz w:val="32"/>
          <w:szCs w:val="32"/>
          <w:lang w:val="zh-CN"/>
        </w:rPr>
        <w:t>年度财政拨款本年收入</w:t>
      </w:r>
      <w:r>
        <w:rPr>
          <w:rFonts w:hint="eastAsia" w:ascii="仿宋" w:hAnsi="仿宋" w:eastAsia="仿宋"/>
          <w:kern w:val="2"/>
          <w:sz w:val="32"/>
          <w:szCs w:val="32"/>
          <w:lang w:val="zh-CN"/>
        </w:rPr>
        <w:t>合计</w:t>
      </w:r>
      <w:r>
        <w:rPr>
          <w:rFonts w:ascii="仿宋" w:hAnsi="仿宋" w:eastAsia="仿宋"/>
          <w:kern w:val="2"/>
          <w:sz w:val="32"/>
          <w:szCs w:val="32"/>
        </w:rPr>
        <w:t>14059.69万</w:t>
      </w:r>
      <w:r>
        <w:rPr>
          <w:rFonts w:ascii="仿宋" w:hAnsi="仿宋" w:eastAsia="仿宋"/>
          <w:kern w:val="2"/>
          <w:sz w:val="32"/>
          <w:szCs w:val="32"/>
          <w:lang w:val="zh-CN"/>
        </w:rPr>
        <w:t>元</w:t>
      </w:r>
      <w:r>
        <w:rPr>
          <w:rFonts w:hint="eastAsia" w:ascii="仿宋" w:hAnsi="仿宋" w:eastAsia="仿宋"/>
          <w:kern w:val="2"/>
          <w:sz w:val="32"/>
          <w:szCs w:val="32"/>
        </w:rPr>
        <w:t>，</w:t>
      </w:r>
      <w:r>
        <w:rPr>
          <w:rFonts w:ascii="仿宋" w:hAnsi="仿宋" w:eastAsia="仿宋"/>
          <w:kern w:val="2"/>
          <w:sz w:val="32"/>
          <w:szCs w:val="32"/>
          <w:lang w:val="zh-CN"/>
        </w:rPr>
        <w:t>比上年</w:t>
      </w:r>
      <w:r>
        <w:rPr>
          <w:rFonts w:ascii="仿宋" w:hAnsi="仿宋" w:eastAsia="仿宋"/>
          <w:kern w:val="2"/>
          <w:sz w:val="32"/>
          <w:szCs w:val="32"/>
        </w:rPr>
        <w:t>增加13155.02</w:t>
      </w:r>
      <w:r>
        <w:rPr>
          <w:rFonts w:ascii="仿宋" w:hAnsi="仿宋" w:eastAsia="仿宋"/>
          <w:kern w:val="2"/>
          <w:sz w:val="32"/>
          <w:szCs w:val="32"/>
          <w:lang w:val="zh-CN"/>
        </w:rPr>
        <w:t>万元</w:t>
      </w:r>
      <w:r>
        <w:rPr>
          <w:rFonts w:ascii="仿宋" w:hAnsi="仿宋" w:eastAsia="仿宋"/>
          <w:kern w:val="2"/>
          <w:sz w:val="32"/>
          <w:szCs w:val="32"/>
        </w:rPr>
        <w:t>，增长1454.1%，</w:t>
      </w:r>
      <w:r>
        <w:rPr>
          <w:rFonts w:ascii="仿宋" w:hAnsi="仿宋" w:eastAsia="仿宋"/>
          <w:kern w:val="2"/>
          <w:sz w:val="32"/>
          <w:szCs w:val="32"/>
          <w:highlight w:val="none"/>
          <w:lang w:val="zh-CN"/>
        </w:rPr>
        <w:t>主要</w:t>
      </w:r>
      <w:r>
        <w:rPr>
          <w:rFonts w:hint="eastAsia" w:ascii="仿宋" w:hAnsi="仿宋" w:eastAsia="仿宋"/>
          <w:kern w:val="2"/>
          <w:sz w:val="32"/>
          <w:szCs w:val="32"/>
          <w:highlight w:val="none"/>
          <w:lang w:val="zh-CN"/>
        </w:rPr>
        <w:t>原因是</w:t>
      </w:r>
      <w:r>
        <w:rPr>
          <w:rFonts w:hint="eastAsia" w:ascii="仿宋" w:hAnsi="仿宋" w:eastAsia="仿宋"/>
          <w:kern w:val="2"/>
          <w:sz w:val="32"/>
          <w:szCs w:val="32"/>
          <w:highlight w:val="none"/>
        </w:rPr>
        <w:t>：</w:t>
      </w:r>
      <w:r>
        <w:rPr>
          <w:rFonts w:hint="eastAsia" w:ascii="仿宋" w:hAnsi="仿宋" w:eastAsia="仿宋" w:cs="Times New Roman"/>
          <w:kern w:val="2"/>
          <w:sz w:val="32"/>
          <w:szCs w:val="32"/>
          <w:highlight w:val="none"/>
          <w:lang w:val="en-US" w:eastAsia="zh-CN"/>
        </w:rPr>
        <w:t>政府性基金预算财政拨款收入增加</w:t>
      </w:r>
      <w:r>
        <w:rPr>
          <w:rFonts w:ascii="仿宋" w:hAnsi="仿宋" w:eastAsia="仿宋"/>
          <w:kern w:val="2"/>
          <w:sz w:val="32"/>
          <w:szCs w:val="32"/>
        </w:rPr>
        <w:t>；</w:t>
      </w:r>
      <w:r>
        <w:rPr>
          <w:rFonts w:ascii="仿宋" w:hAnsi="仿宋" w:eastAsia="仿宋"/>
          <w:kern w:val="2"/>
          <w:sz w:val="32"/>
          <w:szCs w:val="32"/>
          <w:lang w:val="zh-CN"/>
        </w:rPr>
        <w:t>本年支出</w:t>
      </w:r>
      <w:r>
        <w:rPr>
          <w:rFonts w:hint="eastAsia" w:ascii="仿宋" w:hAnsi="仿宋" w:eastAsia="仿宋"/>
          <w:kern w:val="2"/>
          <w:sz w:val="32"/>
          <w:szCs w:val="32"/>
          <w:lang w:val="zh-CN"/>
        </w:rPr>
        <w:t>合计</w:t>
      </w:r>
      <w:r>
        <w:rPr>
          <w:rFonts w:ascii="仿宋" w:hAnsi="仿宋" w:eastAsia="仿宋"/>
          <w:kern w:val="2"/>
          <w:sz w:val="32"/>
          <w:szCs w:val="32"/>
        </w:rPr>
        <w:t>14059.69</w:t>
      </w:r>
      <w:r>
        <w:rPr>
          <w:rFonts w:ascii="仿宋" w:hAnsi="仿宋" w:eastAsia="仿宋"/>
          <w:kern w:val="2"/>
          <w:sz w:val="32"/>
          <w:szCs w:val="32"/>
          <w:lang w:val="zh-CN"/>
        </w:rPr>
        <w:t>元</w:t>
      </w:r>
      <w:r>
        <w:rPr>
          <w:rFonts w:ascii="仿宋" w:hAnsi="仿宋" w:eastAsia="仿宋"/>
          <w:kern w:val="2"/>
          <w:sz w:val="32"/>
          <w:szCs w:val="32"/>
        </w:rPr>
        <w:t>，</w:t>
      </w:r>
      <w:r>
        <w:rPr>
          <w:rFonts w:ascii="仿宋" w:hAnsi="仿宋" w:eastAsia="仿宋"/>
          <w:kern w:val="2"/>
          <w:sz w:val="32"/>
          <w:szCs w:val="32"/>
          <w:lang w:val="zh-CN"/>
        </w:rPr>
        <w:t>比上年</w:t>
      </w:r>
      <w:r>
        <w:rPr>
          <w:rFonts w:ascii="仿宋" w:hAnsi="仿宋" w:eastAsia="仿宋"/>
          <w:kern w:val="2"/>
          <w:sz w:val="32"/>
          <w:szCs w:val="32"/>
        </w:rPr>
        <w:t>增加13155.02</w:t>
      </w:r>
      <w:r>
        <w:rPr>
          <w:rFonts w:ascii="仿宋" w:hAnsi="仿宋" w:eastAsia="仿宋"/>
          <w:kern w:val="2"/>
          <w:sz w:val="32"/>
          <w:szCs w:val="32"/>
          <w:lang w:val="zh-CN"/>
        </w:rPr>
        <w:t>万元</w:t>
      </w:r>
      <w:r>
        <w:rPr>
          <w:rFonts w:ascii="仿宋" w:hAnsi="仿宋" w:eastAsia="仿宋"/>
          <w:kern w:val="2"/>
          <w:sz w:val="32"/>
          <w:szCs w:val="32"/>
        </w:rPr>
        <w:t>，增长1454.1%，</w:t>
      </w:r>
      <w:r>
        <w:rPr>
          <w:rFonts w:ascii="仿宋" w:hAnsi="仿宋" w:eastAsia="仿宋"/>
          <w:kern w:val="2"/>
          <w:sz w:val="32"/>
          <w:szCs w:val="32"/>
          <w:highlight w:val="none"/>
          <w:lang w:val="zh-CN"/>
        </w:rPr>
        <w:t>主要</w:t>
      </w:r>
      <w:r>
        <w:rPr>
          <w:rFonts w:hint="eastAsia" w:ascii="仿宋" w:hAnsi="仿宋" w:eastAsia="仿宋"/>
          <w:kern w:val="2"/>
          <w:sz w:val="32"/>
          <w:szCs w:val="32"/>
          <w:highlight w:val="none"/>
          <w:lang w:val="zh-CN"/>
        </w:rPr>
        <w:t>原因是</w:t>
      </w:r>
      <w:r>
        <w:rPr>
          <w:rFonts w:hint="eastAsia" w:ascii="仿宋" w:hAnsi="仿宋" w:eastAsia="仿宋"/>
          <w:kern w:val="2"/>
          <w:sz w:val="32"/>
          <w:szCs w:val="32"/>
          <w:highlight w:val="none"/>
        </w:rPr>
        <w:t>：</w:t>
      </w:r>
      <w:r>
        <w:rPr>
          <w:rFonts w:hint="eastAsia" w:ascii="仿宋" w:hAnsi="仿宋" w:eastAsia="仿宋" w:cs="Times New Roman"/>
          <w:kern w:val="2"/>
          <w:sz w:val="32"/>
          <w:szCs w:val="32"/>
          <w:highlight w:val="none"/>
          <w:lang w:val="en-US" w:eastAsia="zh-CN"/>
        </w:rPr>
        <w:t>政府性基金预算财政拨款收入增加</w:t>
      </w:r>
      <w:r>
        <w:rPr>
          <w:rFonts w:ascii="仿宋" w:hAnsi="仿宋" w:eastAsia="仿宋"/>
          <w:kern w:val="2"/>
          <w:sz w:val="32"/>
          <w:szCs w:val="32"/>
          <w:lang w:val="zh-CN"/>
        </w:rPr>
        <w:t>。具体情况如下：</w:t>
      </w:r>
    </w:p>
    <w:p>
      <w:pPr>
        <w:autoSpaceDE w:val="0"/>
        <w:autoSpaceDN w:val="0"/>
        <w:adjustRightInd w:val="0"/>
        <w:snapToGrid w:val="0"/>
        <w:spacing w:after="0" w:line="360" w:lineRule="auto"/>
        <w:ind w:firstLine="640" w:firstLineChars="200"/>
        <w:jc w:val="left"/>
        <w:rPr>
          <w:rFonts w:hint="eastAsia" w:ascii="仿宋" w:hAnsi="仿宋" w:eastAsia="仿宋" w:cs="Times New Roman"/>
          <w:kern w:val="2"/>
          <w:sz w:val="32"/>
          <w:szCs w:val="32"/>
        </w:rPr>
      </w:pPr>
      <w:r>
        <w:rPr>
          <w:rFonts w:ascii="仿宋" w:hAnsi="仿宋" w:eastAsia="仿宋" w:cs="Times New Roman"/>
          <w:kern w:val="2"/>
          <w:sz w:val="32"/>
          <w:szCs w:val="32"/>
        </w:rPr>
        <w:t xml:space="preserve">1. </w:t>
      </w:r>
      <w:r>
        <w:rPr>
          <w:rFonts w:ascii="仿宋" w:hAnsi="仿宋" w:eastAsia="仿宋" w:cs="Times New Roman"/>
          <w:kern w:val="2"/>
          <w:sz w:val="32"/>
          <w:szCs w:val="32"/>
          <w:lang w:val="zh-CN"/>
        </w:rPr>
        <w:t>一般公共预算财政拨款本年收入</w:t>
      </w:r>
      <w:r>
        <w:rPr>
          <w:rFonts w:hint="eastAsia" w:ascii="仿宋" w:hAnsi="仿宋" w:eastAsia="仿宋"/>
          <w:kern w:val="2"/>
          <w:sz w:val="32"/>
          <w:szCs w:val="32"/>
          <w:lang w:val="zh-CN"/>
        </w:rPr>
        <w:t>合计</w:t>
      </w:r>
      <w:r>
        <w:rPr>
          <w:rFonts w:ascii="仿宋" w:hAnsi="仿宋" w:eastAsia="仿宋" w:cs="Times New Roman"/>
          <w:kern w:val="2"/>
          <w:sz w:val="32"/>
          <w:szCs w:val="32"/>
        </w:rPr>
        <w:t>1016.99</w:t>
      </w:r>
      <w:r>
        <w:rPr>
          <w:rFonts w:ascii="仿宋" w:hAnsi="仿宋" w:eastAsia="仿宋" w:cs="Times New Roman"/>
          <w:kern w:val="2"/>
          <w:sz w:val="32"/>
          <w:szCs w:val="32"/>
          <w:lang w:val="zh-CN"/>
        </w:rPr>
        <w:t>万元</w:t>
      </w:r>
      <w:r>
        <w:rPr>
          <w:rFonts w:hint="eastAsia" w:ascii="仿宋" w:hAnsi="仿宋" w:eastAsia="仿宋" w:cs="Times New Roman"/>
          <w:kern w:val="2"/>
          <w:sz w:val="32"/>
          <w:szCs w:val="32"/>
        </w:rPr>
        <w:t>，</w:t>
      </w:r>
      <w:r>
        <w:rPr>
          <w:rFonts w:ascii="仿宋" w:hAnsi="仿宋" w:eastAsia="仿宋" w:cs="Times New Roman"/>
          <w:kern w:val="2"/>
          <w:sz w:val="32"/>
          <w:szCs w:val="32"/>
          <w:lang w:val="zh-CN"/>
        </w:rPr>
        <w:t>比上年</w:t>
      </w:r>
      <w:r>
        <w:rPr>
          <w:rFonts w:ascii="仿宋" w:hAnsi="仿宋" w:eastAsia="仿宋" w:cs="Times New Roman"/>
          <w:kern w:val="2"/>
          <w:sz w:val="32"/>
          <w:szCs w:val="32"/>
        </w:rPr>
        <w:t>增加112.32</w:t>
      </w:r>
      <w:r>
        <w:rPr>
          <w:rFonts w:ascii="仿宋" w:hAnsi="仿宋" w:eastAsia="仿宋" w:cs="Times New Roman"/>
          <w:kern w:val="2"/>
          <w:sz w:val="32"/>
          <w:szCs w:val="32"/>
          <w:lang w:val="zh-CN"/>
        </w:rPr>
        <w:t>万元</w:t>
      </w:r>
      <w:r>
        <w:rPr>
          <w:rFonts w:ascii="仿宋" w:hAnsi="仿宋" w:eastAsia="仿宋" w:cs="Times New Roman"/>
          <w:kern w:val="2"/>
          <w:sz w:val="32"/>
          <w:szCs w:val="32"/>
        </w:rPr>
        <w:t>，增长12.4%</w:t>
      </w:r>
      <w:r>
        <w:rPr>
          <w:rFonts w:hint="eastAsia" w:ascii="仿宋" w:hAnsi="仿宋" w:eastAsia="仿宋" w:cs="Times New Roman"/>
          <w:kern w:val="2"/>
          <w:sz w:val="32"/>
          <w:szCs w:val="32"/>
        </w:rPr>
        <w:t>，</w:t>
      </w:r>
      <w:r>
        <w:rPr>
          <w:rFonts w:ascii="仿宋" w:hAnsi="仿宋" w:eastAsia="仿宋" w:cs="Times New Roman"/>
          <w:kern w:val="2"/>
          <w:sz w:val="32"/>
          <w:szCs w:val="32"/>
          <w:highlight w:val="none"/>
          <w:lang w:val="zh-CN"/>
        </w:rPr>
        <w:t>主要</w:t>
      </w:r>
      <w:r>
        <w:rPr>
          <w:rFonts w:hint="eastAsia" w:ascii="仿宋" w:hAnsi="仿宋" w:eastAsia="仿宋" w:cs="Times New Roman"/>
          <w:kern w:val="2"/>
          <w:sz w:val="32"/>
          <w:szCs w:val="32"/>
          <w:highlight w:val="none"/>
          <w:lang w:val="zh-CN"/>
        </w:rPr>
        <w:t>原因是</w:t>
      </w:r>
      <w:r>
        <w:rPr>
          <w:rFonts w:hint="eastAsia" w:ascii="仿宋" w:hAnsi="仿宋" w:eastAsia="仿宋" w:cs="Times New Roman"/>
          <w:kern w:val="2"/>
          <w:sz w:val="32"/>
          <w:szCs w:val="32"/>
          <w:highlight w:val="none"/>
        </w:rPr>
        <w:t>：</w:t>
      </w:r>
      <w:r>
        <w:rPr>
          <w:rFonts w:hint="eastAsia" w:ascii="仿宋" w:hAnsi="仿宋" w:eastAsia="仿宋" w:cs="Times New Roman"/>
          <w:kern w:val="2"/>
          <w:sz w:val="32"/>
          <w:szCs w:val="32"/>
          <w:highlight w:val="none"/>
          <w:lang w:val="en-US" w:eastAsia="zh-CN"/>
        </w:rPr>
        <w:t>城乡社区支出增加</w:t>
      </w:r>
      <w:r>
        <w:rPr>
          <w:rFonts w:ascii="仿宋" w:hAnsi="仿宋" w:eastAsia="仿宋" w:cs="Times New Roman"/>
          <w:kern w:val="2"/>
          <w:sz w:val="32"/>
          <w:szCs w:val="32"/>
        </w:rPr>
        <w:t>；</w:t>
      </w:r>
      <w:r>
        <w:rPr>
          <w:rFonts w:ascii="仿宋" w:hAnsi="仿宋" w:eastAsia="仿宋" w:cs="Times New Roman"/>
          <w:kern w:val="2"/>
          <w:sz w:val="32"/>
          <w:szCs w:val="32"/>
          <w:lang w:val="zh-CN"/>
        </w:rPr>
        <w:t>本年支出</w:t>
      </w:r>
      <w:r>
        <w:rPr>
          <w:rFonts w:hint="eastAsia" w:ascii="仿宋" w:hAnsi="仿宋" w:eastAsia="仿宋"/>
          <w:kern w:val="2"/>
          <w:sz w:val="32"/>
          <w:szCs w:val="32"/>
          <w:lang w:val="zh-CN"/>
        </w:rPr>
        <w:t>合计</w:t>
      </w:r>
      <w:r>
        <w:rPr>
          <w:rFonts w:ascii="仿宋" w:hAnsi="仿宋" w:eastAsia="仿宋" w:cs="Times New Roman"/>
          <w:kern w:val="2"/>
          <w:sz w:val="32"/>
          <w:szCs w:val="32"/>
        </w:rPr>
        <w:t>1016.99万</w:t>
      </w:r>
      <w:r>
        <w:rPr>
          <w:rFonts w:ascii="仿宋" w:hAnsi="仿宋" w:eastAsia="仿宋" w:cs="Times New Roman"/>
          <w:kern w:val="2"/>
          <w:sz w:val="32"/>
          <w:szCs w:val="32"/>
          <w:lang w:val="zh-CN"/>
        </w:rPr>
        <w:t>元</w:t>
      </w:r>
      <w:r>
        <w:rPr>
          <w:rFonts w:ascii="仿宋" w:hAnsi="仿宋" w:eastAsia="仿宋" w:cs="Times New Roman"/>
          <w:kern w:val="2"/>
          <w:sz w:val="32"/>
          <w:szCs w:val="32"/>
        </w:rPr>
        <w:t>，</w:t>
      </w:r>
      <w:r>
        <w:rPr>
          <w:rFonts w:ascii="仿宋" w:hAnsi="仿宋" w:eastAsia="仿宋" w:cs="Times New Roman"/>
          <w:kern w:val="2"/>
          <w:sz w:val="32"/>
          <w:szCs w:val="32"/>
          <w:lang w:val="zh-CN"/>
        </w:rPr>
        <w:t>比上年</w:t>
      </w:r>
      <w:r>
        <w:rPr>
          <w:rFonts w:ascii="仿宋" w:hAnsi="仿宋" w:eastAsia="仿宋" w:cs="Times New Roman"/>
          <w:kern w:val="2"/>
          <w:sz w:val="32"/>
          <w:szCs w:val="32"/>
        </w:rPr>
        <w:t>增加112.32</w:t>
      </w:r>
      <w:r>
        <w:rPr>
          <w:rFonts w:ascii="仿宋" w:hAnsi="仿宋" w:eastAsia="仿宋" w:cs="Times New Roman"/>
          <w:kern w:val="2"/>
          <w:sz w:val="32"/>
          <w:szCs w:val="32"/>
          <w:lang w:val="zh-CN"/>
        </w:rPr>
        <w:t>万元</w:t>
      </w:r>
      <w:r>
        <w:rPr>
          <w:rFonts w:ascii="仿宋" w:hAnsi="仿宋" w:eastAsia="仿宋" w:cs="Times New Roman"/>
          <w:kern w:val="2"/>
          <w:sz w:val="32"/>
          <w:szCs w:val="32"/>
        </w:rPr>
        <w:t>，增长12.4%，</w:t>
      </w:r>
      <w:r>
        <w:rPr>
          <w:rFonts w:ascii="仿宋" w:hAnsi="仿宋" w:eastAsia="仿宋" w:cs="Times New Roman"/>
          <w:kern w:val="2"/>
          <w:sz w:val="32"/>
          <w:szCs w:val="32"/>
          <w:highlight w:val="none"/>
          <w:lang w:val="zh-CN"/>
        </w:rPr>
        <w:t>主要</w:t>
      </w:r>
      <w:r>
        <w:rPr>
          <w:rFonts w:hint="eastAsia" w:ascii="仿宋" w:hAnsi="仿宋" w:eastAsia="仿宋" w:cs="Times New Roman"/>
          <w:kern w:val="2"/>
          <w:sz w:val="32"/>
          <w:szCs w:val="32"/>
          <w:highlight w:val="none"/>
          <w:lang w:val="zh-CN"/>
        </w:rPr>
        <w:t>原因是</w:t>
      </w:r>
      <w:r>
        <w:rPr>
          <w:rFonts w:hint="eastAsia" w:ascii="仿宋" w:hAnsi="仿宋" w:eastAsia="仿宋" w:cs="Times New Roman"/>
          <w:kern w:val="2"/>
          <w:sz w:val="32"/>
          <w:szCs w:val="32"/>
          <w:highlight w:val="none"/>
        </w:rPr>
        <w:t>：</w:t>
      </w:r>
      <w:r>
        <w:rPr>
          <w:rFonts w:hint="eastAsia" w:ascii="仿宋" w:hAnsi="仿宋" w:eastAsia="仿宋" w:cs="Times New Roman"/>
          <w:kern w:val="2"/>
          <w:sz w:val="32"/>
          <w:szCs w:val="32"/>
          <w:highlight w:val="none"/>
          <w:lang w:val="en-US" w:eastAsia="zh-CN"/>
        </w:rPr>
        <w:t>城乡社区支出增加</w:t>
      </w:r>
      <w:r>
        <w:rPr>
          <w:rFonts w:ascii="仿宋" w:hAnsi="仿宋" w:eastAsia="仿宋" w:cs="Times New Roman"/>
          <w:kern w:val="2"/>
          <w:sz w:val="32"/>
          <w:szCs w:val="32"/>
          <w:lang w:val="zh-CN"/>
        </w:rPr>
        <w:t>。</w:t>
      </w:r>
    </w:p>
    <w:p>
      <w:pPr>
        <w:autoSpaceDE w:val="0"/>
        <w:autoSpaceDN w:val="0"/>
        <w:adjustRightInd w:val="0"/>
        <w:snapToGrid w:val="0"/>
        <w:spacing w:after="0" w:line="360" w:lineRule="auto"/>
        <w:ind w:firstLine="640" w:firstLineChars="200"/>
        <w:jc w:val="left"/>
        <w:rPr>
          <w:rFonts w:hint="eastAsia" w:ascii="仿宋" w:hAnsi="仿宋" w:eastAsia="仿宋" w:cs="Times New Roman"/>
          <w:sz w:val="32"/>
          <w:szCs w:val="32"/>
        </w:rPr>
      </w:pPr>
      <w:r>
        <w:rPr>
          <w:rFonts w:ascii="仿宋" w:hAnsi="仿宋" w:eastAsia="仿宋" w:cs="Times New Roman"/>
          <w:kern w:val="2"/>
          <w:sz w:val="32"/>
          <w:szCs w:val="32"/>
        </w:rPr>
        <w:t xml:space="preserve">2. </w:t>
      </w:r>
      <w:r>
        <w:rPr>
          <w:rFonts w:ascii="仿宋" w:hAnsi="仿宋" w:eastAsia="仿宋" w:cs="Times New Roman"/>
          <w:kern w:val="2"/>
          <w:sz w:val="32"/>
          <w:szCs w:val="32"/>
          <w:lang w:val="zh-CN"/>
        </w:rPr>
        <w:t>政府性基金预算财政拨款本年收入</w:t>
      </w:r>
      <w:r>
        <w:rPr>
          <w:rFonts w:hint="eastAsia" w:ascii="仿宋" w:hAnsi="仿宋" w:eastAsia="仿宋"/>
          <w:kern w:val="2"/>
          <w:sz w:val="32"/>
          <w:szCs w:val="32"/>
          <w:lang w:val="zh-CN"/>
        </w:rPr>
        <w:t>合计</w:t>
      </w:r>
      <w:r>
        <w:rPr>
          <w:rFonts w:ascii="仿宋" w:hAnsi="仿宋" w:eastAsia="仿宋" w:cs="Times New Roman"/>
          <w:kern w:val="2"/>
          <w:sz w:val="32"/>
          <w:szCs w:val="32"/>
        </w:rPr>
        <w:t>13042.70万</w:t>
      </w:r>
      <w:r>
        <w:rPr>
          <w:rFonts w:ascii="仿宋" w:hAnsi="仿宋" w:eastAsia="仿宋" w:cs="Times New Roman"/>
          <w:kern w:val="2"/>
          <w:sz w:val="32"/>
          <w:szCs w:val="32"/>
          <w:lang w:val="zh-CN"/>
        </w:rPr>
        <w:t>元</w:t>
      </w:r>
      <w:r>
        <w:rPr>
          <w:rFonts w:ascii="仿宋" w:hAnsi="仿宋" w:eastAsia="仿宋" w:cs="Times New Roman"/>
          <w:kern w:val="2"/>
          <w:sz w:val="32"/>
          <w:szCs w:val="32"/>
        </w:rPr>
        <w:t>，</w:t>
      </w:r>
      <w:r>
        <w:rPr>
          <w:rFonts w:ascii="仿宋" w:hAnsi="仿宋" w:eastAsia="仿宋" w:cs="Times New Roman"/>
          <w:kern w:val="2"/>
          <w:sz w:val="32"/>
          <w:szCs w:val="32"/>
          <w:lang w:val="zh-CN"/>
        </w:rPr>
        <w:t>比上年</w:t>
      </w:r>
      <w:r>
        <w:rPr>
          <w:rFonts w:ascii="仿宋" w:hAnsi="仿宋" w:eastAsia="仿宋" w:cs="Times New Roman"/>
          <w:kern w:val="2"/>
          <w:sz w:val="32"/>
          <w:szCs w:val="32"/>
        </w:rPr>
        <w:t>增加13042.70</w:t>
      </w:r>
      <w:r>
        <w:rPr>
          <w:rFonts w:ascii="仿宋" w:hAnsi="仿宋" w:eastAsia="仿宋" w:cs="Times New Roman"/>
          <w:kern w:val="2"/>
          <w:sz w:val="32"/>
          <w:szCs w:val="32"/>
          <w:lang w:val="zh-CN"/>
        </w:rPr>
        <w:t>万元</w:t>
      </w:r>
      <w:r>
        <w:rPr>
          <w:rFonts w:ascii="仿宋" w:hAnsi="仿宋" w:eastAsia="仿宋" w:cs="Times New Roman"/>
          <w:kern w:val="2"/>
          <w:sz w:val="32"/>
          <w:szCs w:val="32"/>
        </w:rPr>
        <w:t>，增长</w:t>
      </w:r>
      <w:r>
        <w:rPr>
          <w:rFonts w:ascii="仿宋" w:hAnsi="仿宋" w:eastAsia="仿宋" w:cs="Times New Roman"/>
          <w:kern w:val="2"/>
          <w:sz w:val="32"/>
          <w:szCs w:val="32"/>
          <w:highlight w:val="none"/>
          <w:lang w:val="zh-CN"/>
        </w:rPr>
        <w:t>主要</w:t>
      </w:r>
      <w:r>
        <w:rPr>
          <w:rFonts w:hint="eastAsia" w:ascii="仿宋" w:hAnsi="仿宋" w:eastAsia="仿宋" w:cs="Times New Roman"/>
          <w:kern w:val="2"/>
          <w:sz w:val="32"/>
          <w:szCs w:val="32"/>
          <w:highlight w:val="none"/>
          <w:lang w:val="zh-CN"/>
        </w:rPr>
        <w:t>原因是</w:t>
      </w:r>
      <w:r>
        <w:rPr>
          <w:rFonts w:hint="eastAsia" w:ascii="仿宋" w:hAnsi="仿宋" w:eastAsia="仿宋" w:cs="Times New Roman"/>
          <w:kern w:val="2"/>
          <w:sz w:val="32"/>
          <w:szCs w:val="32"/>
          <w:highlight w:val="none"/>
        </w:rPr>
        <w:t>：</w:t>
      </w:r>
      <w:r>
        <w:rPr>
          <w:rFonts w:hint="eastAsia" w:ascii="仿宋" w:hAnsi="仿宋" w:eastAsia="仿宋" w:cs="Times New Roman"/>
          <w:kern w:val="2"/>
          <w:sz w:val="32"/>
          <w:szCs w:val="32"/>
          <w:highlight w:val="none"/>
          <w:lang w:val="en-US" w:eastAsia="zh-CN"/>
        </w:rPr>
        <w:t>城乡社区支出增加</w:t>
      </w:r>
      <w:r>
        <w:rPr>
          <w:rFonts w:ascii="仿宋" w:hAnsi="仿宋" w:eastAsia="仿宋" w:cs="Times New Roman"/>
          <w:kern w:val="2"/>
          <w:sz w:val="32"/>
          <w:szCs w:val="32"/>
        </w:rPr>
        <w:t>；</w:t>
      </w:r>
      <w:r>
        <w:rPr>
          <w:rFonts w:ascii="仿宋" w:hAnsi="仿宋" w:eastAsia="仿宋" w:cs="Times New Roman"/>
          <w:kern w:val="2"/>
          <w:sz w:val="32"/>
          <w:szCs w:val="32"/>
          <w:lang w:val="zh-CN"/>
        </w:rPr>
        <w:t>本年支出</w:t>
      </w:r>
      <w:r>
        <w:rPr>
          <w:rFonts w:hint="eastAsia" w:ascii="仿宋" w:hAnsi="仿宋" w:eastAsia="仿宋"/>
          <w:kern w:val="2"/>
          <w:sz w:val="32"/>
          <w:szCs w:val="32"/>
          <w:lang w:val="zh-CN"/>
        </w:rPr>
        <w:t>合计</w:t>
      </w:r>
      <w:r>
        <w:rPr>
          <w:rFonts w:ascii="仿宋" w:hAnsi="仿宋" w:eastAsia="仿宋" w:cs="Times New Roman"/>
          <w:kern w:val="2"/>
          <w:sz w:val="32"/>
          <w:szCs w:val="32"/>
        </w:rPr>
        <w:t>13042.70万</w:t>
      </w:r>
      <w:r>
        <w:rPr>
          <w:rFonts w:ascii="仿宋" w:hAnsi="仿宋" w:eastAsia="仿宋" w:cs="Times New Roman"/>
          <w:kern w:val="2"/>
          <w:sz w:val="32"/>
          <w:szCs w:val="32"/>
          <w:lang w:val="zh-CN"/>
        </w:rPr>
        <w:t>元</w:t>
      </w:r>
      <w:r>
        <w:rPr>
          <w:rFonts w:ascii="仿宋" w:hAnsi="仿宋" w:eastAsia="仿宋" w:cs="Times New Roman"/>
          <w:kern w:val="2"/>
          <w:sz w:val="32"/>
          <w:szCs w:val="32"/>
        </w:rPr>
        <w:t>，</w:t>
      </w:r>
      <w:r>
        <w:rPr>
          <w:rFonts w:ascii="仿宋" w:hAnsi="仿宋" w:eastAsia="仿宋" w:cs="Times New Roman"/>
          <w:kern w:val="2"/>
          <w:sz w:val="32"/>
          <w:szCs w:val="32"/>
          <w:lang w:val="zh-CN"/>
        </w:rPr>
        <w:t>比上年</w:t>
      </w:r>
      <w:r>
        <w:rPr>
          <w:rFonts w:ascii="仿宋" w:hAnsi="仿宋" w:eastAsia="仿宋" w:cs="Times New Roman"/>
          <w:kern w:val="2"/>
          <w:sz w:val="32"/>
          <w:szCs w:val="32"/>
        </w:rPr>
        <w:t>增加13042.70</w:t>
      </w:r>
      <w:r>
        <w:rPr>
          <w:rFonts w:ascii="仿宋" w:hAnsi="仿宋" w:eastAsia="仿宋" w:cs="Times New Roman"/>
          <w:kern w:val="2"/>
          <w:sz w:val="32"/>
          <w:szCs w:val="32"/>
          <w:lang w:val="zh-CN"/>
        </w:rPr>
        <w:t>万元</w:t>
      </w:r>
      <w:r>
        <w:rPr>
          <w:rFonts w:ascii="仿宋" w:hAnsi="仿宋" w:eastAsia="仿宋" w:cs="Times New Roman"/>
          <w:kern w:val="2"/>
          <w:sz w:val="32"/>
          <w:szCs w:val="32"/>
        </w:rPr>
        <w:t>，</w:t>
      </w:r>
      <w:r>
        <w:rPr>
          <w:rFonts w:ascii="仿宋" w:hAnsi="仿宋" w:eastAsia="仿宋" w:cs="Times New Roman"/>
          <w:kern w:val="2"/>
          <w:sz w:val="32"/>
          <w:szCs w:val="32"/>
          <w:highlight w:val="none"/>
          <w:lang w:val="zh-CN"/>
        </w:rPr>
        <w:t>主要</w:t>
      </w:r>
      <w:r>
        <w:rPr>
          <w:rFonts w:hint="eastAsia" w:ascii="仿宋" w:hAnsi="仿宋" w:eastAsia="仿宋" w:cs="Times New Roman"/>
          <w:kern w:val="2"/>
          <w:sz w:val="32"/>
          <w:szCs w:val="32"/>
          <w:highlight w:val="none"/>
          <w:lang w:val="zh-CN"/>
        </w:rPr>
        <w:t>原因是</w:t>
      </w:r>
      <w:r>
        <w:rPr>
          <w:rFonts w:hint="eastAsia" w:ascii="仿宋" w:hAnsi="仿宋" w:eastAsia="仿宋" w:cs="Times New Roman"/>
          <w:kern w:val="2"/>
          <w:sz w:val="32"/>
          <w:szCs w:val="32"/>
          <w:highlight w:val="none"/>
        </w:rPr>
        <w:t>：</w:t>
      </w:r>
      <w:r>
        <w:rPr>
          <w:rFonts w:hint="eastAsia" w:ascii="仿宋" w:hAnsi="仿宋" w:eastAsia="仿宋" w:cs="Times New Roman"/>
          <w:kern w:val="2"/>
          <w:sz w:val="32"/>
          <w:szCs w:val="32"/>
          <w:highlight w:val="none"/>
          <w:lang w:val="en-US" w:eastAsia="zh-CN"/>
        </w:rPr>
        <w:t>城乡社区支出增加</w:t>
      </w:r>
      <w:r>
        <w:rPr>
          <w:rFonts w:ascii="仿宋" w:hAnsi="仿宋" w:eastAsia="仿宋" w:cs="Times New Roman"/>
          <w:kern w:val="2"/>
          <w:sz w:val="32"/>
          <w:szCs w:val="32"/>
          <w:lang w:val="zh-CN"/>
        </w:rPr>
        <w:t>。</w:t>
      </w:r>
    </w:p>
    <w:p>
      <w:pPr>
        <w:autoSpaceDE w:val="0"/>
        <w:autoSpaceDN w:val="0"/>
        <w:adjustRightInd w:val="0"/>
        <w:snapToGrid w:val="0"/>
        <w:spacing w:after="0" w:line="360" w:lineRule="auto"/>
        <w:ind w:firstLine="640" w:firstLineChars="200"/>
        <w:jc w:val="left"/>
        <w:rPr>
          <w:rFonts w:hint="eastAsia" w:ascii="仿宋" w:hAnsi="仿宋" w:eastAsia="仿宋" w:cs="Times New Roman"/>
          <w:kern w:val="2"/>
          <w:sz w:val="32"/>
          <w:szCs w:val="32"/>
        </w:rPr>
      </w:pPr>
      <w:r>
        <w:rPr>
          <w:rFonts w:ascii="仿宋" w:hAnsi="仿宋" w:eastAsia="仿宋" w:cs="Times New Roman"/>
          <w:kern w:val="2"/>
          <w:sz w:val="32"/>
          <w:szCs w:val="32"/>
        </w:rPr>
        <w:t xml:space="preserve">3. </w:t>
      </w:r>
      <w:r>
        <w:rPr>
          <w:rFonts w:ascii="仿宋" w:hAnsi="仿宋" w:eastAsia="仿宋" w:cs="Times New Roman"/>
          <w:kern w:val="2"/>
          <w:sz w:val="32"/>
          <w:szCs w:val="32"/>
          <w:lang w:val="zh-CN"/>
        </w:rPr>
        <w:t>国有资本经营预算财政拨款本年收入</w:t>
      </w:r>
      <w:r>
        <w:rPr>
          <w:rFonts w:hint="eastAsia" w:ascii="仿宋" w:hAnsi="仿宋" w:eastAsia="仿宋"/>
          <w:kern w:val="2"/>
          <w:sz w:val="32"/>
          <w:szCs w:val="32"/>
          <w:lang w:val="zh-CN"/>
        </w:rPr>
        <w:t>合计</w:t>
      </w:r>
      <w:r>
        <w:rPr>
          <w:rFonts w:ascii="仿宋" w:hAnsi="仿宋" w:eastAsia="仿宋" w:cs="Times New Roman"/>
          <w:kern w:val="2"/>
          <w:sz w:val="32"/>
          <w:szCs w:val="32"/>
        </w:rPr>
        <w:t>0.00万</w:t>
      </w:r>
      <w:r>
        <w:rPr>
          <w:rFonts w:ascii="仿宋" w:hAnsi="仿宋" w:eastAsia="仿宋" w:cs="Times New Roman"/>
          <w:kern w:val="2"/>
          <w:sz w:val="32"/>
          <w:szCs w:val="32"/>
          <w:lang w:val="zh-CN"/>
        </w:rPr>
        <w:t>元</w:t>
      </w:r>
      <w:r>
        <w:rPr>
          <w:rFonts w:ascii="仿宋" w:hAnsi="仿宋" w:eastAsia="仿宋" w:cs="Times New Roman"/>
          <w:kern w:val="2"/>
          <w:sz w:val="32"/>
          <w:szCs w:val="32"/>
        </w:rPr>
        <w:t>，</w:t>
      </w:r>
      <w:r>
        <w:rPr>
          <w:rFonts w:ascii="仿宋" w:hAnsi="仿宋" w:eastAsia="仿宋" w:cs="Times New Roman"/>
          <w:kern w:val="2"/>
          <w:sz w:val="32"/>
          <w:szCs w:val="32"/>
          <w:lang w:val="zh-CN"/>
        </w:rPr>
        <w:t>与上年持平</w:t>
      </w:r>
      <w:r>
        <w:rPr>
          <w:rFonts w:ascii="仿宋" w:hAnsi="仿宋" w:eastAsia="仿宋" w:cs="Times New Roman"/>
          <w:kern w:val="2"/>
          <w:sz w:val="32"/>
          <w:szCs w:val="32"/>
        </w:rPr>
        <w:t>；</w:t>
      </w:r>
      <w:r>
        <w:rPr>
          <w:rFonts w:ascii="仿宋" w:hAnsi="仿宋" w:eastAsia="仿宋" w:cs="Times New Roman"/>
          <w:kern w:val="2"/>
          <w:sz w:val="32"/>
          <w:szCs w:val="32"/>
          <w:lang w:val="zh-CN"/>
        </w:rPr>
        <w:t>本年支出</w:t>
      </w:r>
      <w:r>
        <w:rPr>
          <w:rFonts w:hint="eastAsia" w:ascii="仿宋" w:hAnsi="仿宋" w:eastAsia="仿宋"/>
          <w:kern w:val="2"/>
          <w:sz w:val="32"/>
          <w:szCs w:val="32"/>
          <w:lang w:val="zh-CN"/>
        </w:rPr>
        <w:t>合计</w:t>
      </w:r>
      <w:r>
        <w:rPr>
          <w:rFonts w:ascii="仿宋" w:hAnsi="仿宋" w:eastAsia="仿宋" w:cs="Times New Roman"/>
          <w:kern w:val="2"/>
          <w:sz w:val="32"/>
          <w:szCs w:val="32"/>
        </w:rPr>
        <w:t>0.00万</w:t>
      </w:r>
      <w:r>
        <w:rPr>
          <w:rFonts w:ascii="仿宋" w:hAnsi="仿宋" w:eastAsia="仿宋" w:cs="Times New Roman"/>
          <w:kern w:val="2"/>
          <w:sz w:val="32"/>
          <w:szCs w:val="32"/>
          <w:lang w:val="zh-CN"/>
        </w:rPr>
        <w:t>元</w:t>
      </w:r>
      <w:r>
        <w:rPr>
          <w:rFonts w:ascii="仿宋" w:hAnsi="仿宋" w:eastAsia="仿宋" w:cs="Times New Roman"/>
          <w:kern w:val="2"/>
          <w:sz w:val="32"/>
          <w:szCs w:val="32"/>
        </w:rPr>
        <w:t>，</w:t>
      </w:r>
      <w:r>
        <w:rPr>
          <w:rFonts w:ascii="仿宋" w:hAnsi="仿宋" w:eastAsia="仿宋" w:cs="Times New Roman"/>
          <w:kern w:val="2"/>
          <w:sz w:val="32"/>
          <w:szCs w:val="32"/>
          <w:lang w:val="zh-CN"/>
        </w:rPr>
        <w:t>与上年持平。</w:t>
      </w:r>
    </w:p>
    <w:tbl>
      <w:tblPr>
        <w:tblStyle w:val="12"/>
        <w:tblW w:w="7825" w:type="dxa"/>
        <w:tblInd w:w="79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113" w:type="dxa"/>
          <w:right w:w="108" w:type="dxa"/>
        </w:tblCellMar>
      </w:tblPr>
      <w:tblGrid>
        <w:gridCol w:w="78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113" w:type="dxa"/>
            <w:right w:w="108" w:type="dxa"/>
          </w:tblCellMar>
        </w:tblPrEx>
        <w:trPr>
          <w:trHeight w:val="5377" w:hRule="atLeast"/>
        </w:trPr>
        <w:tc>
          <w:tcPr>
            <w:tcW w:w="7825" w:type="dxa"/>
            <w:vAlign w:val="bottom"/>
          </w:tcPr>
          <w:p>
            <w:pPr>
              <w:adjustRightInd w:val="0"/>
              <w:snapToGrid w:val="0"/>
              <w:spacing w:line="580" w:lineRule="exact"/>
              <w:jc w:val="center"/>
              <w:rPr>
                <w:rFonts w:ascii="仿宋_GB2312" w:hAnsi="Times New Roman" w:eastAsia="仿宋" w:cs="DengXian-Regular"/>
                <w:sz w:val="32"/>
                <w:szCs w:val="32"/>
                <w:highlight w:val="yellow"/>
              </w:rPr>
            </w:pPr>
            <w:bookmarkStart w:id="1" w:name="_Hlk177574799"/>
            <w:r>
              <w:rPr>
                <w:rFonts w:hint="eastAsia" w:ascii="仿宋_GB2312" w:hAnsi="Times New Roman" w:eastAsia="仿宋" w:cs="DengXian-Regular"/>
                <w:sz w:val="32"/>
                <w:szCs w:val="32"/>
              </w:rPr>
              <w:drawing>
                <wp:anchor distT="0" distB="0" distL="114300" distR="114300" simplePos="0" relativeHeight="251678720" behindDoc="0" locked="0" layoutInCell="1" allowOverlap="1">
                  <wp:simplePos x="0" y="0"/>
                  <wp:positionH relativeFrom="column">
                    <wp:posOffset>276860</wp:posOffset>
                  </wp:positionH>
                  <wp:positionV relativeFrom="paragraph">
                    <wp:posOffset>69850</wp:posOffset>
                  </wp:positionV>
                  <wp:extent cx="4273550" cy="3168650"/>
                  <wp:effectExtent l="0" t="0" r="0" b="0"/>
                  <wp:wrapNone/>
                  <wp:docPr id="636018768"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018768" name="图片 2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4273550" cy="3168650"/>
                          </a:xfrm>
                          <a:prstGeom prst="rect">
                            <a:avLst/>
                          </a:prstGeom>
                          <a:noFill/>
                          <a:ln>
                            <a:noFill/>
                          </a:ln>
                        </pic:spPr>
                      </pic:pic>
                    </a:graphicData>
                  </a:graphic>
                </wp:anchor>
              </w:drawing>
            </w:r>
          </w:p>
        </w:tc>
      </w:tr>
      <w:bookmarkEnd w:id="1"/>
    </w:tbl>
    <w:p>
      <w:pPr>
        <w:snapToGrid w:val="0"/>
        <w:spacing w:after="0" w:line="360" w:lineRule="auto"/>
        <w:ind w:firstLine="643" w:firstLineChars="200"/>
        <w:rPr>
          <w:rFonts w:hint="eastAsia" w:ascii="楷体" w:hAnsi="楷体" w:eastAsia="楷体"/>
          <w:b/>
          <w:bCs/>
          <w:sz w:val="32"/>
          <w:szCs w:val="32"/>
        </w:rPr>
      </w:pPr>
      <w:r>
        <w:rPr>
          <w:rFonts w:ascii="楷体" w:hAnsi="楷体" w:eastAsia="楷体"/>
          <w:b/>
          <w:bCs/>
          <w:sz w:val="32"/>
          <w:szCs w:val="32"/>
        </w:rPr>
        <w:t>（二）财政拨款收支与年初预算数对比情况</w:t>
      </w:r>
    </w:p>
    <w:p>
      <w:pPr>
        <w:autoSpaceDE w:val="0"/>
        <w:autoSpaceDN w:val="0"/>
        <w:adjustRightInd w:val="0"/>
        <w:snapToGrid w:val="0"/>
        <w:spacing w:after="0" w:line="360" w:lineRule="auto"/>
        <w:ind w:firstLine="640" w:firstLineChars="200"/>
        <w:jc w:val="left"/>
        <w:rPr>
          <w:rFonts w:hint="eastAsia" w:ascii="仿宋" w:hAnsi="仿宋" w:eastAsia="仿宋" w:cs="Times New Roman"/>
          <w:kern w:val="2"/>
          <w:sz w:val="32"/>
          <w:szCs w:val="32"/>
          <w:lang w:val="zh-CN"/>
        </w:rPr>
      </w:pPr>
      <w:r>
        <w:rPr>
          <w:rFonts w:ascii="仿宋" w:hAnsi="仿宋" w:eastAsia="仿宋" w:cs="Times New Roman"/>
          <w:kern w:val="2"/>
          <w:sz w:val="32"/>
          <w:szCs w:val="32"/>
          <w:lang w:val="zh-CN"/>
        </w:rPr>
        <w:t>本</w:t>
      </w:r>
      <w:r>
        <w:rPr>
          <w:rFonts w:hint="eastAsia" w:ascii="仿宋" w:hAnsi="仿宋" w:eastAsia="仿宋" w:cs="Times New Roman"/>
          <w:kern w:val="2"/>
          <w:sz w:val="32"/>
          <w:szCs w:val="32"/>
          <w:lang w:val="zh-CN"/>
        </w:rPr>
        <w:t>部门</w:t>
      </w:r>
      <w:r>
        <w:rPr>
          <w:rFonts w:ascii="仿宋" w:hAnsi="仿宋" w:eastAsia="仿宋" w:cs="Times New Roman"/>
          <w:kern w:val="2"/>
          <w:sz w:val="32"/>
          <w:szCs w:val="32"/>
          <w:lang w:val="zh-CN"/>
        </w:rPr>
        <w:t>202</w:t>
      </w:r>
      <w:r>
        <w:rPr>
          <w:rFonts w:ascii="仿宋" w:hAnsi="仿宋" w:eastAsia="仿宋" w:cs="Times New Roman"/>
          <w:kern w:val="2"/>
          <w:sz w:val="32"/>
          <w:szCs w:val="32"/>
        </w:rPr>
        <w:t>3</w:t>
      </w:r>
      <w:r>
        <w:rPr>
          <w:rFonts w:ascii="仿宋" w:hAnsi="仿宋" w:eastAsia="仿宋" w:cs="Times New Roman"/>
          <w:kern w:val="2"/>
          <w:sz w:val="32"/>
          <w:szCs w:val="32"/>
          <w:lang w:val="zh-CN"/>
        </w:rPr>
        <w:t>年度财政拨款本年收入</w:t>
      </w:r>
      <w:r>
        <w:rPr>
          <w:rFonts w:hint="eastAsia" w:ascii="仿宋" w:hAnsi="仿宋" w:eastAsia="仿宋"/>
          <w:kern w:val="2"/>
          <w:sz w:val="32"/>
          <w:szCs w:val="32"/>
          <w:lang w:val="zh-CN"/>
        </w:rPr>
        <w:t>合计</w:t>
      </w:r>
      <w:r>
        <w:rPr>
          <w:rFonts w:ascii="仿宋" w:hAnsi="仿宋" w:eastAsia="仿宋" w:cs="Times New Roman"/>
          <w:kern w:val="2"/>
          <w:sz w:val="32"/>
          <w:szCs w:val="32"/>
          <w:lang w:val="zh-CN"/>
        </w:rPr>
        <w:t>14059.69万元，完成年初预算的119.4%，比年初预算增加2283.52万元，决算数大于预算数</w:t>
      </w:r>
      <w:r>
        <w:rPr>
          <w:rFonts w:hint="eastAsia" w:ascii="仿宋" w:hAnsi="仿宋" w:eastAsia="仿宋" w:cs="Times New Roman"/>
          <w:kern w:val="2"/>
          <w:sz w:val="32"/>
          <w:szCs w:val="32"/>
          <w:lang w:val="zh-CN"/>
        </w:rPr>
        <w:t>，</w:t>
      </w:r>
      <w:r>
        <w:rPr>
          <w:rFonts w:ascii="仿宋" w:hAnsi="仿宋" w:eastAsia="仿宋" w:cs="Times New Roman"/>
          <w:kern w:val="2"/>
          <w:sz w:val="32"/>
          <w:szCs w:val="32"/>
          <w:highlight w:val="none"/>
          <w:lang w:val="zh-CN"/>
        </w:rPr>
        <w:t>主要</w:t>
      </w:r>
      <w:r>
        <w:rPr>
          <w:rFonts w:hint="eastAsia" w:ascii="仿宋" w:hAnsi="仿宋" w:eastAsia="仿宋" w:cs="Times New Roman"/>
          <w:kern w:val="2"/>
          <w:sz w:val="32"/>
          <w:szCs w:val="32"/>
          <w:highlight w:val="none"/>
          <w:lang w:val="zh-CN"/>
        </w:rPr>
        <w:t>原因是：</w:t>
      </w:r>
      <w:r>
        <w:rPr>
          <w:rFonts w:hint="eastAsia" w:ascii="仿宋" w:hAnsi="仿宋" w:eastAsia="仿宋" w:cs="Times New Roman"/>
          <w:kern w:val="2"/>
          <w:sz w:val="32"/>
          <w:szCs w:val="32"/>
          <w:highlight w:val="none"/>
          <w:lang w:val="en-US" w:eastAsia="zh-CN"/>
        </w:rPr>
        <w:t>政府性基金预算财政拨款收入增加</w:t>
      </w:r>
      <w:r>
        <w:rPr>
          <w:rFonts w:ascii="仿宋" w:hAnsi="仿宋" w:eastAsia="仿宋" w:cs="Times New Roman"/>
          <w:kern w:val="2"/>
          <w:sz w:val="32"/>
          <w:szCs w:val="32"/>
          <w:lang w:val="zh-CN"/>
        </w:rPr>
        <w:t>；本年支出</w:t>
      </w:r>
      <w:r>
        <w:rPr>
          <w:rFonts w:hint="eastAsia" w:ascii="仿宋" w:hAnsi="仿宋" w:eastAsia="仿宋"/>
          <w:kern w:val="2"/>
          <w:sz w:val="32"/>
          <w:szCs w:val="32"/>
          <w:lang w:val="zh-CN"/>
        </w:rPr>
        <w:t>合计</w:t>
      </w:r>
      <w:r>
        <w:rPr>
          <w:rFonts w:ascii="仿宋" w:hAnsi="仿宋" w:eastAsia="仿宋" w:cs="Times New Roman"/>
          <w:kern w:val="2"/>
          <w:sz w:val="32"/>
          <w:szCs w:val="32"/>
          <w:lang w:val="zh-CN"/>
        </w:rPr>
        <w:t>14059.69万元，完成年初预算的119.4%，比年初预算增加2283.52万元，决算数大于预算数</w:t>
      </w:r>
      <w:r>
        <w:rPr>
          <w:rFonts w:hint="eastAsia" w:ascii="仿宋" w:hAnsi="仿宋" w:eastAsia="仿宋" w:cs="Times New Roman"/>
          <w:kern w:val="2"/>
          <w:sz w:val="32"/>
          <w:szCs w:val="32"/>
          <w:lang w:val="zh-CN"/>
        </w:rPr>
        <w:t>，</w:t>
      </w:r>
      <w:r>
        <w:rPr>
          <w:rFonts w:ascii="仿宋" w:hAnsi="仿宋" w:eastAsia="仿宋" w:cs="Times New Roman"/>
          <w:kern w:val="2"/>
          <w:sz w:val="32"/>
          <w:szCs w:val="32"/>
          <w:highlight w:val="none"/>
          <w:lang w:val="zh-CN"/>
        </w:rPr>
        <w:t>主要</w:t>
      </w:r>
      <w:r>
        <w:rPr>
          <w:rFonts w:hint="eastAsia" w:ascii="仿宋" w:hAnsi="仿宋" w:eastAsia="仿宋" w:cs="Times New Roman"/>
          <w:kern w:val="2"/>
          <w:sz w:val="32"/>
          <w:szCs w:val="32"/>
          <w:highlight w:val="none"/>
          <w:lang w:val="zh-CN"/>
        </w:rPr>
        <w:t>原因是：</w:t>
      </w:r>
      <w:r>
        <w:rPr>
          <w:rFonts w:hint="eastAsia" w:ascii="仿宋" w:hAnsi="仿宋" w:eastAsia="仿宋" w:cs="Times New Roman"/>
          <w:kern w:val="2"/>
          <w:sz w:val="32"/>
          <w:szCs w:val="32"/>
          <w:highlight w:val="none"/>
          <w:lang w:val="en-US" w:eastAsia="zh-CN"/>
        </w:rPr>
        <w:t>政府性基金预算财政拨款收入增加</w:t>
      </w:r>
      <w:r>
        <w:rPr>
          <w:rFonts w:ascii="仿宋" w:hAnsi="仿宋" w:eastAsia="仿宋" w:cs="Times New Roman"/>
          <w:kern w:val="2"/>
          <w:sz w:val="32"/>
          <w:szCs w:val="32"/>
          <w:lang w:val="zh-CN"/>
        </w:rPr>
        <w:t>。具体情况如下：</w:t>
      </w:r>
    </w:p>
    <w:p>
      <w:pPr>
        <w:autoSpaceDE w:val="0"/>
        <w:autoSpaceDN w:val="0"/>
        <w:adjustRightInd w:val="0"/>
        <w:snapToGrid w:val="0"/>
        <w:spacing w:after="0" w:line="360" w:lineRule="auto"/>
        <w:ind w:firstLine="640" w:firstLineChars="200"/>
        <w:jc w:val="left"/>
        <w:rPr>
          <w:rFonts w:hint="eastAsia" w:ascii="仿宋" w:hAnsi="仿宋" w:eastAsia="仿宋" w:cs="Times New Roman"/>
          <w:kern w:val="2"/>
          <w:sz w:val="32"/>
          <w:szCs w:val="32"/>
          <w:lang w:val="zh-CN"/>
        </w:rPr>
      </w:pPr>
      <w:r>
        <w:rPr>
          <w:rFonts w:ascii="仿宋" w:hAnsi="仿宋" w:eastAsia="仿宋" w:cs="Times New Roman"/>
          <w:kern w:val="2"/>
          <w:sz w:val="32"/>
          <w:szCs w:val="32"/>
        </w:rPr>
        <w:t>1.</w:t>
      </w:r>
      <w:r>
        <w:rPr>
          <w:rFonts w:ascii="仿宋" w:hAnsi="仿宋" w:eastAsia="仿宋" w:cs="Times New Roman"/>
          <w:kern w:val="2"/>
          <w:sz w:val="32"/>
          <w:szCs w:val="32"/>
          <w:lang w:val="zh-CN"/>
        </w:rPr>
        <w:t>一般公共预算财政拨款</w:t>
      </w:r>
      <w:r>
        <w:rPr>
          <w:rFonts w:ascii="仿宋" w:hAnsi="仿宋" w:eastAsia="仿宋" w:cs="Times New Roman"/>
          <w:kern w:val="2"/>
          <w:sz w:val="32"/>
          <w:szCs w:val="32"/>
        </w:rPr>
        <w:t>本年</w:t>
      </w:r>
      <w:r>
        <w:rPr>
          <w:rFonts w:ascii="仿宋" w:hAnsi="仿宋" w:eastAsia="仿宋" w:cs="Times New Roman"/>
          <w:kern w:val="2"/>
          <w:sz w:val="32"/>
          <w:szCs w:val="32"/>
          <w:lang w:val="zh-CN"/>
        </w:rPr>
        <w:t>收入</w:t>
      </w:r>
      <w:r>
        <w:rPr>
          <w:rFonts w:hint="eastAsia" w:ascii="仿宋" w:hAnsi="仿宋" w:eastAsia="仿宋"/>
          <w:kern w:val="2"/>
          <w:sz w:val="32"/>
          <w:szCs w:val="32"/>
          <w:lang w:val="zh-CN"/>
        </w:rPr>
        <w:t>合计</w:t>
      </w:r>
      <w:r>
        <w:rPr>
          <w:rFonts w:hint="eastAsia" w:ascii="仿宋" w:hAnsi="仿宋" w:eastAsia="仿宋" w:cs="Times New Roman"/>
          <w:kern w:val="2"/>
          <w:sz w:val="32"/>
          <w:szCs w:val="32"/>
        </w:rPr>
        <w:t>1016.99</w:t>
      </w:r>
      <w:r>
        <w:rPr>
          <w:rFonts w:ascii="仿宋" w:hAnsi="仿宋" w:eastAsia="仿宋" w:cs="Times New Roman"/>
          <w:kern w:val="2"/>
          <w:sz w:val="32"/>
          <w:szCs w:val="32"/>
          <w:lang w:val="zh-CN"/>
        </w:rPr>
        <w:t>万元，完成年初预算的57.3%，比年初预算减少759.18万元，</w:t>
      </w:r>
      <w:r>
        <w:rPr>
          <w:rFonts w:ascii="仿宋" w:hAnsi="仿宋" w:eastAsia="仿宋" w:cs="Times New Roman"/>
          <w:kern w:val="2"/>
          <w:sz w:val="32"/>
          <w:szCs w:val="32"/>
          <w:highlight w:val="none"/>
          <w:lang w:val="zh-CN"/>
        </w:rPr>
        <w:t>主要</w:t>
      </w:r>
      <w:r>
        <w:rPr>
          <w:rFonts w:hint="eastAsia" w:ascii="仿宋" w:hAnsi="仿宋" w:eastAsia="仿宋" w:cs="Times New Roman"/>
          <w:kern w:val="2"/>
          <w:sz w:val="32"/>
          <w:szCs w:val="32"/>
          <w:highlight w:val="none"/>
          <w:lang w:val="zh-CN"/>
        </w:rPr>
        <w:t>原因是：</w:t>
      </w:r>
      <w:r>
        <w:rPr>
          <w:rFonts w:hint="eastAsia" w:ascii="仿宋" w:hAnsi="仿宋" w:eastAsia="仿宋" w:cs="Times New Roman"/>
          <w:kern w:val="2"/>
          <w:sz w:val="32"/>
          <w:szCs w:val="32"/>
          <w:highlight w:val="none"/>
          <w:lang w:val="en-US" w:eastAsia="zh-CN"/>
        </w:rPr>
        <w:t>部分项目支出减少</w:t>
      </w:r>
      <w:r>
        <w:rPr>
          <w:rFonts w:ascii="仿宋" w:hAnsi="仿宋" w:eastAsia="仿宋" w:cs="Times New Roman"/>
          <w:kern w:val="2"/>
          <w:sz w:val="32"/>
          <w:szCs w:val="32"/>
          <w:lang w:val="zh-CN"/>
        </w:rPr>
        <w:t>；本年支出</w:t>
      </w:r>
      <w:r>
        <w:rPr>
          <w:rFonts w:hint="eastAsia" w:ascii="仿宋" w:hAnsi="仿宋" w:eastAsia="仿宋"/>
          <w:kern w:val="2"/>
          <w:sz w:val="32"/>
          <w:szCs w:val="32"/>
          <w:lang w:val="zh-CN"/>
        </w:rPr>
        <w:t>合计</w:t>
      </w:r>
      <w:r>
        <w:rPr>
          <w:rFonts w:hint="eastAsia" w:ascii="仿宋" w:hAnsi="仿宋" w:eastAsia="仿宋" w:cs="Times New Roman"/>
          <w:kern w:val="2"/>
          <w:sz w:val="32"/>
          <w:szCs w:val="32"/>
        </w:rPr>
        <w:t>1016.99</w:t>
      </w:r>
      <w:r>
        <w:rPr>
          <w:rFonts w:ascii="仿宋" w:hAnsi="仿宋" w:eastAsia="仿宋" w:cs="Times New Roman"/>
          <w:kern w:val="2"/>
          <w:sz w:val="32"/>
          <w:szCs w:val="32"/>
          <w:lang w:val="zh-CN"/>
        </w:rPr>
        <w:t>万元，完成年初预算的57.3%，比年初预算减少759.18万元，</w:t>
      </w:r>
      <w:r>
        <w:rPr>
          <w:rFonts w:ascii="仿宋" w:hAnsi="仿宋" w:eastAsia="仿宋" w:cs="Times New Roman"/>
          <w:kern w:val="2"/>
          <w:sz w:val="32"/>
          <w:szCs w:val="32"/>
          <w:highlight w:val="none"/>
          <w:lang w:val="zh-CN"/>
        </w:rPr>
        <w:t>主要</w:t>
      </w:r>
      <w:r>
        <w:rPr>
          <w:rFonts w:hint="eastAsia" w:ascii="仿宋" w:hAnsi="仿宋" w:eastAsia="仿宋" w:cs="Times New Roman"/>
          <w:kern w:val="2"/>
          <w:sz w:val="32"/>
          <w:szCs w:val="32"/>
          <w:highlight w:val="none"/>
          <w:lang w:val="zh-CN"/>
        </w:rPr>
        <w:t>原因是：</w:t>
      </w:r>
      <w:r>
        <w:rPr>
          <w:rFonts w:hint="eastAsia" w:ascii="仿宋" w:hAnsi="仿宋" w:eastAsia="仿宋" w:cs="Times New Roman"/>
          <w:kern w:val="2"/>
          <w:sz w:val="32"/>
          <w:szCs w:val="32"/>
          <w:highlight w:val="none"/>
          <w:lang w:val="en-US" w:eastAsia="zh-CN"/>
        </w:rPr>
        <w:t>部分项目支出减少</w:t>
      </w:r>
      <w:r>
        <w:rPr>
          <w:rFonts w:ascii="仿宋" w:hAnsi="仿宋" w:eastAsia="仿宋" w:cs="Times New Roman"/>
          <w:kern w:val="2"/>
          <w:sz w:val="32"/>
          <w:szCs w:val="32"/>
          <w:lang w:val="zh-CN"/>
        </w:rPr>
        <w:t>。</w:t>
      </w:r>
    </w:p>
    <w:p>
      <w:pPr>
        <w:autoSpaceDE w:val="0"/>
        <w:autoSpaceDN w:val="0"/>
        <w:adjustRightInd w:val="0"/>
        <w:snapToGrid w:val="0"/>
        <w:spacing w:after="0" w:line="360" w:lineRule="auto"/>
        <w:ind w:firstLine="640" w:firstLineChars="200"/>
        <w:jc w:val="left"/>
        <w:rPr>
          <w:rFonts w:hint="eastAsia" w:ascii="仿宋" w:hAnsi="仿宋" w:eastAsia="仿宋" w:cs="Times New Roman"/>
          <w:kern w:val="2"/>
          <w:sz w:val="32"/>
          <w:szCs w:val="32"/>
          <w:lang w:val="zh-CN"/>
        </w:rPr>
      </w:pPr>
      <w:r>
        <w:rPr>
          <w:rFonts w:ascii="仿宋" w:hAnsi="仿宋" w:eastAsia="仿宋" w:cs="Times New Roman"/>
          <w:kern w:val="2"/>
          <w:sz w:val="32"/>
          <w:szCs w:val="32"/>
          <w:lang w:val="zh-CN"/>
        </w:rPr>
        <w:t>2. 政府性基金预算财政拨款本年收入</w:t>
      </w:r>
      <w:r>
        <w:rPr>
          <w:rFonts w:hint="eastAsia" w:ascii="仿宋" w:hAnsi="仿宋" w:eastAsia="仿宋"/>
          <w:kern w:val="2"/>
          <w:sz w:val="32"/>
          <w:szCs w:val="32"/>
          <w:lang w:val="zh-CN"/>
        </w:rPr>
        <w:t>合计</w:t>
      </w:r>
      <w:r>
        <w:rPr>
          <w:rFonts w:hint="eastAsia" w:ascii="仿宋" w:hAnsi="仿宋" w:eastAsia="仿宋" w:cs="Times New Roman"/>
          <w:kern w:val="2"/>
          <w:sz w:val="32"/>
          <w:szCs w:val="32"/>
        </w:rPr>
        <w:t>13042.70</w:t>
      </w:r>
      <w:r>
        <w:rPr>
          <w:rFonts w:ascii="仿宋" w:hAnsi="仿宋" w:eastAsia="仿宋" w:cs="Times New Roman"/>
          <w:kern w:val="2"/>
          <w:sz w:val="32"/>
          <w:szCs w:val="32"/>
          <w:lang w:val="zh-CN"/>
        </w:rPr>
        <w:t>万元，完成年初预算的130.4%，比年初预算增加3042.70万元，</w:t>
      </w:r>
      <w:r>
        <w:rPr>
          <w:rFonts w:ascii="仿宋" w:hAnsi="仿宋" w:eastAsia="仿宋" w:cs="Times New Roman"/>
          <w:kern w:val="2"/>
          <w:sz w:val="32"/>
          <w:szCs w:val="32"/>
          <w:highlight w:val="none"/>
          <w:lang w:val="zh-CN"/>
        </w:rPr>
        <w:t>主要</w:t>
      </w:r>
      <w:r>
        <w:rPr>
          <w:rFonts w:hint="eastAsia" w:ascii="仿宋" w:hAnsi="仿宋" w:eastAsia="仿宋" w:cs="Times New Roman"/>
          <w:kern w:val="2"/>
          <w:sz w:val="32"/>
          <w:szCs w:val="32"/>
          <w:highlight w:val="none"/>
          <w:lang w:val="zh-CN"/>
        </w:rPr>
        <w:t>原因是：</w:t>
      </w:r>
      <w:r>
        <w:rPr>
          <w:rFonts w:hint="eastAsia" w:ascii="仿宋" w:hAnsi="仿宋" w:eastAsia="仿宋" w:cs="Times New Roman"/>
          <w:kern w:val="2"/>
          <w:sz w:val="32"/>
          <w:szCs w:val="32"/>
          <w:highlight w:val="none"/>
          <w:lang w:val="en-US" w:eastAsia="zh-CN"/>
        </w:rPr>
        <w:t>城乡社区支出增加</w:t>
      </w:r>
      <w:r>
        <w:rPr>
          <w:rFonts w:ascii="仿宋" w:hAnsi="仿宋" w:eastAsia="仿宋" w:cs="Times New Roman"/>
          <w:kern w:val="2"/>
          <w:sz w:val="32"/>
          <w:szCs w:val="32"/>
          <w:lang w:val="zh-CN"/>
        </w:rPr>
        <w:t>；本年支出</w:t>
      </w:r>
      <w:r>
        <w:rPr>
          <w:rFonts w:hint="eastAsia" w:ascii="仿宋" w:hAnsi="仿宋" w:eastAsia="仿宋"/>
          <w:kern w:val="2"/>
          <w:sz w:val="32"/>
          <w:szCs w:val="32"/>
          <w:lang w:val="zh-CN"/>
        </w:rPr>
        <w:t>合计</w:t>
      </w:r>
      <w:r>
        <w:rPr>
          <w:rFonts w:hint="eastAsia" w:ascii="仿宋" w:hAnsi="仿宋" w:eastAsia="仿宋" w:cs="Times New Roman"/>
          <w:kern w:val="2"/>
          <w:sz w:val="32"/>
          <w:szCs w:val="32"/>
        </w:rPr>
        <w:t>13042.70</w:t>
      </w:r>
      <w:r>
        <w:rPr>
          <w:rFonts w:ascii="仿宋" w:hAnsi="仿宋" w:eastAsia="仿宋" w:cs="Times New Roman"/>
          <w:kern w:val="2"/>
          <w:sz w:val="32"/>
          <w:szCs w:val="32"/>
          <w:lang w:val="zh-CN"/>
        </w:rPr>
        <w:t>万元，完成年初预算的130.4%，比年初预算增加3042.70万元，</w:t>
      </w:r>
      <w:r>
        <w:rPr>
          <w:rFonts w:ascii="仿宋" w:hAnsi="仿宋" w:eastAsia="仿宋" w:cs="Times New Roman"/>
          <w:kern w:val="2"/>
          <w:sz w:val="32"/>
          <w:szCs w:val="32"/>
          <w:highlight w:val="none"/>
          <w:lang w:val="zh-CN"/>
        </w:rPr>
        <w:t>主要</w:t>
      </w:r>
      <w:r>
        <w:rPr>
          <w:rFonts w:hint="eastAsia" w:ascii="仿宋" w:hAnsi="仿宋" w:eastAsia="仿宋" w:cs="Times New Roman"/>
          <w:kern w:val="2"/>
          <w:sz w:val="32"/>
          <w:szCs w:val="32"/>
          <w:highlight w:val="none"/>
          <w:lang w:val="zh-CN"/>
        </w:rPr>
        <w:t>原因是：</w:t>
      </w:r>
      <w:r>
        <w:rPr>
          <w:rFonts w:hint="eastAsia" w:ascii="仿宋" w:hAnsi="仿宋" w:eastAsia="仿宋" w:cs="Times New Roman"/>
          <w:kern w:val="2"/>
          <w:sz w:val="32"/>
          <w:szCs w:val="32"/>
          <w:highlight w:val="none"/>
          <w:lang w:val="en-US" w:eastAsia="zh-CN"/>
        </w:rPr>
        <w:t>城乡社区支出增加</w:t>
      </w:r>
      <w:r>
        <w:rPr>
          <w:rFonts w:ascii="仿宋" w:hAnsi="仿宋" w:eastAsia="仿宋" w:cs="Times New Roman"/>
          <w:kern w:val="2"/>
          <w:sz w:val="32"/>
          <w:szCs w:val="32"/>
          <w:lang w:val="zh-CN"/>
        </w:rPr>
        <w:t>。</w:t>
      </w:r>
    </w:p>
    <w:p>
      <w:pPr>
        <w:autoSpaceDE w:val="0"/>
        <w:autoSpaceDN w:val="0"/>
        <w:adjustRightInd w:val="0"/>
        <w:snapToGrid w:val="0"/>
        <w:spacing w:after="0" w:line="360" w:lineRule="auto"/>
        <w:ind w:firstLine="640" w:firstLineChars="200"/>
        <w:jc w:val="left"/>
        <w:rPr>
          <w:rFonts w:hint="eastAsia" w:ascii="仿宋" w:hAnsi="仿宋" w:eastAsia="仿宋" w:cs="Times New Roman"/>
          <w:kern w:val="2"/>
          <w:sz w:val="32"/>
          <w:szCs w:val="32"/>
          <w:lang w:val="zh-CN"/>
        </w:rPr>
      </w:pPr>
      <w:r>
        <w:rPr>
          <w:rFonts w:ascii="仿宋" w:hAnsi="仿宋" w:eastAsia="仿宋" w:cs="Times New Roman"/>
          <w:kern w:val="2"/>
          <w:sz w:val="32"/>
          <w:szCs w:val="32"/>
          <w:lang w:val="zh-CN"/>
        </w:rPr>
        <w:t xml:space="preserve">3. </w:t>
      </w:r>
      <w:r>
        <w:rPr>
          <w:rFonts w:hint="eastAsia" w:ascii="仿宋" w:hAnsi="仿宋" w:eastAsia="仿宋" w:cs="仿宋_GB2312"/>
          <w:kern w:val="2"/>
          <w:sz w:val="32"/>
          <w:szCs w:val="32"/>
          <w:lang w:val="zh-CN"/>
        </w:rPr>
        <w:t>国有资本经营预算财政拨款本年收入</w:t>
      </w:r>
      <w:r>
        <w:rPr>
          <w:rFonts w:hint="eastAsia" w:ascii="仿宋" w:hAnsi="仿宋" w:eastAsia="仿宋"/>
          <w:kern w:val="2"/>
          <w:sz w:val="32"/>
          <w:szCs w:val="32"/>
          <w:lang w:val="zh-CN"/>
        </w:rPr>
        <w:t>合计</w:t>
      </w:r>
      <w:r>
        <w:rPr>
          <w:rFonts w:hint="eastAsia" w:ascii="仿宋" w:hAnsi="仿宋" w:eastAsia="仿宋" w:cs="Times New Roman"/>
          <w:kern w:val="2"/>
          <w:sz w:val="32"/>
          <w:szCs w:val="32"/>
        </w:rPr>
        <w:t>0.00万元</w:t>
      </w:r>
      <w:r>
        <w:rPr>
          <w:rFonts w:hint="eastAsia" w:ascii="仿宋" w:hAnsi="仿宋" w:eastAsia="仿宋" w:cs="仿宋_GB2312"/>
          <w:kern w:val="2"/>
          <w:sz w:val="32"/>
          <w:szCs w:val="32"/>
          <w:lang w:val="zh-CN"/>
        </w:rPr>
        <w:t>，与预算持平；本年支出</w:t>
      </w:r>
      <w:r>
        <w:rPr>
          <w:rFonts w:hint="eastAsia" w:ascii="仿宋" w:hAnsi="仿宋" w:eastAsia="仿宋"/>
          <w:kern w:val="2"/>
          <w:sz w:val="32"/>
          <w:szCs w:val="32"/>
          <w:lang w:val="zh-CN"/>
        </w:rPr>
        <w:t>合计</w:t>
      </w:r>
      <w:r>
        <w:rPr>
          <w:rFonts w:hint="eastAsia" w:ascii="仿宋" w:hAnsi="仿宋" w:eastAsia="仿宋" w:cs="Times New Roman"/>
          <w:kern w:val="2"/>
          <w:sz w:val="32"/>
          <w:szCs w:val="32"/>
        </w:rPr>
        <w:t>0.00万元</w:t>
      </w:r>
      <w:r>
        <w:rPr>
          <w:rFonts w:hint="eastAsia" w:ascii="仿宋" w:hAnsi="仿宋" w:eastAsia="仿宋" w:cs="仿宋_GB2312"/>
          <w:kern w:val="2"/>
          <w:sz w:val="32"/>
          <w:szCs w:val="32"/>
          <w:lang w:val="zh-CN"/>
        </w:rPr>
        <w:t>，与预算持平</w:t>
      </w:r>
      <w:r>
        <w:rPr>
          <w:rFonts w:ascii="仿宋" w:hAnsi="仿宋" w:eastAsia="仿宋" w:cs="Times New Roman"/>
          <w:kern w:val="2"/>
          <w:sz w:val="32"/>
          <w:szCs w:val="32"/>
          <w:lang w:val="zh-CN"/>
        </w:rPr>
        <w:t>。</w:t>
      </w:r>
    </w:p>
    <w:tbl>
      <w:tblPr>
        <w:tblStyle w:val="12"/>
        <w:tblW w:w="784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113" w:type="dxa"/>
          <w:right w:w="108" w:type="dxa"/>
        </w:tblCellMar>
      </w:tblPr>
      <w:tblGrid>
        <w:gridCol w:w="784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113" w:type="dxa"/>
            <w:right w:w="108" w:type="dxa"/>
          </w:tblCellMar>
        </w:tblPrEx>
        <w:trPr>
          <w:cantSplit/>
          <w:trHeight w:val="5203" w:hRule="atLeast"/>
          <w:jc w:val="center"/>
        </w:trPr>
        <w:tc>
          <w:tcPr>
            <w:tcW w:w="7842" w:type="dxa"/>
            <w:vAlign w:val="bottom"/>
          </w:tcPr>
          <w:p>
            <w:pPr>
              <w:adjustRightInd w:val="0"/>
              <w:snapToGrid w:val="0"/>
              <w:spacing w:line="580" w:lineRule="exact"/>
              <w:jc w:val="center"/>
              <w:rPr>
                <w:rFonts w:ascii="仿宋_GB2312" w:hAnsi="Times New Roman" w:eastAsia="仿宋" w:cs="DengXian-Regular"/>
                <w:sz w:val="32"/>
                <w:szCs w:val="32"/>
                <w:highlight w:val="yellow"/>
              </w:rPr>
            </w:pPr>
            <w:r>
              <w:rPr>
                <w:rFonts w:hint="eastAsia" w:ascii="仿宋_GB2312" w:hAnsi="Times New Roman" w:eastAsia="仿宋" w:cs="DengXian-Regular"/>
                <w:sz w:val="32"/>
                <w:szCs w:val="32"/>
              </w:rPr>
              <w:drawing>
                <wp:anchor distT="0" distB="0" distL="114300" distR="114300" simplePos="0" relativeHeight="251679744" behindDoc="0" locked="0" layoutInCell="1" allowOverlap="1">
                  <wp:simplePos x="0" y="0"/>
                  <wp:positionH relativeFrom="column">
                    <wp:posOffset>260350</wp:posOffset>
                  </wp:positionH>
                  <wp:positionV relativeFrom="paragraph">
                    <wp:posOffset>271145</wp:posOffset>
                  </wp:positionV>
                  <wp:extent cx="4324350" cy="2857500"/>
                  <wp:effectExtent l="0" t="0" r="0" b="0"/>
                  <wp:wrapNone/>
                  <wp:docPr id="615849003"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49003" name="图片 2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4324350" cy="2857500"/>
                          </a:xfrm>
                          <a:prstGeom prst="rect">
                            <a:avLst/>
                          </a:prstGeom>
                          <a:noFill/>
                          <a:ln>
                            <a:noFill/>
                          </a:ln>
                        </pic:spPr>
                      </pic:pic>
                    </a:graphicData>
                  </a:graphic>
                </wp:anchor>
              </w:drawing>
            </w:r>
          </w:p>
        </w:tc>
      </w:tr>
    </w:tbl>
    <w:p>
      <w:pPr>
        <w:snapToGrid w:val="0"/>
        <w:spacing w:after="0" w:line="360" w:lineRule="auto"/>
        <w:ind w:firstLine="643" w:firstLineChars="200"/>
        <w:rPr>
          <w:rFonts w:hint="eastAsia" w:ascii="楷体" w:hAnsi="楷体" w:eastAsia="楷体"/>
          <w:b/>
          <w:bCs/>
          <w:sz w:val="32"/>
          <w:szCs w:val="32"/>
        </w:rPr>
      </w:pPr>
      <w:r>
        <w:rPr>
          <w:rFonts w:ascii="楷体" w:hAnsi="楷体" w:eastAsia="楷体"/>
          <w:b/>
          <w:bCs/>
          <w:sz w:val="32"/>
          <w:szCs w:val="32"/>
        </w:rPr>
        <w:t>（三）财政拨款支出决算结构情况</w:t>
      </w:r>
    </w:p>
    <w:p>
      <w:pPr>
        <w:adjustRightInd w:val="0"/>
        <w:snapToGrid w:val="0"/>
        <w:spacing w:after="0" w:line="360" w:lineRule="auto"/>
        <w:ind w:firstLine="640" w:firstLineChars="200"/>
        <w:jc w:val="left"/>
        <w:rPr>
          <w:rFonts w:hint="eastAsia" w:ascii="仿宋" w:hAnsi="仿宋" w:eastAsia="仿宋" w:cs="Times New Roman"/>
          <w:sz w:val="32"/>
          <w:szCs w:val="32"/>
          <w:highlight w:val="yellow"/>
        </w:rPr>
      </w:pPr>
      <w:r>
        <w:rPr>
          <w:rFonts w:ascii="仿宋" w:hAnsi="仿宋" w:eastAsia="仿宋" w:cs="Times New Roman"/>
          <w:kern w:val="2"/>
          <w:sz w:val="32"/>
          <w:szCs w:val="32"/>
          <w:lang w:val="zh-CN"/>
        </w:rPr>
        <w:t>202</w:t>
      </w:r>
      <w:r>
        <w:rPr>
          <w:rFonts w:ascii="仿宋" w:hAnsi="仿宋" w:eastAsia="仿宋" w:cs="Times New Roman"/>
          <w:kern w:val="2"/>
          <w:sz w:val="32"/>
          <w:szCs w:val="32"/>
        </w:rPr>
        <w:t>3</w:t>
      </w:r>
      <w:r>
        <w:rPr>
          <w:rFonts w:ascii="仿宋" w:hAnsi="仿宋" w:eastAsia="仿宋" w:cs="Times New Roman"/>
          <w:kern w:val="2"/>
          <w:sz w:val="32"/>
          <w:szCs w:val="32"/>
          <w:lang w:val="zh-CN"/>
        </w:rPr>
        <w:t>年度财政拨款支出</w:t>
      </w:r>
      <w:r>
        <w:rPr>
          <w:rFonts w:hint="eastAsia" w:ascii="仿宋" w:hAnsi="仿宋" w:eastAsia="仿宋"/>
          <w:kern w:val="2"/>
          <w:sz w:val="32"/>
          <w:szCs w:val="32"/>
          <w:lang w:val="zh-CN"/>
        </w:rPr>
        <w:t>合计</w:t>
      </w:r>
      <w:r>
        <w:rPr>
          <w:rFonts w:hint="eastAsia" w:ascii="仿宋" w:hAnsi="仿宋" w:eastAsia="仿宋" w:cs="仿宋_GB2312"/>
          <w:kern w:val="2"/>
          <w:sz w:val="32"/>
          <w:szCs w:val="32"/>
          <w:lang w:val="zh-CN"/>
        </w:rPr>
        <w:t>14059.69</w:t>
      </w:r>
      <w:r>
        <w:rPr>
          <w:rFonts w:ascii="仿宋" w:hAnsi="仿宋" w:eastAsia="仿宋" w:cs="Times New Roman"/>
          <w:kern w:val="2"/>
          <w:sz w:val="32"/>
          <w:szCs w:val="32"/>
          <w:lang w:val="zh-CN"/>
        </w:rPr>
        <w:t>万元，主要用于以下方面：</w:t>
      </w:r>
    </w:p>
    <w:p>
      <w:pPr>
        <w:pStyle w:val="10"/>
        <w:widowControl/>
        <w:snapToGrid w:val="0"/>
        <w:spacing w:beforeAutospacing="0" w:afterAutospacing="0" w:line="360" w:lineRule="auto"/>
        <w:ind w:firstLine="640" w:firstLineChars="200"/>
        <w:rPr>
          <w:rFonts w:hint="eastAsia" w:ascii="仿宋" w:hAnsi="仿宋" w:eastAsia="仿宋"/>
          <w:kern w:val="2"/>
          <w:sz w:val="32"/>
          <w:szCs w:val="32"/>
          <w:lang w:val="zh-CN"/>
        </w:rPr>
      </w:pPr>
      <w:r>
        <w:rPr>
          <w:rFonts w:hint="eastAsia" w:ascii="仿宋" w:hAnsi="仿宋" w:eastAsia="仿宋" w:cs="仿宋_GB2312"/>
          <w:sz w:val="32"/>
          <w:szCs w:val="32"/>
        </w:rPr>
        <w:t>一般公共服务（类）支出565.90万元，占4.0%，</w:t>
      </w:r>
      <w:r>
        <w:rPr>
          <w:rFonts w:hint="eastAsia" w:ascii="仿宋" w:hAnsi="仿宋" w:eastAsia="仿宋" w:cs="仿宋_GB2312"/>
          <w:sz w:val="32"/>
          <w:szCs w:val="32"/>
          <w:highlight w:val="none"/>
        </w:rPr>
        <w:t>主要用于</w:t>
      </w:r>
      <w:r>
        <w:rPr>
          <w:rFonts w:hint="eastAsia" w:ascii="仿宋" w:hAnsi="仿宋" w:eastAsia="仿宋" w:cs="仿宋_GB2312"/>
          <w:sz w:val="32"/>
          <w:szCs w:val="32"/>
          <w:highlight w:val="none"/>
          <w:lang w:val="en-US" w:eastAsia="zh-CN"/>
        </w:rPr>
        <w:t>行政运行，招商引资</w:t>
      </w:r>
      <w:r>
        <w:rPr>
          <w:rFonts w:hint="eastAsia" w:ascii="仿宋" w:hAnsi="仿宋" w:eastAsia="仿宋" w:cs="仿宋_GB2312"/>
          <w:sz w:val="32"/>
          <w:szCs w:val="32"/>
          <w:highlight w:val="none"/>
        </w:rPr>
        <w:t>等支出</w:t>
      </w:r>
      <w:r>
        <w:rPr>
          <w:rFonts w:hint="eastAsia" w:ascii="仿宋" w:hAnsi="仿宋" w:eastAsia="仿宋" w:cs="仿宋_GB2312"/>
          <w:sz w:val="32"/>
          <w:szCs w:val="32"/>
        </w:rPr>
        <w:t>；社会保障和就业（类）支出15.17万元，占0.1%，</w:t>
      </w:r>
      <w:r>
        <w:rPr>
          <w:rFonts w:hint="eastAsia" w:ascii="仿宋" w:hAnsi="仿宋" w:eastAsia="仿宋" w:cs="仿宋_GB2312"/>
          <w:sz w:val="32"/>
          <w:szCs w:val="32"/>
          <w:highlight w:val="none"/>
        </w:rPr>
        <w:t>主要用于</w:t>
      </w:r>
      <w:r>
        <w:rPr>
          <w:rFonts w:hint="eastAsia" w:ascii="仿宋" w:hAnsi="仿宋" w:eastAsia="仿宋" w:cs="仿宋_GB2312"/>
          <w:sz w:val="32"/>
          <w:szCs w:val="32"/>
          <w:highlight w:val="none"/>
          <w:lang w:val="en-US" w:eastAsia="zh-CN"/>
        </w:rPr>
        <w:t>行政事业单位养老支出和机关事业单位基本养老保险缴费</w:t>
      </w:r>
      <w:r>
        <w:rPr>
          <w:rFonts w:hint="eastAsia" w:ascii="仿宋" w:hAnsi="仿宋" w:eastAsia="仿宋" w:cs="仿宋_GB2312"/>
          <w:sz w:val="32"/>
          <w:szCs w:val="32"/>
          <w:highlight w:val="none"/>
        </w:rPr>
        <w:t>等支出</w:t>
      </w:r>
      <w:r>
        <w:rPr>
          <w:rFonts w:hint="eastAsia" w:ascii="仿宋" w:hAnsi="仿宋" w:eastAsia="仿宋" w:cs="仿宋_GB2312"/>
          <w:sz w:val="32"/>
          <w:szCs w:val="32"/>
        </w:rPr>
        <w:t>；卫生健康（类）支出5.57万元，占0.0%，</w:t>
      </w:r>
      <w:r>
        <w:rPr>
          <w:rFonts w:hint="eastAsia" w:ascii="仿宋" w:hAnsi="仿宋" w:eastAsia="仿宋" w:cs="仿宋_GB2312"/>
          <w:sz w:val="32"/>
          <w:szCs w:val="32"/>
          <w:highlight w:val="none"/>
        </w:rPr>
        <w:t>主要用于</w:t>
      </w:r>
      <w:r>
        <w:rPr>
          <w:rFonts w:hint="eastAsia" w:ascii="仿宋" w:hAnsi="仿宋" w:eastAsia="仿宋" w:cs="仿宋_GB2312"/>
          <w:sz w:val="32"/>
          <w:szCs w:val="32"/>
          <w:highlight w:val="none"/>
          <w:lang w:val="en-US" w:eastAsia="zh-CN"/>
        </w:rPr>
        <w:t>行政事业单位医疗</w:t>
      </w:r>
      <w:r>
        <w:rPr>
          <w:rFonts w:hint="eastAsia" w:ascii="仿宋" w:hAnsi="仿宋" w:eastAsia="仿宋" w:cs="仿宋_GB2312"/>
          <w:sz w:val="32"/>
          <w:szCs w:val="32"/>
          <w:highlight w:val="none"/>
        </w:rPr>
        <w:t>等支出</w:t>
      </w:r>
      <w:r>
        <w:rPr>
          <w:rFonts w:hint="eastAsia" w:ascii="仿宋" w:hAnsi="仿宋" w:eastAsia="仿宋" w:cs="仿宋_GB2312"/>
          <w:sz w:val="32"/>
          <w:szCs w:val="32"/>
        </w:rPr>
        <w:t>；城乡社区（类）支出13462.70万元，占95.8%，</w:t>
      </w:r>
      <w:r>
        <w:rPr>
          <w:rFonts w:hint="eastAsia" w:ascii="仿宋" w:hAnsi="仿宋" w:eastAsia="仿宋" w:cs="仿宋_GB2312"/>
          <w:sz w:val="32"/>
          <w:szCs w:val="32"/>
          <w:highlight w:val="none"/>
        </w:rPr>
        <w:t>主要用于</w:t>
      </w:r>
      <w:r>
        <w:rPr>
          <w:rFonts w:hint="eastAsia" w:ascii="仿宋" w:hAnsi="仿宋" w:eastAsia="仿宋" w:cs="仿宋_GB2312"/>
          <w:sz w:val="32"/>
          <w:szCs w:val="32"/>
          <w:highlight w:val="none"/>
          <w:lang w:val="en-US" w:eastAsia="zh-CN"/>
        </w:rPr>
        <w:t>土地开发支出和其他国有土地使用权出让收入安排</w:t>
      </w:r>
      <w:r>
        <w:rPr>
          <w:rFonts w:hint="eastAsia" w:ascii="仿宋" w:hAnsi="仿宋" w:eastAsia="仿宋" w:cs="仿宋_GB2312"/>
          <w:sz w:val="32"/>
          <w:szCs w:val="32"/>
          <w:highlight w:val="none"/>
        </w:rPr>
        <w:t>等支出</w:t>
      </w:r>
      <w:r>
        <w:rPr>
          <w:rFonts w:hint="eastAsia" w:ascii="仿宋" w:hAnsi="仿宋" w:eastAsia="仿宋" w:cs="仿宋_GB2312"/>
          <w:sz w:val="32"/>
          <w:szCs w:val="32"/>
        </w:rPr>
        <w:t>；住房保障（类）支出10.34万元，占0.1%，</w:t>
      </w:r>
      <w:r>
        <w:rPr>
          <w:rFonts w:hint="eastAsia" w:ascii="仿宋" w:hAnsi="仿宋" w:eastAsia="仿宋" w:cs="仿宋_GB2312"/>
          <w:sz w:val="32"/>
          <w:szCs w:val="32"/>
          <w:highlight w:val="none"/>
        </w:rPr>
        <w:t>主要用于</w:t>
      </w:r>
      <w:r>
        <w:rPr>
          <w:rFonts w:hint="eastAsia" w:ascii="仿宋" w:hAnsi="仿宋" w:eastAsia="仿宋" w:cs="仿宋_GB2312"/>
          <w:sz w:val="32"/>
          <w:szCs w:val="32"/>
          <w:highlight w:val="none"/>
          <w:lang w:val="en-US" w:eastAsia="zh-CN"/>
        </w:rPr>
        <w:t>住房改革</w:t>
      </w:r>
      <w:r>
        <w:rPr>
          <w:rFonts w:hint="eastAsia" w:ascii="仿宋" w:hAnsi="仿宋" w:eastAsia="仿宋" w:cs="仿宋_GB2312"/>
          <w:sz w:val="32"/>
          <w:szCs w:val="32"/>
          <w:highlight w:val="none"/>
        </w:rPr>
        <w:t>等支出</w:t>
      </w:r>
      <w:r>
        <w:rPr>
          <w:rFonts w:ascii="仿宋" w:hAnsi="仿宋" w:eastAsia="仿宋"/>
          <w:kern w:val="2"/>
          <w:sz w:val="32"/>
          <w:szCs w:val="32"/>
          <w:lang w:val="zh-CN"/>
        </w:rPr>
        <w:t>。</w:t>
      </w:r>
    </w:p>
    <w:p>
      <w:pPr>
        <w:snapToGrid w:val="0"/>
        <w:spacing w:after="0" w:line="360" w:lineRule="auto"/>
        <w:ind w:firstLine="643" w:firstLineChars="200"/>
        <w:rPr>
          <w:rFonts w:hint="eastAsia" w:ascii="楷体" w:hAnsi="楷体" w:eastAsia="楷体"/>
          <w:b/>
          <w:bCs/>
          <w:sz w:val="32"/>
          <w:szCs w:val="32"/>
        </w:rPr>
      </w:pPr>
      <w:r>
        <w:rPr>
          <w:rFonts w:hint="eastAsia" w:ascii="楷体" w:hAnsi="楷体" w:eastAsia="楷体"/>
          <w:b/>
          <w:bCs/>
          <w:sz w:val="32"/>
          <w:szCs w:val="32"/>
        </w:rPr>
        <w:t>（四）</w:t>
      </w:r>
      <w:r>
        <w:rPr>
          <w:rFonts w:ascii="楷体" w:hAnsi="楷体" w:eastAsia="楷体"/>
          <w:b/>
          <w:bCs/>
          <w:sz w:val="32"/>
          <w:szCs w:val="32"/>
        </w:rPr>
        <w:t>一般公共预算基本支出决算情况说明</w:t>
      </w:r>
    </w:p>
    <w:p>
      <w:pPr>
        <w:pStyle w:val="10"/>
        <w:widowControl/>
        <w:snapToGrid w:val="0"/>
        <w:spacing w:beforeAutospacing="0" w:afterAutospacing="0" w:line="360" w:lineRule="auto"/>
        <w:ind w:firstLine="640" w:firstLineChars="200"/>
        <w:rPr>
          <w:rFonts w:hint="eastAsia" w:ascii="仿宋" w:hAnsi="仿宋" w:eastAsia="仿宋" w:cs="仿宋_GB2312"/>
          <w:sz w:val="32"/>
          <w:szCs w:val="32"/>
        </w:rPr>
      </w:pPr>
      <w:r>
        <w:rPr>
          <w:rFonts w:ascii="仿宋" w:hAnsi="仿宋" w:eastAsia="仿宋" w:cs="仿宋_GB2312"/>
          <w:sz w:val="32"/>
          <w:szCs w:val="32"/>
        </w:rPr>
        <w:t>2023年度财政拨款基本支出205.36万元，其中：</w:t>
      </w:r>
    </w:p>
    <w:p>
      <w:pPr>
        <w:pStyle w:val="10"/>
        <w:widowControl/>
        <w:snapToGrid w:val="0"/>
        <w:spacing w:beforeAutospacing="0" w:afterAutospacing="0" w:line="360" w:lineRule="auto"/>
        <w:ind w:firstLine="640" w:firstLineChars="200"/>
        <w:rPr>
          <w:rFonts w:hint="eastAsia" w:ascii="仿宋" w:hAnsi="仿宋" w:eastAsia="仿宋" w:cs="仿宋_GB2312"/>
          <w:sz w:val="32"/>
          <w:szCs w:val="32"/>
        </w:rPr>
      </w:pPr>
      <w:r>
        <w:rPr>
          <w:rFonts w:ascii="仿宋" w:hAnsi="仿宋" w:eastAsia="仿宋" w:cs="仿宋_GB2312"/>
          <w:sz w:val="32"/>
          <w:szCs w:val="32"/>
        </w:rPr>
        <w:t>人员经费197.75万元，主要包括:基本工资、津贴补贴、奖金、绩效工资、机关事业单位基本养老保险缴费、职工基本医疗保险缴费、其他社会保障缴费、住房公积金、其他工资福利支出、奖励金、其他对个人和家庭的补助；</w:t>
      </w:r>
    </w:p>
    <w:p>
      <w:pPr>
        <w:pStyle w:val="10"/>
        <w:widowControl/>
        <w:snapToGrid w:val="0"/>
        <w:spacing w:beforeAutospacing="0" w:afterAutospacing="0" w:line="360" w:lineRule="auto"/>
        <w:ind w:firstLine="640" w:firstLineChars="200"/>
        <w:rPr>
          <w:rFonts w:hint="eastAsia" w:ascii="仿宋" w:hAnsi="仿宋" w:eastAsia="仿宋" w:cs="仿宋_GB2312"/>
          <w:sz w:val="32"/>
          <w:szCs w:val="32"/>
        </w:rPr>
      </w:pPr>
      <w:r>
        <w:rPr>
          <w:rFonts w:ascii="仿宋" w:hAnsi="仿宋" w:eastAsia="仿宋" w:cs="仿宋_GB2312"/>
          <w:sz w:val="32"/>
          <w:szCs w:val="32"/>
        </w:rPr>
        <w:t>公用经费7.60万元，主要包括:电费、邮电费、工会经费、其他交通费用。</w:t>
      </w:r>
    </w:p>
    <w:p>
      <w:pPr>
        <w:snapToGrid w:val="0"/>
        <w:spacing w:after="0" w:line="360" w:lineRule="auto"/>
        <w:ind w:firstLine="640" w:firstLineChars="200"/>
        <w:rPr>
          <w:rFonts w:hint="eastAsia" w:ascii="黑体" w:hAnsi="黑体" w:eastAsia="黑体"/>
          <w:sz w:val="32"/>
          <w:szCs w:val="32"/>
          <w:shd w:val="clear" w:color="auto" w:fill="FFFFFF"/>
        </w:rPr>
      </w:pPr>
      <w:r>
        <w:rPr>
          <w:rFonts w:ascii="黑体" w:hAnsi="黑体" w:eastAsia="黑体"/>
          <w:sz w:val="32"/>
          <w:szCs w:val="32"/>
          <w:shd w:val="clear" w:color="auto" w:fill="FFFFFF"/>
        </w:rPr>
        <w:t>五、财政拨款“三公” 经费支出决算情况说明</w:t>
      </w:r>
    </w:p>
    <w:p>
      <w:pPr>
        <w:snapToGrid w:val="0"/>
        <w:spacing w:after="0" w:line="360" w:lineRule="auto"/>
        <w:ind w:firstLine="643" w:firstLineChars="200"/>
        <w:rPr>
          <w:rFonts w:hint="eastAsia" w:ascii="楷体" w:hAnsi="楷体" w:eastAsia="楷体"/>
          <w:b/>
          <w:bCs/>
          <w:sz w:val="32"/>
          <w:szCs w:val="32"/>
        </w:rPr>
      </w:pPr>
      <w:r>
        <w:rPr>
          <w:rFonts w:ascii="楷体" w:hAnsi="楷体" w:eastAsia="楷体"/>
          <w:b/>
          <w:bCs/>
          <w:sz w:val="32"/>
          <w:szCs w:val="32"/>
        </w:rPr>
        <w:t>（一）“三公”经费财政拨款支出决算总体情况说明</w:t>
      </w:r>
    </w:p>
    <w:p>
      <w:pPr>
        <w:pStyle w:val="10"/>
        <w:widowControl/>
        <w:snapToGrid w:val="0"/>
        <w:spacing w:beforeAutospacing="0" w:afterAutospacing="0" w:line="360" w:lineRule="auto"/>
        <w:ind w:firstLine="640" w:firstLineChars="200"/>
        <w:rPr>
          <w:rFonts w:hint="eastAsia" w:ascii="仿宋" w:hAnsi="仿宋" w:eastAsia="仿宋"/>
          <w:kern w:val="2"/>
          <w:sz w:val="32"/>
          <w:szCs w:val="32"/>
        </w:rPr>
      </w:pPr>
      <w:r>
        <w:rPr>
          <w:rFonts w:ascii="仿宋" w:hAnsi="仿宋" w:eastAsia="仿宋"/>
          <w:kern w:val="2"/>
          <w:sz w:val="32"/>
          <w:szCs w:val="32"/>
          <w:lang w:val="zh-CN"/>
        </w:rPr>
        <w:t>本</w:t>
      </w:r>
      <w:r>
        <w:rPr>
          <w:rFonts w:ascii="仿宋" w:hAnsi="仿宋" w:eastAsia="仿宋"/>
          <w:kern w:val="2"/>
          <w:sz w:val="32"/>
          <w:szCs w:val="32"/>
        </w:rPr>
        <w:t>部门2023</w:t>
      </w:r>
      <w:r>
        <w:rPr>
          <w:rFonts w:ascii="仿宋" w:hAnsi="仿宋" w:eastAsia="仿宋"/>
          <w:kern w:val="2"/>
          <w:sz w:val="32"/>
          <w:szCs w:val="32"/>
          <w:lang w:val="zh-CN"/>
        </w:rPr>
        <w:t>年度</w:t>
      </w:r>
      <w:r>
        <w:rPr>
          <w:rFonts w:ascii="仿宋" w:hAnsi="仿宋" w:eastAsia="仿宋"/>
          <w:kern w:val="2"/>
          <w:sz w:val="32"/>
          <w:szCs w:val="32"/>
        </w:rPr>
        <w:t>“</w:t>
      </w:r>
      <w:r>
        <w:rPr>
          <w:rFonts w:ascii="仿宋" w:hAnsi="仿宋" w:eastAsia="仿宋"/>
          <w:kern w:val="2"/>
          <w:sz w:val="32"/>
          <w:szCs w:val="32"/>
          <w:lang w:val="zh-CN"/>
        </w:rPr>
        <w:t>三公</w:t>
      </w:r>
      <w:r>
        <w:rPr>
          <w:rFonts w:ascii="仿宋" w:hAnsi="仿宋" w:eastAsia="仿宋"/>
          <w:kern w:val="2"/>
          <w:sz w:val="32"/>
          <w:szCs w:val="32"/>
        </w:rPr>
        <w:t>”</w:t>
      </w:r>
      <w:r>
        <w:rPr>
          <w:rFonts w:ascii="仿宋" w:hAnsi="仿宋" w:eastAsia="仿宋"/>
          <w:kern w:val="2"/>
          <w:sz w:val="32"/>
          <w:szCs w:val="32"/>
          <w:lang w:val="zh-CN"/>
        </w:rPr>
        <w:t>经费财政拨款支出预算为</w:t>
      </w:r>
      <w:r>
        <w:rPr>
          <w:rFonts w:ascii="仿宋" w:hAnsi="仿宋" w:eastAsia="仿宋"/>
          <w:kern w:val="2"/>
          <w:sz w:val="32"/>
          <w:szCs w:val="32"/>
        </w:rPr>
        <w:t>0.00</w:t>
      </w:r>
      <w:r>
        <w:rPr>
          <w:rFonts w:ascii="仿宋" w:hAnsi="仿宋" w:eastAsia="仿宋"/>
          <w:kern w:val="2"/>
          <w:sz w:val="32"/>
          <w:szCs w:val="32"/>
          <w:lang w:val="zh-CN"/>
        </w:rPr>
        <w:t>万元</w:t>
      </w:r>
      <w:r>
        <w:rPr>
          <w:rFonts w:ascii="仿宋" w:hAnsi="仿宋" w:eastAsia="仿宋"/>
          <w:kern w:val="2"/>
          <w:sz w:val="32"/>
          <w:szCs w:val="32"/>
        </w:rPr>
        <w:t>，</w:t>
      </w:r>
      <w:r>
        <w:rPr>
          <w:rFonts w:ascii="仿宋" w:hAnsi="仿宋" w:eastAsia="仿宋"/>
          <w:kern w:val="2"/>
          <w:sz w:val="32"/>
          <w:szCs w:val="32"/>
          <w:lang w:val="zh-CN"/>
        </w:rPr>
        <w:t>支出决算为</w:t>
      </w:r>
      <w:r>
        <w:rPr>
          <w:rFonts w:ascii="仿宋" w:hAnsi="仿宋" w:eastAsia="仿宋"/>
          <w:kern w:val="2"/>
          <w:sz w:val="32"/>
          <w:szCs w:val="32"/>
        </w:rPr>
        <w:t>0.00</w:t>
      </w:r>
      <w:r>
        <w:rPr>
          <w:rFonts w:ascii="仿宋" w:hAnsi="仿宋" w:eastAsia="仿宋"/>
          <w:kern w:val="2"/>
          <w:sz w:val="32"/>
          <w:szCs w:val="32"/>
          <w:lang w:val="zh-CN"/>
        </w:rPr>
        <w:t>万元</w:t>
      </w:r>
      <w:r>
        <w:rPr>
          <w:rFonts w:ascii="仿宋" w:hAnsi="仿宋" w:eastAsia="仿宋"/>
          <w:kern w:val="2"/>
          <w:sz w:val="32"/>
          <w:szCs w:val="32"/>
        </w:rPr>
        <w:t>，</w:t>
      </w:r>
      <w:r>
        <w:rPr>
          <w:rFonts w:ascii="仿宋" w:hAnsi="仿宋" w:eastAsia="仿宋"/>
          <w:kern w:val="2"/>
          <w:sz w:val="32"/>
          <w:szCs w:val="32"/>
          <w:lang w:val="zh-CN"/>
        </w:rPr>
        <w:t>与预算持平，与2022年度决算持平。</w:t>
      </w:r>
    </w:p>
    <w:p>
      <w:pPr>
        <w:snapToGrid w:val="0"/>
        <w:spacing w:after="0" w:line="360" w:lineRule="auto"/>
        <w:ind w:firstLine="643" w:firstLineChars="200"/>
        <w:rPr>
          <w:rFonts w:hint="eastAsia" w:ascii="楷体" w:hAnsi="楷体" w:eastAsia="楷体"/>
          <w:b/>
          <w:bCs/>
          <w:sz w:val="32"/>
          <w:szCs w:val="32"/>
        </w:rPr>
      </w:pPr>
      <w:r>
        <w:rPr>
          <w:rFonts w:ascii="楷体" w:hAnsi="楷体" w:eastAsia="楷体"/>
          <w:b/>
          <w:bCs/>
          <w:sz w:val="32"/>
          <w:szCs w:val="32"/>
        </w:rPr>
        <w:t>（二）“三公”经费财政拨款支出决算具体情况说明</w:t>
      </w:r>
    </w:p>
    <w:p>
      <w:pPr>
        <w:pStyle w:val="10"/>
        <w:widowControl/>
        <w:snapToGrid w:val="0"/>
        <w:spacing w:beforeAutospacing="0" w:afterAutospacing="0" w:line="360" w:lineRule="auto"/>
        <w:ind w:firstLine="643" w:firstLineChars="200"/>
        <w:rPr>
          <w:rFonts w:hint="eastAsia" w:ascii="仿宋" w:hAnsi="仿宋" w:eastAsia="仿宋"/>
          <w:kern w:val="2"/>
          <w:sz w:val="32"/>
          <w:szCs w:val="32"/>
        </w:rPr>
      </w:pPr>
      <w:r>
        <w:rPr>
          <w:rFonts w:ascii="仿宋" w:hAnsi="仿宋" w:eastAsia="仿宋"/>
          <w:b/>
          <w:bCs/>
          <w:kern w:val="2"/>
          <w:sz w:val="32"/>
          <w:szCs w:val="32"/>
        </w:rPr>
        <w:t>1.因公出国（境）费支出情况。</w:t>
      </w:r>
      <w:r>
        <w:rPr>
          <w:rFonts w:ascii="仿宋" w:hAnsi="仿宋" w:eastAsia="仿宋"/>
          <w:kern w:val="2"/>
          <w:sz w:val="32"/>
          <w:szCs w:val="32"/>
          <w:lang w:val="zh-CN"/>
        </w:rPr>
        <w:t>本部门</w:t>
      </w:r>
      <w:r>
        <w:rPr>
          <w:rFonts w:ascii="仿宋" w:hAnsi="仿宋" w:eastAsia="仿宋"/>
          <w:kern w:val="2"/>
          <w:sz w:val="32"/>
          <w:szCs w:val="32"/>
        </w:rPr>
        <w:t>2023年度因公出国（境）费支出预算为0.00万元</w:t>
      </w:r>
      <w:r>
        <w:rPr>
          <w:rFonts w:hint="eastAsia" w:ascii="仿宋" w:hAnsi="仿宋" w:eastAsia="仿宋"/>
          <w:kern w:val="2"/>
          <w:sz w:val="32"/>
          <w:szCs w:val="32"/>
        </w:rPr>
        <w:t>，</w:t>
      </w:r>
      <w:r>
        <w:rPr>
          <w:rFonts w:ascii="仿宋" w:hAnsi="仿宋" w:eastAsia="仿宋"/>
          <w:kern w:val="2"/>
          <w:sz w:val="32"/>
          <w:szCs w:val="32"/>
        </w:rPr>
        <w:t>支出决算0.00万元。因公出国（境）费支出与预算持平，与上年持平。因公出国（境）团组0个、共0人</w:t>
      </w:r>
      <w:r>
        <w:rPr>
          <w:rFonts w:hint="eastAsia" w:ascii="仿宋" w:hAnsi="仿宋" w:eastAsia="仿宋"/>
          <w:kern w:val="2"/>
          <w:sz w:val="32"/>
          <w:szCs w:val="32"/>
        </w:rPr>
        <w:t>，其中：</w:t>
      </w:r>
      <w:r>
        <w:rPr>
          <w:rFonts w:ascii="仿宋" w:hAnsi="仿宋" w:eastAsia="仿宋"/>
          <w:kern w:val="2"/>
          <w:sz w:val="32"/>
          <w:szCs w:val="32"/>
        </w:rPr>
        <w:t>本部门组织的出国（境）团组</w:t>
      </w:r>
      <w:r>
        <w:rPr>
          <w:rFonts w:hint="eastAsia" w:ascii="仿宋" w:hAnsi="仿宋" w:eastAsia="仿宋"/>
          <w:kern w:val="2"/>
          <w:sz w:val="32"/>
          <w:szCs w:val="32"/>
        </w:rPr>
        <w:t>0个、共0人;</w:t>
      </w:r>
      <w:r>
        <w:rPr>
          <w:rFonts w:ascii="仿宋" w:hAnsi="仿宋" w:eastAsia="仿宋"/>
          <w:kern w:val="2"/>
          <w:sz w:val="32"/>
          <w:szCs w:val="32"/>
        </w:rPr>
        <w:t xml:space="preserve"> 参加其他单位组织的因公出国（境）团组</w:t>
      </w:r>
      <w:r>
        <w:rPr>
          <w:rFonts w:hint="eastAsia" w:ascii="仿宋" w:hAnsi="仿宋" w:eastAsia="仿宋"/>
          <w:kern w:val="2"/>
          <w:sz w:val="32"/>
          <w:szCs w:val="32"/>
        </w:rPr>
        <w:t>0</w:t>
      </w:r>
      <w:r>
        <w:rPr>
          <w:rFonts w:ascii="仿宋" w:hAnsi="仿宋" w:eastAsia="仿宋"/>
          <w:kern w:val="2"/>
          <w:sz w:val="32"/>
          <w:szCs w:val="32"/>
        </w:rPr>
        <w:t>个、共</w:t>
      </w:r>
      <w:r>
        <w:rPr>
          <w:rFonts w:hint="eastAsia" w:ascii="仿宋" w:hAnsi="仿宋" w:eastAsia="仿宋"/>
          <w:kern w:val="2"/>
          <w:sz w:val="32"/>
          <w:szCs w:val="32"/>
        </w:rPr>
        <w:t>0</w:t>
      </w:r>
      <w:r>
        <w:rPr>
          <w:rFonts w:ascii="仿宋" w:hAnsi="仿宋" w:eastAsia="仿宋"/>
          <w:kern w:val="2"/>
          <w:sz w:val="32"/>
          <w:szCs w:val="32"/>
        </w:rPr>
        <w:t>人。</w:t>
      </w:r>
    </w:p>
    <w:p>
      <w:pPr>
        <w:adjustRightInd w:val="0"/>
        <w:snapToGrid w:val="0"/>
        <w:spacing w:after="0" w:line="360" w:lineRule="auto"/>
        <w:ind w:firstLine="643" w:firstLineChars="200"/>
        <w:jc w:val="left"/>
        <w:rPr>
          <w:rFonts w:hint="eastAsia" w:ascii="仿宋" w:hAnsi="仿宋" w:eastAsia="仿宋" w:cs="Times New Roman"/>
          <w:kern w:val="2"/>
          <w:sz w:val="32"/>
          <w:szCs w:val="32"/>
          <w:lang w:val="zh-CN"/>
        </w:rPr>
      </w:pPr>
      <w:r>
        <w:rPr>
          <w:rFonts w:ascii="仿宋" w:hAnsi="仿宋" w:eastAsia="仿宋" w:cs="Times New Roman"/>
          <w:b/>
          <w:bCs/>
          <w:kern w:val="2"/>
          <w:sz w:val="32"/>
          <w:szCs w:val="32"/>
        </w:rPr>
        <w:t>2.</w:t>
      </w:r>
      <w:r>
        <w:rPr>
          <w:rFonts w:hint="eastAsia" w:ascii="仿宋" w:hAnsi="仿宋" w:eastAsia="仿宋"/>
          <w:b/>
          <w:bCs/>
          <w:sz w:val="32"/>
          <w:szCs w:val="32"/>
        </w:rPr>
        <w:t>公务用车购置及运行维护费支出情况。</w:t>
      </w:r>
      <w:r>
        <w:rPr>
          <w:rFonts w:ascii="仿宋" w:hAnsi="仿宋" w:eastAsia="仿宋" w:cs="Times New Roman"/>
          <w:kern w:val="2"/>
          <w:sz w:val="32"/>
          <w:szCs w:val="32"/>
          <w:lang w:val="zh-CN"/>
        </w:rPr>
        <w:t>本部门202</w:t>
      </w:r>
      <w:r>
        <w:rPr>
          <w:rFonts w:ascii="仿宋" w:hAnsi="仿宋" w:eastAsia="仿宋" w:cs="Times New Roman"/>
          <w:kern w:val="2"/>
          <w:sz w:val="32"/>
          <w:szCs w:val="32"/>
        </w:rPr>
        <w:t>3</w:t>
      </w:r>
      <w:r>
        <w:rPr>
          <w:rFonts w:ascii="仿宋" w:hAnsi="仿宋" w:eastAsia="仿宋" w:cs="Times New Roman"/>
          <w:kern w:val="2"/>
          <w:sz w:val="32"/>
          <w:szCs w:val="32"/>
          <w:lang w:val="zh-CN"/>
        </w:rPr>
        <w:t>年度公务用车购置及运行维护费预算为0.00万元，支出决算0.00万元</w:t>
      </w:r>
      <w:r>
        <w:rPr>
          <w:rFonts w:hint="eastAsia" w:ascii="仿宋" w:hAnsi="仿宋" w:eastAsia="仿宋" w:cs="Times New Roman"/>
          <w:kern w:val="2"/>
          <w:sz w:val="32"/>
          <w:szCs w:val="32"/>
          <w:lang w:val="zh-CN"/>
        </w:rPr>
        <w:t>，</w:t>
      </w:r>
      <w:r>
        <w:rPr>
          <w:rFonts w:ascii="仿宋" w:hAnsi="仿宋" w:eastAsia="仿宋" w:cs="Times New Roman"/>
          <w:kern w:val="2"/>
          <w:sz w:val="32"/>
          <w:szCs w:val="32"/>
          <w:lang w:val="zh-CN"/>
        </w:rPr>
        <w:t>公务用车购置及运行维护费支出与预算持平，与上年持平。其中：</w:t>
      </w:r>
    </w:p>
    <w:p>
      <w:pPr>
        <w:adjustRightInd w:val="0"/>
        <w:snapToGrid w:val="0"/>
        <w:spacing w:after="0" w:line="360" w:lineRule="auto"/>
        <w:ind w:firstLine="643" w:firstLineChars="200"/>
        <w:rPr>
          <w:rFonts w:hint="eastAsia" w:ascii="仿宋" w:hAnsi="仿宋" w:eastAsia="仿宋" w:cs="Times New Roman"/>
          <w:kern w:val="2"/>
          <w:sz w:val="32"/>
          <w:szCs w:val="32"/>
          <w:lang w:val="zh-CN"/>
        </w:rPr>
      </w:pPr>
      <w:r>
        <w:rPr>
          <w:rFonts w:ascii="仿宋" w:hAnsi="仿宋" w:eastAsia="仿宋" w:cs="Times New Roman"/>
          <w:b/>
          <w:sz w:val="32"/>
          <w:szCs w:val="32"/>
        </w:rPr>
        <w:t>公务用车购置费支出</w:t>
      </w:r>
      <w:r>
        <w:rPr>
          <w:rFonts w:ascii="仿宋" w:hAnsi="仿宋" w:eastAsia="仿宋" w:cs="Times New Roman"/>
          <w:b/>
          <w:bCs/>
          <w:sz w:val="32"/>
          <w:szCs w:val="32"/>
        </w:rPr>
        <w:t>0.00万元</w:t>
      </w:r>
      <w:r>
        <w:rPr>
          <w:rFonts w:ascii="仿宋" w:hAnsi="仿宋" w:eastAsia="仿宋" w:cs="Times New Roman"/>
          <w:b/>
          <w:sz w:val="32"/>
          <w:szCs w:val="32"/>
        </w:rPr>
        <w:t>：</w:t>
      </w:r>
      <w:r>
        <w:rPr>
          <w:rFonts w:ascii="仿宋" w:hAnsi="仿宋" w:eastAsia="仿宋" w:cs="Times New Roman"/>
          <w:kern w:val="2"/>
          <w:sz w:val="32"/>
          <w:szCs w:val="32"/>
          <w:lang w:val="zh-CN"/>
        </w:rPr>
        <w:t>本部门202</w:t>
      </w:r>
      <w:r>
        <w:rPr>
          <w:rFonts w:ascii="仿宋" w:hAnsi="仿宋" w:eastAsia="仿宋" w:cs="Times New Roman"/>
          <w:kern w:val="2"/>
          <w:sz w:val="32"/>
          <w:szCs w:val="32"/>
        </w:rPr>
        <w:t>3</w:t>
      </w:r>
      <w:r>
        <w:rPr>
          <w:rFonts w:ascii="仿宋" w:hAnsi="仿宋" w:eastAsia="仿宋" w:cs="Times New Roman"/>
          <w:kern w:val="2"/>
          <w:sz w:val="32"/>
          <w:szCs w:val="32"/>
          <w:lang w:val="zh-CN"/>
        </w:rPr>
        <w:t>年度公务用车购置量0辆，发生“公务用车购置”经费支出0.00万元。公务用车购置费支出与预算持平，与上年持平。</w:t>
      </w:r>
    </w:p>
    <w:p>
      <w:pPr>
        <w:adjustRightInd w:val="0"/>
        <w:snapToGrid w:val="0"/>
        <w:spacing w:after="0" w:line="360" w:lineRule="auto"/>
        <w:ind w:firstLine="643" w:firstLineChars="200"/>
        <w:jc w:val="left"/>
        <w:rPr>
          <w:rFonts w:hint="eastAsia" w:ascii="仿宋" w:hAnsi="仿宋" w:eastAsia="仿宋" w:cs="Times New Roman"/>
          <w:kern w:val="2"/>
          <w:sz w:val="32"/>
          <w:szCs w:val="32"/>
          <w:lang w:val="zh-CN"/>
        </w:rPr>
      </w:pPr>
      <w:r>
        <w:rPr>
          <w:rFonts w:ascii="仿宋" w:hAnsi="仿宋" w:eastAsia="仿宋" w:cs="Times New Roman"/>
          <w:b/>
          <w:sz w:val="32"/>
          <w:szCs w:val="32"/>
        </w:rPr>
        <w:t>公务用车运行维护费支出0.00</w:t>
      </w:r>
      <w:r>
        <w:rPr>
          <w:rFonts w:ascii="仿宋" w:hAnsi="仿宋" w:eastAsia="仿宋" w:cs="Times New Roman"/>
          <w:b/>
          <w:bCs/>
          <w:sz w:val="32"/>
          <w:szCs w:val="32"/>
        </w:rPr>
        <w:t>万元</w:t>
      </w:r>
      <w:r>
        <w:rPr>
          <w:rFonts w:ascii="仿宋" w:hAnsi="仿宋" w:eastAsia="仿宋" w:cs="Times New Roman"/>
          <w:b/>
          <w:sz w:val="32"/>
          <w:szCs w:val="32"/>
        </w:rPr>
        <w:t>：</w:t>
      </w:r>
      <w:r>
        <w:rPr>
          <w:rFonts w:ascii="仿宋" w:hAnsi="仿宋" w:eastAsia="仿宋" w:cs="Times New Roman"/>
          <w:kern w:val="2"/>
          <w:sz w:val="32"/>
          <w:szCs w:val="32"/>
          <w:lang w:val="zh-CN"/>
        </w:rPr>
        <w:t>本</w:t>
      </w:r>
      <w:r>
        <w:rPr>
          <w:rFonts w:hint="eastAsia" w:ascii="仿宋" w:hAnsi="仿宋" w:eastAsia="仿宋" w:cs="Times New Roman"/>
          <w:kern w:val="2"/>
          <w:sz w:val="32"/>
          <w:szCs w:val="32"/>
          <w:lang w:val="zh-CN"/>
        </w:rPr>
        <w:t>部门</w:t>
      </w:r>
      <w:r>
        <w:rPr>
          <w:rFonts w:ascii="仿宋" w:hAnsi="仿宋" w:eastAsia="仿宋" w:cs="Times New Roman"/>
          <w:kern w:val="2"/>
          <w:sz w:val="32"/>
          <w:szCs w:val="32"/>
          <w:lang w:val="zh-CN"/>
        </w:rPr>
        <w:t>202</w:t>
      </w:r>
      <w:r>
        <w:rPr>
          <w:rFonts w:ascii="仿宋" w:hAnsi="仿宋" w:eastAsia="仿宋" w:cs="Times New Roman"/>
          <w:kern w:val="2"/>
          <w:sz w:val="32"/>
          <w:szCs w:val="32"/>
        </w:rPr>
        <w:t>3</w:t>
      </w:r>
      <w:r>
        <w:rPr>
          <w:rFonts w:ascii="仿宋" w:hAnsi="仿宋" w:eastAsia="仿宋" w:cs="Times New Roman"/>
          <w:kern w:val="2"/>
          <w:sz w:val="32"/>
          <w:szCs w:val="32"/>
          <w:lang w:val="zh-CN"/>
        </w:rPr>
        <w:t>年度公务用车保有量0辆，发生运行维护费支出</w:t>
      </w:r>
      <w:r>
        <w:rPr>
          <w:rFonts w:hint="eastAsia" w:ascii="仿宋" w:hAnsi="仿宋" w:eastAsia="仿宋" w:cs="Times New Roman"/>
          <w:kern w:val="2"/>
          <w:sz w:val="32"/>
          <w:szCs w:val="32"/>
        </w:rPr>
        <w:t>0.00</w:t>
      </w:r>
      <w:r>
        <w:rPr>
          <w:rFonts w:ascii="仿宋" w:hAnsi="仿宋" w:eastAsia="仿宋" w:cs="Times New Roman"/>
          <w:kern w:val="2"/>
          <w:sz w:val="32"/>
          <w:szCs w:val="32"/>
          <w:lang w:val="zh-CN"/>
        </w:rPr>
        <w:t>万元。公车运行维护费支出与预算持平，与上年持平。</w:t>
      </w:r>
    </w:p>
    <w:p>
      <w:pPr>
        <w:adjustRightInd w:val="0"/>
        <w:snapToGrid w:val="0"/>
        <w:spacing w:after="0" w:line="360" w:lineRule="auto"/>
        <w:ind w:firstLine="643" w:firstLineChars="200"/>
        <w:jc w:val="left"/>
        <w:rPr>
          <w:rFonts w:hint="eastAsia" w:ascii="仿宋" w:hAnsi="仿宋" w:eastAsia="仿宋" w:cs="Times New Roman"/>
          <w:kern w:val="2"/>
          <w:sz w:val="32"/>
          <w:szCs w:val="32"/>
          <w:lang w:val="zh-CN"/>
        </w:rPr>
      </w:pPr>
      <w:r>
        <w:rPr>
          <w:rFonts w:ascii="仿宋" w:hAnsi="仿宋" w:eastAsia="仿宋" w:cs="Times New Roman"/>
          <w:b/>
          <w:bCs/>
          <w:kern w:val="2"/>
          <w:sz w:val="32"/>
          <w:szCs w:val="32"/>
        </w:rPr>
        <w:t>3.公务接待费</w:t>
      </w:r>
      <w:r>
        <w:rPr>
          <w:rFonts w:hint="eastAsia" w:ascii="仿宋" w:hAnsi="仿宋" w:eastAsia="仿宋" w:cs="Times New Roman"/>
          <w:b/>
          <w:bCs/>
          <w:kern w:val="2"/>
          <w:sz w:val="32"/>
          <w:szCs w:val="32"/>
        </w:rPr>
        <w:t>支出情况</w:t>
      </w:r>
      <w:r>
        <w:rPr>
          <w:rFonts w:ascii="仿宋" w:hAnsi="仿宋" w:eastAsia="仿宋" w:cs="Times New Roman"/>
          <w:b/>
          <w:bCs/>
          <w:kern w:val="2"/>
          <w:sz w:val="32"/>
          <w:szCs w:val="32"/>
        </w:rPr>
        <w:t>。</w:t>
      </w:r>
      <w:r>
        <w:rPr>
          <w:rFonts w:ascii="仿宋" w:hAnsi="仿宋" w:eastAsia="仿宋" w:cs="Times New Roman"/>
          <w:kern w:val="2"/>
          <w:sz w:val="32"/>
          <w:szCs w:val="32"/>
          <w:lang w:val="zh-CN"/>
        </w:rPr>
        <w:t>本部门202</w:t>
      </w:r>
      <w:r>
        <w:rPr>
          <w:rFonts w:ascii="仿宋" w:hAnsi="仿宋" w:eastAsia="仿宋" w:cs="Times New Roman"/>
          <w:kern w:val="2"/>
          <w:sz w:val="32"/>
          <w:szCs w:val="32"/>
        </w:rPr>
        <w:t>3</w:t>
      </w:r>
      <w:r>
        <w:rPr>
          <w:rFonts w:ascii="仿宋" w:hAnsi="仿宋" w:eastAsia="仿宋" w:cs="Times New Roman"/>
          <w:kern w:val="2"/>
          <w:sz w:val="32"/>
          <w:szCs w:val="32"/>
          <w:lang w:val="zh-CN"/>
        </w:rPr>
        <w:t>年度公务接待费支出预算为0.00万元，支出决算0.00万元。公务接待费支出与预算持平，与上年持平。本年度共发生公务接待0批次、0人次。</w:t>
      </w:r>
    </w:p>
    <w:p>
      <w:pPr>
        <w:snapToGrid w:val="0"/>
        <w:spacing w:after="0" w:line="360" w:lineRule="auto"/>
        <w:ind w:firstLine="640" w:firstLineChars="200"/>
        <w:rPr>
          <w:rFonts w:hint="eastAsia" w:ascii="黑体" w:hAnsi="黑体" w:eastAsia="黑体"/>
          <w:sz w:val="32"/>
          <w:szCs w:val="32"/>
          <w:shd w:val="clear" w:color="auto" w:fill="FFFFFF"/>
        </w:rPr>
      </w:pPr>
      <w:r>
        <w:rPr>
          <w:rFonts w:ascii="黑体" w:hAnsi="黑体" w:eastAsia="黑体"/>
          <w:sz w:val="32"/>
          <w:szCs w:val="32"/>
          <w:shd w:val="clear" w:color="auto" w:fill="FFFFFF"/>
        </w:rPr>
        <w:t>六、机关运行经费支出说明</w:t>
      </w:r>
    </w:p>
    <w:p>
      <w:pPr>
        <w:pStyle w:val="10"/>
        <w:widowControl/>
        <w:snapToGrid w:val="0"/>
        <w:spacing w:beforeAutospacing="0" w:afterAutospacing="0" w:line="360" w:lineRule="auto"/>
        <w:ind w:firstLine="200"/>
        <w:jc w:val="both"/>
        <w:rPr>
          <w:rFonts w:hint="eastAsia" w:ascii="仿宋" w:hAnsi="仿宋" w:eastAsia="仿宋"/>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宋体"/>
          <w:color w:val="333333"/>
          <w:sz w:val="19"/>
          <w:szCs w:val="19"/>
          <w:shd w:val="clear" w:color="auto" w:fill="FFFFFF"/>
        </w:rPr>
        <w:t xml:space="preserve">  </w:t>
      </w:r>
      <w:r>
        <w:rPr>
          <w:rFonts w:ascii="Times New Roman" w:hAnsi="Times New Roman" w:eastAsia="仿宋_GB2312"/>
          <w:color w:val="333333"/>
          <w:sz w:val="33"/>
          <w:szCs w:val="33"/>
          <w:shd w:val="clear" w:color="auto" w:fill="FFFFFF"/>
        </w:rPr>
        <w:t>   </w:t>
      </w:r>
      <w:r>
        <w:rPr>
          <w:rFonts w:ascii="仿宋" w:hAnsi="仿宋" w:eastAsia="仿宋"/>
          <w:kern w:val="2"/>
          <w:sz w:val="32"/>
          <w:szCs w:val="32"/>
          <w:lang w:val="zh-CN"/>
        </w:rPr>
        <w:t>本</w:t>
      </w:r>
      <w:r>
        <w:rPr>
          <w:rFonts w:ascii="仿宋" w:hAnsi="仿宋" w:eastAsia="仿宋"/>
          <w:kern w:val="2"/>
          <w:sz w:val="32"/>
          <w:szCs w:val="32"/>
        </w:rPr>
        <w:t>部门2023</w:t>
      </w:r>
      <w:r>
        <w:rPr>
          <w:rFonts w:ascii="仿宋" w:hAnsi="仿宋" w:eastAsia="仿宋"/>
          <w:kern w:val="2"/>
          <w:sz w:val="32"/>
          <w:szCs w:val="32"/>
          <w:lang w:val="zh-CN"/>
        </w:rPr>
        <w:t>年度机关运行经费支出</w:t>
      </w:r>
      <w:r>
        <w:rPr>
          <w:rFonts w:ascii="仿宋" w:hAnsi="仿宋" w:eastAsia="仿宋"/>
          <w:kern w:val="2"/>
          <w:sz w:val="32"/>
          <w:szCs w:val="32"/>
        </w:rPr>
        <w:t>7.60</w:t>
      </w:r>
      <w:r>
        <w:rPr>
          <w:rFonts w:ascii="仿宋" w:hAnsi="仿宋" w:eastAsia="仿宋"/>
          <w:kern w:val="2"/>
          <w:sz w:val="32"/>
          <w:szCs w:val="32"/>
          <w:lang w:val="zh-CN"/>
        </w:rPr>
        <w:t>万元</w:t>
      </w:r>
      <w:r>
        <w:rPr>
          <w:rFonts w:ascii="仿宋" w:hAnsi="仿宋" w:eastAsia="仿宋"/>
          <w:kern w:val="2"/>
          <w:sz w:val="32"/>
          <w:szCs w:val="32"/>
        </w:rPr>
        <w:t>，</w:t>
      </w:r>
      <w:r>
        <w:rPr>
          <w:rFonts w:ascii="仿宋" w:hAnsi="仿宋" w:eastAsia="仿宋"/>
          <w:kern w:val="2"/>
          <w:sz w:val="32"/>
          <w:szCs w:val="32"/>
          <w:lang w:val="zh-CN"/>
        </w:rPr>
        <w:t>较</w:t>
      </w:r>
      <w:r>
        <w:rPr>
          <w:rFonts w:ascii="仿宋" w:hAnsi="仿宋" w:eastAsia="仿宋"/>
          <w:kern w:val="2"/>
          <w:sz w:val="32"/>
          <w:szCs w:val="32"/>
        </w:rPr>
        <w:t>2022</w:t>
      </w:r>
      <w:r>
        <w:rPr>
          <w:rFonts w:ascii="仿宋" w:hAnsi="仿宋" w:eastAsia="仿宋"/>
          <w:kern w:val="2"/>
          <w:sz w:val="32"/>
          <w:szCs w:val="32"/>
          <w:lang w:val="zh-CN"/>
        </w:rPr>
        <w:t>年度</w:t>
      </w:r>
      <w:r>
        <w:rPr>
          <w:rFonts w:ascii="仿宋" w:hAnsi="仿宋" w:eastAsia="仿宋"/>
          <w:kern w:val="2"/>
          <w:sz w:val="32"/>
          <w:szCs w:val="32"/>
        </w:rPr>
        <w:t>减少2.59</w:t>
      </w:r>
      <w:r>
        <w:rPr>
          <w:rFonts w:ascii="仿宋" w:hAnsi="仿宋" w:eastAsia="仿宋"/>
          <w:kern w:val="2"/>
          <w:sz w:val="32"/>
          <w:szCs w:val="32"/>
          <w:lang w:val="zh-CN"/>
        </w:rPr>
        <w:t>万元</w:t>
      </w:r>
      <w:r>
        <w:rPr>
          <w:rFonts w:ascii="仿宋" w:hAnsi="仿宋" w:eastAsia="仿宋"/>
          <w:kern w:val="2"/>
          <w:sz w:val="32"/>
          <w:szCs w:val="32"/>
        </w:rPr>
        <w:t>，降低25.4%</w:t>
      </w:r>
      <w:r>
        <w:rPr>
          <w:rFonts w:ascii="仿宋" w:hAnsi="仿宋" w:eastAsia="仿宋"/>
          <w:kern w:val="2"/>
          <w:sz w:val="32"/>
          <w:szCs w:val="32"/>
          <w:lang w:val="zh-CN"/>
        </w:rPr>
        <w:t>。</w:t>
      </w:r>
      <w:r>
        <w:rPr>
          <w:rFonts w:ascii="仿宋" w:hAnsi="仿宋" w:eastAsia="仿宋"/>
          <w:kern w:val="2"/>
          <w:sz w:val="32"/>
          <w:szCs w:val="32"/>
          <w:highlight w:val="none"/>
          <w:lang w:val="zh-CN"/>
        </w:rPr>
        <w:t>主要原因</w:t>
      </w:r>
      <w:r>
        <w:rPr>
          <w:rFonts w:hint="eastAsia" w:ascii="仿宋" w:hAnsi="仿宋" w:eastAsia="仿宋"/>
          <w:kern w:val="2"/>
          <w:sz w:val="32"/>
          <w:szCs w:val="32"/>
          <w:highlight w:val="none"/>
          <w:lang w:val="zh-CN"/>
        </w:rPr>
        <w:t>是</w:t>
      </w:r>
      <w:r>
        <w:rPr>
          <w:rFonts w:hint="eastAsia" w:ascii="仿宋" w:hAnsi="仿宋" w:eastAsia="仿宋"/>
          <w:kern w:val="2"/>
          <w:sz w:val="32"/>
          <w:szCs w:val="32"/>
          <w:highlight w:val="none"/>
        </w:rPr>
        <w:t>：</w:t>
      </w:r>
      <w:r>
        <w:rPr>
          <w:rFonts w:hint="eastAsia" w:ascii="仿宋" w:hAnsi="仿宋" w:eastAsia="仿宋"/>
          <w:kern w:val="2"/>
          <w:sz w:val="32"/>
          <w:szCs w:val="32"/>
          <w:highlight w:val="none"/>
          <w:lang w:val="en-US" w:eastAsia="zh-CN"/>
        </w:rPr>
        <w:t>福利费减少1.42万元电费增加0.67万元邮电费增加0.23万元工会经费减少0.97万元，交通费减少1.00</w:t>
      </w:r>
      <w:bookmarkStart w:id="2" w:name="_GoBack"/>
      <w:bookmarkEnd w:id="2"/>
      <w:r>
        <w:rPr>
          <w:rFonts w:hint="eastAsia" w:ascii="仿宋" w:hAnsi="仿宋" w:eastAsia="仿宋"/>
          <w:kern w:val="2"/>
          <w:sz w:val="32"/>
          <w:szCs w:val="32"/>
          <w:highlight w:val="none"/>
          <w:lang w:val="en-US" w:eastAsia="zh-CN"/>
        </w:rPr>
        <w:t>万元</w:t>
      </w:r>
      <w:r>
        <w:rPr>
          <w:rFonts w:ascii="仿宋" w:hAnsi="仿宋" w:eastAsia="仿宋"/>
          <w:kern w:val="2"/>
          <w:sz w:val="32"/>
          <w:szCs w:val="32"/>
          <w:lang w:val="zh-CN"/>
        </w:rPr>
        <w:t>。</w:t>
      </w:r>
    </w:p>
    <w:p>
      <w:pPr>
        <w:snapToGrid w:val="0"/>
        <w:spacing w:after="0" w:line="360" w:lineRule="auto"/>
        <w:ind w:firstLine="640" w:firstLineChars="200"/>
        <w:rPr>
          <w:rFonts w:hint="eastAsia" w:ascii="黑体" w:hAnsi="黑体" w:eastAsia="黑体"/>
          <w:sz w:val="32"/>
          <w:szCs w:val="32"/>
          <w:shd w:val="clear" w:color="auto" w:fill="FFFFFF"/>
        </w:rPr>
      </w:pPr>
      <w:r>
        <w:rPr>
          <w:rFonts w:ascii="黑体" w:hAnsi="黑体" w:eastAsia="黑体"/>
          <w:sz w:val="32"/>
          <w:szCs w:val="32"/>
          <w:shd w:val="clear" w:color="auto" w:fill="FFFFFF"/>
        </w:rPr>
        <w:t>七、政府采购支出说明</w:t>
      </w:r>
    </w:p>
    <w:p>
      <w:pPr>
        <w:pStyle w:val="10"/>
        <w:widowControl/>
        <w:snapToGrid w:val="0"/>
        <w:spacing w:beforeAutospacing="0" w:afterAutospacing="0" w:line="360" w:lineRule="auto"/>
        <w:ind w:firstLine="640" w:firstLineChars="200"/>
        <w:rPr>
          <w:rFonts w:hint="eastAsia" w:ascii="仿宋" w:hAnsi="仿宋" w:eastAsia="仿宋"/>
          <w:sz w:val="32"/>
          <w:szCs w:val="32"/>
          <w:highlight w:val="yellow"/>
        </w:rPr>
      </w:pPr>
      <w:r>
        <w:rPr>
          <w:rFonts w:ascii="仿宋" w:hAnsi="仿宋" w:eastAsia="仿宋"/>
          <w:kern w:val="2"/>
          <w:sz w:val="32"/>
          <w:szCs w:val="32"/>
          <w:lang w:val="zh-CN"/>
        </w:rPr>
        <w:t>本部门202</w:t>
      </w:r>
      <w:r>
        <w:rPr>
          <w:rFonts w:ascii="仿宋" w:hAnsi="仿宋" w:eastAsia="仿宋"/>
          <w:kern w:val="2"/>
          <w:sz w:val="32"/>
          <w:szCs w:val="32"/>
        </w:rPr>
        <w:t>3</w:t>
      </w:r>
      <w:r>
        <w:rPr>
          <w:rFonts w:ascii="仿宋" w:hAnsi="仿宋" w:eastAsia="仿宋"/>
          <w:kern w:val="2"/>
          <w:sz w:val="32"/>
          <w:szCs w:val="32"/>
          <w:lang w:val="zh-CN"/>
        </w:rPr>
        <w:t>年度政府采购支出总额161.50万元，从采购类型来看，政府采购货物支出0.00万元、政府采购工程支出0.00万元、政府采购服务支出161.50万元。授予中小企业</w:t>
      </w:r>
      <w:r>
        <w:rPr>
          <w:rFonts w:ascii="仿宋" w:hAnsi="仿宋" w:eastAsia="仿宋"/>
          <w:kern w:val="2"/>
          <w:sz w:val="32"/>
          <w:szCs w:val="32"/>
        </w:rPr>
        <w:t>合同金额</w:t>
      </w:r>
      <w:r>
        <w:rPr>
          <w:rFonts w:ascii="仿宋" w:hAnsi="仿宋" w:eastAsia="仿宋"/>
          <w:kern w:val="2"/>
          <w:sz w:val="32"/>
          <w:szCs w:val="32"/>
          <w:lang w:val="zh-CN"/>
        </w:rPr>
        <w:t>161.50万元，占政府采购支出总额的100.0%，其中授予小微企业合同金额37.50万元，占政府采购支出总额的23.2%。</w:t>
      </w:r>
    </w:p>
    <w:p>
      <w:pPr>
        <w:snapToGrid w:val="0"/>
        <w:spacing w:after="0" w:line="360" w:lineRule="auto"/>
        <w:ind w:firstLine="640" w:firstLineChars="200"/>
        <w:rPr>
          <w:rFonts w:hint="eastAsia" w:ascii="黑体" w:hAnsi="黑体" w:eastAsia="黑体"/>
          <w:sz w:val="32"/>
          <w:szCs w:val="32"/>
          <w:shd w:val="clear" w:color="auto" w:fill="FFFFFF"/>
        </w:rPr>
      </w:pPr>
      <w:r>
        <w:rPr>
          <w:rFonts w:ascii="黑体" w:hAnsi="黑体" w:eastAsia="黑体"/>
          <w:sz w:val="32"/>
          <w:szCs w:val="32"/>
          <w:shd w:val="clear" w:color="auto" w:fill="FFFFFF"/>
        </w:rPr>
        <w:t>八、国有资产占用情况说明</w:t>
      </w:r>
    </w:p>
    <w:p>
      <w:pPr>
        <w:pStyle w:val="10"/>
        <w:widowControl/>
        <w:snapToGrid w:val="0"/>
        <w:spacing w:beforeAutospacing="0" w:afterAutospacing="0" w:line="360" w:lineRule="auto"/>
        <w:ind w:firstLine="640" w:firstLineChars="200"/>
        <w:rPr>
          <w:rFonts w:hint="eastAsia" w:ascii="仿宋" w:hAnsi="仿宋" w:eastAsia="仿宋"/>
          <w:kern w:val="2"/>
          <w:sz w:val="32"/>
          <w:szCs w:val="32"/>
          <w:lang w:val="zh-CN"/>
        </w:rPr>
      </w:pPr>
      <w:r>
        <w:rPr>
          <w:rFonts w:ascii="仿宋" w:hAnsi="仿宋" w:eastAsia="仿宋"/>
          <w:kern w:val="2"/>
          <w:sz w:val="32"/>
          <w:szCs w:val="32"/>
          <w:lang w:val="zh-CN"/>
        </w:rPr>
        <w:t>截至202</w:t>
      </w:r>
      <w:r>
        <w:rPr>
          <w:rFonts w:ascii="仿宋" w:hAnsi="仿宋" w:eastAsia="仿宋"/>
          <w:kern w:val="2"/>
          <w:sz w:val="32"/>
          <w:szCs w:val="32"/>
        </w:rPr>
        <w:t>3</w:t>
      </w:r>
      <w:r>
        <w:rPr>
          <w:rFonts w:ascii="仿宋" w:hAnsi="仿宋" w:eastAsia="仿宋"/>
          <w:kern w:val="2"/>
          <w:sz w:val="32"/>
          <w:szCs w:val="32"/>
          <w:lang w:val="zh-CN"/>
        </w:rPr>
        <w:t>年12月31日，本部门共有车辆0辆，与上年持平。其中，副部（省）级及以上领导用车0辆，主要</w:t>
      </w:r>
      <w:r>
        <w:rPr>
          <w:rFonts w:ascii="仿宋" w:hAnsi="仿宋" w:eastAsia="仿宋"/>
          <w:kern w:val="2"/>
          <w:sz w:val="32"/>
          <w:szCs w:val="32"/>
        </w:rPr>
        <w:t>负责人</w:t>
      </w:r>
      <w:r>
        <w:rPr>
          <w:rFonts w:ascii="仿宋" w:hAnsi="仿宋" w:eastAsia="仿宋"/>
          <w:kern w:val="2"/>
          <w:sz w:val="32"/>
          <w:szCs w:val="32"/>
          <w:lang w:val="zh-CN"/>
        </w:rPr>
        <w:t>用车0辆，机要通信用车0辆，应急保障用车0辆，执法执勤用车0辆，特种专业技术用车0辆，离退休干部用车0辆，其他用车0辆。</w:t>
      </w:r>
    </w:p>
    <w:p>
      <w:pPr>
        <w:pStyle w:val="10"/>
        <w:widowControl/>
        <w:snapToGrid w:val="0"/>
        <w:spacing w:beforeAutospacing="0" w:afterAutospacing="0" w:line="360" w:lineRule="auto"/>
        <w:ind w:firstLine="640" w:firstLineChars="200"/>
        <w:rPr>
          <w:rFonts w:hint="eastAsia" w:ascii="仿宋" w:hAnsi="仿宋" w:eastAsia="仿宋"/>
          <w:kern w:val="2"/>
          <w:sz w:val="32"/>
          <w:szCs w:val="32"/>
          <w:lang w:val="zh-CN"/>
        </w:rPr>
      </w:pPr>
      <w:r>
        <w:rPr>
          <w:rFonts w:ascii="仿宋" w:hAnsi="仿宋" w:eastAsia="仿宋"/>
          <w:kern w:val="2"/>
          <w:sz w:val="32"/>
          <w:szCs w:val="32"/>
          <w:lang w:val="zh-CN"/>
        </w:rPr>
        <w:t>单位价值100</w:t>
      </w:r>
      <w:r>
        <w:rPr>
          <w:rFonts w:hint="eastAsia" w:ascii="仿宋" w:hAnsi="仿宋" w:eastAsia="仿宋"/>
          <w:kern w:val="2"/>
          <w:sz w:val="32"/>
          <w:szCs w:val="32"/>
          <w:lang w:val="en-US" w:eastAsia="zh-CN"/>
        </w:rPr>
        <w:t>.00</w:t>
      </w:r>
      <w:r>
        <w:rPr>
          <w:rFonts w:ascii="仿宋" w:hAnsi="仿宋" w:eastAsia="仿宋"/>
          <w:kern w:val="2"/>
          <w:sz w:val="32"/>
          <w:szCs w:val="32"/>
          <w:lang w:val="zh-CN"/>
        </w:rPr>
        <w:t>万元（含）以上设备（不含车辆）0台（套）。</w:t>
      </w:r>
    </w:p>
    <w:p>
      <w:pPr>
        <w:snapToGrid w:val="0"/>
        <w:spacing w:after="0" w:line="360" w:lineRule="auto"/>
        <w:ind w:firstLine="640" w:firstLineChars="200"/>
        <w:rPr>
          <w:rFonts w:hint="eastAsia" w:ascii="黑体" w:hAnsi="黑体" w:eastAsia="黑体"/>
          <w:sz w:val="32"/>
          <w:szCs w:val="32"/>
          <w:shd w:val="clear" w:color="auto" w:fill="FFFFFF"/>
        </w:rPr>
      </w:pPr>
      <w:r>
        <w:rPr>
          <w:rFonts w:ascii="黑体" w:hAnsi="黑体" w:eastAsia="黑体"/>
          <w:sz w:val="32"/>
          <w:szCs w:val="32"/>
          <w:shd w:val="clear" w:color="auto" w:fill="FFFFFF"/>
        </w:rPr>
        <w:t>九、预算绩效情况说明</w:t>
      </w:r>
    </w:p>
    <w:p>
      <w:pPr>
        <w:adjustRightInd w:val="0"/>
        <w:snapToGrid w:val="0"/>
        <w:spacing w:after="0" w:line="360" w:lineRule="auto"/>
        <w:ind w:firstLine="643" w:firstLineChars="200"/>
        <w:rPr>
          <w:rFonts w:hint="eastAsia" w:ascii="仿宋" w:hAnsi="仿宋" w:eastAsia="仿宋" w:cs="Times New Roman"/>
          <w:b/>
          <w:bCs/>
          <w:sz w:val="32"/>
          <w:szCs w:val="32"/>
        </w:rPr>
      </w:pPr>
      <w:r>
        <w:rPr>
          <w:rFonts w:ascii="仿宋" w:hAnsi="仿宋" w:eastAsia="仿宋" w:cs="Times New Roman"/>
          <w:b/>
          <w:bCs/>
          <w:sz w:val="32"/>
          <w:szCs w:val="32"/>
        </w:rPr>
        <w:t>（一）预算绩效管理工作开展情况</w:t>
      </w:r>
    </w:p>
    <w:p>
      <w:pPr>
        <w:pStyle w:val="10"/>
        <w:widowControl/>
        <w:snapToGrid w:val="0"/>
        <w:spacing w:beforeAutospacing="0" w:afterAutospacing="0" w:line="360" w:lineRule="auto"/>
        <w:ind w:firstLine="640" w:firstLineChars="200"/>
        <w:rPr>
          <w:rFonts w:hint="eastAsia" w:ascii="仿宋" w:hAnsi="仿宋" w:eastAsia="仿宋"/>
          <w:kern w:val="2"/>
          <w:sz w:val="32"/>
          <w:szCs w:val="32"/>
          <w:lang w:val="zh-CN"/>
        </w:rPr>
      </w:pPr>
      <w:r>
        <w:rPr>
          <w:rFonts w:ascii="仿宋" w:hAnsi="仿宋" w:eastAsia="仿宋"/>
          <w:kern w:val="2"/>
          <w:sz w:val="32"/>
          <w:szCs w:val="32"/>
          <w:lang w:val="zh-CN"/>
        </w:rPr>
        <w:t>根据预算绩效管理要求，本部门组织对2023年度一般公共预算项目支出全面开展绩效自评，其中，一级项目</w:t>
      </w:r>
      <w:r>
        <w:rPr>
          <w:rFonts w:hint="eastAsia" w:ascii="仿宋" w:hAnsi="仿宋" w:eastAsia="仿宋"/>
          <w:kern w:val="2"/>
          <w:sz w:val="32"/>
          <w:szCs w:val="32"/>
          <w:lang w:val="en-US" w:eastAsia="zh-CN"/>
        </w:rPr>
        <w:t xml:space="preserve">0 </w:t>
      </w:r>
      <w:r>
        <w:rPr>
          <w:rFonts w:ascii="仿宋" w:hAnsi="仿宋" w:eastAsia="仿宋"/>
          <w:kern w:val="2"/>
          <w:sz w:val="32"/>
          <w:szCs w:val="32"/>
          <w:lang w:val="zh-CN"/>
        </w:rPr>
        <w:t>个，二级项目</w:t>
      </w:r>
      <w:r>
        <w:rPr>
          <w:rFonts w:hint="eastAsia" w:ascii="仿宋" w:hAnsi="仿宋" w:eastAsia="仿宋"/>
          <w:kern w:val="2"/>
          <w:sz w:val="32"/>
          <w:szCs w:val="32"/>
          <w:lang w:val="en-US" w:eastAsia="zh-CN"/>
        </w:rPr>
        <w:t>15</w:t>
      </w:r>
      <w:r>
        <w:rPr>
          <w:rFonts w:ascii="仿宋" w:hAnsi="仿宋" w:eastAsia="仿宋"/>
          <w:kern w:val="2"/>
          <w:sz w:val="32"/>
          <w:szCs w:val="32"/>
          <w:lang w:val="zh-CN"/>
        </w:rPr>
        <w:t>个，共涉及资金</w:t>
      </w:r>
      <w:r>
        <w:rPr>
          <w:rFonts w:hint="eastAsia" w:ascii="仿宋" w:hAnsi="仿宋" w:eastAsia="仿宋"/>
          <w:kern w:val="2"/>
          <w:sz w:val="32"/>
          <w:szCs w:val="32"/>
          <w:lang w:val="en-US" w:eastAsia="zh-CN"/>
        </w:rPr>
        <w:t>811.63</w:t>
      </w:r>
      <w:r>
        <w:rPr>
          <w:rFonts w:ascii="仿宋" w:hAnsi="仿宋" w:eastAsia="仿宋"/>
          <w:kern w:val="2"/>
          <w:sz w:val="32"/>
          <w:szCs w:val="32"/>
          <w:lang w:val="zh-CN"/>
        </w:rPr>
        <w:t>万元，占一般公共预算项目支出总额的</w:t>
      </w:r>
      <w:r>
        <w:rPr>
          <w:rFonts w:hint="eastAsia" w:ascii="仿宋" w:hAnsi="仿宋" w:eastAsia="仿宋"/>
          <w:kern w:val="2"/>
          <w:sz w:val="32"/>
          <w:szCs w:val="32"/>
          <w:lang w:val="en-US" w:eastAsia="zh-CN"/>
        </w:rPr>
        <w:t>46.9</w:t>
      </w:r>
      <w:r>
        <w:rPr>
          <w:rFonts w:ascii="仿宋" w:hAnsi="仿宋" w:eastAsia="仿宋"/>
          <w:kern w:val="2"/>
          <w:sz w:val="32"/>
          <w:szCs w:val="32"/>
          <w:lang w:val="zh-CN"/>
        </w:rPr>
        <w:t>%。组织对2023年度</w:t>
      </w:r>
      <w:r>
        <w:rPr>
          <w:rFonts w:hint="eastAsia" w:ascii="仿宋" w:hAnsi="仿宋" w:eastAsia="仿宋"/>
          <w:kern w:val="2"/>
          <w:sz w:val="32"/>
          <w:szCs w:val="32"/>
          <w:lang w:val="en-US" w:eastAsia="zh-CN"/>
        </w:rPr>
        <w:t>拨付经济开发区市政道路一期、二期土地划拨价款</w:t>
      </w:r>
      <w:r>
        <w:rPr>
          <w:rFonts w:ascii="仿宋" w:hAnsi="仿宋" w:eastAsia="仿宋"/>
          <w:kern w:val="2"/>
          <w:sz w:val="32"/>
          <w:szCs w:val="32"/>
          <w:lang w:val="zh-CN"/>
        </w:rPr>
        <w:t>、</w:t>
      </w:r>
      <w:r>
        <w:rPr>
          <w:rFonts w:hint="eastAsia" w:ascii="仿宋" w:hAnsi="仿宋" w:eastAsia="仿宋"/>
          <w:kern w:val="2"/>
          <w:sz w:val="32"/>
          <w:szCs w:val="32"/>
          <w:lang w:val="en-US" w:eastAsia="zh-CN"/>
        </w:rPr>
        <w:t>骊仁林业发展有限公司发展金</w:t>
      </w:r>
      <w:r>
        <w:rPr>
          <w:rFonts w:ascii="仿宋" w:hAnsi="仿宋" w:eastAsia="仿宋"/>
          <w:kern w:val="2"/>
          <w:sz w:val="32"/>
          <w:szCs w:val="32"/>
          <w:lang w:val="zh-CN"/>
        </w:rPr>
        <w:t>等</w:t>
      </w:r>
      <w:r>
        <w:rPr>
          <w:rFonts w:hint="eastAsia" w:ascii="仿宋" w:hAnsi="仿宋" w:eastAsia="仿宋"/>
          <w:kern w:val="2"/>
          <w:sz w:val="32"/>
          <w:szCs w:val="32"/>
          <w:lang w:val="en-US" w:eastAsia="zh-CN"/>
        </w:rPr>
        <w:t>8</w:t>
      </w:r>
      <w:r>
        <w:rPr>
          <w:rFonts w:ascii="仿宋" w:hAnsi="仿宋" w:eastAsia="仿宋"/>
          <w:kern w:val="2"/>
          <w:sz w:val="32"/>
          <w:szCs w:val="32"/>
          <w:lang w:val="zh-CN"/>
        </w:rPr>
        <w:t>个政府性基金预算项目支出开展绩效自评，共涉及资金</w:t>
      </w:r>
      <w:r>
        <w:rPr>
          <w:rFonts w:hint="eastAsia" w:ascii="仿宋" w:hAnsi="仿宋" w:eastAsia="仿宋"/>
          <w:kern w:val="2"/>
          <w:sz w:val="32"/>
          <w:szCs w:val="32"/>
          <w:lang w:val="en-US" w:eastAsia="zh-CN"/>
        </w:rPr>
        <w:t>13042.70</w:t>
      </w:r>
      <w:r>
        <w:rPr>
          <w:rFonts w:ascii="仿宋" w:hAnsi="仿宋" w:eastAsia="仿宋"/>
          <w:kern w:val="2"/>
          <w:sz w:val="32"/>
          <w:szCs w:val="32"/>
          <w:lang w:val="zh-CN"/>
        </w:rPr>
        <w:t>万元，占政府性基金预算项目支出总额的</w:t>
      </w:r>
      <w:r>
        <w:rPr>
          <w:rFonts w:hint="eastAsia" w:ascii="仿宋" w:hAnsi="仿宋" w:eastAsia="仿宋"/>
          <w:kern w:val="2"/>
          <w:sz w:val="32"/>
          <w:szCs w:val="32"/>
          <w:lang w:val="en-US" w:eastAsia="zh-CN"/>
        </w:rPr>
        <w:t>80.3</w:t>
      </w:r>
      <w:r>
        <w:rPr>
          <w:rFonts w:ascii="仿宋" w:hAnsi="仿宋" w:eastAsia="仿宋"/>
          <w:kern w:val="2"/>
          <w:sz w:val="32"/>
          <w:szCs w:val="32"/>
          <w:lang w:val="zh-CN"/>
        </w:rPr>
        <w:t>%。组织对2023年度</w:t>
      </w:r>
      <w:r>
        <w:rPr>
          <w:rFonts w:hint="eastAsia" w:ascii="仿宋" w:hAnsi="仿宋" w:eastAsia="仿宋"/>
          <w:kern w:val="2"/>
          <w:sz w:val="32"/>
          <w:szCs w:val="32"/>
          <w:lang w:val="en-US" w:eastAsia="zh-CN"/>
        </w:rPr>
        <w:t>0</w:t>
      </w:r>
      <w:r>
        <w:rPr>
          <w:rFonts w:ascii="仿宋" w:hAnsi="仿宋" w:eastAsia="仿宋"/>
          <w:kern w:val="2"/>
          <w:sz w:val="32"/>
          <w:szCs w:val="32"/>
          <w:lang w:val="zh-CN"/>
        </w:rPr>
        <w:t>个国有资本经营预算项目支出开展绩效自评，共涉及资金</w:t>
      </w:r>
      <w:r>
        <w:rPr>
          <w:rFonts w:hint="eastAsia" w:ascii="仿宋" w:hAnsi="仿宋" w:eastAsia="仿宋"/>
          <w:kern w:val="2"/>
          <w:sz w:val="32"/>
          <w:szCs w:val="32"/>
          <w:lang w:val="en-US" w:eastAsia="zh-CN"/>
        </w:rPr>
        <w:t>0.00</w:t>
      </w:r>
      <w:r>
        <w:rPr>
          <w:rFonts w:ascii="仿宋" w:hAnsi="仿宋" w:eastAsia="仿宋"/>
          <w:kern w:val="2"/>
          <w:sz w:val="32"/>
          <w:szCs w:val="32"/>
          <w:lang w:val="zh-CN"/>
        </w:rPr>
        <w:t>万元，占国有资本经营预算项目支出总额的</w:t>
      </w:r>
      <w:r>
        <w:rPr>
          <w:rFonts w:hint="eastAsia" w:ascii="仿宋" w:hAnsi="仿宋" w:eastAsia="仿宋"/>
          <w:kern w:val="2"/>
          <w:sz w:val="32"/>
          <w:szCs w:val="32"/>
          <w:lang w:val="en-US" w:eastAsia="zh-CN"/>
        </w:rPr>
        <w:t>0.0</w:t>
      </w:r>
      <w:r>
        <w:rPr>
          <w:rFonts w:ascii="仿宋" w:hAnsi="仿宋" w:eastAsia="仿宋"/>
          <w:kern w:val="2"/>
          <w:sz w:val="32"/>
          <w:szCs w:val="32"/>
          <w:lang w:val="zh-CN"/>
        </w:rPr>
        <w:t>%。</w:t>
      </w:r>
    </w:p>
    <w:p>
      <w:pPr>
        <w:pStyle w:val="10"/>
        <w:widowControl/>
        <w:snapToGrid w:val="0"/>
        <w:spacing w:beforeAutospacing="0" w:afterAutospacing="0" w:line="360" w:lineRule="auto"/>
        <w:ind w:firstLine="640" w:firstLineChars="200"/>
        <w:rPr>
          <w:rFonts w:ascii="仿宋" w:hAnsi="仿宋" w:eastAsia="仿宋"/>
          <w:kern w:val="2"/>
          <w:sz w:val="32"/>
          <w:szCs w:val="32"/>
          <w:lang w:val="zh-CN"/>
        </w:rPr>
      </w:pPr>
      <w:r>
        <w:rPr>
          <w:rFonts w:ascii="仿宋" w:hAnsi="仿宋" w:eastAsia="仿宋"/>
          <w:kern w:val="2"/>
          <w:sz w:val="32"/>
          <w:szCs w:val="32"/>
          <w:lang w:val="zh-CN"/>
        </w:rPr>
        <w:t>组织对“</w:t>
      </w:r>
      <w:r>
        <w:rPr>
          <w:rFonts w:hint="eastAsia" w:ascii="仿宋" w:hAnsi="仿宋" w:eastAsia="仿宋"/>
          <w:kern w:val="2"/>
          <w:sz w:val="32"/>
          <w:szCs w:val="32"/>
          <w:lang w:val="en-US" w:eastAsia="zh-CN"/>
        </w:rPr>
        <w:t>偿还2021年度第56批次5号地块社保费及风险基金</w:t>
      </w:r>
      <w:r>
        <w:rPr>
          <w:rFonts w:ascii="仿宋" w:hAnsi="仿宋" w:eastAsia="仿宋"/>
          <w:kern w:val="2"/>
          <w:sz w:val="32"/>
          <w:szCs w:val="32"/>
          <w:lang w:val="zh-CN"/>
        </w:rPr>
        <w:t>”“</w:t>
      </w:r>
      <w:r>
        <w:rPr>
          <w:rFonts w:hint="eastAsia" w:ascii="仿宋" w:hAnsi="仿宋" w:eastAsia="仿宋"/>
          <w:kern w:val="2"/>
          <w:sz w:val="32"/>
          <w:szCs w:val="32"/>
          <w:lang w:val="en-US" w:eastAsia="zh-CN"/>
        </w:rPr>
        <w:t>骊仁林业发展有限公司发展金</w:t>
      </w:r>
      <w:r>
        <w:rPr>
          <w:rFonts w:ascii="仿宋" w:hAnsi="仿宋" w:eastAsia="仿宋"/>
          <w:kern w:val="2"/>
          <w:sz w:val="32"/>
          <w:szCs w:val="32"/>
          <w:lang w:val="zh-CN"/>
        </w:rPr>
        <w:t>”等</w:t>
      </w:r>
      <w:r>
        <w:rPr>
          <w:rFonts w:hint="eastAsia" w:ascii="仿宋" w:hAnsi="仿宋" w:eastAsia="仿宋"/>
          <w:kern w:val="2"/>
          <w:sz w:val="32"/>
          <w:szCs w:val="32"/>
          <w:lang w:val="en-US" w:eastAsia="zh-CN"/>
        </w:rPr>
        <w:t>15</w:t>
      </w:r>
      <w:r>
        <w:rPr>
          <w:rFonts w:ascii="仿宋" w:hAnsi="仿宋" w:eastAsia="仿宋"/>
          <w:kern w:val="2"/>
          <w:sz w:val="32"/>
          <w:szCs w:val="32"/>
          <w:lang w:val="zh-CN"/>
        </w:rPr>
        <w:t>个项目开展了部门评价，涉及一般公共预算支出</w:t>
      </w:r>
      <w:r>
        <w:rPr>
          <w:rFonts w:hint="eastAsia" w:ascii="仿宋" w:hAnsi="仿宋" w:eastAsia="仿宋"/>
          <w:kern w:val="2"/>
          <w:sz w:val="32"/>
          <w:szCs w:val="32"/>
          <w:lang w:val="en-US" w:eastAsia="zh-CN"/>
        </w:rPr>
        <w:t>811.63</w:t>
      </w:r>
      <w:r>
        <w:rPr>
          <w:rFonts w:ascii="仿宋" w:hAnsi="仿宋" w:eastAsia="仿宋"/>
          <w:kern w:val="2"/>
          <w:sz w:val="32"/>
          <w:szCs w:val="32"/>
          <w:lang w:val="zh-CN"/>
        </w:rPr>
        <w:t>万元，政府性基金预算支出</w:t>
      </w:r>
      <w:r>
        <w:rPr>
          <w:rFonts w:hint="eastAsia" w:ascii="仿宋" w:hAnsi="仿宋" w:eastAsia="仿宋"/>
          <w:kern w:val="2"/>
          <w:sz w:val="32"/>
          <w:szCs w:val="32"/>
          <w:lang w:val="en-US" w:eastAsia="zh-CN"/>
        </w:rPr>
        <w:t>13042.70</w:t>
      </w:r>
      <w:r>
        <w:rPr>
          <w:rFonts w:ascii="仿宋" w:hAnsi="仿宋" w:eastAsia="仿宋"/>
          <w:kern w:val="2"/>
          <w:sz w:val="32"/>
          <w:szCs w:val="32"/>
          <w:lang w:val="zh-CN"/>
        </w:rPr>
        <w:t>万元，国有资本经营预算支出</w:t>
      </w:r>
      <w:r>
        <w:rPr>
          <w:rFonts w:hint="eastAsia" w:ascii="仿宋" w:hAnsi="仿宋" w:eastAsia="仿宋"/>
          <w:kern w:val="2"/>
          <w:sz w:val="32"/>
          <w:szCs w:val="32"/>
          <w:lang w:val="en-US" w:eastAsia="zh-CN"/>
        </w:rPr>
        <w:t>0.00</w:t>
      </w:r>
      <w:r>
        <w:rPr>
          <w:rFonts w:ascii="仿宋" w:hAnsi="仿宋" w:eastAsia="仿宋"/>
          <w:kern w:val="2"/>
          <w:sz w:val="32"/>
          <w:szCs w:val="32"/>
          <w:lang w:val="zh-CN"/>
        </w:rPr>
        <w:t>万元。</w:t>
      </w:r>
    </w:p>
    <w:p>
      <w:pPr>
        <w:pStyle w:val="10"/>
        <w:widowControl/>
        <w:snapToGrid w:val="0"/>
        <w:spacing w:beforeAutospacing="0" w:afterAutospacing="0" w:line="360" w:lineRule="auto"/>
        <w:ind w:firstLine="640" w:firstLineChars="200"/>
        <w:rPr>
          <w:rFonts w:hint="default" w:ascii="仿宋" w:hAnsi="仿宋" w:eastAsia="仿宋"/>
          <w:sz w:val="32"/>
          <w:szCs w:val="32"/>
          <w:highlight w:val="yellow"/>
          <w:lang w:val="en-US" w:eastAsia="zh-CN"/>
        </w:rPr>
      </w:pPr>
      <w:r>
        <w:rPr>
          <w:rFonts w:ascii="仿宋" w:hAnsi="仿宋" w:eastAsia="仿宋"/>
          <w:kern w:val="2"/>
          <w:sz w:val="32"/>
          <w:szCs w:val="32"/>
          <w:lang w:val="zh-CN"/>
        </w:rPr>
        <w:t>从评价情况看，</w:t>
      </w:r>
      <w:r>
        <w:rPr>
          <w:rFonts w:hint="eastAsia" w:ascii="仿宋" w:hAnsi="仿宋" w:eastAsia="仿宋"/>
          <w:kern w:val="2"/>
          <w:sz w:val="32"/>
          <w:szCs w:val="32"/>
          <w:lang w:val="en-US" w:eastAsia="zh-CN"/>
        </w:rPr>
        <w:t>项目支出评价等级为“优”项目15个，“良”项目0个，“中”项目0个，“差”项目0个，评优率100.0%。</w:t>
      </w:r>
    </w:p>
    <w:p>
      <w:pPr>
        <w:adjustRightInd w:val="0"/>
        <w:snapToGrid w:val="0"/>
        <w:spacing w:after="0" w:line="360" w:lineRule="auto"/>
        <w:ind w:firstLine="643" w:firstLineChars="200"/>
        <w:rPr>
          <w:rFonts w:hint="eastAsia" w:ascii="仿宋" w:hAnsi="仿宋" w:eastAsia="仿宋" w:cs="Times New Roman"/>
          <w:b/>
          <w:bCs/>
          <w:sz w:val="32"/>
          <w:szCs w:val="32"/>
        </w:rPr>
      </w:pPr>
      <w:r>
        <w:rPr>
          <w:rFonts w:ascii="仿宋" w:hAnsi="仿宋" w:eastAsia="仿宋" w:cs="Times New Roman"/>
          <w:b/>
          <w:bCs/>
          <w:sz w:val="32"/>
          <w:szCs w:val="32"/>
        </w:rPr>
        <w:t>（二）部门决算中项目绩效自评结果（如有）</w:t>
      </w:r>
    </w:p>
    <w:p>
      <w:pPr>
        <w:pStyle w:val="10"/>
        <w:widowControl/>
        <w:snapToGrid w:val="0"/>
        <w:spacing w:beforeAutospacing="0" w:afterAutospacing="0" w:line="360" w:lineRule="auto"/>
        <w:ind w:firstLine="640" w:firstLineChars="200"/>
        <w:rPr>
          <w:rFonts w:hint="eastAsia" w:ascii="仿宋" w:hAnsi="仿宋" w:eastAsia="仿宋"/>
          <w:kern w:val="2"/>
          <w:sz w:val="32"/>
          <w:szCs w:val="32"/>
          <w:lang w:val="zh-CN"/>
        </w:rPr>
      </w:pPr>
      <w:r>
        <w:rPr>
          <w:rFonts w:ascii="仿宋" w:hAnsi="仿宋" w:eastAsia="仿宋"/>
          <w:kern w:val="2"/>
          <w:sz w:val="32"/>
          <w:szCs w:val="32"/>
          <w:lang w:val="zh-CN"/>
        </w:rPr>
        <w:t>本</w:t>
      </w:r>
      <w:r>
        <w:rPr>
          <w:rFonts w:hint="eastAsia" w:ascii="仿宋" w:hAnsi="仿宋" w:eastAsia="仿宋"/>
          <w:kern w:val="2"/>
          <w:sz w:val="32"/>
          <w:szCs w:val="32"/>
          <w:lang w:val="zh-CN"/>
        </w:rPr>
        <w:t>部门</w:t>
      </w:r>
      <w:r>
        <w:rPr>
          <w:rFonts w:ascii="仿宋" w:hAnsi="仿宋" w:eastAsia="仿宋"/>
          <w:kern w:val="2"/>
          <w:sz w:val="32"/>
          <w:szCs w:val="32"/>
          <w:lang w:val="zh-CN"/>
        </w:rPr>
        <w:t>在今年部门决算公开中</w:t>
      </w:r>
      <w:r>
        <w:rPr>
          <w:rFonts w:hint="eastAsia" w:ascii="仿宋" w:hAnsi="仿宋" w:eastAsia="仿宋"/>
          <w:kern w:val="2"/>
          <w:sz w:val="32"/>
          <w:szCs w:val="32"/>
          <w:lang w:val="en-US" w:eastAsia="zh-CN"/>
        </w:rPr>
        <w:t>偿还2021年度第56批次5号地块社保费及风险基金</w:t>
      </w:r>
      <w:r>
        <w:rPr>
          <w:rFonts w:ascii="仿宋" w:hAnsi="仿宋" w:eastAsia="仿宋"/>
          <w:kern w:val="2"/>
          <w:sz w:val="32"/>
          <w:szCs w:val="32"/>
          <w:lang w:val="zh-CN"/>
        </w:rPr>
        <w:t>项目及</w:t>
      </w:r>
      <w:r>
        <w:rPr>
          <w:rFonts w:hint="eastAsia" w:ascii="仿宋" w:hAnsi="仿宋" w:eastAsia="仿宋"/>
          <w:kern w:val="2"/>
          <w:sz w:val="32"/>
          <w:szCs w:val="32"/>
          <w:lang w:val="en-US" w:eastAsia="zh-CN"/>
        </w:rPr>
        <w:t>骊仁林业发展有限公司发展金</w:t>
      </w:r>
      <w:r>
        <w:rPr>
          <w:rFonts w:ascii="仿宋" w:hAnsi="仿宋" w:eastAsia="仿宋"/>
          <w:kern w:val="2"/>
          <w:sz w:val="32"/>
          <w:szCs w:val="32"/>
          <w:lang w:val="zh-CN"/>
        </w:rPr>
        <w:t>项目等</w:t>
      </w:r>
      <w:r>
        <w:rPr>
          <w:rFonts w:hint="eastAsia" w:ascii="仿宋" w:hAnsi="仿宋" w:eastAsia="仿宋"/>
          <w:kern w:val="2"/>
          <w:sz w:val="32"/>
          <w:szCs w:val="32"/>
          <w:lang w:val="en-US" w:eastAsia="zh-CN"/>
        </w:rPr>
        <w:t>15</w:t>
      </w:r>
      <w:r>
        <w:rPr>
          <w:rFonts w:ascii="仿宋" w:hAnsi="仿宋" w:eastAsia="仿宋"/>
          <w:kern w:val="2"/>
          <w:sz w:val="32"/>
          <w:szCs w:val="32"/>
          <w:lang w:val="zh-CN"/>
        </w:rPr>
        <w:t>个项目绩效自评结果。</w:t>
      </w:r>
    </w:p>
    <w:p>
      <w:pPr>
        <w:pStyle w:val="10"/>
        <w:widowControl/>
        <w:snapToGrid w:val="0"/>
        <w:spacing w:beforeAutospacing="0" w:afterAutospacing="0" w:line="360" w:lineRule="auto"/>
        <w:ind w:firstLine="640" w:firstLineChars="200"/>
        <w:rPr>
          <w:rFonts w:ascii="仿宋" w:hAnsi="仿宋" w:eastAsia="仿宋" w:cs="Times New Roman"/>
          <w:sz w:val="32"/>
          <w:szCs w:val="32"/>
          <w:highlight w:val="yellow"/>
        </w:rPr>
      </w:pPr>
      <w:r>
        <w:rPr>
          <w:rFonts w:hint="eastAsia" w:ascii="仿宋" w:hAnsi="仿宋" w:eastAsia="仿宋"/>
          <w:kern w:val="2"/>
          <w:sz w:val="32"/>
          <w:szCs w:val="32"/>
          <w:lang w:val="en-US" w:eastAsia="zh-CN"/>
        </w:rPr>
        <w:t>1，偿还2021年度第56批次5号地块社保费及风险基金</w:t>
      </w:r>
      <w:r>
        <w:rPr>
          <w:rFonts w:ascii="仿宋" w:hAnsi="仿宋" w:eastAsia="仿宋"/>
          <w:kern w:val="2"/>
          <w:sz w:val="32"/>
          <w:szCs w:val="32"/>
          <w:lang w:val="zh-CN"/>
        </w:rPr>
        <w:t>项目绩效自评情况：根据年初设定的绩效目标，</w:t>
      </w:r>
      <w:r>
        <w:rPr>
          <w:rFonts w:hint="eastAsia" w:ascii="仿宋" w:hAnsi="仿宋" w:eastAsia="仿宋"/>
          <w:kern w:val="2"/>
          <w:sz w:val="32"/>
          <w:szCs w:val="32"/>
          <w:lang w:val="en-US" w:eastAsia="zh-CN"/>
        </w:rPr>
        <w:t>注册资本金</w:t>
      </w:r>
      <w:r>
        <w:rPr>
          <w:rFonts w:ascii="仿宋" w:hAnsi="仿宋" w:eastAsia="仿宋"/>
          <w:kern w:val="2"/>
          <w:sz w:val="32"/>
          <w:szCs w:val="32"/>
          <w:lang w:val="zh-CN"/>
        </w:rPr>
        <w:t>项目绩效自评得分为</w:t>
      </w:r>
      <w:r>
        <w:rPr>
          <w:rFonts w:hint="eastAsia" w:ascii="仿宋" w:hAnsi="仿宋" w:eastAsia="仿宋"/>
          <w:kern w:val="2"/>
          <w:sz w:val="32"/>
          <w:szCs w:val="32"/>
          <w:lang w:val="en-US" w:eastAsia="zh-CN"/>
        </w:rPr>
        <w:t>100</w:t>
      </w:r>
      <w:r>
        <w:rPr>
          <w:rFonts w:ascii="仿宋" w:hAnsi="仿宋" w:eastAsia="仿宋"/>
          <w:kern w:val="2"/>
          <w:sz w:val="32"/>
          <w:szCs w:val="32"/>
          <w:lang w:val="zh-CN"/>
        </w:rPr>
        <w:t>分（绩效自评表附后）。全年预算数为</w:t>
      </w:r>
      <w:r>
        <w:rPr>
          <w:rFonts w:hint="eastAsia" w:ascii="仿宋" w:hAnsi="仿宋" w:eastAsia="仿宋"/>
          <w:kern w:val="2"/>
          <w:sz w:val="32"/>
          <w:szCs w:val="32"/>
          <w:lang w:val="en-US" w:eastAsia="zh-CN"/>
        </w:rPr>
        <w:t>63.29</w:t>
      </w:r>
      <w:r>
        <w:rPr>
          <w:rFonts w:ascii="仿宋" w:hAnsi="仿宋" w:eastAsia="仿宋"/>
          <w:kern w:val="2"/>
          <w:sz w:val="32"/>
          <w:szCs w:val="32"/>
          <w:lang w:val="zh-CN"/>
        </w:rPr>
        <w:t>万元，执行数为</w:t>
      </w:r>
      <w:r>
        <w:rPr>
          <w:rFonts w:hint="eastAsia" w:ascii="仿宋" w:hAnsi="仿宋" w:eastAsia="仿宋"/>
          <w:kern w:val="2"/>
          <w:sz w:val="32"/>
          <w:szCs w:val="32"/>
          <w:lang w:val="en-US" w:eastAsia="zh-CN"/>
        </w:rPr>
        <w:t>63.29</w:t>
      </w:r>
      <w:r>
        <w:rPr>
          <w:rFonts w:ascii="仿宋" w:hAnsi="仿宋" w:eastAsia="仿宋"/>
          <w:kern w:val="2"/>
          <w:sz w:val="32"/>
          <w:szCs w:val="32"/>
          <w:lang w:val="zh-CN"/>
        </w:rPr>
        <w:t>万元，完成预算的</w:t>
      </w:r>
      <w:r>
        <w:rPr>
          <w:rFonts w:hint="eastAsia" w:ascii="仿宋" w:hAnsi="仿宋" w:eastAsia="仿宋"/>
          <w:kern w:val="2"/>
          <w:sz w:val="32"/>
          <w:szCs w:val="32"/>
          <w:lang w:val="en-US" w:eastAsia="zh-CN"/>
        </w:rPr>
        <w:t>100.0</w:t>
      </w:r>
      <w:r>
        <w:rPr>
          <w:rFonts w:ascii="仿宋" w:hAnsi="仿宋" w:eastAsia="仿宋"/>
          <w:kern w:val="2"/>
          <w:sz w:val="32"/>
          <w:szCs w:val="32"/>
          <w:lang w:val="zh-CN"/>
        </w:rPr>
        <w:t>%。项目绩效目标完成情况：</w:t>
      </w:r>
      <w:r>
        <w:rPr>
          <w:rFonts w:hint="eastAsia" w:ascii="仿宋" w:hAnsi="仿宋" w:eastAsia="仿宋"/>
          <w:kern w:val="2"/>
          <w:sz w:val="32"/>
          <w:szCs w:val="32"/>
          <w:lang w:val="en-US" w:eastAsia="zh-CN"/>
        </w:rPr>
        <w:t>通过项目实施，总体完成了年初设定的各项绩效目标，未发现问题。</w:t>
      </w:r>
    </w:p>
    <w:p>
      <w:pPr>
        <w:pStyle w:val="10"/>
        <w:widowControl/>
        <w:snapToGrid w:val="0"/>
        <w:spacing w:beforeAutospacing="0" w:afterAutospacing="0" w:line="360" w:lineRule="auto"/>
        <w:ind w:firstLine="640" w:firstLineChars="200"/>
        <w:rPr>
          <w:rFonts w:ascii="仿宋" w:hAnsi="仿宋" w:eastAsia="仿宋"/>
          <w:kern w:val="2"/>
          <w:sz w:val="32"/>
          <w:szCs w:val="32"/>
          <w:lang w:val="zh-CN"/>
        </w:rPr>
      </w:pPr>
      <w:r>
        <w:rPr>
          <w:rFonts w:hint="eastAsia" w:ascii="仿宋" w:hAnsi="仿宋" w:eastAsia="仿宋"/>
          <w:kern w:val="2"/>
          <w:sz w:val="32"/>
          <w:szCs w:val="32"/>
          <w:lang w:val="en-US" w:eastAsia="zh-CN"/>
        </w:rPr>
        <w:t>2，骊仁林业发展有限公司发展金</w:t>
      </w:r>
      <w:r>
        <w:rPr>
          <w:rFonts w:ascii="仿宋" w:hAnsi="仿宋" w:eastAsia="仿宋"/>
          <w:kern w:val="2"/>
          <w:sz w:val="32"/>
          <w:szCs w:val="32"/>
          <w:lang w:val="zh-CN"/>
        </w:rPr>
        <w:t>项目绩效自评情况：根据年初设定的绩效目标，</w:t>
      </w:r>
      <w:r>
        <w:rPr>
          <w:rFonts w:hint="eastAsia" w:ascii="仿宋" w:hAnsi="仿宋" w:eastAsia="仿宋"/>
          <w:kern w:val="2"/>
          <w:sz w:val="32"/>
          <w:szCs w:val="32"/>
          <w:lang w:val="en-US" w:eastAsia="zh-CN"/>
        </w:rPr>
        <w:t>注册资本金</w:t>
      </w:r>
      <w:r>
        <w:rPr>
          <w:rFonts w:ascii="仿宋" w:hAnsi="仿宋" w:eastAsia="仿宋"/>
          <w:kern w:val="2"/>
          <w:sz w:val="32"/>
          <w:szCs w:val="32"/>
          <w:lang w:val="zh-CN"/>
        </w:rPr>
        <w:t>项目绩效自评得分为</w:t>
      </w:r>
      <w:r>
        <w:rPr>
          <w:rFonts w:hint="eastAsia" w:ascii="仿宋" w:hAnsi="仿宋" w:eastAsia="仿宋"/>
          <w:kern w:val="2"/>
          <w:sz w:val="32"/>
          <w:szCs w:val="32"/>
          <w:lang w:val="en-US" w:eastAsia="zh-CN"/>
        </w:rPr>
        <w:t>96</w:t>
      </w:r>
      <w:r>
        <w:rPr>
          <w:rFonts w:ascii="仿宋" w:hAnsi="仿宋" w:eastAsia="仿宋"/>
          <w:kern w:val="2"/>
          <w:sz w:val="32"/>
          <w:szCs w:val="32"/>
          <w:lang w:val="zh-CN"/>
        </w:rPr>
        <w:t>分（绩效自评表附后）。全年预算数为</w:t>
      </w:r>
      <w:r>
        <w:rPr>
          <w:rFonts w:hint="eastAsia" w:ascii="仿宋" w:hAnsi="仿宋" w:eastAsia="仿宋"/>
          <w:kern w:val="2"/>
          <w:sz w:val="32"/>
          <w:szCs w:val="32"/>
          <w:lang w:val="en-US" w:eastAsia="zh-CN"/>
        </w:rPr>
        <w:t>7500.00</w:t>
      </w:r>
      <w:r>
        <w:rPr>
          <w:rFonts w:ascii="仿宋" w:hAnsi="仿宋" w:eastAsia="仿宋"/>
          <w:kern w:val="2"/>
          <w:sz w:val="32"/>
          <w:szCs w:val="32"/>
          <w:lang w:val="zh-CN"/>
        </w:rPr>
        <w:t>万元，执行数为</w:t>
      </w:r>
      <w:r>
        <w:rPr>
          <w:rFonts w:hint="eastAsia" w:ascii="仿宋" w:hAnsi="仿宋" w:eastAsia="仿宋"/>
          <w:kern w:val="2"/>
          <w:sz w:val="32"/>
          <w:szCs w:val="32"/>
          <w:lang w:val="en-US" w:eastAsia="zh-CN"/>
        </w:rPr>
        <w:t>7200.00</w:t>
      </w:r>
      <w:r>
        <w:rPr>
          <w:rFonts w:ascii="仿宋" w:hAnsi="仿宋" w:eastAsia="仿宋"/>
          <w:kern w:val="2"/>
          <w:sz w:val="32"/>
          <w:szCs w:val="32"/>
          <w:lang w:val="zh-CN"/>
        </w:rPr>
        <w:t>万元，完成预算的</w:t>
      </w:r>
      <w:r>
        <w:rPr>
          <w:rFonts w:hint="eastAsia" w:ascii="仿宋" w:hAnsi="仿宋" w:eastAsia="仿宋"/>
          <w:kern w:val="2"/>
          <w:sz w:val="32"/>
          <w:szCs w:val="32"/>
          <w:lang w:val="en-US" w:eastAsia="zh-CN"/>
        </w:rPr>
        <w:t>96.0</w:t>
      </w:r>
      <w:r>
        <w:rPr>
          <w:rFonts w:ascii="仿宋" w:hAnsi="仿宋" w:eastAsia="仿宋"/>
          <w:kern w:val="2"/>
          <w:sz w:val="32"/>
          <w:szCs w:val="32"/>
          <w:lang w:val="zh-CN"/>
        </w:rPr>
        <w:t>%。项目绩效目标完成情况：</w:t>
      </w:r>
      <w:r>
        <w:rPr>
          <w:rFonts w:hint="eastAsia" w:ascii="仿宋" w:hAnsi="仿宋" w:eastAsia="仿宋"/>
          <w:kern w:val="2"/>
          <w:sz w:val="32"/>
          <w:szCs w:val="32"/>
          <w:lang w:val="en-US" w:eastAsia="zh-CN"/>
        </w:rPr>
        <w:t>通过项目实施，总体完成了年初设定的各项绩效目标</w:t>
      </w:r>
      <w:r>
        <w:rPr>
          <w:rFonts w:ascii="仿宋" w:hAnsi="仿宋" w:eastAsia="仿宋"/>
          <w:kern w:val="2"/>
          <w:sz w:val="32"/>
          <w:szCs w:val="32"/>
          <w:lang w:val="zh-CN"/>
        </w:rPr>
        <w:t>。发现的主要问题及原因是：一是</w:t>
      </w:r>
      <w:r>
        <w:rPr>
          <w:rFonts w:hint="eastAsia" w:ascii="仿宋" w:hAnsi="仿宋" w:eastAsia="仿宋"/>
          <w:kern w:val="2"/>
          <w:sz w:val="32"/>
          <w:szCs w:val="32"/>
          <w:lang w:val="en-US" w:eastAsia="zh-CN"/>
        </w:rPr>
        <w:t>预算绩效指标设置不专业</w:t>
      </w:r>
      <w:r>
        <w:rPr>
          <w:rFonts w:ascii="仿宋" w:hAnsi="仿宋" w:eastAsia="仿宋"/>
          <w:kern w:val="2"/>
          <w:sz w:val="32"/>
          <w:szCs w:val="32"/>
          <w:lang w:val="zh-CN"/>
        </w:rPr>
        <w:t>；二是</w:t>
      </w:r>
      <w:r>
        <w:rPr>
          <w:rFonts w:hint="eastAsia" w:ascii="仿宋" w:hAnsi="仿宋" w:eastAsia="仿宋"/>
          <w:kern w:val="2"/>
          <w:sz w:val="32"/>
          <w:szCs w:val="32"/>
          <w:lang w:val="en-US" w:eastAsia="zh-CN"/>
        </w:rPr>
        <w:t>对绩效目标执行效果关注度不强，缺少长期跟踪评价</w:t>
      </w:r>
      <w:r>
        <w:rPr>
          <w:rFonts w:ascii="仿宋" w:hAnsi="仿宋" w:eastAsia="仿宋"/>
          <w:kern w:val="2"/>
          <w:sz w:val="32"/>
          <w:szCs w:val="32"/>
          <w:lang w:val="zh-CN"/>
        </w:rPr>
        <w:t>。下一步改进措施：一是</w:t>
      </w:r>
      <w:r>
        <w:rPr>
          <w:rFonts w:hint="eastAsia" w:ascii="仿宋" w:hAnsi="仿宋" w:eastAsia="仿宋"/>
          <w:kern w:val="2"/>
          <w:sz w:val="32"/>
          <w:szCs w:val="32"/>
          <w:lang w:val="en-US" w:eastAsia="zh-CN"/>
        </w:rPr>
        <w:t>需要制定更加完整、准确、合理的绩效目标</w:t>
      </w:r>
      <w:r>
        <w:rPr>
          <w:rFonts w:ascii="仿宋" w:hAnsi="仿宋" w:eastAsia="仿宋"/>
          <w:kern w:val="2"/>
          <w:sz w:val="32"/>
          <w:szCs w:val="32"/>
          <w:lang w:val="zh-CN"/>
        </w:rPr>
        <w:t>；二是</w:t>
      </w:r>
      <w:r>
        <w:rPr>
          <w:rFonts w:hint="eastAsia" w:ascii="仿宋" w:hAnsi="仿宋" w:eastAsia="仿宋"/>
          <w:kern w:val="2"/>
          <w:sz w:val="32"/>
          <w:szCs w:val="32"/>
          <w:lang w:val="en-US" w:eastAsia="zh-CN"/>
        </w:rPr>
        <w:t>加强长期跟踪评价</w:t>
      </w:r>
      <w:r>
        <w:rPr>
          <w:rFonts w:ascii="仿宋" w:hAnsi="仿宋" w:eastAsia="仿宋"/>
          <w:kern w:val="2"/>
          <w:sz w:val="32"/>
          <w:szCs w:val="32"/>
          <w:lang w:val="zh-CN"/>
        </w:rPr>
        <w:t>。</w:t>
      </w:r>
    </w:p>
    <w:p>
      <w:pPr>
        <w:pStyle w:val="10"/>
        <w:widowControl/>
        <w:snapToGrid w:val="0"/>
        <w:spacing w:beforeAutospacing="0" w:afterAutospacing="0" w:line="360" w:lineRule="auto"/>
        <w:rPr>
          <w:rFonts w:hint="default" w:ascii="仿宋" w:hAnsi="仿宋" w:eastAsia="仿宋"/>
          <w:kern w:val="2"/>
          <w:sz w:val="32"/>
          <w:szCs w:val="32"/>
          <w:lang w:val="en-US" w:eastAsia="zh-CN"/>
        </w:rPr>
      </w:pPr>
      <w:r>
        <w:rPr>
          <w:rFonts w:hint="eastAsia" w:ascii="仿宋" w:hAnsi="仿宋" w:eastAsia="仿宋"/>
          <w:kern w:val="2"/>
          <w:sz w:val="32"/>
          <w:szCs w:val="32"/>
          <w:lang w:val="en-US" w:eastAsia="zh-CN"/>
        </w:rPr>
        <w:t xml:space="preserve"> 附项目支出绩效自评表</w:t>
      </w:r>
    </w:p>
    <w:tbl>
      <w:tblPr>
        <w:tblStyle w:val="11"/>
        <w:tblW w:w="1078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45"/>
        <w:gridCol w:w="675"/>
        <w:gridCol w:w="810"/>
        <w:gridCol w:w="1485"/>
        <w:gridCol w:w="1380"/>
        <w:gridCol w:w="1080"/>
        <w:gridCol w:w="455"/>
        <w:gridCol w:w="25"/>
        <w:gridCol w:w="375"/>
        <w:gridCol w:w="369"/>
        <w:gridCol w:w="434"/>
        <w:gridCol w:w="451"/>
        <w:gridCol w:w="434"/>
        <w:gridCol w:w="826"/>
        <w:gridCol w:w="10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785" w:type="dxa"/>
            <w:gridSpan w:val="15"/>
            <w:vMerge w:val="restart"/>
            <w:tcBorders>
              <w:top w:val="single" w:color="B0C4DE" w:sz="4" w:space="0"/>
              <w:left w:val="single" w:color="B0C4DE" w:sz="4" w:space="0"/>
              <w:bottom w:val="single" w:color="B0C4DE" w:sz="4" w:space="0"/>
              <w:right w:val="single" w:color="B0C4DE"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b/>
                <w:bCs/>
                <w:i w:val="0"/>
                <w:iCs w:val="0"/>
                <w:color w:val="000000"/>
                <w:sz w:val="36"/>
                <w:szCs w:val="36"/>
                <w:u w:val="none"/>
              </w:rPr>
            </w:pPr>
            <w:r>
              <w:rPr>
                <w:rFonts w:ascii="宋体" w:hAnsi="宋体" w:eastAsia="宋体" w:cs="宋体"/>
                <w:b/>
                <w:bCs/>
                <w:i w:val="0"/>
                <w:iCs w:val="0"/>
                <w:color w:val="000000"/>
                <w:kern w:val="0"/>
                <w:sz w:val="36"/>
                <w:szCs w:val="36"/>
                <w:u w:val="none"/>
                <w:lang w:val="en-US" w:eastAsia="zh-CN" w:bidi="ar"/>
              </w:rPr>
              <w:t>2023年度预算项目绩效自评表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785" w:type="dxa"/>
            <w:gridSpan w:val="15"/>
            <w:vMerge w:val="continue"/>
            <w:tcBorders>
              <w:top w:val="single" w:color="B0C4DE" w:sz="4" w:space="0"/>
              <w:left w:val="single" w:color="B0C4DE" w:sz="4" w:space="0"/>
              <w:bottom w:val="single" w:color="B0C4DE" w:sz="4" w:space="0"/>
              <w:right w:val="single" w:color="B0C4DE" w:sz="4" w:space="0"/>
            </w:tcBorders>
            <w:shd w:val="clear" w:color="auto" w:fill="auto"/>
            <w:noWrap/>
            <w:vAlign w:val="center"/>
          </w:tcPr>
          <w:p>
            <w:pPr>
              <w:jc w:val="center"/>
              <w:rPr>
                <w:rFonts w:hint="eastAsia" w:ascii="宋体" w:hAnsi="宋体" w:eastAsia="宋体" w:cs="宋体"/>
                <w:b/>
                <w:bCs/>
                <w:i w:val="0"/>
                <w:iCs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一、基本情况</w:t>
            </w:r>
          </w:p>
        </w:tc>
        <w:tc>
          <w:tcPr>
            <w:tcW w:w="675"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项目名称</w:t>
            </w:r>
          </w:p>
        </w:tc>
        <w:tc>
          <w:tcPr>
            <w:tcW w:w="2295" w:type="dxa"/>
            <w:gridSpan w:val="2"/>
            <w:tcBorders>
              <w:top w:val="single" w:color="B0C4DE" w:sz="4" w:space="0"/>
              <w:left w:val="single" w:color="B0C4DE" w:sz="4" w:space="0"/>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偿还2021年度第56批次5号地块社保费及风险基金</w:t>
            </w:r>
          </w:p>
        </w:tc>
        <w:tc>
          <w:tcPr>
            <w:tcW w:w="138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项目级次</w:t>
            </w:r>
          </w:p>
        </w:tc>
        <w:tc>
          <w:tcPr>
            <w:tcW w:w="1080"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本级</w:t>
            </w:r>
          </w:p>
        </w:tc>
        <w:tc>
          <w:tcPr>
            <w:tcW w:w="855" w:type="dxa"/>
            <w:gridSpan w:val="3"/>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实施主管单位</w:t>
            </w:r>
          </w:p>
        </w:tc>
        <w:tc>
          <w:tcPr>
            <w:tcW w:w="1688" w:type="dxa"/>
            <w:gridSpan w:val="4"/>
            <w:tcBorders>
              <w:top w:val="single" w:color="B0C4DE" w:sz="4" w:space="0"/>
              <w:left w:val="single" w:color="B0C4DE" w:sz="4" w:space="0"/>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328001 - 河北抚宁经济开发区管理委员会本级</w:t>
            </w:r>
          </w:p>
        </w:tc>
        <w:tc>
          <w:tcPr>
            <w:tcW w:w="826"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金额单位</w:t>
            </w:r>
          </w:p>
        </w:tc>
        <w:tc>
          <w:tcPr>
            <w:tcW w:w="1041" w:type="dxa"/>
            <w:tcBorders>
              <w:top w:val="single" w:color="B0C4DE" w:sz="4" w:space="0"/>
              <w:left w:val="single" w:color="B0C4DE" w:sz="4" w:space="0"/>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restart"/>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二、预算执行情况</w:t>
            </w:r>
          </w:p>
        </w:tc>
        <w:tc>
          <w:tcPr>
            <w:tcW w:w="1485" w:type="dxa"/>
            <w:gridSpan w:val="2"/>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预算安排情况(调整后)</w:t>
            </w:r>
          </w:p>
        </w:tc>
        <w:tc>
          <w:tcPr>
            <w:tcW w:w="4400" w:type="dxa"/>
            <w:gridSpan w:val="4"/>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资金到位情况</w:t>
            </w:r>
          </w:p>
        </w:tc>
        <w:tc>
          <w:tcPr>
            <w:tcW w:w="1654" w:type="dxa"/>
            <w:gridSpan w:val="5"/>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资金执行情况</w:t>
            </w:r>
          </w:p>
        </w:tc>
        <w:tc>
          <w:tcPr>
            <w:tcW w:w="2301" w:type="dxa"/>
            <w:gridSpan w:val="3"/>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noWrap/>
            <w:vAlign w:val="top"/>
          </w:tcPr>
          <w:p>
            <w:pPr>
              <w:rPr>
                <w:rFonts w:hint="eastAsia" w:ascii="宋体" w:hAnsi="宋体" w:eastAsia="宋体" w:cs="宋体"/>
                <w:b/>
                <w:bCs/>
                <w:i w:val="0"/>
                <w:iCs w:val="0"/>
                <w:color w:val="000000"/>
                <w:sz w:val="22"/>
                <w:szCs w:val="22"/>
                <w:u w:val="none"/>
              </w:rPr>
            </w:pPr>
          </w:p>
        </w:tc>
        <w:tc>
          <w:tcPr>
            <w:tcW w:w="675"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预算数</w:t>
            </w:r>
          </w:p>
        </w:tc>
        <w:tc>
          <w:tcPr>
            <w:tcW w:w="810"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63.29</w:t>
            </w:r>
          </w:p>
        </w:tc>
        <w:tc>
          <w:tcPr>
            <w:tcW w:w="1485"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到位数</w:t>
            </w:r>
          </w:p>
        </w:tc>
        <w:tc>
          <w:tcPr>
            <w:tcW w:w="2915" w:type="dxa"/>
            <w:gridSpan w:val="3"/>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63.29</w:t>
            </w:r>
          </w:p>
        </w:tc>
        <w:tc>
          <w:tcPr>
            <w:tcW w:w="769" w:type="dxa"/>
            <w:gridSpan w:val="3"/>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执行数</w:t>
            </w:r>
          </w:p>
        </w:tc>
        <w:tc>
          <w:tcPr>
            <w:tcW w:w="885" w:type="dxa"/>
            <w:gridSpan w:val="2"/>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63.29</w:t>
            </w:r>
          </w:p>
        </w:tc>
        <w:tc>
          <w:tcPr>
            <w:tcW w:w="2301" w:type="dxa"/>
            <w:gridSpan w:val="3"/>
            <w:vMerge w:val="restart"/>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rPr>
            </w:pPr>
            <w:r>
              <w:rPr>
                <w:rFonts w:hint="default" w:ascii="Calibri" w:hAnsi="Calibri" w:eastAsia="宋体" w:cs="Calibri"/>
                <w:i w:val="0"/>
                <w:iCs w:val="0"/>
                <w:color w:val="000000"/>
                <w:kern w:val="0"/>
                <w:sz w:val="22"/>
                <w:szCs w:val="22"/>
                <w:u w:val="none"/>
                <w:lang w:val="en-US" w:eastAsia="zh-CN" w:bidi="ar"/>
              </w:rPr>
              <w:t>100</w:t>
            </w:r>
            <w:r>
              <w:rPr>
                <w:rFonts w:hint="eastAsia" w:ascii="Calibri" w:hAnsi="Calibri" w:eastAsia="宋体" w:cs="Calibri"/>
                <w:i w:val="0"/>
                <w:iCs w:val="0"/>
                <w:color w:val="000000"/>
                <w:kern w:val="0"/>
                <w:sz w:val="22"/>
                <w:szCs w:val="22"/>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noWrap/>
            <w:vAlign w:val="top"/>
          </w:tcPr>
          <w:p>
            <w:pPr>
              <w:rPr>
                <w:rFonts w:hint="eastAsia" w:ascii="宋体" w:hAnsi="宋体" w:eastAsia="宋体" w:cs="宋体"/>
                <w:b/>
                <w:bCs/>
                <w:i w:val="0"/>
                <w:iCs w:val="0"/>
                <w:color w:val="000000"/>
                <w:sz w:val="22"/>
                <w:szCs w:val="22"/>
                <w:u w:val="none"/>
              </w:rPr>
            </w:pPr>
          </w:p>
        </w:tc>
        <w:tc>
          <w:tcPr>
            <w:tcW w:w="675"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810"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63.29</w:t>
            </w:r>
          </w:p>
        </w:tc>
        <w:tc>
          <w:tcPr>
            <w:tcW w:w="1485"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2915" w:type="dxa"/>
            <w:gridSpan w:val="3"/>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63.29</w:t>
            </w:r>
          </w:p>
        </w:tc>
        <w:tc>
          <w:tcPr>
            <w:tcW w:w="769" w:type="dxa"/>
            <w:gridSpan w:val="3"/>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885" w:type="dxa"/>
            <w:gridSpan w:val="2"/>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63.29</w:t>
            </w:r>
          </w:p>
        </w:tc>
        <w:tc>
          <w:tcPr>
            <w:tcW w:w="2301" w:type="dxa"/>
            <w:gridSpan w:val="3"/>
            <w:vMerge w:val="continue"/>
            <w:tcBorders>
              <w:top w:val="nil"/>
              <w:left w:val="nil"/>
              <w:bottom w:val="single" w:color="B0C4DE" w:sz="4" w:space="0"/>
              <w:right w:val="single" w:color="B0C4DE"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noWrap/>
            <w:vAlign w:val="top"/>
          </w:tcPr>
          <w:p>
            <w:pPr>
              <w:rPr>
                <w:rFonts w:hint="eastAsia" w:ascii="宋体" w:hAnsi="宋体" w:eastAsia="宋体" w:cs="宋体"/>
                <w:b/>
                <w:bCs/>
                <w:i w:val="0"/>
                <w:iCs w:val="0"/>
                <w:color w:val="000000"/>
                <w:sz w:val="22"/>
                <w:szCs w:val="22"/>
                <w:u w:val="none"/>
              </w:rPr>
            </w:pPr>
          </w:p>
        </w:tc>
        <w:tc>
          <w:tcPr>
            <w:tcW w:w="675"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810"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rPr>
            </w:pPr>
            <w:r>
              <w:rPr>
                <w:rFonts w:hint="default" w:ascii="Calibri" w:hAnsi="Calibri" w:eastAsia="宋体" w:cs="Calibri"/>
                <w:i w:val="0"/>
                <w:iCs w:val="0"/>
                <w:color w:val="000000"/>
                <w:kern w:val="0"/>
                <w:sz w:val="22"/>
                <w:szCs w:val="22"/>
                <w:u w:val="none"/>
                <w:lang w:val="en-US" w:eastAsia="zh-CN" w:bidi="ar"/>
              </w:rPr>
              <w:t>0</w:t>
            </w:r>
            <w:r>
              <w:rPr>
                <w:rFonts w:hint="eastAsia" w:ascii="Calibri" w:hAnsi="Calibri" w:eastAsia="宋体" w:cs="Calibri"/>
                <w:i w:val="0"/>
                <w:iCs w:val="0"/>
                <w:color w:val="000000"/>
                <w:kern w:val="0"/>
                <w:sz w:val="22"/>
                <w:szCs w:val="22"/>
                <w:u w:val="none"/>
                <w:lang w:val="en-US" w:eastAsia="zh-CN" w:bidi="ar"/>
              </w:rPr>
              <w:t>.00</w:t>
            </w:r>
          </w:p>
        </w:tc>
        <w:tc>
          <w:tcPr>
            <w:tcW w:w="1485"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2915" w:type="dxa"/>
            <w:gridSpan w:val="3"/>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rPr>
            </w:pPr>
            <w:r>
              <w:rPr>
                <w:rFonts w:hint="default" w:ascii="Calibri" w:hAnsi="Calibri" w:eastAsia="宋体" w:cs="Calibri"/>
                <w:i w:val="0"/>
                <w:iCs w:val="0"/>
                <w:color w:val="000000"/>
                <w:kern w:val="0"/>
                <w:sz w:val="22"/>
                <w:szCs w:val="22"/>
                <w:u w:val="none"/>
                <w:lang w:val="en-US" w:eastAsia="zh-CN" w:bidi="ar"/>
              </w:rPr>
              <w:t>0</w:t>
            </w:r>
            <w:r>
              <w:rPr>
                <w:rFonts w:hint="eastAsia" w:ascii="Calibri" w:hAnsi="Calibri" w:eastAsia="宋体" w:cs="Calibri"/>
                <w:i w:val="0"/>
                <w:iCs w:val="0"/>
                <w:color w:val="000000"/>
                <w:kern w:val="0"/>
                <w:sz w:val="22"/>
                <w:szCs w:val="22"/>
                <w:u w:val="none"/>
                <w:lang w:val="en-US" w:eastAsia="zh-CN" w:bidi="ar"/>
              </w:rPr>
              <w:t>.00</w:t>
            </w:r>
          </w:p>
        </w:tc>
        <w:tc>
          <w:tcPr>
            <w:tcW w:w="769" w:type="dxa"/>
            <w:gridSpan w:val="3"/>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885" w:type="dxa"/>
            <w:gridSpan w:val="2"/>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rPr>
            </w:pPr>
            <w:r>
              <w:rPr>
                <w:rFonts w:hint="default" w:ascii="Calibri" w:hAnsi="Calibri" w:eastAsia="宋体" w:cs="Calibri"/>
                <w:i w:val="0"/>
                <w:iCs w:val="0"/>
                <w:color w:val="000000"/>
                <w:kern w:val="0"/>
                <w:sz w:val="22"/>
                <w:szCs w:val="22"/>
                <w:u w:val="none"/>
                <w:lang w:val="en-US" w:eastAsia="zh-CN" w:bidi="ar"/>
              </w:rPr>
              <w:t>0</w:t>
            </w:r>
            <w:r>
              <w:rPr>
                <w:rFonts w:hint="eastAsia" w:ascii="Calibri" w:hAnsi="Calibri" w:eastAsia="宋体" w:cs="Calibri"/>
                <w:i w:val="0"/>
                <w:iCs w:val="0"/>
                <w:color w:val="000000"/>
                <w:kern w:val="0"/>
                <w:sz w:val="22"/>
                <w:szCs w:val="22"/>
                <w:u w:val="none"/>
                <w:lang w:val="en-US" w:eastAsia="zh-CN" w:bidi="ar"/>
              </w:rPr>
              <w:t>.00</w:t>
            </w:r>
          </w:p>
        </w:tc>
        <w:tc>
          <w:tcPr>
            <w:tcW w:w="2301" w:type="dxa"/>
            <w:gridSpan w:val="3"/>
            <w:vMerge w:val="continue"/>
            <w:tcBorders>
              <w:top w:val="nil"/>
              <w:left w:val="nil"/>
              <w:bottom w:val="single" w:color="B0C4DE" w:sz="4" w:space="0"/>
              <w:right w:val="single" w:color="B0C4DE"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三、目标完成情况</w:t>
            </w:r>
          </w:p>
        </w:tc>
        <w:tc>
          <w:tcPr>
            <w:tcW w:w="4350" w:type="dxa"/>
            <w:gridSpan w:val="4"/>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年度预期目标</w:t>
            </w:r>
          </w:p>
        </w:tc>
        <w:tc>
          <w:tcPr>
            <w:tcW w:w="3189" w:type="dxa"/>
            <w:gridSpan w:val="7"/>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具体完成情况</w:t>
            </w:r>
          </w:p>
        </w:tc>
        <w:tc>
          <w:tcPr>
            <w:tcW w:w="2301" w:type="dxa"/>
            <w:gridSpan w:val="3"/>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4350" w:type="dxa"/>
            <w:gridSpan w:val="4"/>
            <w:tcBorders>
              <w:top w:val="single" w:color="B0C4DE" w:sz="4" w:space="0"/>
              <w:left w:val="single" w:color="B0C4DE" w:sz="4" w:space="0"/>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为优化营商环境，确保项目落地</w:t>
            </w:r>
          </w:p>
        </w:tc>
        <w:tc>
          <w:tcPr>
            <w:tcW w:w="3189" w:type="dxa"/>
            <w:gridSpan w:val="7"/>
            <w:tcBorders>
              <w:top w:val="single" w:color="B0C4DE" w:sz="4" w:space="0"/>
              <w:left w:val="single" w:color="B0C4DE" w:sz="4" w:space="0"/>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优化营商环境，确保项目落地目标已完成</w:t>
            </w:r>
          </w:p>
        </w:tc>
        <w:tc>
          <w:tcPr>
            <w:tcW w:w="2301" w:type="dxa"/>
            <w:gridSpan w:val="3"/>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4350" w:type="dxa"/>
            <w:gridSpan w:val="4"/>
            <w:tcBorders>
              <w:top w:val="single" w:color="B0C4DE" w:sz="4" w:space="0"/>
              <w:left w:val="single" w:color="B0C4DE" w:sz="4" w:space="0"/>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为开发区及全区工业项目提供社保及风险基金等服务</w:t>
            </w:r>
          </w:p>
        </w:tc>
        <w:tc>
          <w:tcPr>
            <w:tcW w:w="3189" w:type="dxa"/>
            <w:gridSpan w:val="7"/>
            <w:tcBorders>
              <w:top w:val="single" w:color="B0C4DE" w:sz="4" w:space="0"/>
              <w:left w:val="single" w:color="B0C4DE" w:sz="4" w:space="0"/>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为开发区及全区工业项目提供社保及风险基金等服务目标已完成</w:t>
            </w:r>
          </w:p>
        </w:tc>
        <w:tc>
          <w:tcPr>
            <w:tcW w:w="2301" w:type="dxa"/>
            <w:gridSpan w:val="3"/>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四、年度绩效</w:t>
            </w:r>
            <w:r>
              <w:rPr>
                <w:rFonts w:ascii="宋体" w:hAnsi="宋体" w:eastAsia="宋体" w:cs="宋体"/>
                <w:b/>
                <w:bCs/>
                <w:i w:val="0"/>
                <w:iCs w:val="0"/>
                <w:color w:val="000000"/>
                <w:kern w:val="0"/>
                <w:sz w:val="22"/>
                <w:szCs w:val="22"/>
                <w:u w:val="none"/>
                <w:lang w:val="en-US" w:eastAsia="zh-CN" w:bidi="ar"/>
              </w:rPr>
              <w:br w:type="textWrapping"/>
            </w:r>
            <w:r>
              <w:rPr>
                <w:rFonts w:ascii="宋体" w:hAnsi="宋体" w:eastAsia="宋体" w:cs="宋体"/>
                <w:b/>
                <w:bCs/>
                <w:i w:val="0"/>
                <w:iCs w:val="0"/>
                <w:color w:val="000000"/>
                <w:kern w:val="0"/>
                <w:sz w:val="22"/>
                <w:szCs w:val="22"/>
                <w:u w:val="none"/>
                <w:lang w:val="en-US" w:eastAsia="zh-CN" w:bidi="ar"/>
              </w:rPr>
              <w:t>指标完成情况</w:t>
            </w:r>
          </w:p>
        </w:tc>
        <w:tc>
          <w:tcPr>
            <w:tcW w:w="675"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一级指标</w:t>
            </w:r>
          </w:p>
        </w:tc>
        <w:tc>
          <w:tcPr>
            <w:tcW w:w="810"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二级指标</w:t>
            </w:r>
          </w:p>
        </w:tc>
        <w:tc>
          <w:tcPr>
            <w:tcW w:w="1485"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三级指标</w:t>
            </w:r>
          </w:p>
        </w:tc>
        <w:tc>
          <w:tcPr>
            <w:tcW w:w="1380"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指标说明</w:t>
            </w:r>
          </w:p>
        </w:tc>
        <w:tc>
          <w:tcPr>
            <w:tcW w:w="1080"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指标分值</w:t>
            </w:r>
          </w:p>
        </w:tc>
        <w:tc>
          <w:tcPr>
            <w:tcW w:w="1658" w:type="dxa"/>
            <w:gridSpan w:val="5"/>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预期指标值</w:t>
            </w:r>
          </w:p>
        </w:tc>
        <w:tc>
          <w:tcPr>
            <w:tcW w:w="885" w:type="dxa"/>
            <w:gridSpan w:val="2"/>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单项指标实际完成值</w:t>
            </w:r>
          </w:p>
        </w:tc>
        <w:tc>
          <w:tcPr>
            <w:tcW w:w="826"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单项指标完成情况</w:t>
            </w:r>
          </w:p>
        </w:tc>
        <w:tc>
          <w:tcPr>
            <w:tcW w:w="1041"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67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81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48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38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08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480" w:type="dxa"/>
            <w:gridSpan w:val="2"/>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符号</w:t>
            </w:r>
          </w:p>
        </w:tc>
        <w:tc>
          <w:tcPr>
            <w:tcW w:w="375" w:type="dxa"/>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值</w:t>
            </w:r>
          </w:p>
        </w:tc>
        <w:tc>
          <w:tcPr>
            <w:tcW w:w="803" w:type="dxa"/>
            <w:gridSpan w:val="2"/>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单位(文字描述)</w:t>
            </w:r>
          </w:p>
        </w:tc>
        <w:tc>
          <w:tcPr>
            <w:tcW w:w="885" w:type="dxa"/>
            <w:gridSpan w:val="2"/>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826"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041"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675"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产出指标</w:t>
            </w:r>
          </w:p>
        </w:tc>
        <w:tc>
          <w:tcPr>
            <w:tcW w:w="8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数量指标</w:t>
            </w:r>
          </w:p>
        </w:tc>
        <w:tc>
          <w:tcPr>
            <w:tcW w:w="148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支付项目社保及风险基金费用批次个数</w:t>
            </w:r>
          </w:p>
        </w:tc>
        <w:tc>
          <w:tcPr>
            <w:tcW w:w="138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支付项目社保及风险基金费用批次个数</w:t>
            </w:r>
          </w:p>
        </w:tc>
        <w:tc>
          <w:tcPr>
            <w:tcW w:w="1080"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480"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37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803"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个</w:t>
            </w:r>
          </w:p>
        </w:tc>
        <w:tc>
          <w:tcPr>
            <w:tcW w:w="885" w:type="dxa"/>
            <w:gridSpan w:val="2"/>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826"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41"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67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8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质量指标</w:t>
            </w:r>
          </w:p>
        </w:tc>
        <w:tc>
          <w:tcPr>
            <w:tcW w:w="148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确保开发区项目建设准确合理率</w:t>
            </w:r>
          </w:p>
        </w:tc>
        <w:tc>
          <w:tcPr>
            <w:tcW w:w="138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确保开发区项目建设准确合理率</w:t>
            </w:r>
          </w:p>
        </w:tc>
        <w:tc>
          <w:tcPr>
            <w:tcW w:w="1080"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480"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37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803"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885" w:type="dxa"/>
            <w:gridSpan w:val="2"/>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826"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41"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67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8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时效指标</w:t>
            </w:r>
          </w:p>
        </w:tc>
        <w:tc>
          <w:tcPr>
            <w:tcW w:w="148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项目手续按时完成率</w:t>
            </w:r>
          </w:p>
        </w:tc>
        <w:tc>
          <w:tcPr>
            <w:tcW w:w="138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项目手续按时完成率</w:t>
            </w:r>
          </w:p>
        </w:tc>
        <w:tc>
          <w:tcPr>
            <w:tcW w:w="1080"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480"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37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803"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个月</w:t>
            </w:r>
          </w:p>
        </w:tc>
        <w:tc>
          <w:tcPr>
            <w:tcW w:w="885" w:type="dxa"/>
            <w:gridSpan w:val="2"/>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826"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41"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67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8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数量指标</w:t>
            </w:r>
          </w:p>
        </w:tc>
        <w:tc>
          <w:tcPr>
            <w:tcW w:w="148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产生土地效益</w:t>
            </w:r>
          </w:p>
        </w:tc>
        <w:tc>
          <w:tcPr>
            <w:tcW w:w="138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产生土地效益</w:t>
            </w:r>
          </w:p>
        </w:tc>
        <w:tc>
          <w:tcPr>
            <w:tcW w:w="1080"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480"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37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400</w:t>
            </w:r>
          </w:p>
        </w:tc>
        <w:tc>
          <w:tcPr>
            <w:tcW w:w="803"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万</w:t>
            </w:r>
          </w:p>
        </w:tc>
        <w:tc>
          <w:tcPr>
            <w:tcW w:w="885" w:type="dxa"/>
            <w:gridSpan w:val="2"/>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400</w:t>
            </w:r>
          </w:p>
        </w:tc>
        <w:tc>
          <w:tcPr>
            <w:tcW w:w="826"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41"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2" w:hRule="atLeast"/>
          <w:jc w:val="center"/>
        </w:trPr>
        <w:tc>
          <w:tcPr>
            <w:tcW w:w="94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67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8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成本指标</w:t>
            </w:r>
          </w:p>
        </w:tc>
        <w:tc>
          <w:tcPr>
            <w:tcW w:w="148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成本金额</w:t>
            </w:r>
          </w:p>
        </w:tc>
        <w:tc>
          <w:tcPr>
            <w:tcW w:w="138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成本金额</w:t>
            </w:r>
          </w:p>
        </w:tc>
        <w:tc>
          <w:tcPr>
            <w:tcW w:w="1080"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480"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37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63.29</w:t>
            </w:r>
          </w:p>
        </w:tc>
        <w:tc>
          <w:tcPr>
            <w:tcW w:w="803"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万</w:t>
            </w:r>
          </w:p>
        </w:tc>
        <w:tc>
          <w:tcPr>
            <w:tcW w:w="885" w:type="dxa"/>
            <w:gridSpan w:val="2"/>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63.29</w:t>
            </w:r>
          </w:p>
        </w:tc>
        <w:tc>
          <w:tcPr>
            <w:tcW w:w="826"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41"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675"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效益指标</w:t>
            </w:r>
          </w:p>
        </w:tc>
        <w:tc>
          <w:tcPr>
            <w:tcW w:w="8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可持续影响指标</w:t>
            </w:r>
          </w:p>
        </w:tc>
        <w:tc>
          <w:tcPr>
            <w:tcW w:w="148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项目建设发展可持续性</w:t>
            </w:r>
          </w:p>
        </w:tc>
        <w:tc>
          <w:tcPr>
            <w:tcW w:w="138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项目建设发展可持续性</w:t>
            </w:r>
          </w:p>
        </w:tc>
        <w:tc>
          <w:tcPr>
            <w:tcW w:w="1080"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7.50</w:t>
            </w:r>
          </w:p>
        </w:tc>
        <w:tc>
          <w:tcPr>
            <w:tcW w:w="480"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文字描述</w:t>
            </w:r>
          </w:p>
        </w:tc>
        <w:tc>
          <w:tcPr>
            <w:tcW w:w="375"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803"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项目建设发展可持续</w:t>
            </w:r>
          </w:p>
        </w:tc>
        <w:tc>
          <w:tcPr>
            <w:tcW w:w="885" w:type="dxa"/>
            <w:gridSpan w:val="2"/>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项目建设发展可持续</w:t>
            </w:r>
          </w:p>
        </w:tc>
        <w:tc>
          <w:tcPr>
            <w:tcW w:w="826"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41"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67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8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经济效益指标</w:t>
            </w:r>
          </w:p>
        </w:tc>
        <w:tc>
          <w:tcPr>
            <w:tcW w:w="148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促进项目早日完工，投产达效</w:t>
            </w:r>
          </w:p>
        </w:tc>
        <w:tc>
          <w:tcPr>
            <w:tcW w:w="138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促进项目早日完工，投产达效</w:t>
            </w:r>
          </w:p>
        </w:tc>
        <w:tc>
          <w:tcPr>
            <w:tcW w:w="1080"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7.50</w:t>
            </w:r>
          </w:p>
        </w:tc>
        <w:tc>
          <w:tcPr>
            <w:tcW w:w="480"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文字描述</w:t>
            </w:r>
          </w:p>
        </w:tc>
        <w:tc>
          <w:tcPr>
            <w:tcW w:w="375"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803"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满足项目方各阶段需要</w:t>
            </w:r>
          </w:p>
        </w:tc>
        <w:tc>
          <w:tcPr>
            <w:tcW w:w="885" w:type="dxa"/>
            <w:gridSpan w:val="2"/>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满足项目方各阶段需求</w:t>
            </w:r>
          </w:p>
        </w:tc>
        <w:tc>
          <w:tcPr>
            <w:tcW w:w="826"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41"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67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8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社会效益指标</w:t>
            </w:r>
          </w:p>
        </w:tc>
        <w:tc>
          <w:tcPr>
            <w:tcW w:w="148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促进社会发展</w:t>
            </w:r>
          </w:p>
        </w:tc>
        <w:tc>
          <w:tcPr>
            <w:tcW w:w="138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促进社会发展</w:t>
            </w:r>
          </w:p>
        </w:tc>
        <w:tc>
          <w:tcPr>
            <w:tcW w:w="1080"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7.50</w:t>
            </w:r>
          </w:p>
        </w:tc>
        <w:tc>
          <w:tcPr>
            <w:tcW w:w="480"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文字描述</w:t>
            </w:r>
          </w:p>
        </w:tc>
        <w:tc>
          <w:tcPr>
            <w:tcW w:w="375"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803"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促进社会发展</w:t>
            </w:r>
          </w:p>
        </w:tc>
        <w:tc>
          <w:tcPr>
            <w:tcW w:w="885" w:type="dxa"/>
            <w:gridSpan w:val="2"/>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促进社会发展</w:t>
            </w:r>
          </w:p>
        </w:tc>
        <w:tc>
          <w:tcPr>
            <w:tcW w:w="826"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41"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67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8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生态效益指标</w:t>
            </w:r>
          </w:p>
        </w:tc>
        <w:tc>
          <w:tcPr>
            <w:tcW w:w="148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实现资源合理利用</w:t>
            </w:r>
          </w:p>
        </w:tc>
        <w:tc>
          <w:tcPr>
            <w:tcW w:w="138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实现资源合理利用</w:t>
            </w:r>
          </w:p>
        </w:tc>
        <w:tc>
          <w:tcPr>
            <w:tcW w:w="1080"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7.50</w:t>
            </w:r>
          </w:p>
        </w:tc>
        <w:tc>
          <w:tcPr>
            <w:tcW w:w="480"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文字描述</w:t>
            </w:r>
          </w:p>
        </w:tc>
        <w:tc>
          <w:tcPr>
            <w:tcW w:w="375"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803"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实现资源合理利用</w:t>
            </w:r>
          </w:p>
        </w:tc>
        <w:tc>
          <w:tcPr>
            <w:tcW w:w="885" w:type="dxa"/>
            <w:gridSpan w:val="2"/>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实现资源合理利用</w:t>
            </w:r>
          </w:p>
        </w:tc>
        <w:tc>
          <w:tcPr>
            <w:tcW w:w="826"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41"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675" w:type="dxa"/>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满意度指标</w:t>
            </w:r>
          </w:p>
        </w:tc>
        <w:tc>
          <w:tcPr>
            <w:tcW w:w="8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服务对象满意度指标</w:t>
            </w:r>
          </w:p>
        </w:tc>
        <w:tc>
          <w:tcPr>
            <w:tcW w:w="148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项目建设单位满意度</w:t>
            </w:r>
          </w:p>
        </w:tc>
        <w:tc>
          <w:tcPr>
            <w:tcW w:w="138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项目建设单位满意度</w:t>
            </w:r>
          </w:p>
        </w:tc>
        <w:tc>
          <w:tcPr>
            <w:tcW w:w="1080"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480"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37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803" w:type="dxa"/>
            <w:gridSpan w:val="2"/>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885" w:type="dxa"/>
            <w:gridSpan w:val="2"/>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826"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1041"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675" w:type="dxa"/>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预算执行率</w:t>
            </w:r>
          </w:p>
        </w:tc>
        <w:tc>
          <w:tcPr>
            <w:tcW w:w="8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预算执行率</w:t>
            </w:r>
          </w:p>
        </w:tc>
        <w:tc>
          <w:tcPr>
            <w:tcW w:w="1485"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1380"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1080" w:type="dxa"/>
            <w:tcBorders>
              <w:top w:val="nil"/>
              <w:left w:val="nil"/>
              <w:bottom w:val="nil"/>
              <w:right w:val="nil"/>
            </w:tcBorders>
            <w:shd w:val="clear" w:color="auto" w:fill="E9EFF6"/>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480" w:type="dxa"/>
            <w:gridSpan w:val="2"/>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375"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803" w:type="dxa"/>
            <w:gridSpan w:val="2"/>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885" w:type="dxa"/>
            <w:gridSpan w:val="2"/>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826"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1041"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675" w:type="dxa"/>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自评总分</w:t>
            </w:r>
          </w:p>
        </w:tc>
        <w:tc>
          <w:tcPr>
            <w:tcW w:w="9165" w:type="dxa"/>
            <w:gridSpan w:val="13"/>
            <w:tcBorders>
              <w:top w:val="nil"/>
              <w:left w:val="nil"/>
              <w:bottom w:val="single" w:color="B0C4DE" w:sz="4" w:space="0"/>
              <w:right w:val="single" w:color="B0C4DE" w:sz="4" w:space="0"/>
            </w:tcBorders>
            <w:shd w:val="clear" w:color="auto" w:fill="E9EFF6"/>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945"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五、存在问题</w:t>
            </w:r>
            <w:r>
              <w:rPr>
                <w:rFonts w:ascii="宋体" w:hAnsi="宋体" w:eastAsia="宋体" w:cs="宋体"/>
                <w:b/>
                <w:bCs/>
                <w:i w:val="0"/>
                <w:iCs w:val="0"/>
                <w:color w:val="000000"/>
                <w:kern w:val="0"/>
                <w:sz w:val="22"/>
                <w:szCs w:val="22"/>
                <w:u w:val="none"/>
                <w:lang w:val="en-US" w:eastAsia="zh-CN" w:bidi="ar"/>
              </w:rPr>
              <w:br w:type="textWrapping"/>
            </w:r>
            <w:r>
              <w:rPr>
                <w:rFonts w:ascii="宋体" w:hAnsi="宋体" w:eastAsia="宋体" w:cs="宋体"/>
                <w:b/>
                <w:bCs/>
                <w:i w:val="0"/>
                <w:iCs w:val="0"/>
                <w:color w:val="000000"/>
                <w:kern w:val="0"/>
                <w:sz w:val="22"/>
                <w:szCs w:val="22"/>
                <w:u w:val="none"/>
                <w:lang w:val="en-US" w:eastAsia="zh-CN" w:bidi="ar"/>
              </w:rPr>
              <w:t>原因及整改措施</w:t>
            </w:r>
          </w:p>
        </w:tc>
        <w:tc>
          <w:tcPr>
            <w:tcW w:w="9840" w:type="dxa"/>
            <w:gridSpan w:val="14"/>
            <w:vMerge w:val="restart"/>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绩效目标制定需更加科学、合理。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94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9840" w:type="dxa"/>
            <w:gridSpan w:val="14"/>
            <w:vMerge w:val="continue"/>
            <w:tcBorders>
              <w:top w:val="nil"/>
              <w:left w:val="nil"/>
              <w:bottom w:val="single" w:color="B0C4DE" w:sz="4" w:space="0"/>
              <w:right w:val="single" w:color="B0C4DE"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45" w:type="dxa"/>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填报人:</w:t>
            </w:r>
          </w:p>
        </w:tc>
        <w:tc>
          <w:tcPr>
            <w:tcW w:w="2970" w:type="dxa"/>
            <w:gridSpan w:val="3"/>
            <w:tcBorders>
              <w:top w:val="single" w:color="B0C4DE" w:sz="4" w:space="0"/>
              <w:left w:val="single" w:color="B0C4DE" w:sz="4" w:space="0"/>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赵云</w:t>
            </w:r>
          </w:p>
        </w:tc>
        <w:tc>
          <w:tcPr>
            <w:tcW w:w="1380" w:type="dxa"/>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联系电话:</w:t>
            </w:r>
          </w:p>
        </w:tc>
        <w:tc>
          <w:tcPr>
            <w:tcW w:w="5490" w:type="dxa"/>
            <w:gridSpan w:val="10"/>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0335-7810266</w:t>
            </w:r>
          </w:p>
        </w:tc>
      </w:tr>
    </w:tbl>
    <w:p>
      <w:pPr>
        <w:snapToGrid w:val="0"/>
        <w:spacing w:after="0" w:line="360" w:lineRule="auto"/>
        <w:ind w:firstLine="200"/>
        <w:rPr>
          <w:rFonts w:hint="eastAsia" w:ascii="仿宋" w:hAnsi="仿宋" w:eastAsia="仿宋" w:cs="Times New Roman"/>
          <w:sz w:val="32"/>
          <w:szCs w:val="32"/>
          <w:highlight w:val="yellow"/>
        </w:rPr>
      </w:pPr>
    </w:p>
    <w:tbl>
      <w:tblPr>
        <w:tblStyle w:val="11"/>
        <w:tblW w:w="10830" w:type="dxa"/>
        <w:tblInd w:w="-1139"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60"/>
        <w:gridCol w:w="1372"/>
        <w:gridCol w:w="1088"/>
        <w:gridCol w:w="939"/>
        <w:gridCol w:w="765"/>
        <w:gridCol w:w="658"/>
        <w:gridCol w:w="818"/>
        <w:gridCol w:w="450"/>
        <w:gridCol w:w="1110"/>
        <w:gridCol w:w="1230"/>
        <w:gridCol w:w="915"/>
        <w:gridCol w:w="5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450" w:hRule="atLeast"/>
        </w:trPr>
        <w:tc>
          <w:tcPr>
            <w:tcW w:w="10830" w:type="dxa"/>
            <w:gridSpan w:val="12"/>
            <w:vMerge w:val="restart"/>
            <w:tcBorders>
              <w:top w:val="single" w:color="B0C4DE" w:sz="4" w:space="0"/>
              <w:left w:val="single" w:color="B0C4DE" w:sz="4" w:space="0"/>
              <w:bottom w:val="single" w:color="B0C4DE" w:sz="4" w:space="0"/>
              <w:right w:val="single" w:color="B0C4DE"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b/>
                <w:bCs/>
                <w:i w:val="0"/>
                <w:iCs w:val="0"/>
                <w:color w:val="000000"/>
                <w:kern w:val="0"/>
                <w:sz w:val="36"/>
                <w:szCs w:val="36"/>
                <w:u w:val="none"/>
                <w:lang w:val="en-US" w:eastAsia="zh-CN" w:bidi="ar"/>
              </w:rPr>
            </w:pPr>
          </w:p>
          <w:p>
            <w:pPr>
              <w:keepNext w:val="0"/>
              <w:keepLines w:val="0"/>
              <w:widowControl/>
              <w:suppressLineNumbers w:val="0"/>
              <w:jc w:val="center"/>
              <w:textAlignment w:val="center"/>
              <w:rPr>
                <w:rFonts w:ascii="宋体" w:hAnsi="宋体" w:eastAsia="宋体" w:cs="宋体"/>
                <w:b/>
                <w:bCs/>
                <w:i w:val="0"/>
                <w:iCs w:val="0"/>
                <w:color w:val="000000"/>
                <w:kern w:val="0"/>
                <w:sz w:val="36"/>
                <w:szCs w:val="36"/>
                <w:u w:val="none"/>
                <w:lang w:val="en-US" w:eastAsia="zh-CN" w:bidi="ar"/>
              </w:rPr>
            </w:pPr>
          </w:p>
          <w:p>
            <w:pPr>
              <w:keepNext w:val="0"/>
              <w:keepLines w:val="0"/>
              <w:widowControl/>
              <w:suppressLineNumbers w:val="0"/>
              <w:jc w:val="center"/>
              <w:textAlignment w:val="center"/>
              <w:rPr>
                <w:rFonts w:ascii="宋体" w:hAnsi="宋体" w:eastAsia="宋体" w:cs="宋体"/>
                <w:b/>
                <w:bCs/>
                <w:i w:val="0"/>
                <w:iCs w:val="0"/>
                <w:color w:val="000000"/>
                <w:sz w:val="36"/>
                <w:szCs w:val="36"/>
                <w:u w:val="none"/>
              </w:rPr>
            </w:pPr>
            <w:r>
              <w:rPr>
                <w:rFonts w:ascii="宋体" w:hAnsi="宋体" w:eastAsia="宋体" w:cs="宋体"/>
                <w:b/>
                <w:bCs/>
                <w:i w:val="0"/>
                <w:iCs w:val="0"/>
                <w:color w:val="000000"/>
                <w:kern w:val="0"/>
                <w:sz w:val="36"/>
                <w:szCs w:val="36"/>
                <w:u w:val="none"/>
                <w:lang w:val="en-US" w:eastAsia="zh-CN" w:bidi="ar"/>
              </w:rPr>
              <w:t>2023年度预算项目绩效自评表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10830" w:type="dxa"/>
            <w:gridSpan w:val="12"/>
            <w:vMerge w:val="continue"/>
            <w:tcBorders>
              <w:top w:val="single" w:color="B0C4DE" w:sz="4" w:space="0"/>
              <w:left w:val="single" w:color="B0C4DE" w:sz="4" w:space="0"/>
              <w:bottom w:val="single" w:color="B0C4DE" w:sz="4" w:space="0"/>
              <w:right w:val="single" w:color="B0C4DE" w:sz="4" w:space="0"/>
            </w:tcBorders>
            <w:shd w:val="clear" w:color="auto" w:fill="auto"/>
            <w:noWrap/>
            <w:vAlign w:val="center"/>
          </w:tcPr>
          <w:p>
            <w:pPr>
              <w:jc w:val="center"/>
              <w:rPr>
                <w:rFonts w:hint="eastAsia" w:ascii="宋体" w:hAnsi="宋体" w:eastAsia="宋体" w:cs="宋体"/>
                <w:b/>
                <w:bCs/>
                <w:i w:val="0"/>
                <w:iCs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一、基本情况</w:t>
            </w:r>
          </w:p>
        </w:tc>
        <w:tc>
          <w:tcPr>
            <w:tcW w:w="1372"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项目名称</w:t>
            </w:r>
          </w:p>
        </w:tc>
        <w:tc>
          <w:tcPr>
            <w:tcW w:w="2027" w:type="dxa"/>
            <w:gridSpan w:val="2"/>
            <w:tcBorders>
              <w:top w:val="single" w:color="B0C4DE" w:sz="4" w:space="0"/>
              <w:left w:val="single" w:color="B0C4DE" w:sz="4" w:space="0"/>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骊仁林业发展有限公司发展金</w:t>
            </w:r>
          </w:p>
        </w:tc>
        <w:tc>
          <w:tcPr>
            <w:tcW w:w="765"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项目级次</w:t>
            </w:r>
          </w:p>
        </w:tc>
        <w:tc>
          <w:tcPr>
            <w:tcW w:w="658"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本级</w:t>
            </w:r>
          </w:p>
        </w:tc>
        <w:tc>
          <w:tcPr>
            <w:tcW w:w="1268" w:type="dxa"/>
            <w:gridSpan w:val="2"/>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实施主管单位</w:t>
            </w:r>
          </w:p>
        </w:tc>
        <w:tc>
          <w:tcPr>
            <w:tcW w:w="2340" w:type="dxa"/>
            <w:gridSpan w:val="2"/>
            <w:tcBorders>
              <w:top w:val="single" w:color="B0C4DE" w:sz="4" w:space="0"/>
              <w:left w:val="single" w:color="B0C4DE" w:sz="4" w:space="0"/>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328001 - 河北抚宁经济开发区管理委员会本级</w:t>
            </w:r>
          </w:p>
        </w:tc>
        <w:tc>
          <w:tcPr>
            <w:tcW w:w="915"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金额单位</w:t>
            </w:r>
          </w:p>
        </w:tc>
        <w:tc>
          <w:tcPr>
            <w:tcW w:w="525" w:type="dxa"/>
            <w:tcBorders>
              <w:top w:val="single" w:color="B0C4DE" w:sz="4" w:space="0"/>
              <w:left w:val="single" w:color="B0C4DE" w:sz="4" w:space="0"/>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restart"/>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二、预算执行情况</w:t>
            </w:r>
          </w:p>
        </w:tc>
        <w:tc>
          <w:tcPr>
            <w:tcW w:w="2460" w:type="dxa"/>
            <w:gridSpan w:val="2"/>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预算安排情况(调整后)</w:t>
            </w:r>
          </w:p>
        </w:tc>
        <w:tc>
          <w:tcPr>
            <w:tcW w:w="2362" w:type="dxa"/>
            <w:gridSpan w:val="3"/>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资金到位情况</w:t>
            </w:r>
          </w:p>
        </w:tc>
        <w:tc>
          <w:tcPr>
            <w:tcW w:w="3608" w:type="dxa"/>
            <w:gridSpan w:val="4"/>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资金执行情况</w:t>
            </w:r>
          </w:p>
        </w:tc>
        <w:tc>
          <w:tcPr>
            <w:tcW w:w="1440" w:type="dxa"/>
            <w:gridSpan w:val="2"/>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noWrap/>
            <w:vAlign w:val="top"/>
          </w:tcPr>
          <w:p>
            <w:pPr>
              <w:rPr>
                <w:rFonts w:hint="eastAsia" w:ascii="宋体" w:hAnsi="宋体" w:eastAsia="宋体" w:cs="宋体"/>
                <w:b/>
                <w:bCs/>
                <w:i w:val="0"/>
                <w:iCs w:val="0"/>
                <w:color w:val="000000"/>
                <w:sz w:val="22"/>
                <w:szCs w:val="22"/>
                <w:u w:val="none"/>
              </w:rPr>
            </w:pPr>
          </w:p>
        </w:tc>
        <w:tc>
          <w:tcPr>
            <w:tcW w:w="1372"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预算数</w:t>
            </w:r>
          </w:p>
        </w:tc>
        <w:tc>
          <w:tcPr>
            <w:tcW w:w="1088"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7500.000000</w:t>
            </w:r>
          </w:p>
        </w:tc>
        <w:tc>
          <w:tcPr>
            <w:tcW w:w="939"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到位数</w:t>
            </w:r>
          </w:p>
        </w:tc>
        <w:tc>
          <w:tcPr>
            <w:tcW w:w="1423" w:type="dxa"/>
            <w:gridSpan w:val="2"/>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7200.000000</w:t>
            </w:r>
          </w:p>
        </w:tc>
        <w:tc>
          <w:tcPr>
            <w:tcW w:w="1268" w:type="dxa"/>
            <w:gridSpan w:val="2"/>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执行数</w:t>
            </w:r>
          </w:p>
        </w:tc>
        <w:tc>
          <w:tcPr>
            <w:tcW w:w="2340" w:type="dxa"/>
            <w:gridSpan w:val="2"/>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7200.000000</w:t>
            </w:r>
          </w:p>
        </w:tc>
        <w:tc>
          <w:tcPr>
            <w:tcW w:w="1440" w:type="dxa"/>
            <w:gridSpan w:val="2"/>
            <w:vMerge w:val="restart"/>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noWrap/>
            <w:vAlign w:val="top"/>
          </w:tcPr>
          <w:p>
            <w:pPr>
              <w:rPr>
                <w:rFonts w:hint="eastAsia" w:ascii="宋体" w:hAnsi="宋体" w:eastAsia="宋体" w:cs="宋体"/>
                <w:b/>
                <w:bCs/>
                <w:i w:val="0"/>
                <w:iCs w:val="0"/>
                <w:color w:val="000000"/>
                <w:sz w:val="22"/>
                <w:szCs w:val="22"/>
                <w:u w:val="none"/>
              </w:rPr>
            </w:pPr>
          </w:p>
        </w:tc>
        <w:tc>
          <w:tcPr>
            <w:tcW w:w="1372"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1088"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7500.000000</w:t>
            </w:r>
          </w:p>
        </w:tc>
        <w:tc>
          <w:tcPr>
            <w:tcW w:w="939"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1423" w:type="dxa"/>
            <w:gridSpan w:val="2"/>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7200.000000</w:t>
            </w:r>
          </w:p>
        </w:tc>
        <w:tc>
          <w:tcPr>
            <w:tcW w:w="1268" w:type="dxa"/>
            <w:gridSpan w:val="2"/>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其中:财政资金</w:t>
            </w:r>
          </w:p>
        </w:tc>
        <w:tc>
          <w:tcPr>
            <w:tcW w:w="2340" w:type="dxa"/>
            <w:gridSpan w:val="2"/>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7200.000000</w:t>
            </w:r>
          </w:p>
        </w:tc>
        <w:tc>
          <w:tcPr>
            <w:tcW w:w="1440" w:type="dxa"/>
            <w:gridSpan w:val="2"/>
            <w:vMerge w:val="continue"/>
            <w:tcBorders>
              <w:top w:val="nil"/>
              <w:left w:val="nil"/>
              <w:bottom w:val="single" w:color="B0C4DE" w:sz="4" w:space="0"/>
              <w:right w:val="single" w:color="B0C4DE"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noWrap/>
            <w:vAlign w:val="top"/>
          </w:tcPr>
          <w:p>
            <w:pPr>
              <w:rPr>
                <w:rFonts w:hint="eastAsia" w:ascii="宋体" w:hAnsi="宋体" w:eastAsia="宋体" w:cs="宋体"/>
                <w:b/>
                <w:bCs/>
                <w:i w:val="0"/>
                <w:iCs w:val="0"/>
                <w:color w:val="000000"/>
                <w:sz w:val="22"/>
                <w:szCs w:val="22"/>
                <w:u w:val="none"/>
              </w:rPr>
            </w:pPr>
          </w:p>
        </w:tc>
        <w:tc>
          <w:tcPr>
            <w:tcW w:w="1372"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1088"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c>
          <w:tcPr>
            <w:tcW w:w="939"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1423" w:type="dxa"/>
            <w:gridSpan w:val="2"/>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c>
          <w:tcPr>
            <w:tcW w:w="1268" w:type="dxa"/>
            <w:gridSpan w:val="2"/>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其他</w:t>
            </w:r>
          </w:p>
        </w:tc>
        <w:tc>
          <w:tcPr>
            <w:tcW w:w="2340" w:type="dxa"/>
            <w:gridSpan w:val="2"/>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c>
          <w:tcPr>
            <w:tcW w:w="1440" w:type="dxa"/>
            <w:gridSpan w:val="2"/>
            <w:vMerge w:val="continue"/>
            <w:tcBorders>
              <w:top w:val="nil"/>
              <w:left w:val="nil"/>
              <w:bottom w:val="single" w:color="B0C4DE" w:sz="4" w:space="0"/>
              <w:right w:val="single" w:color="B0C4DE"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三、目标完成情况</w:t>
            </w:r>
          </w:p>
        </w:tc>
        <w:tc>
          <w:tcPr>
            <w:tcW w:w="4164" w:type="dxa"/>
            <w:gridSpan w:val="4"/>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年度预期目标</w:t>
            </w:r>
          </w:p>
        </w:tc>
        <w:tc>
          <w:tcPr>
            <w:tcW w:w="4266" w:type="dxa"/>
            <w:gridSpan w:val="5"/>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具体完成情况</w:t>
            </w:r>
          </w:p>
        </w:tc>
        <w:tc>
          <w:tcPr>
            <w:tcW w:w="1440" w:type="dxa"/>
            <w:gridSpan w:val="2"/>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4164" w:type="dxa"/>
            <w:gridSpan w:val="4"/>
            <w:tcBorders>
              <w:top w:val="single" w:color="B0C4DE" w:sz="4" w:space="0"/>
              <w:left w:val="single" w:color="B0C4DE" w:sz="4" w:space="0"/>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促进本地区经济发展</w:t>
            </w:r>
          </w:p>
        </w:tc>
        <w:tc>
          <w:tcPr>
            <w:tcW w:w="4266" w:type="dxa"/>
            <w:gridSpan w:val="5"/>
            <w:tcBorders>
              <w:top w:val="single" w:color="B0C4DE" w:sz="4" w:space="0"/>
              <w:left w:val="single" w:color="B0C4DE" w:sz="4" w:space="0"/>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促进本地区经济发展目标已完成</w:t>
            </w:r>
          </w:p>
        </w:tc>
        <w:tc>
          <w:tcPr>
            <w:tcW w:w="1440" w:type="dxa"/>
            <w:gridSpan w:val="2"/>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4164" w:type="dxa"/>
            <w:gridSpan w:val="4"/>
            <w:tcBorders>
              <w:top w:val="single" w:color="B0C4DE" w:sz="4" w:space="0"/>
              <w:left w:val="single" w:color="B0C4DE" w:sz="4" w:space="0"/>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增加项目储备</w:t>
            </w:r>
          </w:p>
        </w:tc>
        <w:tc>
          <w:tcPr>
            <w:tcW w:w="4266" w:type="dxa"/>
            <w:gridSpan w:val="5"/>
            <w:tcBorders>
              <w:top w:val="single" w:color="B0C4DE" w:sz="4" w:space="0"/>
              <w:left w:val="single" w:color="B0C4DE" w:sz="4" w:space="0"/>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增加项目储备目标已完成</w:t>
            </w:r>
          </w:p>
        </w:tc>
        <w:tc>
          <w:tcPr>
            <w:tcW w:w="1440" w:type="dxa"/>
            <w:gridSpan w:val="2"/>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四、年度绩效</w:t>
            </w:r>
            <w:r>
              <w:rPr>
                <w:rFonts w:ascii="宋体" w:hAnsi="宋体" w:eastAsia="宋体" w:cs="宋体"/>
                <w:b/>
                <w:bCs/>
                <w:i w:val="0"/>
                <w:iCs w:val="0"/>
                <w:color w:val="000000"/>
                <w:kern w:val="0"/>
                <w:sz w:val="22"/>
                <w:szCs w:val="22"/>
                <w:u w:val="none"/>
                <w:lang w:val="en-US" w:eastAsia="zh-CN" w:bidi="ar"/>
              </w:rPr>
              <w:br w:type="textWrapping"/>
            </w:r>
            <w:r>
              <w:rPr>
                <w:rFonts w:ascii="宋体" w:hAnsi="宋体" w:eastAsia="宋体" w:cs="宋体"/>
                <w:b/>
                <w:bCs/>
                <w:i w:val="0"/>
                <w:iCs w:val="0"/>
                <w:color w:val="000000"/>
                <w:kern w:val="0"/>
                <w:sz w:val="22"/>
                <w:szCs w:val="22"/>
                <w:u w:val="none"/>
                <w:lang w:val="en-US" w:eastAsia="zh-CN" w:bidi="ar"/>
              </w:rPr>
              <w:t>指标完成情况</w:t>
            </w:r>
          </w:p>
        </w:tc>
        <w:tc>
          <w:tcPr>
            <w:tcW w:w="1372"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一级指标</w:t>
            </w:r>
          </w:p>
        </w:tc>
        <w:tc>
          <w:tcPr>
            <w:tcW w:w="1088"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二级指标</w:t>
            </w:r>
          </w:p>
        </w:tc>
        <w:tc>
          <w:tcPr>
            <w:tcW w:w="939"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三级指标</w:t>
            </w:r>
          </w:p>
        </w:tc>
        <w:tc>
          <w:tcPr>
            <w:tcW w:w="765"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指标说明</w:t>
            </w:r>
          </w:p>
        </w:tc>
        <w:tc>
          <w:tcPr>
            <w:tcW w:w="658"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指标分值</w:t>
            </w:r>
          </w:p>
        </w:tc>
        <w:tc>
          <w:tcPr>
            <w:tcW w:w="2378" w:type="dxa"/>
            <w:gridSpan w:val="3"/>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预期指标值</w:t>
            </w:r>
          </w:p>
        </w:tc>
        <w:tc>
          <w:tcPr>
            <w:tcW w:w="1230"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单项指标实际完成值</w:t>
            </w:r>
          </w:p>
        </w:tc>
        <w:tc>
          <w:tcPr>
            <w:tcW w:w="915"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单项指标完成情况</w:t>
            </w:r>
          </w:p>
        </w:tc>
        <w:tc>
          <w:tcPr>
            <w:tcW w:w="525"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372"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088"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939"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76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658"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818" w:type="dxa"/>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符号</w:t>
            </w:r>
          </w:p>
        </w:tc>
        <w:tc>
          <w:tcPr>
            <w:tcW w:w="450" w:type="dxa"/>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值</w:t>
            </w:r>
          </w:p>
        </w:tc>
        <w:tc>
          <w:tcPr>
            <w:tcW w:w="1110" w:type="dxa"/>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单位(文字描述)</w:t>
            </w:r>
          </w:p>
        </w:tc>
        <w:tc>
          <w:tcPr>
            <w:tcW w:w="123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91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525"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372"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产出指标</w:t>
            </w:r>
          </w:p>
        </w:tc>
        <w:tc>
          <w:tcPr>
            <w:tcW w:w="108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数量指标</w:t>
            </w:r>
          </w:p>
        </w:tc>
        <w:tc>
          <w:tcPr>
            <w:tcW w:w="939"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岗位数</w:t>
            </w:r>
          </w:p>
        </w:tc>
        <w:tc>
          <w:tcPr>
            <w:tcW w:w="76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岗位数</w:t>
            </w:r>
          </w:p>
        </w:tc>
        <w:tc>
          <w:tcPr>
            <w:tcW w:w="658"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81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文字描述</w:t>
            </w:r>
          </w:p>
        </w:tc>
        <w:tc>
          <w:tcPr>
            <w:tcW w:w="450"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11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提供就业岗位数</w:t>
            </w:r>
          </w:p>
        </w:tc>
        <w:tc>
          <w:tcPr>
            <w:tcW w:w="123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提供就业岗位</w:t>
            </w:r>
          </w:p>
        </w:tc>
        <w:tc>
          <w:tcPr>
            <w:tcW w:w="915"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25"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372"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08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时效指标</w:t>
            </w:r>
          </w:p>
        </w:tc>
        <w:tc>
          <w:tcPr>
            <w:tcW w:w="939"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资金按时拨付</w:t>
            </w:r>
          </w:p>
        </w:tc>
        <w:tc>
          <w:tcPr>
            <w:tcW w:w="76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资金按时拨付</w:t>
            </w:r>
          </w:p>
        </w:tc>
        <w:tc>
          <w:tcPr>
            <w:tcW w:w="658"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7.00</w:t>
            </w:r>
          </w:p>
        </w:tc>
        <w:tc>
          <w:tcPr>
            <w:tcW w:w="81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文字描述</w:t>
            </w:r>
          </w:p>
        </w:tc>
        <w:tc>
          <w:tcPr>
            <w:tcW w:w="450"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11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本年拨付到位</w:t>
            </w:r>
          </w:p>
        </w:tc>
        <w:tc>
          <w:tcPr>
            <w:tcW w:w="123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本年拨付到位</w:t>
            </w:r>
          </w:p>
        </w:tc>
        <w:tc>
          <w:tcPr>
            <w:tcW w:w="915"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25"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372"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08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成本指标</w:t>
            </w:r>
          </w:p>
        </w:tc>
        <w:tc>
          <w:tcPr>
            <w:tcW w:w="939"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完成率</w:t>
            </w:r>
          </w:p>
        </w:tc>
        <w:tc>
          <w:tcPr>
            <w:tcW w:w="76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完成率</w:t>
            </w:r>
          </w:p>
        </w:tc>
        <w:tc>
          <w:tcPr>
            <w:tcW w:w="658"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7.00</w:t>
            </w:r>
          </w:p>
        </w:tc>
        <w:tc>
          <w:tcPr>
            <w:tcW w:w="81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45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11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123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915"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25"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372"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08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成本指标</w:t>
            </w:r>
          </w:p>
        </w:tc>
        <w:tc>
          <w:tcPr>
            <w:tcW w:w="939"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项目注册资本金</w:t>
            </w:r>
          </w:p>
        </w:tc>
        <w:tc>
          <w:tcPr>
            <w:tcW w:w="76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项目注册资本金</w:t>
            </w:r>
          </w:p>
        </w:tc>
        <w:tc>
          <w:tcPr>
            <w:tcW w:w="658"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7.00</w:t>
            </w:r>
          </w:p>
        </w:tc>
        <w:tc>
          <w:tcPr>
            <w:tcW w:w="81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45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7500</w:t>
            </w:r>
          </w:p>
        </w:tc>
        <w:tc>
          <w:tcPr>
            <w:tcW w:w="11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万元</w:t>
            </w:r>
          </w:p>
        </w:tc>
        <w:tc>
          <w:tcPr>
            <w:tcW w:w="123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7200</w:t>
            </w:r>
          </w:p>
        </w:tc>
        <w:tc>
          <w:tcPr>
            <w:tcW w:w="915"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25"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372"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08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时效指标</w:t>
            </w:r>
          </w:p>
        </w:tc>
        <w:tc>
          <w:tcPr>
            <w:tcW w:w="939"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完成时限</w:t>
            </w:r>
          </w:p>
        </w:tc>
        <w:tc>
          <w:tcPr>
            <w:tcW w:w="76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完成时限</w:t>
            </w:r>
          </w:p>
        </w:tc>
        <w:tc>
          <w:tcPr>
            <w:tcW w:w="658"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7.00</w:t>
            </w:r>
          </w:p>
        </w:tc>
        <w:tc>
          <w:tcPr>
            <w:tcW w:w="81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文字描述</w:t>
            </w:r>
          </w:p>
        </w:tc>
        <w:tc>
          <w:tcPr>
            <w:tcW w:w="450"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11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本年完成注册</w:t>
            </w:r>
          </w:p>
        </w:tc>
        <w:tc>
          <w:tcPr>
            <w:tcW w:w="123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本年完成注册</w:t>
            </w:r>
          </w:p>
        </w:tc>
        <w:tc>
          <w:tcPr>
            <w:tcW w:w="915"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25"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372"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08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数量指标</w:t>
            </w:r>
          </w:p>
        </w:tc>
        <w:tc>
          <w:tcPr>
            <w:tcW w:w="939"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减少水土流失</w:t>
            </w:r>
          </w:p>
        </w:tc>
        <w:tc>
          <w:tcPr>
            <w:tcW w:w="76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减少水土流失</w:t>
            </w:r>
          </w:p>
        </w:tc>
        <w:tc>
          <w:tcPr>
            <w:tcW w:w="658"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7.00</w:t>
            </w:r>
          </w:p>
        </w:tc>
        <w:tc>
          <w:tcPr>
            <w:tcW w:w="81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45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3900</w:t>
            </w:r>
          </w:p>
        </w:tc>
        <w:tc>
          <w:tcPr>
            <w:tcW w:w="11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亩</w:t>
            </w:r>
          </w:p>
        </w:tc>
        <w:tc>
          <w:tcPr>
            <w:tcW w:w="123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3900</w:t>
            </w:r>
          </w:p>
        </w:tc>
        <w:tc>
          <w:tcPr>
            <w:tcW w:w="915"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25"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372"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08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数量指标</w:t>
            </w:r>
          </w:p>
        </w:tc>
        <w:tc>
          <w:tcPr>
            <w:tcW w:w="939"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新增就业人数</w:t>
            </w:r>
          </w:p>
        </w:tc>
        <w:tc>
          <w:tcPr>
            <w:tcW w:w="76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新增就业人数</w:t>
            </w:r>
          </w:p>
        </w:tc>
        <w:tc>
          <w:tcPr>
            <w:tcW w:w="658"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7.00</w:t>
            </w:r>
          </w:p>
        </w:tc>
        <w:tc>
          <w:tcPr>
            <w:tcW w:w="81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45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1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人</w:t>
            </w:r>
          </w:p>
        </w:tc>
        <w:tc>
          <w:tcPr>
            <w:tcW w:w="123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915"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25"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372"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效益指标</w:t>
            </w:r>
          </w:p>
        </w:tc>
        <w:tc>
          <w:tcPr>
            <w:tcW w:w="108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经济效益指标</w:t>
            </w:r>
          </w:p>
        </w:tc>
        <w:tc>
          <w:tcPr>
            <w:tcW w:w="939"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促进林业产业化推广</w:t>
            </w:r>
          </w:p>
        </w:tc>
        <w:tc>
          <w:tcPr>
            <w:tcW w:w="76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亩数</w:t>
            </w:r>
          </w:p>
        </w:tc>
        <w:tc>
          <w:tcPr>
            <w:tcW w:w="658"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15.00</w:t>
            </w:r>
          </w:p>
        </w:tc>
        <w:tc>
          <w:tcPr>
            <w:tcW w:w="81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45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3900</w:t>
            </w:r>
          </w:p>
        </w:tc>
        <w:tc>
          <w:tcPr>
            <w:tcW w:w="11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亩</w:t>
            </w:r>
          </w:p>
        </w:tc>
        <w:tc>
          <w:tcPr>
            <w:tcW w:w="123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3900</w:t>
            </w:r>
          </w:p>
        </w:tc>
        <w:tc>
          <w:tcPr>
            <w:tcW w:w="915"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25"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372"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08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可持续影响指标</w:t>
            </w:r>
          </w:p>
        </w:tc>
        <w:tc>
          <w:tcPr>
            <w:tcW w:w="939"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项目持续发挥作用的期限</w:t>
            </w:r>
          </w:p>
        </w:tc>
        <w:tc>
          <w:tcPr>
            <w:tcW w:w="76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w:t>
            </w:r>
          </w:p>
        </w:tc>
        <w:tc>
          <w:tcPr>
            <w:tcW w:w="658"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15.00</w:t>
            </w:r>
          </w:p>
        </w:tc>
        <w:tc>
          <w:tcPr>
            <w:tcW w:w="81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45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11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w:t>
            </w:r>
          </w:p>
        </w:tc>
        <w:tc>
          <w:tcPr>
            <w:tcW w:w="123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915"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25"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372" w:type="dxa"/>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满意度指标</w:t>
            </w:r>
          </w:p>
        </w:tc>
        <w:tc>
          <w:tcPr>
            <w:tcW w:w="108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服务对象满意度指标</w:t>
            </w:r>
          </w:p>
        </w:tc>
        <w:tc>
          <w:tcPr>
            <w:tcW w:w="939"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企业满意度</w:t>
            </w:r>
          </w:p>
        </w:tc>
        <w:tc>
          <w:tcPr>
            <w:tcW w:w="765"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企业满意度</w:t>
            </w:r>
          </w:p>
        </w:tc>
        <w:tc>
          <w:tcPr>
            <w:tcW w:w="658"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81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45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1110"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123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915"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w:t>
            </w:r>
          </w:p>
        </w:tc>
        <w:tc>
          <w:tcPr>
            <w:tcW w:w="525"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372" w:type="dxa"/>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预算执行率</w:t>
            </w:r>
          </w:p>
        </w:tc>
        <w:tc>
          <w:tcPr>
            <w:tcW w:w="1088" w:type="dxa"/>
            <w:tcBorders>
              <w:top w:val="nil"/>
              <w:left w:val="nil"/>
              <w:bottom w:val="nil"/>
              <w:right w:val="nil"/>
            </w:tcBorders>
            <w:shd w:val="clear" w:color="auto" w:fill="E9EFF6"/>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预算执行率</w:t>
            </w:r>
          </w:p>
        </w:tc>
        <w:tc>
          <w:tcPr>
            <w:tcW w:w="939"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765"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658" w:type="dxa"/>
            <w:tcBorders>
              <w:top w:val="nil"/>
              <w:left w:val="nil"/>
              <w:bottom w:val="nil"/>
              <w:right w:val="nil"/>
            </w:tcBorders>
            <w:shd w:val="clear" w:color="auto" w:fill="E9EFF6"/>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818"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450"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1110"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1230"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915" w:type="dxa"/>
            <w:tcBorders>
              <w:top w:val="nil"/>
              <w:left w:val="nil"/>
              <w:bottom w:val="nil"/>
              <w:right w:val="nil"/>
            </w:tcBorders>
            <w:shd w:val="clear" w:color="auto" w:fill="E9EFF6"/>
            <w:noWrap/>
            <w:vAlign w:val="top"/>
          </w:tcPr>
          <w:p>
            <w:pPr>
              <w:rPr>
                <w:rFonts w:hint="default" w:ascii="Calibri" w:hAnsi="Calibri" w:eastAsia="宋体" w:cs="Calibri"/>
                <w:i w:val="0"/>
                <w:iCs w:val="0"/>
                <w:color w:val="000000"/>
                <w:sz w:val="22"/>
                <w:szCs w:val="22"/>
                <w:u w:val="none"/>
              </w:rPr>
            </w:pPr>
          </w:p>
        </w:tc>
        <w:tc>
          <w:tcPr>
            <w:tcW w:w="525" w:type="dxa"/>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1372" w:type="dxa"/>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自评总分</w:t>
            </w:r>
          </w:p>
        </w:tc>
        <w:tc>
          <w:tcPr>
            <w:tcW w:w="8498" w:type="dxa"/>
            <w:gridSpan w:val="10"/>
            <w:tcBorders>
              <w:top w:val="nil"/>
              <w:left w:val="nil"/>
              <w:bottom w:val="single" w:color="B0C4DE" w:sz="4" w:space="0"/>
              <w:right w:val="single" w:color="B0C4DE" w:sz="4" w:space="0"/>
            </w:tcBorders>
            <w:shd w:val="clear" w:color="auto" w:fill="E9EFF6"/>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restart"/>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五、存在问题</w:t>
            </w:r>
            <w:r>
              <w:rPr>
                <w:rFonts w:ascii="宋体" w:hAnsi="宋体" w:eastAsia="宋体" w:cs="宋体"/>
                <w:b/>
                <w:bCs/>
                <w:i w:val="0"/>
                <w:iCs w:val="0"/>
                <w:color w:val="000000"/>
                <w:kern w:val="0"/>
                <w:sz w:val="22"/>
                <w:szCs w:val="22"/>
                <w:u w:val="none"/>
                <w:lang w:val="en-US" w:eastAsia="zh-CN" w:bidi="ar"/>
              </w:rPr>
              <w:br w:type="textWrapping"/>
            </w:r>
            <w:r>
              <w:rPr>
                <w:rFonts w:ascii="宋体" w:hAnsi="宋体" w:eastAsia="宋体" w:cs="宋体"/>
                <w:b/>
                <w:bCs/>
                <w:i w:val="0"/>
                <w:iCs w:val="0"/>
                <w:color w:val="000000"/>
                <w:kern w:val="0"/>
                <w:sz w:val="22"/>
                <w:szCs w:val="22"/>
                <w:u w:val="none"/>
                <w:lang w:val="en-US" w:eastAsia="zh-CN" w:bidi="ar"/>
              </w:rPr>
              <w:t>原因及整改措施</w:t>
            </w:r>
          </w:p>
        </w:tc>
        <w:tc>
          <w:tcPr>
            <w:tcW w:w="9870" w:type="dxa"/>
            <w:gridSpan w:val="11"/>
            <w:vMerge w:val="restart"/>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需要制定更加完整、准确、合理的绩效目标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vMerge w:val="continue"/>
            <w:tcBorders>
              <w:top w:val="nil"/>
              <w:left w:val="nil"/>
              <w:bottom w:val="nil"/>
              <w:right w:val="nil"/>
            </w:tcBorders>
            <w:shd w:val="clear" w:color="auto" w:fill="auto"/>
            <w:vAlign w:val="top"/>
          </w:tcPr>
          <w:p>
            <w:pPr>
              <w:jc w:val="center"/>
              <w:rPr>
                <w:rFonts w:hint="eastAsia" w:ascii="宋体" w:hAnsi="宋体" w:eastAsia="宋体" w:cs="宋体"/>
                <w:b/>
                <w:bCs/>
                <w:i w:val="0"/>
                <w:iCs w:val="0"/>
                <w:color w:val="000000"/>
                <w:sz w:val="22"/>
                <w:szCs w:val="22"/>
                <w:u w:val="none"/>
              </w:rPr>
            </w:pPr>
          </w:p>
        </w:tc>
        <w:tc>
          <w:tcPr>
            <w:tcW w:w="9870" w:type="dxa"/>
            <w:gridSpan w:val="11"/>
            <w:vMerge w:val="continue"/>
            <w:tcBorders>
              <w:top w:val="nil"/>
              <w:left w:val="nil"/>
              <w:bottom w:val="single" w:color="B0C4DE" w:sz="4" w:space="0"/>
              <w:right w:val="single" w:color="B0C4DE"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50" w:hRule="atLeast"/>
        </w:trPr>
        <w:tc>
          <w:tcPr>
            <w:tcW w:w="960" w:type="dxa"/>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填报人:</w:t>
            </w:r>
          </w:p>
        </w:tc>
        <w:tc>
          <w:tcPr>
            <w:tcW w:w="3399" w:type="dxa"/>
            <w:gridSpan w:val="3"/>
            <w:tcBorders>
              <w:top w:val="single" w:color="B0C4DE" w:sz="4" w:space="0"/>
              <w:left w:val="single" w:color="B0C4DE" w:sz="4" w:space="0"/>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赵云</w:t>
            </w:r>
          </w:p>
        </w:tc>
        <w:tc>
          <w:tcPr>
            <w:tcW w:w="765" w:type="dxa"/>
            <w:tcBorders>
              <w:top w:val="nil"/>
              <w:left w:val="nil"/>
              <w:bottom w:val="nil"/>
              <w:right w:val="nil"/>
            </w:tcBorders>
            <w:shd w:val="clear" w:color="auto" w:fill="auto"/>
            <w:vAlign w:val="top"/>
          </w:tcPr>
          <w:p>
            <w:pPr>
              <w:keepNext w:val="0"/>
              <w:keepLines w:val="0"/>
              <w:widowControl/>
              <w:suppressLineNumbers w:val="0"/>
              <w:jc w:val="center"/>
              <w:textAlignment w:val="top"/>
              <w:rPr>
                <w:rFonts w:ascii="宋体" w:hAnsi="宋体" w:eastAsia="宋体" w:cs="宋体"/>
                <w:b/>
                <w:bCs/>
                <w:i w:val="0"/>
                <w:iCs w:val="0"/>
                <w:color w:val="000000"/>
                <w:sz w:val="22"/>
                <w:szCs w:val="22"/>
                <w:u w:val="none"/>
              </w:rPr>
            </w:pPr>
            <w:r>
              <w:rPr>
                <w:rFonts w:ascii="宋体" w:hAnsi="宋体" w:eastAsia="宋体" w:cs="宋体"/>
                <w:b/>
                <w:bCs/>
                <w:i w:val="0"/>
                <w:iCs w:val="0"/>
                <w:color w:val="000000"/>
                <w:kern w:val="0"/>
                <w:sz w:val="22"/>
                <w:szCs w:val="22"/>
                <w:u w:val="none"/>
                <w:lang w:val="en-US" w:eastAsia="zh-CN" w:bidi="ar"/>
              </w:rPr>
              <w:t>联系电话:</w:t>
            </w:r>
          </w:p>
        </w:tc>
        <w:tc>
          <w:tcPr>
            <w:tcW w:w="5706" w:type="dxa"/>
            <w:gridSpan w:val="7"/>
            <w:tcBorders>
              <w:top w:val="nil"/>
              <w:left w:val="nil"/>
              <w:bottom w:val="single" w:color="B0C4DE" w:sz="4" w:space="0"/>
              <w:right w:val="single" w:color="B0C4DE"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0335-7810266</w:t>
            </w:r>
          </w:p>
        </w:tc>
      </w:tr>
    </w:tbl>
    <w:p>
      <w:pPr>
        <w:snapToGrid w:val="0"/>
        <w:spacing w:after="0" w:line="360" w:lineRule="auto"/>
        <w:rPr>
          <w:rFonts w:hint="eastAsia" w:ascii="仿宋" w:hAnsi="仿宋" w:eastAsia="仿宋" w:cs="Times New Roman"/>
          <w:sz w:val="32"/>
          <w:szCs w:val="32"/>
          <w:highlight w:val="yellow"/>
        </w:rPr>
      </w:pPr>
    </w:p>
    <w:p>
      <w:pPr>
        <w:numPr>
          <w:ilvl w:val="0"/>
          <w:numId w:val="2"/>
        </w:numPr>
        <w:adjustRightInd w:val="0"/>
        <w:snapToGrid w:val="0"/>
        <w:spacing w:after="0" w:line="360" w:lineRule="auto"/>
        <w:ind w:firstLine="321" w:firstLineChars="100"/>
        <w:rPr>
          <w:rFonts w:ascii="仿宋" w:hAnsi="仿宋" w:eastAsia="仿宋" w:cs="Times New Roman"/>
          <w:b/>
          <w:bCs/>
          <w:sz w:val="32"/>
          <w:szCs w:val="32"/>
        </w:rPr>
      </w:pPr>
      <w:r>
        <w:rPr>
          <w:rFonts w:ascii="仿宋" w:hAnsi="仿宋" w:eastAsia="仿宋" w:cs="Times New Roman"/>
          <w:b/>
          <w:bCs/>
          <w:sz w:val="32"/>
          <w:szCs w:val="32"/>
        </w:rPr>
        <w:t>部门评价项目绩效评价结果</w:t>
      </w:r>
    </w:p>
    <w:p>
      <w:pPr>
        <w:numPr>
          <w:ilvl w:val="0"/>
          <w:numId w:val="0"/>
        </w:numPr>
        <w:adjustRightInd w:val="0"/>
        <w:snapToGrid w:val="0"/>
        <w:spacing w:after="0" w:line="360" w:lineRule="auto"/>
        <w:rPr>
          <w:rFonts w:hint="default" w:ascii="仿宋" w:hAnsi="仿宋" w:eastAsia="仿宋" w:cs="仿宋_GB2312"/>
          <w:sz w:val="32"/>
          <w:szCs w:val="32"/>
          <w:highlight w:val="yellow"/>
          <w:lang w:val="en-US" w:eastAsia="zh-CN"/>
        </w:rPr>
      </w:pPr>
      <w:r>
        <w:rPr>
          <w:rFonts w:hint="eastAsia" w:ascii="仿宋" w:hAnsi="仿宋" w:eastAsia="仿宋" w:cs="Times New Roman"/>
          <w:b/>
          <w:bCs/>
          <w:sz w:val="32"/>
          <w:szCs w:val="32"/>
          <w:lang w:val="en-US" w:eastAsia="zh-CN"/>
        </w:rPr>
        <w:t xml:space="preserve"> 部门整体绩效自评结果得分95.43分，评价等级为优。</w:t>
      </w:r>
    </w:p>
    <w:p>
      <w:pPr>
        <w:snapToGrid w:val="0"/>
        <w:spacing w:after="0" w:line="360" w:lineRule="auto"/>
        <w:ind w:firstLine="640" w:firstLineChars="200"/>
        <w:rPr>
          <w:rFonts w:hint="eastAsia" w:ascii="黑体" w:hAnsi="黑体" w:eastAsia="黑体"/>
          <w:sz w:val="32"/>
          <w:szCs w:val="32"/>
          <w:shd w:val="clear" w:color="auto" w:fill="FFFFFF"/>
        </w:rPr>
      </w:pPr>
      <w:r>
        <w:rPr>
          <w:rFonts w:ascii="黑体" w:hAnsi="黑体" w:eastAsia="黑体"/>
          <w:sz w:val="32"/>
          <w:szCs w:val="32"/>
          <w:shd w:val="clear" w:color="auto" w:fill="FFFFFF"/>
        </w:rPr>
        <w:t>十、其他需要说明的情况</w:t>
      </w:r>
    </w:p>
    <w:p>
      <w:pPr>
        <w:adjustRightInd w:val="0"/>
        <w:snapToGrid w:val="0"/>
        <w:spacing w:after="0" w:line="360" w:lineRule="auto"/>
        <w:ind w:firstLine="640" w:firstLineChars="200"/>
        <w:rPr>
          <w:rFonts w:hint="eastAsia" w:ascii="仿宋" w:hAnsi="仿宋" w:eastAsia="仿宋" w:cs="Times New Roman"/>
          <w:sz w:val="32"/>
          <w:szCs w:val="32"/>
        </w:rPr>
      </w:pPr>
      <w:r>
        <w:rPr>
          <w:rFonts w:ascii="仿宋" w:hAnsi="仿宋" w:eastAsia="仿宋" w:cs="Times New Roman"/>
          <w:sz w:val="32"/>
          <w:szCs w:val="32"/>
        </w:rPr>
        <w:t>1.本部门2023年度国有资本经营预算经费无收支及结转结余情况, 故公开08表以空表列示；财政拨款“三公”经费无收支及结转结余情况，故公开09表以空表列示。</w:t>
      </w:r>
    </w:p>
    <w:p>
      <w:pPr>
        <w:adjustRightInd w:val="0"/>
        <w:snapToGrid w:val="0"/>
        <w:spacing w:after="0" w:line="360" w:lineRule="auto"/>
        <w:ind w:firstLine="640" w:firstLineChars="200"/>
        <w:rPr>
          <w:rFonts w:hint="eastAsia" w:ascii="仿宋" w:hAnsi="仿宋" w:eastAsia="仿宋" w:cs="Times New Roman"/>
          <w:sz w:val="32"/>
          <w:szCs w:val="32"/>
        </w:rPr>
      </w:pPr>
      <w:r>
        <w:rPr>
          <w:rFonts w:ascii="仿宋" w:hAnsi="仿宋" w:eastAsia="仿宋" w:cs="Times New Roman"/>
          <w:sz w:val="32"/>
          <w:szCs w:val="32"/>
        </w:rPr>
        <w:t>2. 由于决算公开表格中金额数值应当保留两位小数，公开数据为四舍五入计算结果，个别数据合计项与分项之和存在小数点后差额，特此说明。</w:t>
      </w:r>
    </w:p>
    <w:p>
      <w:pPr>
        <w:adjustRightInd w:val="0"/>
        <w:snapToGrid w:val="0"/>
        <w:spacing w:after="0" w:line="360" w:lineRule="auto"/>
        <w:ind w:firstLine="640" w:firstLineChars="200"/>
        <w:rPr>
          <w:rFonts w:ascii="Times New Roman" w:hAnsi="Times New Roman" w:eastAsia="仿宋_GB2312" w:cs="Times New Roman"/>
          <w:sz w:val="32"/>
          <w:szCs w:val="32"/>
        </w:rPr>
        <w:sectPr>
          <w:pgSz w:w="11906" w:h="16838"/>
          <w:pgMar w:top="1440" w:right="1800" w:bottom="1440" w:left="1800" w:header="851" w:footer="992" w:gutter="0"/>
          <w:cols w:space="425" w:num="1"/>
          <w:docGrid w:type="lines" w:linePitch="312" w:charSpace="0"/>
        </w:sectPr>
      </w:pPr>
    </w:p>
    <w:p>
      <w:pPr>
        <w:adjustRightInd w:val="0"/>
        <w:snapToGrid w:val="0"/>
        <w:spacing w:line="580" w:lineRule="exact"/>
        <w:ind w:firstLine="640" w:firstLineChars="200"/>
        <w:rPr>
          <w:rFonts w:ascii="Times New Roman" w:hAnsi="Times New Roman" w:eastAsia="仿宋_GB2312" w:cs="Times New Roman"/>
          <w:sz w:val="32"/>
          <w:szCs w:val="32"/>
        </w:rPr>
      </w:pPr>
    </w:p>
    <w:p>
      <w:pPr>
        <w:adjustRightInd w:val="0"/>
        <w:snapToGrid w:val="0"/>
        <w:spacing w:line="580" w:lineRule="exact"/>
        <w:rPr>
          <w:rFonts w:ascii="Times New Roman" w:hAnsi="Times New Roman" w:eastAsia="仿宋_GB2312" w:cs="Times New Roman"/>
          <w:sz w:val="32"/>
          <w:szCs w:val="32"/>
        </w:rPr>
      </w:pPr>
    </w:p>
    <w:p>
      <w:pPr>
        <w:adjustRightInd w:val="0"/>
        <w:snapToGrid w:val="0"/>
        <w:spacing w:line="580" w:lineRule="exact"/>
        <w:ind w:firstLine="640" w:firstLineChars="200"/>
        <w:rPr>
          <w:rFonts w:ascii="Times New Roman" w:hAnsi="Times New Roman" w:eastAsia="仿宋_GB2312" w:cs="Times New Roman"/>
          <w:sz w:val="32"/>
          <w:szCs w:val="32"/>
        </w:rPr>
      </w:pPr>
    </w:p>
    <w:p>
      <w:pPr>
        <w:adjustRightInd w:val="0"/>
        <w:snapToGrid w:val="0"/>
        <w:spacing w:line="580" w:lineRule="exact"/>
        <w:ind w:firstLine="640" w:firstLineChars="200"/>
        <w:rPr>
          <w:rFonts w:ascii="Times New Roman" w:hAnsi="Times New Roman" w:eastAsia="仿宋_GB2312" w:cs="Times New Roman"/>
          <w:sz w:val="32"/>
          <w:szCs w:val="32"/>
        </w:rPr>
      </w:pPr>
    </w:p>
    <w:p>
      <w:pPr>
        <w:adjustRightInd w:val="0"/>
        <w:snapToGrid w:val="0"/>
        <w:spacing w:line="580" w:lineRule="exact"/>
        <w:ind w:firstLine="640" w:firstLineChars="200"/>
        <w:rPr>
          <w:rFonts w:ascii="Times New Roman" w:hAnsi="Times New Roman" w:eastAsia="仿宋_GB2312" w:cs="Times New Roman"/>
          <w:sz w:val="32"/>
          <w:szCs w:val="32"/>
        </w:rPr>
      </w:pPr>
    </w:p>
    <w:p>
      <w:pPr>
        <w:widowControl/>
        <w:spacing w:line="580" w:lineRule="exact"/>
        <w:ind w:firstLine="883" w:firstLineChars="200"/>
        <w:jc w:val="left"/>
        <w:rPr>
          <w:rFonts w:ascii="Times New Roman" w:hAnsi="Times New Roman" w:eastAsia="宋体" w:cs="Times New Roman"/>
          <w:b/>
          <w:bCs/>
          <w:sz w:val="44"/>
          <w:szCs w:val="44"/>
        </w:rPr>
      </w:pPr>
    </w:p>
    <w:p>
      <w:pPr>
        <w:rPr>
          <w:rFonts w:ascii="Times New Roman" w:hAnsi="Times New Roman" w:eastAsia="仿宋_GB2312" w:cs="Times New Roman"/>
          <w:sz w:val="32"/>
          <w:szCs w:val="32"/>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0" w:line="360" w:lineRule="auto"/>
        <w:jc w:val="center"/>
        <w:rPr>
          <w:rFonts w:hint="eastAsia" w:ascii="黑体" w:hAnsi="黑体"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黑体" w:hAnsi="黑体"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spacing w:after="0" w:line="360" w:lineRule="auto"/>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一、</w:t>
      </w:r>
      <w:r>
        <w:rPr>
          <w:rFonts w:ascii="仿宋" w:hAnsi="仿宋" w:eastAsia="仿宋" w:cs="Times New Roman"/>
          <w:b/>
          <w:bCs/>
          <w:color w:val="000000"/>
          <w:sz w:val="32"/>
          <w:szCs w:val="32"/>
        </w:rPr>
        <w:t>财政拨款收入：</w:t>
      </w:r>
      <w:r>
        <w:rPr>
          <w:rFonts w:ascii="仿宋" w:hAnsi="仿宋" w:eastAsia="仿宋" w:cs="Times New Roman"/>
          <w:bCs/>
          <w:color w:val="000000"/>
          <w:sz w:val="32"/>
          <w:szCs w:val="32"/>
        </w:rPr>
        <w:t>指单位从同级财政部门取得的财政预算资金。</w:t>
      </w:r>
    </w:p>
    <w:p>
      <w:pPr>
        <w:spacing w:after="0" w:line="360" w:lineRule="auto"/>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二、</w:t>
      </w:r>
      <w:r>
        <w:rPr>
          <w:rFonts w:ascii="仿宋" w:hAnsi="仿宋" w:eastAsia="仿宋" w:cs="Times New Roman"/>
          <w:b/>
          <w:bCs/>
          <w:color w:val="000000"/>
          <w:sz w:val="32"/>
          <w:szCs w:val="32"/>
        </w:rPr>
        <w:t>事业收入：</w:t>
      </w:r>
      <w:r>
        <w:rPr>
          <w:rFonts w:ascii="仿宋" w:hAnsi="仿宋" w:eastAsia="仿宋" w:cs="Times New Roman"/>
          <w:bCs/>
          <w:color w:val="000000"/>
          <w:sz w:val="32"/>
          <w:szCs w:val="32"/>
        </w:rPr>
        <w:t>指事业单位开展专业业务活动及辅助活动取得的收入。</w:t>
      </w:r>
    </w:p>
    <w:p>
      <w:pPr>
        <w:spacing w:after="0" w:line="360" w:lineRule="auto"/>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三、</w:t>
      </w:r>
      <w:r>
        <w:rPr>
          <w:rFonts w:ascii="仿宋" w:hAnsi="仿宋" w:eastAsia="仿宋" w:cs="Times New Roman"/>
          <w:b/>
          <w:bCs/>
          <w:color w:val="000000"/>
          <w:sz w:val="32"/>
          <w:szCs w:val="32"/>
        </w:rPr>
        <w:t>经营收入：</w:t>
      </w:r>
      <w:r>
        <w:rPr>
          <w:rFonts w:ascii="仿宋" w:hAnsi="仿宋" w:eastAsia="仿宋" w:cs="Times New Roman"/>
          <w:bCs/>
          <w:color w:val="000000"/>
          <w:sz w:val="32"/>
          <w:szCs w:val="32"/>
        </w:rPr>
        <w:t>指事业单位在专业业务活动及其辅助活动之外开展非独立核算经营活动取得的收入。</w:t>
      </w:r>
    </w:p>
    <w:p>
      <w:pPr>
        <w:spacing w:after="0" w:line="360" w:lineRule="auto"/>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四、</w:t>
      </w:r>
      <w:r>
        <w:rPr>
          <w:rFonts w:ascii="仿宋" w:hAnsi="仿宋" w:eastAsia="仿宋" w:cs="Times New Roman"/>
          <w:b/>
          <w:bCs/>
          <w:color w:val="000000"/>
          <w:sz w:val="32"/>
          <w:szCs w:val="32"/>
        </w:rPr>
        <w:t>其他收入：</w:t>
      </w:r>
      <w:r>
        <w:rPr>
          <w:rFonts w:ascii="仿宋" w:hAnsi="仿宋" w:eastAsia="仿宋" w:cs="Times New Roman"/>
          <w:bCs/>
          <w:color w:val="000000"/>
          <w:sz w:val="32"/>
          <w:szCs w:val="32"/>
        </w:rPr>
        <w:t>指单位取得的除上述收入以外的各项收</w:t>
      </w:r>
    </w:p>
    <w:p>
      <w:pPr>
        <w:spacing w:after="0" w:line="360" w:lineRule="auto"/>
        <w:ind w:firstLine="200"/>
        <w:rPr>
          <w:rFonts w:hint="eastAsia" w:ascii="仿宋" w:hAnsi="仿宋" w:eastAsia="仿宋" w:cs="Times New Roman"/>
          <w:b/>
          <w:bCs/>
          <w:color w:val="000000"/>
          <w:sz w:val="32"/>
          <w:szCs w:val="32"/>
        </w:rPr>
      </w:pPr>
      <w:r>
        <w:rPr>
          <w:rFonts w:ascii="仿宋" w:hAnsi="仿宋" w:eastAsia="仿宋" w:cs="Times New Roman"/>
          <w:bCs/>
          <w:color w:val="000000"/>
          <w:sz w:val="32"/>
          <w:szCs w:val="32"/>
        </w:rPr>
        <w:t>入。主要是事业单位固定资产出租收入、存款利息收入等。</w:t>
      </w:r>
    </w:p>
    <w:p>
      <w:pPr>
        <w:spacing w:after="0" w:line="360" w:lineRule="auto"/>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五、</w:t>
      </w:r>
      <w:r>
        <w:rPr>
          <w:rFonts w:ascii="仿宋" w:hAnsi="仿宋" w:eastAsia="仿宋" w:cs="Times New Roman"/>
          <w:b/>
          <w:bCs/>
          <w:color w:val="000000"/>
          <w:sz w:val="32"/>
          <w:szCs w:val="32"/>
        </w:rPr>
        <w:t>使用非财政拨款结余（含专用结余）：</w:t>
      </w:r>
      <w:r>
        <w:rPr>
          <w:rFonts w:ascii="仿宋" w:hAnsi="仿宋" w:eastAsia="仿宋" w:cs="Times New Roman"/>
          <w:bCs/>
          <w:color w:val="000000"/>
          <w:sz w:val="32"/>
          <w:szCs w:val="32"/>
        </w:rPr>
        <w:t>指事业单位按照预算管理要求使用非财政拨款结余弥补收支差额的金额，以及使用专用结余安排支出的金额。</w:t>
      </w:r>
    </w:p>
    <w:p>
      <w:pPr>
        <w:spacing w:after="0" w:line="360" w:lineRule="auto"/>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六、</w:t>
      </w:r>
      <w:r>
        <w:rPr>
          <w:rFonts w:ascii="仿宋" w:hAnsi="仿宋" w:eastAsia="仿宋" w:cs="Times New Roman"/>
          <w:b/>
          <w:bCs/>
          <w:color w:val="000000"/>
          <w:sz w:val="32"/>
          <w:szCs w:val="32"/>
        </w:rPr>
        <w:t>年初结转和结余：</w:t>
      </w:r>
      <w:r>
        <w:rPr>
          <w:rFonts w:ascii="仿宋" w:hAnsi="仿宋" w:eastAsia="仿宋" w:cs="Times New Roman"/>
          <w:bCs/>
          <w:color w:val="000000"/>
          <w:sz w:val="32"/>
          <w:szCs w:val="32"/>
        </w:rPr>
        <w:t>指单位以前年度尚未完成、结转到本年仍按原规定用途继续使用的资金，或项目已完成等产生的结余资金。</w:t>
      </w:r>
    </w:p>
    <w:p>
      <w:pPr>
        <w:spacing w:after="0" w:line="360" w:lineRule="auto"/>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七、</w:t>
      </w:r>
      <w:r>
        <w:rPr>
          <w:rFonts w:ascii="仿宋" w:hAnsi="仿宋" w:eastAsia="仿宋" w:cs="Times New Roman"/>
          <w:b/>
          <w:bCs/>
          <w:color w:val="000000"/>
          <w:sz w:val="32"/>
          <w:szCs w:val="32"/>
        </w:rPr>
        <w:t>结余分配：</w:t>
      </w:r>
      <w:r>
        <w:rPr>
          <w:rFonts w:ascii="仿宋" w:hAnsi="仿宋" w:eastAsia="仿宋" w:cs="Times New Roman"/>
          <w:bCs/>
          <w:color w:val="000000"/>
          <w:sz w:val="32"/>
          <w:szCs w:val="32"/>
        </w:rPr>
        <w:t>指事业单位按照会计制度规定缴纳的所得税、提取的专用结余以及转入非财政拨款结余的金额等。</w:t>
      </w:r>
    </w:p>
    <w:p>
      <w:pPr>
        <w:spacing w:after="0" w:line="360" w:lineRule="auto"/>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八、</w:t>
      </w:r>
      <w:r>
        <w:rPr>
          <w:rFonts w:ascii="仿宋" w:hAnsi="仿宋" w:eastAsia="仿宋" w:cs="Times New Roman"/>
          <w:b/>
          <w:bCs/>
          <w:color w:val="000000"/>
          <w:sz w:val="32"/>
          <w:szCs w:val="32"/>
        </w:rPr>
        <w:t>年末结转和结余：</w:t>
      </w:r>
      <w:r>
        <w:rPr>
          <w:rFonts w:ascii="仿宋" w:hAnsi="仿宋" w:eastAsia="仿宋" w:cs="Times New Roman"/>
          <w:bCs/>
          <w:color w:val="000000"/>
          <w:sz w:val="32"/>
          <w:szCs w:val="32"/>
        </w:rPr>
        <w:t>指单位按有关规定结转到下年或以后年度继续使用的资金，或项目已完成等产生的结余资金。</w:t>
      </w:r>
    </w:p>
    <w:p>
      <w:pPr>
        <w:spacing w:after="0" w:line="360" w:lineRule="auto"/>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九、</w:t>
      </w:r>
      <w:r>
        <w:rPr>
          <w:rFonts w:ascii="仿宋" w:hAnsi="仿宋" w:eastAsia="仿宋" w:cs="Times New Roman"/>
          <w:b/>
          <w:bCs/>
          <w:color w:val="000000"/>
          <w:sz w:val="32"/>
          <w:szCs w:val="32"/>
        </w:rPr>
        <w:t>基本支出：</w:t>
      </w:r>
      <w:r>
        <w:rPr>
          <w:rFonts w:ascii="仿宋" w:hAnsi="仿宋" w:eastAsia="仿宋" w:cs="Times New Roman"/>
          <w:bCs/>
          <w:color w:val="000000"/>
          <w:sz w:val="32"/>
          <w:szCs w:val="32"/>
        </w:rPr>
        <w:t>指为保障机构正常运转、完成日常工作任务而发生的人员支出和公用支出。</w:t>
      </w:r>
    </w:p>
    <w:p>
      <w:pPr>
        <w:widowControl/>
        <w:spacing w:after="0" w:line="360" w:lineRule="auto"/>
        <w:ind w:firstLine="643" w:firstLineChars="200"/>
        <w:rPr>
          <w:rFonts w:hint="eastAsia" w:ascii="仿宋" w:hAnsi="仿宋" w:eastAsia="仿宋" w:cs="Times New Roman"/>
          <w:color w:val="000000"/>
          <w:sz w:val="32"/>
          <w:szCs w:val="32"/>
        </w:rPr>
      </w:pPr>
      <w:r>
        <w:rPr>
          <w:rFonts w:hint="eastAsia" w:ascii="仿宋" w:hAnsi="仿宋" w:eastAsia="仿宋" w:cs="Times New Roman"/>
          <w:b/>
          <w:bCs/>
          <w:color w:val="000000"/>
          <w:sz w:val="32"/>
          <w:szCs w:val="32"/>
        </w:rPr>
        <w:t>十、</w:t>
      </w:r>
      <w:r>
        <w:rPr>
          <w:rFonts w:ascii="仿宋" w:hAnsi="仿宋" w:eastAsia="仿宋" w:cs="Times New Roman"/>
          <w:b/>
          <w:bCs/>
          <w:color w:val="000000"/>
          <w:sz w:val="32"/>
          <w:szCs w:val="32"/>
        </w:rPr>
        <w:t>项目支出：</w:t>
      </w:r>
      <w:r>
        <w:rPr>
          <w:rFonts w:ascii="仿宋" w:hAnsi="仿宋" w:eastAsia="仿宋" w:cs="Times New Roman"/>
          <w:color w:val="000000"/>
          <w:sz w:val="32"/>
          <w:szCs w:val="32"/>
        </w:rPr>
        <w:t>指在基本支出之外为完成特定行政任务和事业发展目标所发生的支出。</w:t>
      </w:r>
    </w:p>
    <w:p>
      <w:pPr>
        <w:widowControl/>
        <w:spacing w:after="0" w:line="360" w:lineRule="auto"/>
        <w:ind w:firstLine="643" w:firstLineChars="200"/>
        <w:rPr>
          <w:rFonts w:hint="eastAsia" w:ascii="仿宋" w:hAnsi="仿宋" w:eastAsia="仿宋" w:cs="Times New Roman"/>
          <w:color w:val="000000"/>
          <w:sz w:val="32"/>
          <w:szCs w:val="32"/>
        </w:rPr>
      </w:pPr>
      <w:r>
        <w:rPr>
          <w:rFonts w:hint="eastAsia" w:ascii="仿宋" w:hAnsi="仿宋" w:eastAsia="仿宋" w:cs="Times New Roman"/>
          <w:b/>
          <w:bCs/>
          <w:color w:val="000000"/>
          <w:sz w:val="32"/>
          <w:szCs w:val="32"/>
        </w:rPr>
        <w:t>十一、</w:t>
      </w:r>
      <w:r>
        <w:rPr>
          <w:rFonts w:ascii="仿宋" w:hAnsi="仿宋" w:eastAsia="仿宋" w:cs="Times New Roman"/>
          <w:b/>
          <w:bCs/>
          <w:color w:val="000000"/>
          <w:sz w:val="32"/>
          <w:szCs w:val="32"/>
        </w:rPr>
        <w:t>经营支出 ：</w:t>
      </w:r>
      <w:r>
        <w:rPr>
          <w:rFonts w:ascii="仿宋" w:hAnsi="仿宋" w:eastAsia="仿宋" w:cs="Times New Roman"/>
          <w:color w:val="000000"/>
          <w:sz w:val="32"/>
          <w:szCs w:val="32"/>
        </w:rPr>
        <w:t>指事业单位在专业业务活动及其辅助活动之外开展非独立核算经营活动发生的支出。</w:t>
      </w:r>
    </w:p>
    <w:p>
      <w:pPr>
        <w:widowControl/>
        <w:spacing w:after="0" w:line="360" w:lineRule="auto"/>
        <w:ind w:firstLine="643" w:firstLineChars="200"/>
        <w:rPr>
          <w:rFonts w:hint="eastAsia" w:ascii="仿宋" w:hAnsi="仿宋" w:eastAsia="仿宋" w:cs="Times New Roman"/>
          <w:color w:val="000000"/>
          <w:sz w:val="32"/>
          <w:szCs w:val="32"/>
        </w:rPr>
      </w:pPr>
      <w:r>
        <w:rPr>
          <w:rFonts w:hint="eastAsia" w:ascii="仿宋" w:hAnsi="仿宋" w:eastAsia="仿宋" w:cs="Times New Roman"/>
          <w:b/>
          <w:bCs/>
          <w:color w:val="000000"/>
          <w:sz w:val="32"/>
          <w:szCs w:val="32"/>
        </w:rPr>
        <w:t>十二、</w:t>
      </w:r>
      <w:r>
        <w:rPr>
          <w:rFonts w:ascii="仿宋" w:hAnsi="仿宋" w:eastAsia="仿宋" w:cs="Times New Roman"/>
          <w:b/>
          <w:bCs/>
          <w:color w:val="000000"/>
          <w:sz w:val="32"/>
          <w:szCs w:val="32"/>
        </w:rPr>
        <w:t>基本建设支出：</w:t>
      </w:r>
      <w:r>
        <w:rPr>
          <w:rFonts w:ascii="仿宋" w:hAnsi="仿宋" w:eastAsia="仿宋" w:cs="Times New Roman"/>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360" w:lineRule="auto"/>
        <w:ind w:firstLine="643" w:firstLineChars="200"/>
        <w:rPr>
          <w:rFonts w:hint="eastAsia" w:ascii="仿宋" w:hAnsi="仿宋" w:eastAsia="仿宋" w:cs="Times New Roman"/>
          <w:b/>
          <w:bCs/>
          <w:color w:val="000000"/>
          <w:sz w:val="32"/>
          <w:szCs w:val="32"/>
        </w:rPr>
      </w:pPr>
      <w:r>
        <w:rPr>
          <w:rFonts w:hint="eastAsia" w:ascii="仿宋" w:hAnsi="仿宋" w:eastAsia="仿宋" w:cs="Times New Roman"/>
          <w:b/>
          <w:bCs/>
          <w:color w:val="000000"/>
          <w:sz w:val="32"/>
          <w:szCs w:val="32"/>
        </w:rPr>
        <w:t>十三、</w:t>
      </w:r>
      <w:r>
        <w:rPr>
          <w:rFonts w:ascii="仿宋" w:hAnsi="仿宋" w:eastAsia="仿宋" w:cs="Times New Roman"/>
          <w:b/>
          <w:bCs/>
          <w:color w:val="000000"/>
          <w:sz w:val="32"/>
          <w:szCs w:val="32"/>
        </w:rPr>
        <w:t>其他资本性支出：</w:t>
      </w:r>
      <w:r>
        <w:rPr>
          <w:rFonts w:ascii="仿宋" w:hAnsi="仿宋" w:eastAsia="仿宋" w:cs="Times New Roman"/>
          <w:color w:val="00000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after="0" w:line="360" w:lineRule="auto"/>
        <w:ind w:firstLine="643" w:firstLineChars="200"/>
        <w:rPr>
          <w:rFonts w:hint="eastAsia" w:ascii="仿宋" w:hAnsi="仿宋" w:eastAsia="仿宋" w:cs="Times New Roman"/>
          <w:color w:val="000000"/>
          <w:sz w:val="32"/>
          <w:szCs w:val="32"/>
        </w:rPr>
      </w:pPr>
      <w:r>
        <w:rPr>
          <w:rFonts w:hint="eastAsia" w:ascii="仿宋" w:hAnsi="仿宋" w:eastAsia="仿宋" w:cs="Times New Roman"/>
          <w:b/>
          <w:bCs/>
          <w:color w:val="000000"/>
          <w:sz w:val="32"/>
          <w:szCs w:val="32"/>
        </w:rPr>
        <w:t>十四、</w:t>
      </w:r>
      <w:r>
        <w:rPr>
          <w:rFonts w:ascii="仿宋" w:hAnsi="仿宋" w:eastAsia="仿宋" w:cs="Times New Roman"/>
          <w:b/>
          <w:bCs/>
          <w:color w:val="000000"/>
          <w:sz w:val="32"/>
          <w:szCs w:val="32"/>
        </w:rPr>
        <w:t>“三公”经费：</w:t>
      </w:r>
      <w:r>
        <w:rPr>
          <w:rFonts w:ascii="仿宋" w:hAnsi="仿宋" w:eastAsia="仿宋" w:cs="Times New Roman"/>
          <w:color w:val="00000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after="0" w:line="360" w:lineRule="auto"/>
        <w:ind w:firstLine="643" w:firstLineChars="200"/>
        <w:rPr>
          <w:rFonts w:hint="eastAsia" w:ascii="仿宋" w:hAnsi="仿宋" w:eastAsia="仿宋" w:cs="Times New Roman"/>
          <w:color w:val="000000"/>
          <w:sz w:val="32"/>
          <w:szCs w:val="32"/>
        </w:rPr>
      </w:pPr>
      <w:r>
        <w:rPr>
          <w:rFonts w:hint="eastAsia" w:ascii="仿宋" w:hAnsi="仿宋" w:eastAsia="仿宋" w:cs="Times New Roman"/>
          <w:b/>
          <w:bCs/>
          <w:color w:val="000000"/>
          <w:sz w:val="32"/>
          <w:szCs w:val="32"/>
        </w:rPr>
        <w:t>十五、</w:t>
      </w:r>
      <w:r>
        <w:rPr>
          <w:rFonts w:ascii="仿宋" w:hAnsi="仿宋" w:eastAsia="仿宋" w:cs="Times New Roman"/>
          <w:b/>
          <w:bCs/>
          <w:color w:val="000000"/>
          <w:sz w:val="32"/>
          <w:szCs w:val="32"/>
        </w:rPr>
        <w:t>其他交通费用：</w:t>
      </w:r>
      <w:r>
        <w:rPr>
          <w:rFonts w:ascii="仿宋" w:hAnsi="仿宋" w:eastAsia="仿宋" w:cs="Times New Roman"/>
          <w:color w:val="000000"/>
          <w:sz w:val="32"/>
          <w:szCs w:val="32"/>
        </w:rPr>
        <w:t>填列单位除公务用车运行维护费以外的其他交通费用。如公务交通补贴、租车费用、出租车费用，飞机、船舶等燃料费、维修费、保险费等。</w:t>
      </w:r>
    </w:p>
    <w:p>
      <w:pPr>
        <w:widowControl/>
        <w:spacing w:after="0" w:line="360" w:lineRule="auto"/>
        <w:ind w:firstLine="643" w:firstLineChars="200"/>
        <w:rPr>
          <w:rFonts w:hint="eastAsia" w:ascii="仿宋" w:hAnsi="仿宋" w:eastAsia="仿宋" w:cs="Times New Roman"/>
          <w:color w:val="000000"/>
          <w:sz w:val="32"/>
          <w:szCs w:val="32"/>
        </w:rPr>
      </w:pPr>
      <w:r>
        <w:rPr>
          <w:rFonts w:hint="eastAsia" w:ascii="仿宋" w:hAnsi="仿宋" w:eastAsia="仿宋" w:cs="Times New Roman"/>
          <w:b/>
          <w:bCs/>
          <w:color w:val="000000"/>
          <w:sz w:val="32"/>
          <w:szCs w:val="32"/>
        </w:rPr>
        <w:t>十六、</w:t>
      </w:r>
      <w:r>
        <w:rPr>
          <w:rFonts w:ascii="仿宋" w:hAnsi="仿宋" w:eastAsia="仿宋" w:cs="Times New Roman"/>
          <w:b/>
          <w:bCs/>
          <w:color w:val="000000"/>
          <w:sz w:val="32"/>
          <w:szCs w:val="32"/>
        </w:rPr>
        <w:t>公务用车购置：</w:t>
      </w:r>
      <w:r>
        <w:rPr>
          <w:rFonts w:ascii="仿宋" w:hAnsi="仿宋" w:eastAsia="仿宋" w:cs="Times New Roman"/>
          <w:color w:val="000000"/>
          <w:sz w:val="32"/>
          <w:szCs w:val="32"/>
        </w:rPr>
        <w:t>填列单位公务用车车辆购置支出（含车辆购置税、牌照费）。</w:t>
      </w:r>
    </w:p>
    <w:p>
      <w:pPr>
        <w:widowControl/>
        <w:spacing w:after="0" w:line="360" w:lineRule="auto"/>
        <w:ind w:firstLine="643" w:firstLineChars="200"/>
        <w:rPr>
          <w:rFonts w:hint="eastAsia" w:ascii="仿宋" w:hAnsi="仿宋" w:eastAsia="仿宋" w:cs="Times New Roman"/>
          <w:color w:val="000000"/>
          <w:sz w:val="32"/>
          <w:szCs w:val="32"/>
        </w:rPr>
      </w:pPr>
      <w:r>
        <w:rPr>
          <w:rFonts w:hint="eastAsia" w:ascii="仿宋" w:hAnsi="仿宋" w:eastAsia="仿宋" w:cs="Times New Roman"/>
          <w:b/>
          <w:bCs/>
          <w:color w:val="000000"/>
          <w:sz w:val="32"/>
          <w:szCs w:val="32"/>
        </w:rPr>
        <w:t>十七、</w:t>
      </w:r>
      <w:r>
        <w:rPr>
          <w:rFonts w:ascii="仿宋" w:hAnsi="仿宋" w:eastAsia="仿宋" w:cs="Times New Roman"/>
          <w:b/>
          <w:bCs/>
          <w:color w:val="000000"/>
          <w:sz w:val="32"/>
          <w:szCs w:val="32"/>
        </w:rPr>
        <w:t>其他交通工具购置：</w:t>
      </w:r>
      <w:r>
        <w:rPr>
          <w:rFonts w:ascii="仿宋" w:hAnsi="仿宋" w:eastAsia="仿宋" w:cs="Times New Roman"/>
          <w:color w:val="000000"/>
          <w:sz w:val="32"/>
          <w:szCs w:val="32"/>
        </w:rPr>
        <w:t>填列单位除公务用车外的其他各类交通工具（如船舶、飞机等）购置支出（含车辆购置税、牌照费）。</w:t>
      </w:r>
    </w:p>
    <w:p>
      <w:pPr>
        <w:widowControl/>
        <w:spacing w:after="0" w:line="360" w:lineRule="auto"/>
        <w:ind w:firstLine="643" w:firstLineChars="200"/>
        <w:rPr>
          <w:rFonts w:hint="eastAsia" w:ascii="仿宋" w:hAnsi="仿宋" w:eastAsia="仿宋" w:cs="Times New Roman"/>
          <w:color w:val="000000"/>
          <w:sz w:val="32"/>
          <w:szCs w:val="32"/>
        </w:rPr>
      </w:pPr>
      <w:r>
        <w:rPr>
          <w:rFonts w:ascii="仿宋" w:hAnsi="仿宋" w:eastAsia="仿宋" w:cs="Times New Roman"/>
          <w:b/>
          <w:bCs/>
          <w:color w:val="000000"/>
          <w:sz w:val="32"/>
          <w:szCs w:val="32"/>
        </w:rPr>
        <w:t>十八、机关运行经费：</w:t>
      </w:r>
      <w:r>
        <w:rPr>
          <w:rFonts w:ascii="仿宋" w:hAnsi="仿宋" w:eastAsia="仿宋"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after="0" w:line="360" w:lineRule="auto"/>
        <w:ind w:firstLine="643" w:firstLineChars="200"/>
        <w:jc w:val="left"/>
        <w:rPr>
          <w:rFonts w:hint="eastAsia" w:ascii="仿宋" w:hAnsi="仿宋" w:eastAsia="仿宋" w:cs="Times New Roman"/>
          <w:sz w:val="32"/>
          <w:szCs w:val="32"/>
        </w:rPr>
      </w:pPr>
      <w:r>
        <w:rPr>
          <w:rFonts w:ascii="仿宋" w:hAnsi="仿宋" w:eastAsia="仿宋" w:cs="Times New Roman"/>
          <w:b/>
          <w:bCs/>
          <w:color w:val="000000"/>
          <w:sz w:val="32"/>
          <w:szCs w:val="32"/>
        </w:rPr>
        <w:t>十九、经费形式:</w:t>
      </w:r>
      <w:r>
        <w:rPr>
          <w:rFonts w:ascii="仿宋" w:hAnsi="仿宋" w:eastAsia="仿宋" w:cs="Times New Roman"/>
          <w:color w:val="000000"/>
          <w:sz w:val="32"/>
          <w:szCs w:val="32"/>
        </w:rPr>
        <w:t>按照经费来源，</w:t>
      </w:r>
      <w:r>
        <w:rPr>
          <w:rFonts w:ascii="仿宋" w:hAnsi="仿宋" w:eastAsia="仿宋" w:cs="Times New Roman"/>
          <w:sz w:val="32"/>
          <w:szCs w:val="32"/>
        </w:rPr>
        <w:t>可分为财政拨款、财政性资金基本保证、财政性资金定额或定项补助、财政性资金零补助四类</w:t>
      </w:r>
    </w:p>
    <w:p>
      <w:pPr>
        <w:rPr>
          <w:rFonts w:ascii="Times New Roman" w:hAnsi="Times New Roman" w:cs="Times New Roman"/>
        </w:rPr>
      </w:pPr>
    </w:p>
    <w:p>
      <w:pPr>
        <w:pStyle w:val="10"/>
        <w:widowControl/>
        <w:spacing w:beforeAutospacing="0" w:afterAutospacing="0"/>
        <w:rPr>
          <w:rFonts w:ascii="Times New Roman" w:hAnsi="Times New Roman" w:eastAsia="仿宋_GB2312"/>
          <w:color w:val="333333"/>
          <w:sz w:val="33"/>
          <w:szCs w:val="33"/>
          <w:shd w:val="clear" w:color="auto" w:fill="FFFFFF"/>
        </w:rPr>
      </w:pPr>
    </w:p>
    <w:p>
      <w:pPr>
        <w:rPr>
          <w:rFonts w:ascii="Times New Roman" w:hAnsi="Times New Roman" w:eastAsia="仿宋_GB2312" w:cs="Times New Roman"/>
          <w:color w:val="333333"/>
          <w:sz w:val="33"/>
          <w:szCs w:val="33"/>
          <w:shd w:val="clear" w:color="auto" w:fill="FFFFFF"/>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D0E4F61F-067C-4835-9476-E9384AB20C13}"/>
  </w:font>
  <w:font w:name="黑体">
    <w:panose1 w:val="02010609060101010101"/>
    <w:charset w:val="86"/>
    <w:family w:val="auto"/>
    <w:pitch w:val="default"/>
    <w:sig w:usb0="800002BF" w:usb1="38CF7CFA" w:usb2="00000016" w:usb3="00000000" w:csb0="00040001" w:csb1="00000000"/>
    <w:embedRegular r:id="rId2" w:fontKey="{E7E5086E-88A6-4187-8427-ACB3A6EA6BB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F2F7E9AE-F035-4805-B8C9-33F1F0A7A606}"/>
  </w:font>
  <w:font w:name="仿宋">
    <w:panose1 w:val="02010609060101010101"/>
    <w:charset w:val="86"/>
    <w:family w:val="modern"/>
    <w:pitch w:val="default"/>
    <w:sig w:usb0="800002BF" w:usb1="38CF7CFA" w:usb2="00000016" w:usb3="00000000" w:csb0="00040001" w:csb1="00000000"/>
    <w:embedRegular r:id="rId4" w:fontKey="{392CAC33-71C2-4A53-BA0A-D75271A095DD}"/>
  </w:font>
  <w:font w:name="Calibri Light">
    <w:panose1 w:val="020F0302020204030204"/>
    <w:charset w:val="00"/>
    <w:family w:val="swiss"/>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10" w:usb3="00000000" w:csb0="0004009F" w:csb1="00000000"/>
  </w:font>
  <w:font w:name="楷体">
    <w:panose1 w:val="02010609060101010101"/>
    <w:charset w:val="86"/>
    <w:family w:val="modern"/>
    <w:pitch w:val="default"/>
    <w:sig w:usb0="800002BF" w:usb1="38CF7CFA" w:usb2="00000016" w:usb3="00000000" w:csb0="00040001" w:csb1="00000000"/>
    <w:embedRegular r:id="rId5" w:fontKey="{CDD72AA8-4DEF-4DC0-8C17-45186A6CB2CC}"/>
  </w:font>
  <w:font w:name="思源黑体 CN Heavy">
    <w:altName w:val="黑体"/>
    <w:panose1 w:val="00000000000000000000"/>
    <w:charset w:val="86"/>
    <w:family w:val="swiss"/>
    <w:pitch w:val="default"/>
    <w:sig w:usb0="00000000" w:usb1="00000000" w:usb2="00000016" w:usb3="00000000" w:csb0="00060107" w:csb1="00000000"/>
    <w:embedRegular r:id="rId6" w:fontKey="{6551034C-B2C9-4B95-AAF0-3803C40486AA}"/>
  </w:font>
  <w:font w:name="楷体_GB2312">
    <w:panose1 w:val="02010609030101010101"/>
    <w:charset w:val="86"/>
    <w:family w:val="modern"/>
    <w:pitch w:val="default"/>
    <w:sig w:usb0="00000001" w:usb1="080E0000" w:usb2="00000000" w:usb3="00000000" w:csb0="00040000" w:csb1="00000000"/>
    <w:embedRegular r:id="rId7" w:fontKey="{E0FD8CC3-2F89-4C2D-9C78-25B9C1796041}"/>
  </w:font>
  <w:font w:name="仿宋_GB2312">
    <w:panose1 w:val="02010609030101010101"/>
    <w:charset w:val="86"/>
    <w:family w:val="modern"/>
    <w:pitch w:val="default"/>
    <w:sig w:usb0="00000001" w:usb1="080E0000" w:usb2="00000000" w:usb3="00000000" w:csb0="00040000" w:csb1="00000000"/>
    <w:embedRegular r:id="rId8" w:fontKey="{E91F952D-88BC-4693-9289-0CCAFD1424FD}"/>
  </w:font>
  <w:font w:name="Batang">
    <w:panose1 w:val="02030600000101010101"/>
    <w:charset w:val="81"/>
    <w:family w:val="roman"/>
    <w:pitch w:val="default"/>
    <w:sig w:usb0="B00002AF" w:usb1="69D77CFB" w:usb2="00000030" w:usb3="00000000" w:csb0="4008009F" w:csb1="DFD70000"/>
    <w:embedRegular r:id="rId9" w:fontKey="{5576F531-13EC-48B2-AA52-D4D52D824811}"/>
  </w:font>
  <w:font w:name="ArialUnicodeMS">
    <w:altName w:val="Malgun Gothic"/>
    <w:panose1 w:val="00000000000000000000"/>
    <w:charset w:val="81"/>
    <w:family w:val="auto"/>
    <w:pitch w:val="default"/>
    <w:sig w:usb0="00000000" w:usb1="00000000" w:usb2="00000010" w:usb3="00000000" w:csb0="00080001" w:csb1="00000000"/>
    <w:embedRegular r:id="rId10" w:fontKey="{9F9BB97C-983A-48F0-B094-52DF4BBA74A5}"/>
  </w:font>
  <w:font w:name="DengXian-Regular">
    <w:altName w:val="宋体"/>
    <w:panose1 w:val="00000000000000000000"/>
    <w:charset w:val="86"/>
    <w:family w:val="auto"/>
    <w:pitch w:val="default"/>
    <w:sig w:usb0="00000000" w:usb1="00000000" w:usb2="00000010" w:usb3="00000000" w:csb0="00040001" w:csb1="00000000"/>
    <w:embedRegular r:id="rId11" w:fontKey="{9503F58C-63A2-4092-B153-C31A9FD91CAF}"/>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34518073"/>
      <w:docPartObj>
        <w:docPartGallery w:val="autotext"/>
      </w:docPartObj>
    </w:sdtPr>
    <w:sdtEndPr>
      <w:rPr>
        <w:rFonts w:ascii="Batang" w:hAnsi="Batang" w:eastAsia="Batang"/>
        <w:sz w:val="28"/>
        <w:szCs w:val="28"/>
      </w:rPr>
    </w:sdtEndPr>
    <w:sdtContent>
      <w:p>
        <w:pPr>
          <w:pStyle w:val="8"/>
          <w:jc w:val="center"/>
          <w:rPr>
            <w:rFonts w:hint="eastAsia" w:ascii="Batang" w:hAnsi="Batang" w:eastAsia="Batang"/>
            <w:sz w:val="28"/>
            <w:szCs w:val="28"/>
          </w:rPr>
        </w:pPr>
        <w:r>
          <w:rPr>
            <w:rFonts w:hint="eastAsia" w:ascii="Batang" w:hAnsi="Batang" w:eastAsia="Batang"/>
            <w:sz w:val="28"/>
            <w:szCs w:val="28"/>
          </w:rPr>
          <w:t xml:space="preserve">— </w:t>
        </w:r>
        <w:r>
          <w:rPr>
            <w:rFonts w:ascii="Batang" w:hAnsi="Batang" w:eastAsia="Batang"/>
            <w:sz w:val="28"/>
            <w:szCs w:val="28"/>
          </w:rPr>
          <w:fldChar w:fldCharType="begin"/>
        </w:r>
        <w:r>
          <w:rPr>
            <w:rFonts w:ascii="Batang" w:hAnsi="Batang" w:eastAsia="Batang"/>
            <w:sz w:val="28"/>
            <w:szCs w:val="28"/>
          </w:rPr>
          <w:instrText xml:space="preserve">PAGE   \* MERGEFORMAT</w:instrText>
        </w:r>
        <w:r>
          <w:rPr>
            <w:rFonts w:ascii="Batang" w:hAnsi="Batang" w:eastAsia="Batang"/>
            <w:sz w:val="28"/>
            <w:szCs w:val="28"/>
          </w:rPr>
          <w:fldChar w:fldCharType="separate"/>
        </w:r>
        <w:r>
          <w:rPr>
            <w:rFonts w:ascii="Batang" w:hAnsi="Batang" w:eastAsia="Batang"/>
            <w:sz w:val="28"/>
            <w:szCs w:val="28"/>
            <w:lang w:val="zh-CN"/>
          </w:rPr>
          <w:t>2</w:t>
        </w:r>
        <w:r>
          <w:rPr>
            <w:rFonts w:ascii="Batang" w:hAnsi="Batang" w:eastAsia="Batang"/>
            <w:sz w:val="28"/>
            <w:szCs w:val="28"/>
          </w:rPr>
          <w:fldChar w:fldCharType="end"/>
        </w:r>
        <w:r>
          <w:rPr>
            <w:rFonts w:hint="eastAsia" w:ascii="Batang" w:hAnsi="Batang" w:eastAsia="Batang"/>
            <w:sz w:val="28"/>
            <w:szCs w:val="28"/>
          </w:rPr>
          <w:t xml:space="preserve"> —</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30274373"/>
      <w:docPartObj>
        <w:docPartGallery w:val="autotext"/>
      </w:docPartObj>
    </w:sdtPr>
    <w:sdtContent>
      <w:p>
        <w:pPr>
          <w:pStyle w:val="8"/>
          <w:jc w:val="center"/>
        </w:pPr>
        <w:r>
          <w:rPr>
            <w:rFonts w:hint="eastAsia"/>
          </w:rPr>
          <w:t>12313213132213</w:t>
        </w:r>
        <w:r>
          <w:fldChar w:fldCharType="begin"/>
        </w:r>
        <w:r>
          <w:instrText xml:space="preserve">PAGE   \* MERGEFORMAT</w:instrText>
        </w:r>
        <w:r>
          <w:fldChar w:fldCharType="separate"/>
        </w:r>
        <w:r>
          <w:rPr>
            <w:lang w:val="zh-CN"/>
          </w:rPr>
          <w:t>2</w:t>
        </w:r>
        <w:r>
          <w:fldChar w:fldCharType="end"/>
        </w:r>
      </w:p>
    </w:sdtContent>
  </w:sdt>
  <w:p>
    <w:pPr>
      <w:pStyle w:val="8"/>
      <w:jc w:val="center"/>
      <w:rPr>
        <w:rFonts w:hint="eastAsia" w:asciiTheme="minorEastAsia" w:hAnsiTheme="minor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973887"/>
    <w:multiLevelType w:val="singleLevel"/>
    <w:tmpl w:val="97973887"/>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HorizontalSpacing w:val="120"/>
  <w:drawingGridVerticalSpacing w:val="163"/>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csImhkaWQiOiJkNjRjZDZiMDAxNzU0OTg1MjgwOTBkYzRmYjc2YzM5MCIsInVzZXJDb3VudCI6Mn0="/>
  </w:docVars>
  <w:rsids>
    <w:rsidRoot w:val="00287DAF"/>
    <w:rsid w:val="00037B7D"/>
    <w:rsid w:val="000546A1"/>
    <w:rsid w:val="00061C12"/>
    <w:rsid w:val="00086151"/>
    <w:rsid w:val="00092BE6"/>
    <w:rsid w:val="00096086"/>
    <w:rsid w:val="0009670E"/>
    <w:rsid w:val="000B1680"/>
    <w:rsid w:val="000B20F4"/>
    <w:rsid w:val="000B46E5"/>
    <w:rsid w:val="000C78CC"/>
    <w:rsid w:val="000E17E7"/>
    <w:rsid w:val="000E3FCF"/>
    <w:rsid w:val="000F6501"/>
    <w:rsid w:val="00110B73"/>
    <w:rsid w:val="001258D4"/>
    <w:rsid w:val="00135E74"/>
    <w:rsid w:val="001369CA"/>
    <w:rsid w:val="00157078"/>
    <w:rsid w:val="00166836"/>
    <w:rsid w:val="00170E2F"/>
    <w:rsid w:val="001C558D"/>
    <w:rsid w:val="001D611E"/>
    <w:rsid w:val="00204372"/>
    <w:rsid w:val="00236F8C"/>
    <w:rsid w:val="0025113C"/>
    <w:rsid w:val="00267AAE"/>
    <w:rsid w:val="0027101F"/>
    <w:rsid w:val="00275718"/>
    <w:rsid w:val="00287DAF"/>
    <w:rsid w:val="002B2F49"/>
    <w:rsid w:val="002F01EE"/>
    <w:rsid w:val="002F24B7"/>
    <w:rsid w:val="00306385"/>
    <w:rsid w:val="0035487A"/>
    <w:rsid w:val="00361F0E"/>
    <w:rsid w:val="00370DC6"/>
    <w:rsid w:val="00376830"/>
    <w:rsid w:val="00377F32"/>
    <w:rsid w:val="0038751F"/>
    <w:rsid w:val="003A12A0"/>
    <w:rsid w:val="003E3566"/>
    <w:rsid w:val="003F4BEC"/>
    <w:rsid w:val="00407EB8"/>
    <w:rsid w:val="00424926"/>
    <w:rsid w:val="00455DD0"/>
    <w:rsid w:val="00461C8C"/>
    <w:rsid w:val="00461E31"/>
    <w:rsid w:val="00466E2E"/>
    <w:rsid w:val="0047323C"/>
    <w:rsid w:val="0048604A"/>
    <w:rsid w:val="00494B2C"/>
    <w:rsid w:val="004A2A12"/>
    <w:rsid w:val="005243FE"/>
    <w:rsid w:val="0056005C"/>
    <w:rsid w:val="00560623"/>
    <w:rsid w:val="005B0468"/>
    <w:rsid w:val="00626BDC"/>
    <w:rsid w:val="0063657C"/>
    <w:rsid w:val="0066027C"/>
    <w:rsid w:val="0067075F"/>
    <w:rsid w:val="006773D2"/>
    <w:rsid w:val="006A6A08"/>
    <w:rsid w:val="006C5E31"/>
    <w:rsid w:val="006F3637"/>
    <w:rsid w:val="007006C2"/>
    <w:rsid w:val="00790C94"/>
    <w:rsid w:val="007B1888"/>
    <w:rsid w:val="007C3288"/>
    <w:rsid w:val="007E149C"/>
    <w:rsid w:val="007E7600"/>
    <w:rsid w:val="00802C44"/>
    <w:rsid w:val="00822154"/>
    <w:rsid w:val="00823381"/>
    <w:rsid w:val="0087335C"/>
    <w:rsid w:val="008866CD"/>
    <w:rsid w:val="008D5DDB"/>
    <w:rsid w:val="00906187"/>
    <w:rsid w:val="009071A4"/>
    <w:rsid w:val="0091307C"/>
    <w:rsid w:val="00926DCC"/>
    <w:rsid w:val="009325F5"/>
    <w:rsid w:val="0094592D"/>
    <w:rsid w:val="00952863"/>
    <w:rsid w:val="00953488"/>
    <w:rsid w:val="00961352"/>
    <w:rsid w:val="00987665"/>
    <w:rsid w:val="009D7E38"/>
    <w:rsid w:val="00A07CFF"/>
    <w:rsid w:val="00A169CA"/>
    <w:rsid w:val="00A17B27"/>
    <w:rsid w:val="00A50DF3"/>
    <w:rsid w:val="00A62C78"/>
    <w:rsid w:val="00AC6C8A"/>
    <w:rsid w:val="00AF1DD2"/>
    <w:rsid w:val="00AF3C93"/>
    <w:rsid w:val="00B03561"/>
    <w:rsid w:val="00B15D61"/>
    <w:rsid w:val="00B73503"/>
    <w:rsid w:val="00B90C6B"/>
    <w:rsid w:val="00B97EF2"/>
    <w:rsid w:val="00BF067C"/>
    <w:rsid w:val="00C012F0"/>
    <w:rsid w:val="00C1240F"/>
    <w:rsid w:val="00C142C3"/>
    <w:rsid w:val="00C546E9"/>
    <w:rsid w:val="00C65689"/>
    <w:rsid w:val="00C71FEF"/>
    <w:rsid w:val="00CA13DB"/>
    <w:rsid w:val="00CA42FD"/>
    <w:rsid w:val="00CC1334"/>
    <w:rsid w:val="00CC2C8E"/>
    <w:rsid w:val="00D22E56"/>
    <w:rsid w:val="00D56C3E"/>
    <w:rsid w:val="00D777BD"/>
    <w:rsid w:val="00D77ACE"/>
    <w:rsid w:val="00DB5892"/>
    <w:rsid w:val="00DB6259"/>
    <w:rsid w:val="00DC3B1E"/>
    <w:rsid w:val="00DD64E5"/>
    <w:rsid w:val="00DF45A8"/>
    <w:rsid w:val="00E03F28"/>
    <w:rsid w:val="00E15665"/>
    <w:rsid w:val="00E20DD6"/>
    <w:rsid w:val="00E32B11"/>
    <w:rsid w:val="00E86690"/>
    <w:rsid w:val="00EB0434"/>
    <w:rsid w:val="00EC1488"/>
    <w:rsid w:val="00EE6912"/>
    <w:rsid w:val="00F002F9"/>
    <w:rsid w:val="00F03983"/>
    <w:rsid w:val="00F073C6"/>
    <w:rsid w:val="00F30220"/>
    <w:rsid w:val="00F3476A"/>
    <w:rsid w:val="00F373B5"/>
    <w:rsid w:val="00F41289"/>
    <w:rsid w:val="00F44A21"/>
    <w:rsid w:val="00F44C48"/>
    <w:rsid w:val="00F53FC4"/>
    <w:rsid w:val="00F66634"/>
    <w:rsid w:val="00F67D18"/>
    <w:rsid w:val="00F705B2"/>
    <w:rsid w:val="00FA4CE8"/>
    <w:rsid w:val="00FA6F14"/>
    <w:rsid w:val="00FB4967"/>
    <w:rsid w:val="00FE2157"/>
    <w:rsid w:val="01A03C5A"/>
    <w:rsid w:val="01A5267D"/>
    <w:rsid w:val="01AF6A8D"/>
    <w:rsid w:val="024808A2"/>
    <w:rsid w:val="025C3821"/>
    <w:rsid w:val="026B33C3"/>
    <w:rsid w:val="02B551F3"/>
    <w:rsid w:val="02DA3B1B"/>
    <w:rsid w:val="02E57B4D"/>
    <w:rsid w:val="037B12D4"/>
    <w:rsid w:val="03804D63"/>
    <w:rsid w:val="03C81F71"/>
    <w:rsid w:val="03FB73B0"/>
    <w:rsid w:val="049C1B9D"/>
    <w:rsid w:val="04BD008C"/>
    <w:rsid w:val="04C55939"/>
    <w:rsid w:val="04DA28BB"/>
    <w:rsid w:val="04F528BE"/>
    <w:rsid w:val="050E10CE"/>
    <w:rsid w:val="054F2DFB"/>
    <w:rsid w:val="05991C82"/>
    <w:rsid w:val="061416A9"/>
    <w:rsid w:val="061D60A6"/>
    <w:rsid w:val="06236884"/>
    <w:rsid w:val="06B07006"/>
    <w:rsid w:val="06FC7C2A"/>
    <w:rsid w:val="07533AFE"/>
    <w:rsid w:val="07B3657A"/>
    <w:rsid w:val="07C857D0"/>
    <w:rsid w:val="07E0708D"/>
    <w:rsid w:val="086A24BC"/>
    <w:rsid w:val="08AB5AAF"/>
    <w:rsid w:val="09012C64"/>
    <w:rsid w:val="093B2E99"/>
    <w:rsid w:val="095D7943"/>
    <w:rsid w:val="09C006C6"/>
    <w:rsid w:val="0A0E6E5F"/>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FA5D82"/>
    <w:rsid w:val="0E1E52CE"/>
    <w:rsid w:val="0E6D03C2"/>
    <w:rsid w:val="0E866524"/>
    <w:rsid w:val="0E9268D3"/>
    <w:rsid w:val="0E957F1F"/>
    <w:rsid w:val="0F0E7284"/>
    <w:rsid w:val="0F28110F"/>
    <w:rsid w:val="0F37083F"/>
    <w:rsid w:val="0F891DB8"/>
    <w:rsid w:val="0FAA3B86"/>
    <w:rsid w:val="10191346"/>
    <w:rsid w:val="102A01A6"/>
    <w:rsid w:val="10754A6C"/>
    <w:rsid w:val="108B537D"/>
    <w:rsid w:val="10B11DB1"/>
    <w:rsid w:val="10D54478"/>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6457D9F"/>
    <w:rsid w:val="164B3A09"/>
    <w:rsid w:val="17223EFF"/>
    <w:rsid w:val="17AA5F28"/>
    <w:rsid w:val="17B713F6"/>
    <w:rsid w:val="184350A0"/>
    <w:rsid w:val="18935485"/>
    <w:rsid w:val="18A34206"/>
    <w:rsid w:val="18DE3B2C"/>
    <w:rsid w:val="1906685D"/>
    <w:rsid w:val="19111683"/>
    <w:rsid w:val="19353916"/>
    <w:rsid w:val="193E101D"/>
    <w:rsid w:val="1953461C"/>
    <w:rsid w:val="19C10AF1"/>
    <w:rsid w:val="19F2732F"/>
    <w:rsid w:val="1A017CDA"/>
    <w:rsid w:val="1A2672DE"/>
    <w:rsid w:val="1AA81D42"/>
    <w:rsid w:val="1AB433D9"/>
    <w:rsid w:val="1AFB6D70"/>
    <w:rsid w:val="1B1B11EE"/>
    <w:rsid w:val="1B3719E0"/>
    <w:rsid w:val="1B6261C3"/>
    <w:rsid w:val="1B731730"/>
    <w:rsid w:val="1B882BB5"/>
    <w:rsid w:val="1B9B33C7"/>
    <w:rsid w:val="1B9D7FEC"/>
    <w:rsid w:val="1BA55461"/>
    <w:rsid w:val="1BBA0FB0"/>
    <w:rsid w:val="1BE74496"/>
    <w:rsid w:val="1C3D67D1"/>
    <w:rsid w:val="1C40731A"/>
    <w:rsid w:val="1C4809CA"/>
    <w:rsid w:val="1C506572"/>
    <w:rsid w:val="1C560392"/>
    <w:rsid w:val="1C581532"/>
    <w:rsid w:val="1CA15E03"/>
    <w:rsid w:val="1CA24F0C"/>
    <w:rsid w:val="1CF8716C"/>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31705E"/>
    <w:rsid w:val="21573FAB"/>
    <w:rsid w:val="2172069C"/>
    <w:rsid w:val="21987BC4"/>
    <w:rsid w:val="21BE314A"/>
    <w:rsid w:val="220451AB"/>
    <w:rsid w:val="2237486E"/>
    <w:rsid w:val="223D1378"/>
    <w:rsid w:val="22451BC7"/>
    <w:rsid w:val="22940650"/>
    <w:rsid w:val="22AD4B1E"/>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4D2D17"/>
    <w:rsid w:val="26D50E55"/>
    <w:rsid w:val="271A539C"/>
    <w:rsid w:val="274972D4"/>
    <w:rsid w:val="27AA3D97"/>
    <w:rsid w:val="280A3758"/>
    <w:rsid w:val="289057C5"/>
    <w:rsid w:val="28A67C7A"/>
    <w:rsid w:val="28B50BD7"/>
    <w:rsid w:val="28EA3248"/>
    <w:rsid w:val="28F879DA"/>
    <w:rsid w:val="294B7731"/>
    <w:rsid w:val="29D21FF2"/>
    <w:rsid w:val="2A611B0F"/>
    <w:rsid w:val="2AC1762B"/>
    <w:rsid w:val="2AE845D0"/>
    <w:rsid w:val="2B4975FB"/>
    <w:rsid w:val="2B695031"/>
    <w:rsid w:val="2B735A8F"/>
    <w:rsid w:val="2BA7478D"/>
    <w:rsid w:val="2BB038DB"/>
    <w:rsid w:val="2BB761E0"/>
    <w:rsid w:val="2BB812F9"/>
    <w:rsid w:val="2BC61BA0"/>
    <w:rsid w:val="2BE35C27"/>
    <w:rsid w:val="2BFA504B"/>
    <w:rsid w:val="2C1D63FA"/>
    <w:rsid w:val="2C23683D"/>
    <w:rsid w:val="2C593D0D"/>
    <w:rsid w:val="2C681F1F"/>
    <w:rsid w:val="2C8608DC"/>
    <w:rsid w:val="2C9D01BD"/>
    <w:rsid w:val="2CA4764A"/>
    <w:rsid w:val="2CC42ECA"/>
    <w:rsid w:val="2CDA4349"/>
    <w:rsid w:val="2D225539"/>
    <w:rsid w:val="2D273A99"/>
    <w:rsid w:val="2D4618D2"/>
    <w:rsid w:val="2D5F021B"/>
    <w:rsid w:val="2D6E1286"/>
    <w:rsid w:val="2D70583E"/>
    <w:rsid w:val="2E0725DC"/>
    <w:rsid w:val="2E1B4BB8"/>
    <w:rsid w:val="2E210B91"/>
    <w:rsid w:val="2E256CB6"/>
    <w:rsid w:val="2E5F27E4"/>
    <w:rsid w:val="2E692720"/>
    <w:rsid w:val="2EBD223E"/>
    <w:rsid w:val="2EC10AD1"/>
    <w:rsid w:val="2ECB6A5A"/>
    <w:rsid w:val="2EE97178"/>
    <w:rsid w:val="2EFC0112"/>
    <w:rsid w:val="2F2B730D"/>
    <w:rsid w:val="2F9F3DC1"/>
    <w:rsid w:val="2FFC7AC2"/>
    <w:rsid w:val="301430AF"/>
    <w:rsid w:val="30171DC7"/>
    <w:rsid w:val="30630612"/>
    <w:rsid w:val="308E59B0"/>
    <w:rsid w:val="30B10568"/>
    <w:rsid w:val="30E55DD3"/>
    <w:rsid w:val="30E60399"/>
    <w:rsid w:val="31356AA5"/>
    <w:rsid w:val="313E22F0"/>
    <w:rsid w:val="31B0194C"/>
    <w:rsid w:val="31CE17D1"/>
    <w:rsid w:val="32270449"/>
    <w:rsid w:val="323E4515"/>
    <w:rsid w:val="3286389B"/>
    <w:rsid w:val="32CF5C94"/>
    <w:rsid w:val="32D337C7"/>
    <w:rsid w:val="32E200EC"/>
    <w:rsid w:val="32E5408B"/>
    <w:rsid w:val="32EB0D70"/>
    <w:rsid w:val="332868BB"/>
    <w:rsid w:val="333211F3"/>
    <w:rsid w:val="33504B41"/>
    <w:rsid w:val="338B4A07"/>
    <w:rsid w:val="33944811"/>
    <w:rsid w:val="33CE0488"/>
    <w:rsid w:val="34262463"/>
    <w:rsid w:val="34296F31"/>
    <w:rsid w:val="34340A27"/>
    <w:rsid w:val="346A2989"/>
    <w:rsid w:val="348865E9"/>
    <w:rsid w:val="348F70D5"/>
    <w:rsid w:val="349D2BAD"/>
    <w:rsid w:val="34B25886"/>
    <w:rsid w:val="35277FF8"/>
    <w:rsid w:val="35763460"/>
    <w:rsid w:val="35776F72"/>
    <w:rsid w:val="35845F6C"/>
    <w:rsid w:val="35997371"/>
    <w:rsid w:val="360134DF"/>
    <w:rsid w:val="360B1E2F"/>
    <w:rsid w:val="360D500F"/>
    <w:rsid w:val="36330424"/>
    <w:rsid w:val="36FE3ABA"/>
    <w:rsid w:val="37072BDE"/>
    <w:rsid w:val="37455334"/>
    <w:rsid w:val="37731921"/>
    <w:rsid w:val="37E509C0"/>
    <w:rsid w:val="37E96FB8"/>
    <w:rsid w:val="38222D85"/>
    <w:rsid w:val="38803721"/>
    <w:rsid w:val="38925A62"/>
    <w:rsid w:val="389F5F4F"/>
    <w:rsid w:val="38C36BA2"/>
    <w:rsid w:val="38F6595C"/>
    <w:rsid w:val="391702A7"/>
    <w:rsid w:val="39286EB6"/>
    <w:rsid w:val="39601DF4"/>
    <w:rsid w:val="396960F3"/>
    <w:rsid w:val="39840D35"/>
    <w:rsid w:val="39A97DAF"/>
    <w:rsid w:val="39CD1330"/>
    <w:rsid w:val="39DD1AFF"/>
    <w:rsid w:val="39F84185"/>
    <w:rsid w:val="3A2510B9"/>
    <w:rsid w:val="3A2B1DFC"/>
    <w:rsid w:val="3AA6422C"/>
    <w:rsid w:val="3AAF46D5"/>
    <w:rsid w:val="3B135A0E"/>
    <w:rsid w:val="3B272BBC"/>
    <w:rsid w:val="3B374FEE"/>
    <w:rsid w:val="3B4410EE"/>
    <w:rsid w:val="3B56159C"/>
    <w:rsid w:val="3B596DF7"/>
    <w:rsid w:val="3B7D732B"/>
    <w:rsid w:val="3BD30423"/>
    <w:rsid w:val="3C6C0B58"/>
    <w:rsid w:val="3CBE41D5"/>
    <w:rsid w:val="3D446B0E"/>
    <w:rsid w:val="3D953A6B"/>
    <w:rsid w:val="3DBB5979"/>
    <w:rsid w:val="3DD56F21"/>
    <w:rsid w:val="3E1057AF"/>
    <w:rsid w:val="3E3E4155"/>
    <w:rsid w:val="3E6C0DFA"/>
    <w:rsid w:val="3E740322"/>
    <w:rsid w:val="3E7F4380"/>
    <w:rsid w:val="3E8D171B"/>
    <w:rsid w:val="3EA5630D"/>
    <w:rsid w:val="3EBA731B"/>
    <w:rsid w:val="3EE33949"/>
    <w:rsid w:val="3EFB5800"/>
    <w:rsid w:val="3F213F58"/>
    <w:rsid w:val="3F3B4E59"/>
    <w:rsid w:val="3F6E677C"/>
    <w:rsid w:val="3F712F46"/>
    <w:rsid w:val="3FBC0EF7"/>
    <w:rsid w:val="3FCD2AB9"/>
    <w:rsid w:val="3FD17600"/>
    <w:rsid w:val="4050218A"/>
    <w:rsid w:val="405C7868"/>
    <w:rsid w:val="408B24EB"/>
    <w:rsid w:val="408D1DBF"/>
    <w:rsid w:val="40C652D1"/>
    <w:rsid w:val="417044B8"/>
    <w:rsid w:val="41A203A0"/>
    <w:rsid w:val="41C77987"/>
    <w:rsid w:val="41E83F8C"/>
    <w:rsid w:val="41F84B01"/>
    <w:rsid w:val="41FA63FD"/>
    <w:rsid w:val="42293430"/>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5344EFF"/>
    <w:rsid w:val="45513D03"/>
    <w:rsid w:val="45541E1C"/>
    <w:rsid w:val="45FE7734"/>
    <w:rsid w:val="461F0A8B"/>
    <w:rsid w:val="4648721E"/>
    <w:rsid w:val="46663E71"/>
    <w:rsid w:val="466A37AC"/>
    <w:rsid w:val="46CB071B"/>
    <w:rsid w:val="46DE140B"/>
    <w:rsid w:val="46E77334"/>
    <w:rsid w:val="46F22E29"/>
    <w:rsid w:val="46F7142F"/>
    <w:rsid w:val="47107AE3"/>
    <w:rsid w:val="473C62ED"/>
    <w:rsid w:val="47617242"/>
    <w:rsid w:val="478C16C9"/>
    <w:rsid w:val="47BD246B"/>
    <w:rsid w:val="47CB2B0C"/>
    <w:rsid w:val="47E773CE"/>
    <w:rsid w:val="47EE2C9A"/>
    <w:rsid w:val="48015FF5"/>
    <w:rsid w:val="483820D2"/>
    <w:rsid w:val="48692CD0"/>
    <w:rsid w:val="48AE3D01"/>
    <w:rsid w:val="49067B2F"/>
    <w:rsid w:val="49677E31"/>
    <w:rsid w:val="49686C57"/>
    <w:rsid w:val="496C2225"/>
    <w:rsid w:val="49AE2880"/>
    <w:rsid w:val="49F42EAF"/>
    <w:rsid w:val="4A337323"/>
    <w:rsid w:val="4A5B28DC"/>
    <w:rsid w:val="4AA06B93"/>
    <w:rsid w:val="4ADB18EB"/>
    <w:rsid w:val="4B96118E"/>
    <w:rsid w:val="4BAE1B66"/>
    <w:rsid w:val="4BED4708"/>
    <w:rsid w:val="4BF133DC"/>
    <w:rsid w:val="4C507D4A"/>
    <w:rsid w:val="4CDF5563"/>
    <w:rsid w:val="4CFB2214"/>
    <w:rsid w:val="4D2C4D26"/>
    <w:rsid w:val="4D335E0E"/>
    <w:rsid w:val="4D4E4EA3"/>
    <w:rsid w:val="4D9A5B1B"/>
    <w:rsid w:val="4DA55D85"/>
    <w:rsid w:val="4DBB20DB"/>
    <w:rsid w:val="4DDC3F22"/>
    <w:rsid w:val="4DE66FB2"/>
    <w:rsid w:val="4E1040C7"/>
    <w:rsid w:val="4E1760BF"/>
    <w:rsid w:val="4E30647F"/>
    <w:rsid w:val="4EAD559D"/>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503D1C79"/>
    <w:rsid w:val="507A6406"/>
    <w:rsid w:val="50853863"/>
    <w:rsid w:val="508A4590"/>
    <w:rsid w:val="50F1461D"/>
    <w:rsid w:val="50FE5411"/>
    <w:rsid w:val="510B072E"/>
    <w:rsid w:val="511B0BF4"/>
    <w:rsid w:val="51264306"/>
    <w:rsid w:val="516123CE"/>
    <w:rsid w:val="51932FAD"/>
    <w:rsid w:val="519420D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C26F6F"/>
    <w:rsid w:val="53F00A24"/>
    <w:rsid w:val="53F63DBA"/>
    <w:rsid w:val="5448624E"/>
    <w:rsid w:val="546E2B1A"/>
    <w:rsid w:val="5482555F"/>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7F02AEA"/>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830730"/>
    <w:rsid w:val="5BBB2DD6"/>
    <w:rsid w:val="5BE263B6"/>
    <w:rsid w:val="5C8E5C5A"/>
    <w:rsid w:val="5C965E61"/>
    <w:rsid w:val="5CF5796F"/>
    <w:rsid w:val="5D242A11"/>
    <w:rsid w:val="5D4848EE"/>
    <w:rsid w:val="5D9217C2"/>
    <w:rsid w:val="5DAD06BF"/>
    <w:rsid w:val="5DD30F98"/>
    <w:rsid w:val="5DE23CB3"/>
    <w:rsid w:val="5DE97EEC"/>
    <w:rsid w:val="5DFA5EB0"/>
    <w:rsid w:val="5E000E4D"/>
    <w:rsid w:val="5E0B583E"/>
    <w:rsid w:val="5E201A7B"/>
    <w:rsid w:val="5EBD0484"/>
    <w:rsid w:val="5F2C5C7C"/>
    <w:rsid w:val="5F36141C"/>
    <w:rsid w:val="5FC5273F"/>
    <w:rsid w:val="604F6C39"/>
    <w:rsid w:val="60806DF2"/>
    <w:rsid w:val="61072DA5"/>
    <w:rsid w:val="611C0817"/>
    <w:rsid w:val="61224A52"/>
    <w:rsid w:val="61520CCB"/>
    <w:rsid w:val="61724C72"/>
    <w:rsid w:val="61851A29"/>
    <w:rsid w:val="622D1522"/>
    <w:rsid w:val="622E0574"/>
    <w:rsid w:val="62683B6B"/>
    <w:rsid w:val="6275761C"/>
    <w:rsid w:val="62816E52"/>
    <w:rsid w:val="62AC5944"/>
    <w:rsid w:val="632F3F8A"/>
    <w:rsid w:val="637279B4"/>
    <w:rsid w:val="63817D2B"/>
    <w:rsid w:val="63BD1FA9"/>
    <w:rsid w:val="63D175D1"/>
    <w:rsid w:val="63D27965"/>
    <w:rsid w:val="63F4667E"/>
    <w:rsid w:val="64095516"/>
    <w:rsid w:val="641A2468"/>
    <w:rsid w:val="64372F20"/>
    <w:rsid w:val="64DC72D7"/>
    <w:rsid w:val="653619A6"/>
    <w:rsid w:val="65610A02"/>
    <w:rsid w:val="65A11EA3"/>
    <w:rsid w:val="65AC3D66"/>
    <w:rsid w:val="65BB5334"/>
    <w:rsid w:val="663E1DBA"/>
    <w:rsid w:val="665D0213"/>
    <w:rsid w:val="669E59F1"/>
    <w:rsid w:val="66A2024B"/>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40C4C"/>
    <w:rsid w:val="6A292754"/>
    <w:rsid w:val="6A5E3B28"/>
    <w:rsid w:val="6A6B1EBE"/>
    <w:rsid w:val="6A77261D"/>
    <w:rsid w:val="6A8F43F7"/>
    <w:rsid w:val="6AD625F3"/>
    <w:rsid w:val="6B7218BE"/>
    <w:rsid w:val="6B750BA9"/>
    <w:rsid w:val="6BB93285"/>
    <w:rsid w:val="6C0C698C"/>
    <w:rsid w:val="6C222401"/>
    <w:rsid w:val="6C56267F"/>
    <w:rsid w:val="6C826EF9"/>
    <w:rsid w:val="6CAE4C93"/>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700D6539"/>
    <w:rsid w:val="704203E3"/>
    <w:rsid w:val="7058046B"/>
    <w:rsid w:val="707F2079"/>
    <w:rsid w:val="70922734"/>
    <w:rsid w:val="70CE6DC7"/>
    <w:rsid w:val="710B3646"/>
    <w:rsid w:val="711759F2"/>
    <w:rsid w:val="713C4ED8"/>
    <w:rsid w:val="71407642"/>
    <w:rsid w:val="71641210"/>
    <w:rsid w:val="71D95B7C"/>
    <w:rsid w:val="71EA6A50"/>
    <w:rsid w:val="71FE31A8"/>
    <w:rsid w:val="720C30AE"/>
    <w:rsid w:val="721F6113"/>
    <w:rsid w:val="7233782C"/>
    <w:rsid w:val="72DC3F1C"/>
    <w:rsid w:val="73177841"/>
    <w:rsid w:val="733774FE"/>
    <w:rsid w:val="73617E1B"/>
    <w:rsid w:val="736D7653"/>
    <w:rsid w:val="738035CB"/>
    <w:rsid w:val="73852C46"/>
    <w:rsid w:val="7396335C"/>
    <w:rsid w:val="73F46595"/>
    <w:rsid w:val="74283FA2"/>
    <w:rsid w:val="742C135B"/>
    <w:rsid w:val="74463733"/>
    <w:rsid w:val="748A2F40"/>
    <w:rsid w:val="74F85778"/>
    <w:rsid w:val="75272439"/>
    <w:rsid w:val="758F1E9B"/>
    <w:rsid w:val="75CE266B"/>
    <w:rsid w:val="76120141"/>
    <w:rsid w:val="768216BE"/>
    <w:rsid w:val="76C23B43"/>
    <w:rsid w:val="76FD6F97"/>
    <w:rsid w:val="770218E8"/>
    <w:rsid w:val="77237770"/>
    <w:rsid w:val="779469CE"/>
    <w:rsid w:val="77C875A5"/>
    <w:rsid w:val="77E552D2"/>
    <w:rsid w:val="78A27DF6"/>
    <w:rsid w:val="79285B3A"/>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6D090F"/>
    <w:rsid w:val="7EAD33BD"/>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after="160" w:line="278" w:lineRule="auto"/>
      <w:jc w:val="both"/>
    </w:pPr>
    <w:rPr>
      <w:rFonts w:cs="宋体" w:asciiTheme="minorHAnsi" w:hAnsiTheme="minorHAnsi" w:eastAsiaTheme="minorEastAsia"/>
      <w:sz w:val="24"/>
      <w:szCs w:val="24"/>
      <w:lang w:val="en-US" w:eastAsia="zh-CN" w:bidi="ar-SA"/>
    </w:rPr>
  </w:style>
  <w:style w:type="paragraph" w:styleId="2">
    <w:name w:val="heading 1"/>
    <w:basedOn w:val="1"/>
    <w:next w:val="1"/>
    <w:autoRedefine/>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autoRedefine/>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autoRedefine/>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autoRedefine/>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6">
    <w:name w:val="annotation text"/>
    <w:basedOn w:val="1"/>
    <w:autoRedefine/>
    <w:semiHidden/>
    <w:unhideWhenUsed/>
    <w:qFormat/>
    <w:uiPriority w:val="99"/>
    <w:pPr>
      <w:jc w:val="left"/>
    </w:pPr>
  </w:style>
  <w:style w:type="paragraph" w:styleId="7">
    <w:name w:val="Balloon Text"/>
    <w:basedOn w:val="1"/>
    <w:link w:val="24"/>
    <w:autoRedefine/>
    <w:unhideWhenUsed/>
    <w:qFormat/>
    <w:uiPriority w:val="99"/>
    <w:rPr>
      <w:rFonts w:cstheme="minorBidi"/>
      <w:kern w:val="2"/>
      <w:sz w:val="18"/>
      <w:szCs w:val="18"/>
    </w:rPr>
  </w:style>
  <w:style w:type="paragraph" w:styleId="8">
    <w:name w:val="footer"/>
    <w:basedOn w:val="1"/>
    <w:link w:val="16"/>
    <w:autoRedefine/>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autoRedefine/>
    <w:semiHidden/>
    <w:unhideWhenUsed/>
    <w:qFormat/>
    <w:uiPriority w:val="99"/>
    <w:pPr>
      <w:spacing w:beforeAutospacing="1" w:after="0" w:afterAutospacing="1"/>
      <w:jc w:val="left"/>
    </w:pPr>
    <w:rPr>
      <w:rFonts w:cs="Times New Roman"/>
    </w:rPr>
  </w:style>
  <w:style w:type="table" w:styleId="12">
    <w:name w:val="Table Grid"/>
    <w:autoRedefine/>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autoRedefine/>
    <w:qFormat/>
    <w:uiPriority w:val="22"/>
    <w:rPr>
      <w:b/>
    </w:rPr>
  </w:style>
  <w:style w:type="character" w:customStyle="1" w:styleId="15">
    <w:name w:val="标题 2 字符"/>
    <w:link w:val="3"/>
    <w:autoRedefine/>
    <w:qFormat/>
    <w:uiPriority w:val="0"/>
    <w:rPr>
      <w:rFonts w:ascii="Calibri Light" w:hAnsi="Calibri Light" w:eastAsia="宋体" w:cs="Times New Roman"/>
      <w:b/>
      <w:bCs/>
      <w:sz w:val="28"/>
      <w:szCs w:val="32"/>
    </w:rPr>
  </w:style>
  <w:style w:type="character" w:customStyle="1" w:styleId="16">
    <w:name w:val="页脚 字符"/>
    <w:basedOn w:val="13"/>
    <w:link w:val="8"/>
    <w:autoRedefine/>
    <w:qFormat/>
    <w:uiPriority w:val="99"/>
    <w:rPr>
      <w:rFonts w:asciiTheme="minorHAnsi" w:hAnsiTheme="minorHAnsi" w:eastAsiaTheme="minorEastAsia" w:cstheme="minorBidi"/>
      <w:sz w:val="18"/>
      <w:szCs w:val="18"/>
      <w:lang w:val="en-US" w:eastAsia="zh-CN" w:bidi="ar-SA"/>
    </w:rPr>
  </w:style>
  <w:style w:type="character" w:customStyle="1" w:styleId="17">
    <w:name w:val="页眉 字符"/>
    <w:basedOn w:val="13"/>
    <w:link w:val="9"/>
    <w:autoRedefine/>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autoRedefine/>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autoRedefine/>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autoRedefine/>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autoRedefine/>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autoRedefine/>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autoRedefine/>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字符"/>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2" Type="http://schemas.openxmlformats.org/officeDocument/2006/relationships/fontTable" Target="fontTable.xml"/><Relationship Id="rId31" Type="http://schemas.openxmlformats.org/officeDocument/2006/relationships/customXml" Target="../customXml/item2.xml"/><Relationship Id="rId30" Type="http://schemas.openxmlformats.org/officeDocument/2006/relationships/numbering" Target="numbering.xml"/><Relationship Id="rId3" Type="http://schemas.openxmlformats.org/officeDocument/2006/relationships/footnotes" Target="footnotes.xml"/><Relationship Id="rId29" Type="http://schemas.openxmlformats.org/officeDocument/2006/relationships/customXml" Target="../customXml/item1.xml"/><Relationship Id="rId28" Type="http://schemas.openxmlformats.org/officeDocument/2006/relationships/image" Target="media/image20.emf"/><Relationship Id="rId27" Type="http://schemas.openxmlformats.org/officeDocument/2006/relationships/image" Target="media/image19.emf"/><Relationship Id="rId26" Type="http://schemas.openxmlformats.org/officeDocument/2006/relationships/image" Target="media/image18.emf"/><Relationship Id="rId25" Type="http://schemas.openxmlformats.org/officeDocument/2006/relationships/image" Target="media/image17.emf"/><Relationship Id="rId24" Type="http://schemas.openxmlformats.org/officeDocument/2006/relationships/image" Target="media/image16.emf"/><Relationship Id="rId23" Type="http://schemas.openxmlformats.org/officeDocument/2006/relationships/image" Target="media/image15.emf"/><Relationship Id="rId22" Type="http://schemas.openxmlformats.org/officeDocument/2006/relationships/image" Target="media/image14.emf"/><Relationship Id="rId21" Type="http://schemas.openxmlformats.org/officeDocument/2006/relationships/image" Target="media/image13.emf"/><Relationship Id="rId20" Type="http://schemas.openxmlformats.org/officeDocument/2006/relationships/image" Target="media/image12.emf"/><Relationship Id="rId2" Type="http://schemas.openxmlformats.org/officeDocument/2006/relationships/settings" Target="settings.xml"/><Relationship Id="rId19" Type="http://schemas.openxmlformats.org/officeDocument/2006/relationships/image" Target="media/image11.emf"/><Relationship Id="rId18" Type="http://schemas.openxmlformats.org/officeDocument/2006/relationships/image" Target="media/image10.emf"/><Relationship Id="rId17" Type="http://schemas.openxmlformats.org/officeDocument/2006/relationships/image" Target="media/image9.emf"/><Relationship Id="rId16" Type="http://schemas.openxmlformats.org/officeDocument/2006/relationships/image" Target="media/image8.emf"/><Relationship Id="rId15" Type="http://schemas.openxmlformats.org/officeDocument/2006/relationships/image" Target="media/image7.emf"/><Relationship Id="rId14" Type="http://schemas.openxmlformats.org/officeDocument/2006/relationships/image" Target="media/image6.jpeg"/><Relationship Id="rId13" Type="http://schemas.openxmlformats.org/officeDocument/2006/relationships/image" Target="media/image5.jpe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sv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2996ACE-787C-412D-91B2-87BD10C3E55F}">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36</Pages>
  <Words>6903</Words>
  <Characters>7912</Characters>
  <Lines>41</Lines>
  <Paragraphs>11</Paragraphs>
  <TotalTime>348</TotalTime>
  <ScaleCrop>false</ScaleCrop>
  <LinksUpToDate>false</LinksUpToDate>
  <CharactersWithSpaces>8000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2024-10-21T08:19:00Z</dcterms:created>
  <dc:creator>王明新TIAD</dc:creator>
  <cp:lastModifiedBy>常芳月</cp:lastModifiedBy>
  <cp:lastPrinted>2023-08-04T01:00:00Z</cp:lastPrinted>
  <dcterms:modified xsi:type="dcterms:W3CDTF">2025-09-09T05:54:09Z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7D31E0B13F564CEFBF4F9DE908FCF150_13</vt:lpwstr>
  </property>
  <property fmtid="{D5CDD505-2E9C-101B-9397-08002B2CF9AE}" pid="4" name="KSOTemplateUUID">
    <vt:lpwstr>v1.0_mb_S7ajbG3IpAnL1wSthNCxfw==</vt:lpwstr>
  </property>
  <property fmtid="{D5CDD505-2E9C-101B-9397-08002B2CF9AE}" pid="5" name="KSOTemplateDocerSaveRecord">
    <vt:lpwstr>eyJoZGlkIjoiNGJkMGY2ZjdhYjJkZTk3OGRmYmNiMzNjMjdkYmFkNjQifQ==</vt:lpwstr>
  </property>
</Properties>
</file>