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68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tblGrid>
      <w:tr w14:paraId="328E6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tcMar>
              <w:top w:w="0" w:type="dxa"/>
              <w:left w:w="0" w:type="dxa"/>
              <w:bottom w:w="0" w:type="dxa"/>
              <w:right w:w="0" w:type="dxa"/>
            </w:tcMar>
            <w:vAlign w:val="center"/>
          </w:tcPr>
          <w:p w14:paraId="06811C72">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512797B2">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权力</w:t>
            </w:r>
            <w:r>
              <w:rPr>
                <w:rFonts w:hint="eastAsia" w:ascii="黑体" w:hAnsi="宋体" w:eastAsia="黑体" w:cs="黑体"/>
                <w:i w:val="0"/>
                <w:color w:val="000000"/>
                <w:kern w:val="0"/>
                <w:sz w:val="24"/>
                <w:szCs w:val="24"/>
                <w:u w:val="none"/>
                <w:lang w:val="en-US" w:eastAsia="zh-CN" w:bidi="ar"/>
              </w:rPr>
              <w:br w:type="textWrapping"/>
            </w: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6E6080E6">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权力</w:t>
            </w:r>
            <w:r>
              <w:rPr>
                <w:rFonts w:hint="eastAsia" w:ascii="黑体" w:hAnsi="宋体" w:eastAsia="黑体" w:cs="黑体"/>
                <w:i w:val="0"/>
                <w:color w:val="000000"/>
                <w:kern w:val="0"/>
                <w:sz w:val="24"/>
                <w:szCs w:val="24"/>
                <w:u w:val="none"/>
                <w:lang w:val="en-US" w:eastAsia="zh-CN" w:bidi="ar"/>
              </w:rPr>
              <w:br w:type="textWrapping"/>
            </w: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62ABA84C">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7939A9FE">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0D9151E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56C904D5">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649B3FA0">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1000884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5ED2AFD8">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tcMar>
              <w:top w:w="0" w:type="dxa"/>
              <w:left w:w="0" w:type="dxa"/>
              <w:bottom w:w="0" w:type="dxa"/>
              <w:right w:w="0" w:type="dxa"/>
            </w:tcMar>
            <w:vAlign w:val="center"/>
          </w:tcPr>
          <w:p w14:paraId="6A07C570">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14:paraId="1F6C1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2783A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8</w:t>
            </w:r>
          </w:p>
        </w:tc>
        <w:tc>
          <w:tcPr>
            <w:tcW w:w="850" w:type="dxa"/>
            <w:tcBorders>
              <w:tl2br w:val="nil"/>
              <w:tr2bl w:val="nil"/>
            </w:tcBorders>
            <w:shd w:val="clear" w:color="auto" w:fill="auto"/>
            <w:vAlign w:val="center"/>
          </w:tcPr>
          <w:p w14:paraId="645123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行政许可</w:t>
            </w:r>
          </w:p>
        </w:tc>
        <w:tc>
          <w:tcPr>
            <w:tcW w:w="1134" w:type="dxa"/>
            <w:tcBorders>
              <w:tl2br w:val="nil"/>
              <w:tr2bl w:val="nil"/>
            </w:tcBorders>
            <w:shd w:val="clear" w:color="auto" w:fill="auto"/>
            <w:vAlign w:val="center"/>
          </w:tcPr>
          <w:p w14:paraId="0DFBC9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建筑起重机械使用登记</w:t>
            </w:r>
          </w:p>
        </w:tc>
        <w:tc>
          <w:tcPr>
            <w:tcW w:w="3118" w:type="dxa"/>
            <w:tcBorders>
              <w:tl2br w:val="nil"/>
              <w:tr2bl w:val="nil"/>
            </w:tcBorders>
            <w:shd w:val="clear" w:color="auto" w:fill="auto"/>
            <w:vAlign w:val="center"/>
          </w:tcPr>
          <w:p w14:paraId="21BD8E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1.《中华人民共和国特种设备安全法》（2013年6月29日中华人民共和国主席令第4号）第三十三条 特种设备使用单位应当在特种设备投入使用前或者投入使用后三十日内，向负责特种设备安全监督管理的部门办理使用登记，取得使用登记证书。登记标志应当置于该特种设备的显著位置。</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2.《特种设备安全监督条例》（国务院第549号）第二十五条 特种设备在投入使用前或者投入使用后30日内，特种设备使用单位应当向直辖市或者设区的市的特种设备安全监督管理部门登记。登记标志应当置于或者附着于该特种设备的显著位置。</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3.《建筑起重机械安全监督管理规定》（2008年1月28日原建设部令第166号）第十七条 使用单位应当自建筑起重机械安装验收合格之日起30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c>
          <w:tcPr>
            <w:tcW w:w="1134" w:type="dxa"/>
            <w:tcBorders>
              <w:tl2br w:val="nil"/>
              <w:tr2bl w:val="nil"/>
            </w:tcBorders>
            <w:shd w:val="clear" w:color="auto" w:fill="auto"/>
            <w:vAlign w:val="center"/>
          </w:tcPr>
          <w:p w14:paraId="4EE0863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AB34E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E1221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1.受理环节责任：查验申请材料，材料不完整的，应当一次性告知申请人需要补正的全部材料；收到申请人提交的全部补正材料后，应当作出受理或者不予受理的决定，不予受理的，应当告知理由。</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2.审查环节责任：对申请人提交的备案材料进行审查，符合备案条件的，予以备案，不符合条件的，不予以备案，并告知理由。</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3.备案环节责任：符合条件应及时办理告知手续。</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4.监管环节责任：采取法律法规规定的各种形式加强备案后续监管。</w:t>
            </w:r>
          </w:p>
          <w:p w14:paraId="39CBED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5.其他法律法规规章规定的应履行的责任。</w:t>
            </w:r>
          </w:p>
        </w:tc>
        <w:tc>
          <w:tcPr>
            <w:tcW w:w="3402" w:type="dxa"/>
            <w:tcBorders>
              <w:tl2br w:val="nil"/>
              <w:tr2bl w:val="nil"/>
            </w:tcBorders>
            <w:shd w:val="clear" w:color="auto" w:fill="auto"/>
            <w:vAlign w:val="center"/>
          </w:tcPr>
          <w:p w14:paraId="34A3C82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719AED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1.不在办公场所公示依法应当公示的材料的。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2.符合申报条件不予受理、不予办理的。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3.不符合申报条件予以受理、办理的。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4.执法人员玩忽职守、滥用职权、徇私舞弊的。</w:t>
            </w:r>
            <w:bookmarkStart w:id="0" w:name="_GoBack"/>
            <w:bookmarkEnd w:id="0"/>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5.其他违反法律法规规章规定的行为。</w:t>
            </w:r>
          </w:p>
        </w:tc>
        <w:tc>
          <w:tcPr>
            <w:tcW w:w="567" w:type="dxa"/>
            <w:tcBorders>
              <w:tl2br w:val="nil"/>
              <w:tr2bl w:val="nil"/>
            </w:tcBorders>
            <w:shd w:val="clear" w:color="auto" w:fill="auto"/>
            <w:tcMar>
              <w:top w:w="0" w:type="dxa"/>
              <w:left w:w="0" w:type="dxa"/>
              <w:bottom w:w="0" w:type="dxa"/>
              <w:right w:w="0" w:type="dxa"/>
            </w:tcMar>
            <w:vAlign w:val="center"/>
          </w:tcPr>
          <w:p w14:paraId="0D9669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市县区同权，按区域划分</w:t>
            </w:r>
          </w:p>
        </w:tc>
      </w:tr>
    </w:tbl>
    <w:p w14:paraId="04A2267F">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p w14:paraId="2F515A9E">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p w14:paraId="069C9673">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sectPr>
      <w:pgSz w:w="16838" w:h="11906"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7E0E61AE"/>
    <w:rsid w:val="0DEB7DD0"/>
    <w:rsid w:val="1C7B7F34"/>
    <w:rsid w:val="6A3855ED"/>
    <w:rsid w:val="7C6316DE"/>
    <w:rsid w:val="7E0E61AE"/>
    <w:rsid w:val="7EF12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51"/>
    <w:basedOn w:val="3"/>
    <w:qFormat/>
    <w:uiPriority w:val="0"/>
    <w:rPr>
      <w:rFonts w:hint="eastAsia" w:ascii="仿宋_GB2312" w:eastAsia="仿宋_GB2312" w:cs="仿宋_GB2312"/>
      <w:color w:val="000000"/>
      <w:sz w:val="16"/>
      <w:szCs w:val="16"/>
      <w:u w:val="none"/>
    </w:rPr>
  </w:style>
  <w:style w:type="character" w:customStyle="1" w:styleId="5">
    <w:name w:val="font11"/>
    <w:basedOn w:val="3"/>
    <w:qFormat/>
    <w:uiPriority w:val="0"/>
    <w:rPr>
      <w:rFonts w:hint="eastAsia" w:ascii="仿宋_GB2312" w:eastAsia="仿宋_GB2312" w:cs="仿宋_GB2312"/>
      <w:color w:val="FF0000"/>
      <w:sz w:val="16"/>
      <w:szCs w:val="1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805</Words>
  <Characters>832</Characters>
  <Lines>0</Lines>
  <Paragraphs>0</Paragraphs>
  <TotalTime>43</TotalTime>
  <ScaleCrop>false</ScaleCrop>
  <LinksUpToDate>false</LinksUpToDate>
  <CharactersWithSpaces>835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2022-09-23T01:39:00Z</dcterms:created>
  <dc:creator>Administrator</dc:creator>
  <cp:lastModifiedBy>Administrator</cp:lastModifiedBy>
  <cp:lastPrinted>2023-09-26T07:23:00Z</cp:lastPrinted>
  <dcterms:modified xsi:type="dcterms:W3CDTF">2025-09-15T02:58:37Z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FEF68D42083C4274A491FB6103C547B2_12</vt:lpwstr>
  </property>
</Properties>
</file>