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44E1F">
      <w:pPr>
        <w:snapToGrid w:val="0"/>
        <w:spacing w:line="240" w:lineRule="atLeast"/>
        <w:rPr>
          <w:rFonts w:hint="eastAsia" w:ascii="仿宋" w:hAnsi="仿宋" w:eastAsia="仿宋" w:cs="仿宋"/>
          <w:color w:val="000000"/>
          <w:sz w:val="18"/>
          <w:szCs w:val="18"/>
        </w:rPr>
      </w:pPr>
    </w:p>
    <w:p w14:paraId="61B0511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82"/>
        <w:gridCol w:w="1331"/>
        <w:gridCol w:w="641"/>
        <w:gridCol w:w="1691"/>
        <w:gridCol w:w="1963"/>
        <w:gridCol w:w="992"/>
        <w:gridCol w:w="567"/>
        <w:gridCol w:w="525"/>
        <w:gridCol w:w="1406"/>
      </w:tblGrid>
      <w:tr w14:paraId="1470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82" w:type="dxa"/>
            <w:vAlign w:val="center"/>
          </w:tcPr>
          <w:p w14:paraId="34025E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30C7C470">
            <w:pPr>
              <w:jc w:val="center"/>
              <w:rPr>
                <w:rFonts w:ascii="黑体" w:eastAsia="黑体" w:cs="黑体"/>
                <w:b/>
                <w:bCs/>
                <w:color w:val="000000" w:themeColor="text1"/>
                <w:szCs w:val="21"/>
              </w:rPr>
            </w:pPr>
            <w:r>
              <w:rPr>
                <w:rFonts w:ascii="黑体" w:eastAsia="黑体" w:cs="黑体"/>
                <w:b/>
                <w:bCs/>
                <w:color w:val="000000" w:themeColor="text1"/>
                <w:szCs w:val="21"/>
              </w:rPr>
              <w:t>1</w:t>
            </w:r>
          </w:p>
        </w:tc>
        <w:tc>
          <w:tcPr>
            <w:tcW w:w="1691" w:type="dxa"/>
            <w:vAlign w:val="center"/>
          </w:tcPr>
          <w:p w14:paraId="1E76876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F66B30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8600B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D461F4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7F8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509F78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vAlign w:val="center"/>
          </w:tcPr>
          <w:p w14:paraId="2C360372">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对造成公路路面损坏、污染或者影响公路畅通行为的行政处罚</w:t>
            </w:r>
          </w:p>
        </w:tc>
      </w:tr>
      <w:tr w14:paraId="5E4B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4D788E7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vAlign w:val="center"/>
          </w:tcPr>
          <w:p w14:paraId="1E9E45F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C4F5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182" w:type="dxa"/>
            <w:vAlign w:val="center"/>
          </w:tcPr>
          <w:p w14:paraId="393165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vAlign w:val="center"/>
          </w:tcPr>
          <w:p w14:paraId="148C432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w:t>
            </w:r>
          </w:p>
          <w:p w14:paraId="1BDFB326">
            <w:pPr>
              <w:spacing w:line="240" w:lineRule="exact"/>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《中华人民共和国公路法》（国家主席令【</w:t>
            </w:r>
            <w:r>
              <w:rPr>
                <w:rFonts w:ascii="仿宋" w:hAnsi="仿宋" w:eastAsia="仿宋" w:cs="仿宋_GB2312"/>
                <w:color w:val="000000" w:themeColor="text1"/>
                <w:kern w:val="0"/>
                <w:sz w:val="15"/>
                <w:szCs w:val="15"/>
              </w:rPr>
              <w:t>97</w:t>
            </w:r>
            <w:r>
              <w:rPr>
                <w:rFonts w:hint="eastAsia" w:ascii="仿宋" w:hAnsi="仿宋" w:eastAsia="仿宋" w:cs="仿宋_GB2312"/>
                <w:color w:val="000000" w:themeColor="text1"/>
                <w:kern w:val="0"/>
                <w:sz w:val="15"/>
                <w:szCs w:val="15"/>
              </w:rPr>
              <w:t>】第</w:t>
            </w:r>
            <w:r>
              <w:rPr>
                <w:rFonts w:ascii="仿宋" w:hAnsi="仿宋" w:eastAsia="仿宋" w:cs="仿宋_GB2312"/>
                <w:color w:val="000000" w:themeColor="text1"/>
                <w:kern w:val="0"/>
                <w:sz w:val="15"/>
                <w:szCs w:val="15"/>
              </w:rPr>
              <w:t>86</w:t>
            </w:r>
            <w:r>
              <w:rPr>
                <w:rFonts w:hint="eastAsia" w:ascii="仿宋" w:hAnsi="仿宋" w:eastAsia="仿宋" w:cs="仿宋_GB2312"/>
                <w:color w:val="000000" w:themeColor="text1"/>
                <w:kern w:val="0"/>
                <w:sz w:val="15"/>
                <w:szCs w:val="15"/>
              </w:rPr>
              <w:t>号，</w:t>
            </w:r>
            <w:r>
              <w:rPr>
                <w:rFonts w:ascii="仿宋" w:hAnsi="仿宋" w:eastAsia="仿宋" w:cs="仿宋_GB2312"/>
                <w:color w:val="000000" w:themeColor="text1"/>
                <w:kern w:val="0"/>
                <w:sz w:val="15"/>
                <w:szCs w:val="15"/>
              </w:rPr>
              <w:t>2017</w:t>
            </w:r>
            <w:r>
              <w:rPr>
                <w:rFonts w:hint="eastAsia" w:ascii="仿宋" w:hAnsi="仿宋" w:eastAsia="仿宋" w:cs="仿宋_GB2312"/>
                <w:color w:val="000000" w:themeColor="text1"/>
                <w:kern w:val="0"/>
                <w:sz w:val="15"/>
                <w:szCs w:val="15"/>
              </w:rPr>
              <w:t>年</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月</w:t>
            </w:r>
            <w:r>
              <w:rPr>
                <w:rFonts w:ascii="仿宋" w:hAnsi="仿宋" w:eastAsia="仿宋" w:cs="仿宋_GB2312"/>
                <w:color w:val="000000" w:themeColor="text1"/>
                <w:kern w:val="0"/>
                <w:sz w:val="15"/>
                <w:szCs w:val="15"/>
              </w:rPr>
              <w:t>4</w:t>
            </w:r>
            <w:r>
              <w:rPr>
                <w:rFonts w:hint="eastAsia" w:ascii="仿宋" w:hAnsi="仿宋" w:eastAsia="仿宋" w:cs="仿宋_GB2312"/>
                <w:color w:val="000000" w:themeColor="text1"/>
                <w:kern w:val="0"/>
                <w:sz w:val="15"/>
                <w:szCs w:val="15"/>
              </w:rPr>
              <w:t>日第五次修改）第七十七条违反本法第四十六条的规定，造成公路路面损坏、污染或者影响公路畅通的，或者违反本法第五十一条规定，将公路作为试车场地的，由交通主管部门责令停止违法行为，可以处五千元以下的罚款。</w:t>
            </w:r>
          </w:p>
          <w:p w14:paraId="2230F4CB">
            <w:pPr>
              <w:spacing w:line="240" w:lineRule="exact"/>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2.</w:t>
            </w:r>
            <w:r>
              <w:rPr>
                <w:rFonts w:hint="eastAsia" w:ascii="仿宋" w:hAnsi="仿宋" w:eastAsia="仿宋" w:cs="仿宋_GB2312"/>
                <w:color w:val="000000" w:themeColor="text1"/>
                <w:kern w:val="0"/>
                <w:sz w:val="15"/>
                <w:szCs w:val="15"/>
              </w:rPr>
              <w:t>《公路安全保护条例》（中华人民共和国国务院令第</w:t>
            </w:r>
            <w:r>
              <w:rPr>
                <w:rFonts w:ascii="仿宋" w:hAnsi="仿宋" w:eastAsia="仿宋" w:cs="仿宋_GB2312"/>
                <w:color w:val="000000" w:themeColor="text1"/>
                <w:kern w:val="0"/>
                <w:sz w:val="15"/>
                <w:szCs w:val="15"/>
              </w:rPr>
              <w:t>593</w:t>
            </w:r>
            <w:r>
              <w:rPr>
                <w:rFonts w:hint="eastAsia" w:ascii="仿宋" w:hAnsi="仿宋" w:eastAsia="仿宋" w:cs="仿宋_GB2312"/>
                <w:color w:val="000000" w:themeColor="text1"/>
                <w:kern w:val="0"/>
                <w:sz w:val="15"/>
                <w:szCs w:val="15"/>
              </w:rPr>
              <w:t>号）第六十九条车辆装载物触地拖行、掉落、遗洒或者飘散，造成公路路面损坏、污染的，由公路管理机构责令改正，处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元以下的罚款。</w:t>
            </w:r>
          </w:p>
          <w:p w14:paraId="6890032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6B521250">
            <w:pPr>
              <w:spacing w:line="240" w:lineRule="exact"/>
              <w:rPr>
                <w:rFonts w:ascii="仿宋_GB2312" w:eastAsia="仿宋_GB2312" w:cs="黑体"/>
                <w:b/>
                <w:bCs/>
                <w:color w:val="000000" w:themeColor="text1"/>
                <w:szCs w:val="21"/>
              </w:rPr>
            </w:pPr>
          </w:p>
        </w:tc>
      </w:tr>
      <w:tr w14:paraId="3CA09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82" w:type="dxa"/>
            <w:vMerge w:val="restart"/>
            <w:vAlign w:val="center"/>
          </w:tcPr>
          <w:p w14:paraId="44D3C6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vAlign w:val="center"/>
          </w:tcPr>
          <w:p w14:paraId="42E336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47F467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2E378D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F87C23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F335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182" w:type="dxa"/>
            <w:vMerge w:val="continue"/>
            <w:vAlign w:val="center"/>
          </w:tcPr>
          <w:p w14:paraId="56645967">
            <w:pPr>
              <w:rPr>
                <w:color w:val="000000" w:themeColor="text1"/>
              </w:rPr>
            </w:pPr>
          </w:p>
        </w:tc>
        <w:tc>
          <w:tcPr>
            <w:tcW w:w="1331" w:type="dxa"/>
            <w:vAlign w:val="center"/>
          </w:tcPr>
          <w:p w14:paraId="67786AB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vAlign w:val="center"/>
          </w:tcPr>
          <w:p w14:paraId="0579A4D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vAlign w:val="center"/>
          </w:tcPr>
          <w:p w14:paraId="46220351">
            <w:pPr>
              <w:jc w:val="center"/>
              <w:rPr>
                <w:rFonts w:ascii="仿宋_GB2312" w:hAnsi="黑体" w:eastAsia="仿宋_GB2312" w:cs="黑体"/>
                <w:color w:val="000000" w:themeColor="text1"/>
                <w:sz w:val="18"/>
                <w:szCs w:val="18"/>
              </w:rPr>
            </w:pPr>
          </w:p>
        </w:tc>
        <w:tc>
          <w:tcPr>
            <w:tcW w:w="1406" w:type="dxa"/>
            <w:vAlign w:val="center"/>
          </w:tcPr>
          <w:p w14:paraId="49121B4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556B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24A7379A">
            <w:pPr>
              <w:rPr>
                <w:color w:val="000000" w:themeColor="text1"/>
              </w:rPr>
            </w:pPr>
          </w:p>
        </w:tc>
        <w:tc>
          <w:tcPr>
            <w:tcW w:w="1331" w:type="dxa"/>
            <w:vAlign w:val="center"/>
          </w:tcPr>
          <w:p w14:paraId="40EBD33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vAlign w:val="center"/>
          </w:tcPr>
          <w:p w14:paraId="5400320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vAlign w:val="center"/>
          </w:tcPr>
          <w:p w14:paraId="71D8F232">
            <w:pPr>
              <w:jc w:val="center"/>
              <w:rPr>
                <w:rFonts w:ascii="仿宋_GB2312" w:hAnsi="黑体" w:eastAsia="仿宋_GB2312" w:cs="黑体"/>
                <w:color w:val="000000" w:themeColor="text1"/>
                <w:sz w:val="18"/>
                <w:szCs w:val="18"/>
              </w:rPr>
            </w:pPr>
          </w:p>
        </w:tc>
        <w:tc>
          <w:tcPr>
            <w:tcW w:w="1406" w:type="dxa"/>
            <w:vAlign w:val="center"/>
          </w:tcPr>
          <w:p w14:paraId="11335C6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6B87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36C7CEF4">
            <w:pPr>
              <w:rPr>
                <w:color w:val="000000" w:themeColor="text1"/>
              </w:rPr>
            </w:pPr>
          </w:p>
        </w:tc>
        <w:tc>
          <w:tcPr>
            <w:tcW w:w="1331" w:type="dxa"/>
            <w:vAlign w:val="center"/>
          </w:tcPr>
          <w:p w14:paraId="3C0B5A6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vAlign w:val="center"/>
          </w:tcPr>
          <w:p w14:paraId="1143073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vAlign w:val="center"/>
          </w:tcPr>
          <w:p w14:paraId="0F0807F6">
            <w:pPr>
              <w:jc w:val="center"/>
              <w:rPr>
                <w:rFonts w:ascii="仿宋_GB2312" w:hAnsi="黑体" w:eastAsia="仿宋_GB2312" w:cs="黑体"/>
                <w:color w:val="000000" w:themeColor="text1"/>
                <w:sz w:val="18"/>
                <w:szCs w:val="18"/>
              </w:rPr>
            </w:pPr>
          </w:p>
        </w:tc>
        <w:tc>
          <w:tcPr>
            <w:tcW w:w="1406" w:type="dxa"/>
            <w:vAlign w:val="center"/>
          </w:tcPr>
          <w:p w14:paraId="1A022B2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E97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5DED631A">
            <w:pPr>
              <w:rPr>
                <w:color w:val="000000" w:themeColor="text1"/>
              </w:rPr>
            </w:pPr>
          </w:p>
        </w:tc>
        <w:tc>
          <w:tcPr>
            <w:tcW w:w="1331" w:type="dxa"/>
            <w:vAlign w:val="center"/>
          </w:tcPr>
          <w:p w14:paraId="263FD99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vAlign w:val="center"/>
          </w:tcPr>
          <w:p w14:paraId="2FCDF44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vAlign w:val="center"/>
          </w:tcPr>
          <w:p w14:paraId="34501CB1">
            <w:pPr>
              <w:jc w:val="center"/>
              <w:rPr>
                <w:rFonts w:ascii="仿宋_GB2312" w:hAnsi="黑体" w:eastAsia="仿宋_GB2312" w:cs="黑体"/>
                <w:color w:val="000000" w:themeColor="text1"/>
                <w:sz w:val="18"/>
                <w:szCs w:val="18"/>
              </w:rPr>
            </w:pPr>
          </w:p>
        </w:tc>
        <w:tc>
          <w:tcPr>
            <w:tcW w:w="1406" w:type="dxa"/>
            <w:vAlign w:val="center"/>
          </w:tcPr>
          <w:p w14:paraId="4B50F4D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916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590BE809">
            <w:pPr>
              <w:rPr>
                <w:color w:val="000000" w:themeColor="text1"/>
              </w:rPr>
            </w:pPr>
          </w:p>
        </w:tc>
        <w:tc>
          <w:tcPr>
            <w:tcW w:w="1331" w:type="dxa"/>
            <w:vAlign w:val="center"/>
          </w:tcPr>
          <w:p w14:paraId="1849997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vAlign w:val="center"/>
          </w:tcPr>
          <w:p w14:paraId="03C5A1A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vAlign w:val="center"/>
          </w:tcPr>
          <w:p w14:paraId="39461356">
            <w:pPr>
              <w:jc w:val="center"/>
              <w:rPr>
                <w:rFonts w:ascii="仿宋_GB2312" w:hAnsi="黑体" w:eastAsia="仿宋_GB2312" w:cs="黑体"/>
                <w:color w:val="000000" w:themeColor="text1"/>
                <w:sz w:val="18"/>
                <w:szCs w:val="18"/>
              </w:rPr>
            </w:pPr>
          </w:p>
        </w:tc>
        <w:tc>
          <w:tcPr>
            <w:tcW w:w="1406" w:type="dxa"/>
            <w:vAlign w:val="center"/>
          </w:tcPr>
          <w:p w14:paraId="2F1281C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00EA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182" w:type="dxa"/>
            <w:vAlign w:val="center"/>
          </w:tcPr>
          <w:p w14:paraId="45F2828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vAlign w:val="center"/>
          </w:tcPr>
          <w:p w14:paraId="2B17B562">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44038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182" w:type="dxa"/>
            <w:vAlign w:val="center"/>
          </w:tcPr>
          <w:p w14:paraId="46CC8A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vAlign w:val="center"/>
          </w:tcPr>
          <w:p w14:paraId="685255A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E30C8D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DDA6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82" w:type="dxa"/>
            <w:vAlign w:val="center"/>
          </w:tcPr>
          <w:p w14:paraId="69FF19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vAlign w:val="center"/>
          </w:tcPr>
          <w:p w14:paraId="4E34E6A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0D2192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C66D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82" w:type="dxa"/>
            <w:vAlign w:val="center"/>
          </w:tcPr>
          <w:p w14:paraId="6262DDE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vAlign w:val="center"/>
          </w:tcPr>
          <w:p w14:paraId="5C144762">
            <w:pPr>
              <w:widowControl/>
              <w:jc w:val="left"/>
              <w:textAlignment w:val="center"/>
              <w:rPr>
                <w:rFonts w:ascii="黑体" w:eastAsia="黑体" w:cs="黑体"/>
                <w:color w:val="000000" w:themeColor="text1"/>
                <w:kern w:val="0"/>
                <w:sz w:val="18"/>
                <w:szCs w:val="18"/>
              </w:rPr>
            </w:pPr>
          </w:p>
        </w:tc>
      </w:tr>
    </w:tbl>
    <w:p w14:paraId="42B73D9E">
      <w:pPr>
        <w:rPr>
          <w:color w:val="000000" w:themeColor="text1"/>
        </w:rPr>
      </w:pPr>
    </w:p>
    <w:p w14:paraId="5A4B421C">
      <w:pPr>
        <w:snapToGrid w:val="0"/>
        <w:spacing w:line="240" w:lineRule="atLeast"/>
        <w:rPr>
          <w:color w:val="000000" w:themeColor="text1"/>
          <w:sz w:val="18"/>
          <w:szCs w:val="18"/>
        </w:rPr>
      </w:pPr>
    </w:p>
    <w:p w14:paraId="379A3E81">
      <w:pPr>
        <w:snapToGrid w:val="0"/>
        <w:spacing w:line="240" w:lineRule="atLeast"/>
        <w:rPr>
          <w:color w:val="000000" w:themeColor="text1"/>
          <w:sz w:val="18"/>
          <w:szCs w:val="18"/>
        </w:rPr>
      </w:pPr>
    </w:p>
    <w:p w14:paraId="4ECB0416">
      <w:pPr>
        <w:snapToGrid w:val="0"/>
        <w:spacing w:line="240" w:lineRule="atLeast"/>
        <w:rPr>
          <w:color w:val="000000" w:themeColor="text1"/>
          <w:sz w:val="18"/>
          <w:szCs w:val="18"/>
        </w:rPr>
      </w:pPr>
    </w:p>
    <w:p w14:paraId="5AE0B8C5">
      <w:pPr>
        <w:snapToGrid w:val="0"/>
        <w:spacing w:line="240" w:lineRule="atLeast"/>
        <w:rPr>
          <w:color w:val="000000" w:themeColor="text1"/>
          <w:sz w:val="18"/>
          <w:szCs w:val="18"/>
        </w:rPr>
      </w:pPr>
    </w:p>
    <w:p w14:paraId="3E43001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82"/>
        <w:gridCol w:w="1331"/>
        <w:gridCol w:w="641"/>
        <w:gridCol w:w="1691"/>
        <w:gridCol w:w="1963"/>
        <w:gridCol w:w="992"/>
        <w:gridCol w:w="567"/>
        <w:gridCol w:w="525"/>
        <w:gridCol w:w="1406"/>
      </w:tblGrid>
      <w:tr w14:paraId="5D51E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82" w:type="dxa"/>
            <w:vAlign w:val="center"/>
          </w:tcPr>
          <w:p w14:paraId="7AA544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20AED840">
            <w:pPr>
              <w:jc w:val="center"/>
              <w:rPr>
                <w:rFonts w:ascii="黑体" w:eastAsia="黑体" w:cs="黑体"/>
                <w:b/>
                <w:bCs/>
                <w:color w:val="000000" w:themeColor="text1"/>
                <w:szCs w:val="21"/>
              </w:rPr>
            </w:pPr>
            <w:r>
              <w:rPr>
                <w:rFonts w:ascii="黑体" w:eastAsia="黑体" w:cs="黑体"/>
                <w:b/>
                <w:bCs/>
                <w:color w:val="000000" w:themeColor="text1"/>
                <w:szCs w:val="21"/>
              </w:rPr>
              <w:t>2</w:t>
            </w:r>
          </w:p>
        </w:tc>
        <w:tc>
          <w:tcPr>
            <w:tcW w:w="1691" w:type="dxa"/>
            <w:vAlign w:val="center"/>
          </w:tcPr>
          <w:p w14:paraId="709B2A7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AEB5EF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8012C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139C67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0743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7A7AA0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vAlign w:val="center"/>
          </w:tcPr>
          <w:p w14:paraId="3D7D4F7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对将公路作为试车场地行为的行政处罚</w:t>
            </w:r>
          </w:p>
        </w:tc>
      </w:tr>
      <w:tr w14:paraId="0F4FD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64AC16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vAlign w:val="center"/>
          </w:tcPr>
          <w:p w14:paraId="7EF0102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105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02" w:hRule="atLeast"/>
          <w:jc w:val="center"/>
        </w:trPr>
        <w:tc>
          <w:tcPr>
            <w:tcW w:w="1182" w:type="dxa"/>
            <w:vAlign w:val="center"/>
          </w:tcPr>
          <w:p w14:paraId="4C9C87E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vAlign w:val="center"/>
          </w:tcPr>
          <w:p w14:paraId="536915B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七条违反本法第四十六条的规定，造成公路路面损坏、污染或者影响公路畅通的，或者违反本法第五十一条规定，将公路作为试车场地的，由交通主管部门责令停止违法行为，可以处五千元以下的罚款。</w:t>
            </w:r>
          </w:p>
          <w:p w14:paraId="07A7A203">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3C1725FA">
            <w:pPr>
              <w:spacing w:line="240" w:lineRule="exact"/>
              <w:rPr>
                <w:rFonts w:ascii="仿宋_GB2312" w:eastAsia="仿宋_GB2312" w:cs="黑体"/>
                <w:b/>
                <w:bCs/>
                <w:color w:val="000000" w:themeColor="text1"/>
                <w:szCs w:val="21"/>
              </w:rPr>
            </w:pPr>
          </w:p>
        </w:tc>
      </w:tr>
      <w:tr w14:paraId="6B5A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82" w:type="dxa"/>
            <w:vMerge w:val="restart"/>
            <w:vAlign w:val="center"/>
          </w:tcPr>
          <w:p w14:paraId="631C09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vAlign w:val="center"/>
          </w:tcPr>
          <w:p w14:paraId="14081B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18E14E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4FE81D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DA7BF6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C49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182" w:type="dxa"/>
            <w:vMerge w:val="continue"/>
            <w:vAlign w:val="center"/>
          </w:tcPr>
          <w:p w14:paraId="284AF85A">
            <w:pPr>
              <w:rPr>
                <w:color w:val="000000" w:themeColor="text1"/>
              </w:rPr>
            </w:pPr>
          </w:p>
        </w:tc>
        <w:tc>
          <w:tcPr>
            <w:tcW w:w="1331" w:type="dxa"/>
            <w:vAlign w:val="center"/>
          </w:tcPr>
          <w:p w14:paraId="692DEE4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vAlign w:val="center"/>
          </w:tcPr>
          <w:p w14:paraId="195874F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vAlign w:val="center"/>
          </w:tcPr>
          <w:p w14:paraId="2E34CB1C">
            <w:pPr>
              <w:jc w:val="center"/>
              <w:rPr>
                <w:rFonts w:ascii="仿宋_GB2312" w:hAnsi="黑体" w:eastAsia="仿宋_GB2312" w:cs="黑体"/>
                <w:color w:val="000000" w:themeColor="text1"/>
                <w:sz w:val="18"/>
                <w:szCs w:val="18"/>
              </w:rPr>
            </w:pPr>
          </w:p>
        </w:tc>
        <w:tc>
          <w:tcPr>
            <w:tcW w:w="1406" w:type="dxa"/>
            <w:vAlign w:val="center"/>
          </w:tcPr>
          <w:p w14:paraId="0397ECC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4FB0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5F72A80D">
            <w:pPr>
              <w:rPr>
                <w:color w:val="000000" w:themeColor="text1"/>
              </w:rPr>
            </w:pPr>
          </w:p>
        </w:tc>
        <w:tc>
          <w:tcPr>
            <w:tcW w:w="1331" w:type="dxa"/>
            <w:vAlign w:val="center"/>
          </w:tcPr>
          <w:p w14:paraId="7A7482D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vAlign w:val="center"/>
          </w:tcPr>
          <w:p w14:paraId="20BA157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vAlign w:val="center"/>
          </w:tcPr>
          <w:p w14:paraId="64872BEF">
            <w:pPr>
              <w:jc w:val="center"/>
              <w:rPr>
                <w:rFonts w:ascii="仿宋_GB2312" w:hAnsi="黑体" w:eastAsia="仿宋_GB2312" w:cs="黑体"/>
                <w:color w:val="000000" w:themeColor="text1"/>
                <w:sz w:val="18"/>
                <w:szCs w:val="18"/>
              </w:rPr>
            </w:pPr>
          </w:p>
        </w:tc>
        <w:tc>
          <w:tcPr>
            <w:tcW w:w="1406" w:type="dxa"/>
            <w:vAlign w:val="center"/>
          </w:tcPr>
          <w:p w14:paraId="46B4A15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0EEC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2946A3DB">
            <w:pPr>
              <w:rPr>
                <w:color w:val="000000" w:themeColor="text1"/>
              </w:rPr>
            </w:pPr>
          </w:p>
        </w:tc>
        <w:tc>
          <w:tcPr>
            <w:tcW w:w="1331" w:type="dxa"/>
            <w:vAlign w:val="center"/>
          </w:tcPr>
          <w:p w14:paraId="2AC4E3A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vAlign w:val="center"/>
          </w:tcPr>
          <w:p w14:paraId="03B22A20">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vAlign w:val="center"/>
          </w:tcPr>
          <w:p w14:paraId="42B15CAD">
            <w:pPr>
              <w:jc w:val="center"/>
              <w:rPr>
                <w:rFonts w:ascii="仿宋_GB2312" w:hAnsi="黑体" w:eastAsia="仿宋_GB2312" w:cs="黑体"/>
                <w:color w:val="000000" w:themeColor="text1"/>
                <w:sz w:val="18"/>
                <w:szCs w:val="18"/>
              </w:rPr>
            </w:pPr>
          </w:p>
        </w:tc>
        <w:tc>
          <w:tcPr>
            <w:tcW w:w="1406" w:type="dxa"/>
            <w:vAlign w:val="center"/>
          </w:tcPr>
          <w:p w14:paraId="019BDC7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20DA1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347163D6">
            <w:pPr>
              <w:rPr>
                <w:color w:val="000000" w:themeColor="text1"/>
              </w:rPr>
            </w:pPr>
          </w:p>
        </w:tc>
        <w:tc>
          <w:tcPr>
            <w:tcW w:w="1331" w:type="dxa"/>
            <w:vAlign w:val="center"/>
          </w:tcPr>
          <w:p w14:paraId="15669A2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vAlign w:val="center"/>
          </w:tcPr>
          <w:p w14:paraId="2FB9D9B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vAlign w:val="center"/>
          </w:tcPr>
          <w:p w14:paraId="32D6BEB0">
            <w:pPr>
              <w:jc w:val="center"/>
              <w:rPr>
                <w:rFonts w:ascii="仿宋_GB2312" w:hAnsi="黑体" w:eastAsia="仿宋_GB2312" w:cs="黑体"/>
                <w:color w:val="000000" w:themeColor="text1"/>
                <w:sz w:val="18"/>
                <w:szCs w:val="18"/>
              </w:rPr>
            </w:pPr>
          </w:p>
        </w:tc>
        <w:tc>
          <w:tcPr>
            <w:tcW w:w="1406" w:type="dxa"/>
            <w:vAlign w:val="center"/>
          </w:tcPr>
          <w:p w14:paraId="2884E3D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1679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4F1E2E38">
            <w:pPr>
              <w:rPr>
                <w:color w:val="000000" w:themeColor="text1"/>
              </w:rPr>
            </w:pPr>
          </w:p>
        </w:tc>
        <w:tc>
          <w:tcPr>
            <w:tcW w:w="1331" w:type="dxa"/>
            <w:vAlign w:val="center"/>
          </w:tcPr>
          <w:p w14:paraId="76963A4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vAlign w:val="center"/>
          </w:tcPr>
          <w:p w14:paraId="448C2A9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vAlign w:val="center"/>
          </w:tcPr>
          <w:p w14:paraId="56539D8A">
            <w:pPr>
              <w:jc w:val="center"/>
              <w:rPr>
                <w:rFonts w:ascii="仿宋_GB2312" w:hAnsi="黑体" w:eastAsia="仿宋_GB2312" w:cs="黑体"/>
                <w:color w:val="000000" w:themeColor="text1"/>
                <w:sz w:val="18"/>
                <w:szCs w:val="18"/>
              </w:rPr>
            </w:pPr>
          </w:p>
        </w:tc>
        <w:tc>
          <w:tcPr>
            <w:tcW w:w="1406" w:type="dxa"/>
            <w:vAlign w:val="center"/>
          </w:tcPr>
          <w:p w14:paraId="3FD0BBC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D678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182" w:type="dxa"/>
            <w:vAlign w:val="center"/>
          </w:tcPr>
          <w:p w14:paraId="5EEE700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vAlign w:val="center"/>
          </w:tcPr>
          <w:p w14:paraId="38D17BAF">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9136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182" w:type="dxa"/>
            <w:vAlign w:val="center"/>
          </w:tcPr>
          <w:p w14:paraId="71AD9A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vAlign w:val="center"/>
          </w:tcPr>
          <w:p w14:paraId="443604C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2E1F25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C518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82" w:type="dxa"/>
            <w:vAlign w:val="center"/>
          </w:tcPr>
          <w:p w14:paraId="33F6AD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vAlign w:val="center"/>
          </w:tcPr>
          <w:p w14:paraId="1BBF277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237E68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BBB2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82" w:type="dxa"/>
            <w:vAlign w:val="center"/>
          </w:tcPr>
          <w:p w14:paraId="06C180A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vAlign w:val="center"/>
          </w:tcPr>
          <w:p w14:paraId="5536D6E5">
            <w:pPr>
              <w:widowControl/>
              <w:jc w:val="left"/>
              <w:textAlignment w:val="center"/>
              <w:rPr>
                <w:rFonts w:ascii="黑体" w:eastAsia="黑体" w:cs="黑体"/>
                <w:color w:val="000000" w:themeColor="text1"/>
                <w:kern w:val="0"/>
                <w:sz w:val="18"/>
                <w:szCs w:val="18"/>
              </w:rPr>
            </w:pPr>
          </w:p>
        </w:tc>
      </w:tr>
    </w:tbl>
    <w:p w14:paraId="75A1B851">
      <w:pPr>
        <w:rPr>
          <w:color w:val="000000" w:themeColor="text1"/>
        </w:rPr>
      </w:pPr>
    </w:p>
    <w:p w14:paraId="6B45C60F">
      <w:pPr>
        <w:snapToGrid w:val="0"/>
        <w:spacing w:line="240" w:lineRule="atLeast"/>
        <w:rPr>
          <w:color w:val="000000" w:themeColor="text1"/>
          <w:sz w:val="18"/>
          <w:szCs w:val="18"/>
        </w:rPr>
      </w:pPr>
    </w:p>
    <w:p w14:paraId="679CC657">
      <w:pPr>
        <w:snapToGrid w:val="0"/>
        <w:spacing w:line="240" w:lineRule="atLeast"/>
        <w:rPr>
          <w:color w:val="000000" w:themeColor="text1"/>
          <w:sz w:val="18"/>
          <w:szCs w:val="18"/>
        </w:rPr>
      </w:pPr>
    </w:p>
    <w:p w14:paraId="451DA14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82"/>
        <w:gridCol w:w="1331"/>
        <w:gridCol w:w="641"/>
        <w:gridCol w:w="1691"/>
        <w:gridCol w:w="1963"/>
        <w:gridCol w:w="992"/>
        <w:gridCol w:w="567"/>
        <w:gridCol w:w="525"/>
        <w:gridCol w:w="1406"/>
      </w:tblGrid>
      <w:tr w14:paraId="20A4F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82" w:type="dxa"/>
            <w:vAlign w:val="center"/>
          </w:tcPr>
          <w:p w14:paraId="4594C1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79FF6D81">
            <w:pPr>
              <w:jc w:val="center"/>
              <w:rPr>
                <w:rFonts w:ascii="黑体" w:eastAsia="黑体" w:cs="黑体"/>
                <w:b/>
                <w:bCs/>
                <w:color w:val="000000" w:themeColor="text1"/>
                <w:szCs w:val="21"/>
              </w:rPr>
            </w:pPr>
            <w:r>
              <w:rPr>
                <w:rFonts w:ascii="黑体" w:eastAsia="黑体" w:cs="黑体"/>
                <w:b/>
                <w:bCs/>
                <w:color w:val="000000" w:themeColor="text1"/>
                <w:szCs w:val="21"/>
              </w:rPr>
              <w:t>3</w:t>
            </w:r>
          </w:p>
        </w:tc>
        <w:tc>
          <w:tcPr>
            <w:tcW w:w="1691" w:type="dxa"/>
            <w:vAlign w:val="center"/>
          </w:tcPr>
          <w:p w14:paraId="0141A15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EDCC0D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C032D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039AF7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77F9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62D7D7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vAlign w:val="center"/>
          </w:tcPr>
          <w:p w14:paraId="38ABBF4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对从事挖砂、爆破及其他危及公路、公路桥梁等安全的作业行为的行政处罚</w:t>
            </w:r>
          </w:p>
        </w:tc>
      </w:tr>
      <w:tr w14:paraId="72C8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5AA4829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vAlign w:val="center"/>
          </w:tcPr>
          <w:p w14:paraId="1C876C1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B2D5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02" w:hRule="atLeast"/>
          <w:jc w:val="center"/>
        </w:trPr>
        <w:tc>
          <w:tcPr>
            <w:tcW w:w="1182" w:type="dxa"/>
            <w:vAlign w:val="center"/>
          </w:tcPr>
          <w:p w14:paraId="1B3CBB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vAlign w:val="center"/>
          </w:tcPr>
          <w:p w14:paraId="7A05D3C8">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日第五次修改）第七十六条第三项有下列违法行为之一的，由交通主管部门责令停止违法行为，可以处三万元以下的罚款：（三）违反本法第四十七条规定，从事危及公路安全的作业的。</w:t>
            </w:r>
          </w:p>
          <w:p w14:paraId="6DBA4CCA">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5B7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82" w:type="dxa"/>
            <w:vMerge w:val="restart"/>
            <w:vAlign w:val="center"/>
          </w:tcPr>
          <w:p w14:paraId="767C55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vAlign w:val="center"/>
          </w:tcPr>
          <w:p w14:paraId="2D32DD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354175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1A534FE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35277A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4541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182" w:type="dxa"/>
            <w:vMerge w:val="continue"/>
            <w:vAlign w:val="center"/>
          </w:tcPr>
          <w:p w14:paraId="48DC44DE">
            <w:pPr>
              <w:rPr>
                <w:color w:val="000000" w:themeColor="text1"/>
              </w:rPr>
            </w:pPr>
          </w:p>
        </w:tc>
        <w:tc>
          <w:tcPr>
            <w:tcW w:w="1331" w:type="dxa"/>
            <w:vAlign w:val="center"/>
          </w:tcPr>
          <w:p w14:paraId="12DDF6F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vAlign w:val="center"/>
          </w:tcPr>
          <w:p w14:paraId="44D313D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vAlign w:val="center"/>
          </w:tcPr>
          <w:p w14:paraId="406726EF">
            <w:pPr>
              <w:jc w:val="center"/>
              <w:rPr>
                <w:rFonts w:ascii="仿宋" w:hAnsi="仿宋" w:eastAsia="仿宋" w:cs="黑体"/>
                <w:color w:val="000000" w:themeColor="text1"/>
                <w:sz w:val="18"/>
                <w:szCs w:val="18"/>
              </w:rPr>
            </w:pPr>
          </w:p>
        </w:tc>
        <w:tc>
          <w:tcPr>
            <w:tcW w:w="1406" w:type="dxa"/>
            <w:vAlign w:val="center"/>
          </w:tcPr>
          <w:p w14:paraId="2D84A74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46DC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5C7C6989">
            <w:pPr>
              <w:rPr>
                <w:color w:val="000000" w:themeColor="text1"/>
              </w:rPr>
            </w:pPr>
          </w:p>
        </w:tc>
        <w:tc>
          <w:tcPr>
            <w:tcW w:w="1331" w:type="dxa"/>
            <w:vAlign w:val="center"/>
          </w:tcPr>
          <w:p w14:paraId="76F058D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vAlign w:val="center"/>
          </w:tcPr>
          <w:p w14:paraId="642ADA6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vAlign w:val="center"/>
          </w:tcPr>
          <w:p w14:paraId="4E108BD9">
            <w:pPr>
              <w:jc w:val="center"/>
              <w:rPr>
                <w:rFonts w:ascii="仿宋" w:hAnsi="仿宋" w:eastAsia="仿宋" w:cs="黑体"/>
                <w:color w:val="000000" w:themeColor="text1"/>
                <w:sz w:val="18"/>
                <w:szCs w:val="18"/>
              </w:rPr>
            </w:pPr>
          </w:p>
        </w:tc>
        <w:tc>
          <w:tcPr>
            <w:tcW w:w="1406" w:type="dxa"/>
            <w:vAlign w:val="center"/>
          </w:tcPr>
          <w:p w14:paraId="6B85611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D00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308CF943">
            <w:pPr>
              <w:rPr>
                <w:color w:val="000000" w:themeColor="text1"/>
              </w:rPr>
            </w:pPr>
          </w:p>
        </w:tc>
        <w:tc>
          <w:tcPr>
            <w:tcW w:w="1331" w:type="dxa"/>
            <w:vAlign w:val="center"/>
          </w:tcPr>
          <w:p w14:paraId="4E7C3D6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vAlign w:val="center"/>
          </w:tcPr>
          <w:p w14:paraId="07539FA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vAlign w:val="center"/>
          </w:tcPr>
          <w:p w14:paraId="281F87D9">
            <w:pPr>
              <w:jc w:val="center"/>
              <w:rPr>
                <w:rFonts w:ascii="仿宋" w:hAnsi="仿宋" w:eastAsia="仿宋" w:cs="黑体"/>
                <w:color w:val="000000" w:themeColor="text1"/>
                <w:sz w:val="18"/>
                <w:szCs w:val="18"/>
              </w:rPr>
            </w:pPr>
          </w:p>
        </w:tc>
        <w:tc>
          <w:tcPr>
            <w:tcW w:w="1406" w:type="dxa"/>
            <w:vAlign w:val="center"/>
          </w:tcPr>
          <w:p w14:paraId="763DD20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7C35D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5EE0E70D">
            <w:pPr>
              <w:rPr>
                <w:color w:val="000000" w:themeColor="text1"/>
              </w:rPr>
            </w:pPr>
          </w:p>
        </w:tc>
        <w:tc>
          <w:tcPr>
            <w:tcW w:w="1331" w:type="dxa"/>
            <w:vAlign w:val="center"/>
          </w:tcPr>
          <w:p w14:paraId="3BD1628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vAlign w:val="center"/>
          </w:tcPr>
          <w:p w14:paraId="473B426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vAlign w:val="center"/>
          </w:tcPr>
          <w:p w14:paraId="5B965799">
            <w:pPr>
              <w:jc w:val="center"/>
              <w:rPr>
                <w:rFonts w:ascii="仿宋" w:hAnsi="仿宋" w:eastAsia="仿宋" w:cs="黑体"/>
                <w:color w:val="000000" w:themeColor="text1"/>
                <w:sz w:val="18"/>
                <w:szCs w:val="18"/>
              </w:rPr>
            </w:pPr>
          </w:p>
        </w:tc>
        <w:tc>
          <w:tcPr>
            <w:tcW w:w="1406" w:type="dxa"/>
            <w:vAlign w:val="center"/>
          </w:tcPr>
          <w:p w14:paraId="76BF88B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E7B2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00CA4232">
            <w:pPr>
              <w:rPr>
                <w:color w:val="000000" w:themeColor="text1"/>
              </w:rPr>
            </w:pPr>
          </w:p>
        </w:tc>
        <w:tc>
          <w:tcPr>
            <w:tcW w:w="1331" w:type="dxa"/>
            <w:vAlign w:val="center"/>
          </w:tcPr>
          <w:p w14:paraId="2308002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vAlign w:val="center"/>
          </w:tcPr>
          <w:p w14:paraId="2F7B020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vAlign w:val="center"/>
          </w:tcPr>
          <w:p w14:paraId="6E6D5E3C">
            <w:pPr>
              <w:jc w:val="center"/>
              <w:rPr>
                <w:rFonts w:ascii="仿宋" w:hAnsi="仿宋" w:eastAsia="仿宋" w:cs="黑体"/>
                <w:color w:val="000000" w:themeColor="text1"/>
                <w:sz w:val="18"/>
                <w:szCs w:val="18"/>
              </w:rPr>
            </w:pPr>
          </w:p>
        </w:tc>
        <w:tc>
          <w:tcPr>
            <w:tcW w:w="1406" w:type="dxa"/>
            <w:vAlign w:val="center"/>
          </w:tcPr>
          <w:p w14:paraId="1DD3165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A301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182" w:type="dxa"/>
            <w:vAlign w:val="center"/>
          </w:tcPr>
          <w:p w14:paraId="0A1A867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vAlign w:val="center"/>
          </w:tcPr>
          <w:p w14:paraId="2C42743C">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0764B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182" w:type="dxa"/>
            <w:vAlign w:val="center"/>
          </w:tcPr>
          <w:p w14:paraId="75AA8E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vAlign w:val="center"/>
          </w:tcPr>
          <w:p w14:paraId="4B1D3E3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499B20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B242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82" w:type="dxa"/>
            <w:vAlign w:val="center"/>
          </w:tcPr>
          <w:p w14:paraId="2686C8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vAlign w:val="center"/>
          </w:tcPr>
          <w:p w14:paraId="32539E3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335147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518C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82" w:type="dxa"/>
            <w:vAlign w:val="center"/>
          </w:tcPr>
          <w:p w14:paraId="6695883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vAlign w:val="center"/>
          </w:tcPr>
          <w:p w14:paraId="7677B820">
            <w:pPr>
              <w:widowControl/>
              <w:jc w:val="left"/>
              <w:textAlignment w:val="center"/>
              <w:rPr>
                <w:rFonts w:ascii="黑体" w:eastAsia="黑体" w:cs="黑体"/>
                <w:color w:val="000000" w:themeColor="text1"/>
                <w:kern w:val="0"/>
                <w:sz w:val="18"/>
                <w:szCs w:val="18"/>
              </w:rPr>
            </w:pPr>
          </w:p>
        </w:tc>
      </w:tr>
    </w:tbl>
    <w:p w14:paraId="73F7EF3C">
      <w:pPr>
        <w:rPr>
          <w:color w:val="000000" w:themeColor="text1"/>
        </w:rPr>
      </w:pPr>
    </w:p>
    <w:p w14:paraId="2323F605">
      <w:pPr>
        <w:snapToGrid w:val="0"/>
        <w:spacing w:line="240" w:lineRule="atLeast"/>
        <w:rPr>
          <w:color w:val="000000" w:themeColor="text1"/>
          <w:sz w:val="18"/>
          <w:szCs w:val="18"/>
        </w:rPr>
      </w:pPr>
    </w:p>
    <w:p w14:paraId="313B4A6C">
      <w:pPr>
        <w:widowControl/>
        <w:jc w:val="center"/>
        <w:textAlignment w:val="center"/>
        <w:rPr>
          <w:rFonts w:ascii="方正小标宋简体" w:eastAsia="方正小标宋简体" w:cs="方正小标宋简体"/>
          <w:color w:val="000000" w:themeColor="text1"/>
          <w:kern w:val="0"/>
          <w:sz w:val="44"/>
          <w:szCs w:val="44"/>
        </w:rPr>
      </w:pPr>
    </w:p>
    <w:p w14:paraId="7B814FE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82"/>
        <w:gridCol w:w="1331"/>
        <w:gridCol w:w="641"/>
        <w:gridCol w:w="1691"/>
        <w:gridCol w:w="1963"/>
        <w:gridCol w:w="992"/>
        <w:gridCol w:w="567"/>
        <w:gridCol w:w="525"/>
        <w:gridCol w:w="1406"/>
      </w:tblGrid>
      <w:tr w14:paraId="39859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82" w:type="dxa"/>
            <w:vAlign w:val="center"/>
          </w:tcPr>
          <w:p w14:paraId="336E6A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0476017F">
            <w:pPr>
              <w:jc w:val="center"/>
              <w:rPr>
                <w:rFonts w:ascii="黑体" w:eastAsia="黑体" w:cs="黑体"/>
                <w:b/>
                <w:bCs/>
                <w:color w:val="000000" w:themeColor="text1"/>
                <w:szCs w:val="21"/>
              </w:rPr>
            </w:pPr>
            <w:r>
              <w:rPr>
                <w:rFonts w:ascii="黑体" w:eastAsia="黑体" w:cs="黑体"/>
                <w:b/>
                <w:bCs/>
                <w:color w:val="000000" w:themeColor="text1"/>
                <w:szCs w:val="21"/>
              </w:rPr>
              <w:t>4</w:t>
            </w:r>
          </w:p>
        </w:tc>
        <w:tc>
          <w:tcPr>
            <w:tcW w:w="1691" w:type="dxa"/>
            <w:vAlign w:val="center"/>
          </w:tcPr>
          <w:p w14:paraId="7438430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682C14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81CAA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799986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821F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756999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vAlign w:val="center"/>
          </w:tcPr>
          <w:p w14:paraId="50A1168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对铁轮车、履带车和其他可能损害路面的机具擅自在公路上行驶行为的行政处罚</w:t>
            </w:r>
          </w:p>
        </w:tc>
      </w:tr>
      <w:tr w14:paraId="53A25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2" w:type="dxa"/>
            <w:vAlign w:val="center"/>
          </w:tcPr>
          <w:p w14:paraId="25E6A8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vAlign w:val="center"/>
          </w:tcPr>
          <w:p w14:paraId="0430DE7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1F6E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02" w:hRule="atLeast"/>
          <w:jc w:val="center"/>
        </w:trPr>
        <w:tc>
          <w:tcPr>
            <w:tcW w:w="1182" w:type="dxa"/>
            <w:vAlign w:val="center"/>
          </w:tcPr>
          <w:p w14:paraId="56EE57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vAlign w:val="center"/>
          </w:tcPr>
          <w:p w14:paraId="5A225366">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六条第（四）项有下列违法行为之一的，由交通主管部门责令停止违法行为，可以处三万元以下的罚款：（四）违反本法第四十八条规定，铁轮车、履带车和其他可能损害路面的机具擅自在公路上行驶的。</w:t>
            </w:r>
          </w:p>
          <w:p w14:paraId="7D8B6CBD">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2B7B4EBC">
            <w:pPr>
              <w:spacing w:line="240" w:lineRule="exact"/>
              <w:rPr>
                <w:rFonts w:ascii="仿宋_GB2312" w:eastAsia="仿宋_GB2312" w:cs="黑体"/>
                <w:b/>
                <w:bCs/>
                <w:color w:val="000000" w:themeColor="text1"/>
                <w:szCs w:val="21"/>
              </w:rPr>
            </w:pPr>
          </w:p>
        </w:tc>
      </w:tr>
      <w:tr w14:paraId="1281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82" w:type="dxa"/>
            <w:vMerge w:val="restart"/>
            <w:vAlign w:val="center"/>
          </w:tcPr>
          <w:p w14:paraId="72057E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vAlign w:val="center"/>
          </w:tcPr>
          <w:p w14:paraId="33BE60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66FD53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7661CA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43047C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8306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182" w:type="dxa"/>
            <w:vMerge w:val="continue"/>
            <w:vAlign w:val="center"/>
          </w:tcPr>
          <w:p w14:paraId="46801A1B">
            <w:pPr>
              <w:rPr>
                <w:color w:val="000000" w:themeColor="text1"/>
              </w:rPr>
            </w:pPr>
          </w:p>
        </w:tc>
        <w:tc>
          <w:tcPr>
            <w:tcW w:w="1331" w:type="dxa"/>
            <w:vAlign w:val="center"/>
          </w:tcPr>
          <w:p w14:paraId="65A2D55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vAlign w:val="center"/>
          </w:tcPr>
          <w:p w14:paraId="18681B0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vAlign w:val="center"/>
          </w:tcPr>
          <w:p w14:paraId="3A9D833A">
            <w:pPr>
              <w:jc w:val="center"/>
              <w:rPr>
                <w:rFonts w:ascii="仿宋" w:hAnsi="仿宋" w:eastAsia="仿宋" w:cs="黑体"/>
                <w:color w:val="000000" w:themeColor="text1"/>
                <w:sz w:val="18"/>
                <w:szCs w:val="18"/>
              </w:rPr>
            </w:pPr>
          </w:p>
        </w:tc>
        <w:tc>
          <w:tcPr>
            <w:tcW w:w="1406" w:type="dxa"/>
            <w:vAlign w:val="center"/>
          </w:tcPr>
          <w:p w14:paraId="00B7510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3616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52634E48">
            <w:pPr>
              <w:rPr>
                <w:color w:val="000000" w:themeColor="text1"/>
              </w:rPr>
            </w:pPr>
          </w:p>
        </w:tc>
        <w:tc>
          <w:tcPr>
            <w:tcW w:w="1331" w:type="dxa"/>
            <w:vAlign w:val="center"/>
          </w:tcPr>
          <w:p w14:paraId="501B754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vAlign w:val="center"/>
          </w:tcPr>
          <w:p w14:paraId="3F20EEF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vAlign w:val="center"/>
          </w:tcPr>
          <w:p w14:paraId="09E596F9">
            <w:pPr>
              <w:jc w:val="center"/>
              <w:rPr>
                <w:rFonts w:ascii="仿宋" w:hAnsi="仿宋" w:eastAsia="仿宋" w:cs="黑体"/>
                <w:color w:val="000000" w:themeColor="text1"/>
                <w:sz w:val="18"/>
                <w:szCs w:val="18"/>
              </w:rPr>
            </w:pPr>
          </w:p>
        </w:tc>
        <w:tc>
          <w:tcPr>
            <w:tcW w:w="1406" w:type="dxa"/>
            <w:vAlign w:val="center"/>
          </w:tcPr>
          <w:p w14:paraId="1BC3C05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AE5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451AD17A">
            <w:pPr>
              <w:rPr>
                <w:color w:val="000000" w:themeColor="text1"/>
              </w:rPr>
            </w:pPr>
          </w:p>
        </w:tc>
        <w:tc>
          <w:tcPr>
            <w:tcW w:w="1331" w:type="dxa"/>
            <w:vAlign w:val="center"/>
          </w:tcPr>
          <w:p w14:paraId="0FD3E67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vAlign w:val="center"/>
          </w:tcPr>
          <w:p w14:paraId="7E7BCAC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vAlign w:val="center"/>
          </w:tcPr>
          <w:p w14:paraId="2FC63096">
            <w:pPr>
              <w:jc w:val="center"/>
              <w:rPr>
                <w:rFonts w:ascii="仿宋" w:hAnsi="仿宋" w:eastAsia="仿宋" w:cs="黑体"/>
                <w:color w:val="000000" w:themeColor="text1"/>
                <w:sz w:val="18"/>
                <w:szCs w:val="18"/>
              </w:rPr>
            </w:pPr>
          </w:p>
        </w:tc>
        <w:tc>
          <w:tcPr>
            <w:tcW w:w="1406" w:type="dxa"/>
            <w:vAlign w:val="center"/>
          </w:tcPr>
          <w:p w14:paraId="732B5C7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1403B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182" w:type="dxa"/>
            <w:vMerge w:val="continue"/>
            <w:vAlign w:val="center"/>
          </w:tcPr>
          <w:p w14:paraId="0768E3F4">
            <w:pPr>
              <w:rPr>
                <w:color w:val="000000" w:themeColor="text1"/>
              </w:rPr>
            </w:pPr>
          </w:p>
        </w:tc>
        <w:tc>
          <w:tcPr>
            <w:tcW w:w="1331" w:type="dxa"/>
            <w:vAlign w:val="center"/>
          </w:tcPr>
          <w:p w14:paraId="5F096B1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vAlign w:val="center"/>
          </w:tcPr>
          <w:p w14:paraId="32B0EAF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vAlign w:val="center"/>
          </w:tcPr>
          <w:p w14:paraId="6B929AAF">
            <w:pPr>
              <w:jc w:val="center"/>
              <w:rPr>
                <w:rFonts w:ascii="仿宋" w:hAnsi="仿宋" w:eastAsia="仿宋" w:cs="黑体"/>
                <w:color w:val="000000" w:themeColor="text1"/>
                <w:sz w:val="18"/>
                <w:szCs w:val="18"/>
              </w:rPr>
            </w:pPr>
          </w:p>
        </w:tc>
        <w:tc>
          <w:tcPr>
            <w:tcW w:w="1406" w:type="dxa"/>
            <w:vAlign w:val="center"/>
          </w:tcPr>
          <w:p w14:paraId="5440789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6BB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2" w:type="dxa"/>
            <w:vMerge w:val="continue"/>
            <w:vAlign w:val="center"/>
          </w:tcPr>
          <w:p w14:paraId="29473181">
            <w:pPr>
              <w:rPr>
                <w:color w:val="000000" w:themeColor="text1"/>
              </w:rPr>
            </w:pPr>
          </w:p>
        </w:tc>
        <w:tc>
          <w:tcPr>
            <w:tcW w:w="1331" w:type="dxa"/>
            <w:vAlign w:val="center"/>
          </w:tcPr>
          <w:p w14:paraId="5DBF82D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vAlign w:val="center"/>
          </w:tcPr>
          <w:p w14:paraId="55FFEB3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vAlign w:val="center"/>
          </w:tcPr>
          <w:p w14:paraId="50623080">
            <w:pPr>
              <w:jc w:val="center"/>
              <w:rPr>
                <w:rFonts w:ascii="仿宋" w:hAnsi="仿宋" w:eastAsia="仿宋" w:cs="黑体"/>
                <w:color w:val="000000" w:themeColor="text1"/>
                <w:sz w:val="18"/>
                <w:szCs w:val="18"/>
              </w:rPr>
            </w:pPr>
          </w:p>
        </w:tc>
        <w:tc>
          <w:tcPr>
            <w:tcW w:w="1406" w:type="dxa"/>
            <w:vAlign w:val="center"/>
          </w:tcPr>
          <w:p w14:paraId="7A98B9C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E7F9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182" w:type="dxa"/>
            <w:vAlign w:val="center"/>
          </w:tcPr>
          <w:p w14:paraId="2A7AC41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vAlign w:val="center"/>
          </w:tcPr>
          <w:p w14:paraId="19044311">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487BD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182" w:type="dxa"/>
            <w:vAlign w:val="center"/>
          </w:tcPr>
          <w:p w14:paraId="4151AF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vAlign w:val="center"/>
          </w:tcPr>
          <w:p w14:paraId="13979A5B">
            <w:pPr>
              <w:widowControl/>
              <w:spacing w:line="240" w:lineRule="exact"/>
              <w:ind w:left="31680" w:hanging="180" w:hangingChars="100"/>
              <w:jc w:val="left"/>
              <w:textAlignment w:val="center"/>
              <w:rPr>
                <w:rFonts w:ascii="仿宋" w:hAnsi="仿宋" w:eastAsia="仿宋" w:cs="黑体"/>
                <w:color w:val="000000" w:themeColor="text1"/>
                <w:kern w:val="0"/>
                <w:sz w:val="18"/>
                <w:szCs w:val="18"/>
              </w:rPr>
            </w:pPr>
            <w:r>
              <w:rPr>
                <w:rFonts w:ascii="仿宋" w:hAnsi="仿宋" w:eastAsia="仿宋" w:cs="黑体"/>
                <w:color w:val="000000" w:themeColor="text1"/>
                <w:kern w:val="0"/>
                <w:sz w:val="18"/>
                <w:szCs w:val="18"/>
              </w:rPr>
              <w:t>1.</w:t>
            </w:r>
            <w:r>
              <w:rPr>
                <w:rFonts w:hint="eastAsia" w:ascii="仿宋" w:hAnsi="仿宋" w:eastAsia="仿宋" w:cs="黑体"/>
                <w:color w:val="000000" w:themeColor="text1"/>
                <w:kern w:val="0"/>
                <w:sz w:val="18"/>
                <w:szCs w:val="18"/>
              </w:rPr>
              <w:t>业务咨询：</w:t>
            </w:r>
            <w:r>
              <w:rPr>
                <w:rFonts w:ascii="仿宋" w:hAnsi="仿宋" w:eastAsia="仿宋" w:cs="黑体"/>
                <w:color w:val="000000" w:themeColor="text1"/>
                <w:kern w:val="0"/>
                <w:sz w:val="18"/>
                <w:szCs w:val="18"/>
              </w:rPr>
              <w:t>6181162        2.</w:t>
            </w:r>
            <w:r>
              <w:rPr>
                <w:rFonts w:hint="eastAsia" w:ascii="仿宋" w:hAnsi="仿宋" w:eastAsia="仿宋" w:cs="黑体"/>
                <w:color w:val="000000" w:themeColor="text1"/>
                <w:kern w:val="0"/>
                <w:sz w:val="18"/>
                <w:szCs w:val="18"/>
              </w:rPr>
              <w:t>投诉举报电话：</w:t>
            </w:r>
            <w:r>
              <w:rPr>
                <w:rFonts w:ascii="仿宋" w:hAnsi="仿宋" w:eastAsia="仿宋" w:cs="黑体"/>
                <w:color w:val="000000" w:themeColor="text1"/>
                <w:kern w:val="0"/>
                <w:sz w:val="18"/>
                <w:szCs w:val="18"/>
              </w:rPr>
              <w:t>6682452</w:t>
            </w:r>
          </w:p>
          <w:p w14:paraId="4DE13A2A">
            <w:pPr>
              <w:widowControl/>
              <w:spacing w:line="240" w:lineRule="exact"/>
              <w:jc w:val="left"/>
              <w:textAlignment w:val="center"/>
              <w:rPr>
                <w:rFonts w:ascii="仿宋" w:hAnsi="仿宋" w:eastAsia="仿宋" w:cs="黑体"/>
                <w:color w:val="000000" w:themeColor="text1"/>
                <w:sz w:val="18"/>
                <w:szCs w:val="18"/>
              </w:rPr>
            </w:pPr>
            <w:r>
              <w:rPr>
                <w:rFonts w:ascii="仿宋" w:hAnsi="仿宋" w:eastAsia="仿宋" w:cs="黑体"/>
                <w:color w:val="000000" w:themeColor="text1"/>
                <w:kern w:val="0"/>
                <w:sz w:val="18"/>
                <w:szCs w:val="18"/>
              </w:rPr>
              <w:t>3.</w:t>
            </w:r>
            <w:r>
              <w:rPr>
                <w:rFonts w:hint="eastAsia" w:ascii="仿宋" w:hAnsi="仿宋" w:eastAsia="仿宋" w:cs="黑体"/>
                <w:color w:val="000000" w:themeColor="text1"/>
                <w:kern w:val="0"/>
                <w:sz w:val="18"/>
                <w:szCs w:val="18"/>
              </w:rPr>
              <w:t>纪检监察投诉：抚宁区交通运输局纪检监察办公室，电话：</w:t>
            </w:r>
            <w:r>
              <w:rPr>
                <w:rFonts w:ascii="仿宋" w:hAnsi="仿宋" w:eastAsia="仿宋" w:cs="黑体"/>
                <w:color w:val="000000" w:themeColor="text1"/>
                <w:kern w:val="0"/>
                <w:sz w:val="18"/>
                <w:szCs w:val="18"/>
              </w:rPr>
              <w:t>6681263</w:t>
            </w:r>
          </w:p>
        </w:tc>
      </w:tr>
      <w:tr w14:paraId="7A3C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82" w:type="dxa"/>
            <w:vAlign w:val="center"/>
          </w:tcPr>
          <w:p w14:paraId="6B05B2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vAlign w:val="center"/>
          </w:tcPr>
          <w:p w14:paraId="796D0183">
            <w:pPr>
              <w:widowControl/>
              <w:jc w:val="left"/>
              <w:textAlignment w:val="center"/>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．不服处罚决定自知道该具体行政行为之日起六十日内向抚宁区人民政府申请行政复议。</w:t>
            </w:r>
          </w:p>
          <w:p w14:paraId="20E75216">
            <w:pPr>
              <w:widowControl/>
              <w:jc w:val="left"/>
              <w:textAlignment w:val="center"/>
              <w:rPr>
                <w:rFonts w:ascii="仿宋" w:hAnsi="仿宋" w:eastAsia="仿宋" w:cs="黑体"/>
                <w:b/>
                <w:bCs/>
                <w:color w:val="000000" w:themeColor="text1"/>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．不服处罚决定应当自知道或者应当知道作出行政行为之日起六个月内提出向抚宁区人民法院提起行政诉讼。</w:t>
            </w:r>
          </w:p>
        </w:tc>
      </w:tr>
      <w:tr w14:paraId="01892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7" w:hRule="atLeast"/>
          <w:jc w:val="center"/>
        </w:trPr>
        <w:tc>
          <w:tcPr>
            <w:tcW w:w="1182" w:type="dxa"/>
            <w:vAlign w:val="center"/>
          </w:tcPr>
          <w:p w14:paraId="7D6662A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vAlign w:val="center"/>
          </w:tcPr>
          <w:p w14:paraId="324295BD">
            <w:pPr>
              <w:widowControl/>
              <w:jc w:val="left"/>
              <w:textAlignment w:val="center"/>
              <w:rPr>
                <w:rFonts w:ascii="黑体" w:eastAsia="黑体" w:cs="黑体"/>
                <w:color w:val="000000" w:themeColor="text1"/>
                <w:kern w:val="0"/>
                <w:sz w:val="18"/>
                <w:szCs w:val="18"/>
              </w:rPr>
            </w:pPr>
          </w:p>
        </w:tc>
      </w:tr>
    </w:tbl>
    <w:p w14:paraId="29415DB7">
      <w:pPr>
        <w:snapToGrid w:val="0"/>
        <w:spacing w:line="240" w:lineRule="atLeast"/>
        <w:rPr>
          <w:color w:val="000000" w:themeColor="text1"/>
          <w:sz w:val="18"/>
          <w:szCs w:val="18"/>
        </w:rPr>
      </w:pPr>
    </w:p>
    <w:p w14:paraId="00E367F6">
      <w:pPr>
        <w:snapToGrid w:val="0"/>
        <w:spacing w:line="240" w:lineRule="atLeast"/>
        <w:rPr>
          <w:color w:val="000000" w:themeColor="text1"/>
          <w:sz w:val="18"/>
          <w:szCs w:val="18"/>
        </w:rPr>
      </w:pPr>
    </w:p>
    <w:p w14:paraId="15872D87">
      <w:pPr>
        <w:snapToGrid w:val="0"/>
        <w:spacing w:line="240" w:lineRule="atLeast"/>
        <w:rPr>
          <w:color w:val="000000" w:themeColor="text1"/>
          <w:sz w:val="18"/>
          <w:szCs w:val="18"/>
        </w:rPr>
      </w:pPr>
    </w:p>
    <w:p w14:paraId="0AB5A32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D9C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DC10C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4F04135">
            <w:pPr>
              <w:jc w:val="center"/>
              <w:rPr>
                <w:rFonts w:ascii="黑体" w:eastAsia="黑体" w:cs="黑体"/>
                <w:b/>
                <w:bCs/>
                <w:color w:val="000000" w:themeColor="text1"/>
                <w:szCs w:val="21"/>
              </w:rPr>
            </w:pPr>
            <w:r>
              <w:rPr>
                <w:rFonts w:ascii="黑体" w:eastAsia="黑体" w:cs="黑体"/>
                <w:b/>
                <w:bCs/>
                <w:color w:val="000000" w:themeColor="text1"/>
                <w:szCs w:val="21"/>
              </w:rPr>
              <w:t>5</w:t>
            </w:r>
          </w:p>
        </w:tc>
        <w:tc>
          <w:tcPr>
            <w:tcW w:w="1691" w:type="dxa"/>
            <w:vAlign w:val="center"/>
          </w:tcPr>
          <w:p w14:paraId="32F8D52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CC414B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92A3F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1C7258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4243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6CEB1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6E284A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对车货总体的外廓尺寸、轴荷或者总质量超过公路、公路桥梁、公路隧道、汽车渡船限定标准的车辆使用汽车渡船或在公路上擅自行驶行为的行政处罚</w:t>
            </w:r>
          </w:p>
        </w:tc>
      </w:tr>
      <w:tr w14:paraId="249E1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847098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8A9412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7B5F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02" w:hRule="atLeast"/>
          <w:jc w:val="center"/>
        </w:trPr>
        <w:tc>
          <w:tcPr>
            <w:tcW w:w="943" w:type="dxa"/>
            <w:vAlign w:val="center"/>
          </w:tcPr>
          <w:p w14:paraId="327C3B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8974988">
            <w:pPr>
              <w:widowControl/>
              <w:spacing w:line="240" w:lineRule="exact"/>
              <w:jc w:val="left"/>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3785D7A4">
            <w:pPr>
              <w:widowControl/>
              <w:spacing w:line="240" w:lineRule="exact"/>
              <w:jc w:val="left"/>
              <w:textAlignment w:val="center"/>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《中华人民共和国公路法》（国家主席令【</w:t>
            </w:r>
            <w:r>
              <w:rPr>
                <w:rFonts w:ascii="仿宋" w:hAnsi="仿宋" w:eastAsia="仿宋" w:cs="仿宋_GB2312"/>
                <w:color w:val="000000" w:themeColor="text1"/>
                <w:kern w:val="0"/>
                <w:sz w:val="15"/>
                <w:szCs w:val="15"/>
              </w:rPr>
              <w:t>97</w:t>
            </w:r>
            <w:r>
              <w:rPr>
                <w:rFonts w:hint="eastAsia" w:ascii="仿宋" w:hAnsi="仿宋" w:eastAsia="仿宋" w:cs="仿宋_GB2312"/>
                <w:color w:val="000000" w:themeColor="text1"/>
                <w:kern w:val="0"/>
                <w:sz w:val="15"/>
                <w:szCs w:val="15"/>
              </w:rPr>
              <w:t>】第</w:t>
            </w:r>
            <w:r>
              <w:rPr>
                <w:rFonts w:ascii="仿宋" w:hAnsi="仿宋" w:eastAsia="仿宋" w:cs="仿宋_GB2312"/>
                <w:color w:val="000000" w:themeColor="text1"/>
                <w:kern w:val="0"/>
                <w:sz w:val="15"/>
                <w:szCs w:val="15"/>
              </w:rPr>
              <w:t>86</w:t>
            </w:r>
            <w:r>
              <w:rPr>
                <w:rFonts w:hint="eastAsia" w:ascii="仿宋" w:hAnsi="仿宋" w:eastAsia="仿宋" w:cs="仿宋_GB2312"/>
                <w:color w:val="000000" w:themeColor="text1"/>
                <w:kern w:val="0"/>
                <w:sz w:val="15"/>
                <w:szCs w:val="15"/>
              </w:rPr>
              <w:t>号，</w:t>
            </w:r>
            <w:r>
              <w:rPr>
                <w:rFonts w:ascii="仿宋" w:hAnsi="仿宋" w:eastAsia="仿宋" w:cs="仿宋_GB2312"/>
                <w:color w:val="000000" w:themeColor="text1"/>
                <w:kern w:val="0"/>
                <w:sz w:val="15"/>
                <w:szCs w:val="15"/>
              </w:rPr>
              <w:t>2017</w:t>
            </w:r>
            <w:r>
              <w:rPr>
                <w:rFonts w:hint="eastAsia" w:ascii="仿宋" w:hAnsi="仿宋" w:eastAsia="仿宋" w:cs="仿宋_GB2312"/>
                <w:color w:val="000000" w:themeColor="text1"/>
                <w:kern w:val="0"/>
                <w:sz w:val="15"/>
                <w:szCs w:val="15"/>
              </w:rPr>
              <w:t>年</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月</w:t>
            </w:r>
            <w:r>
              <w:rPr>
                <w:rFonts w:ascii="仿宋" w:hAnsi="仿宋" w:eastAsia="仿宋" w:cs="仿宋_GB2312"/>
                <w:color w:val="000000" w:themeColor="text1"/>
                <w:kern w:val="0"/>
                <w:sz w:val="15"/>
                <w:szCs w:val="15"/>
              </w:rPr>
              <w:t>4</w:t>
            </w:r>
            <w:r>
              <w:rPr>
                <w:rFonts w:hint="eastAsia" w:ascii="仿宋" w:hAnsi="仿宋" w:eastAsia="仿宋" w:cs="仿宋_GB2312"/>
                <w:color w:val="000000" w:themeColor="text1"/>
                <w:kern w:val="0"/>
                <w:sz w:val="15"/>
                <w:szCs w:val="15"/>
              </w:rPr>
              <w:t>日第五次修改）第七十六条第（五）项有下列违法行为之一的，由交通主管部门责令停止违法行为，可以处三万元以下的罚款：（五）违反本法第五十条规定，车辆超限使用汽车渡船或者在公路上擅自超限行驶的。</w:t>
            </w:r>
          </w:p>
          <w:p w14:paraId="743D0229">
            <w:pPr>
              <w:widowControl/>
              <w:spacing w:line="240" w:lineRule="exact"/>
              <w:jc w:val="left"/>
              <w:textAlignment w:val="center"/>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2.</w:t>
            </w:r>
            <w:r>
              <w:rPr>
                <w:rFonts w:hint="eastAsia" w:ascii="仿宋" w:hAnsi="仿宋" w:eastAsia="仿宋" w:cs="仿宋_GB2312"/>
                <w:color w:val="000000" w:themeColor="text1"/>
                <w:kern w:val="0"/>
                <w:sz w:val="15"/>
                <w:szCs w:val="15"/>
              </w:rPr>
              <w:t>《公路安全保护条例》（中华人民共和国国务院令第</w:t>
            </w:r>
            <w:r>
              <w:rPr>
                <w:rFonts w:ascii="仿宋" w:hAnsi="仿宋" w:eastAsia="仿宋" w:cs="仿宋_GB2312"/>
                <w:color w:val="000000" w:themeColor="text1"/>
                <w:kern w:val="0"/>
                <w:sz w:val="15"/>
                <w:szCs w:val="15"/>
              </w:rPr>
              <w:t>593</w:t>
            </w:r>
            <w:r>
              <w:rPr>
                <w:rFonts w:hint="eastAsia" w:ascii="仿宋" w:hAnsi="仿宋" w:eastAsia="仿宋" w:cs="仿宋_GB2312"/>
                <w:color w:val="000000" w:themeColor="text1"/>
                <w:kern w:val="0"/>
                <w:sz w:val="15"/>
                <w:szCs w:val="15"/>
              </w:rPr>
              <w:t>号）第六十四条违反本条例的规定，在公路上行驶的车辆，车货总体的外廓尺寸、轴荷或者总质量超过公路、公路桥梁、公路隧道、汽车渡船限定标准的，由公路管理机构责令改正，可以处</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万元以下的罚款。</w:t>
            </w:r>
          </w:p>
          <w:p w14:paraId="16558552">
            <w:pPr>
              <w:widowControl/>
              <w:spacing w:line="240" w:lineRule="exact"/>
              <w:jc w:val="left"/>
              <w:textAlignment w:val="center"/>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《超限运输车辆行驶公路管理规定》（</w:t>
            </w:r>
            <w:r>
              <w:rPr>
                <w:rFonts w:hint="eastAsia" w:ascii="仿宋" w:hAnsi="仿宋" w:eastAsia="仿宋" w:cs="仿宋_GB2312"/>
                <w:color w:val="000000" w:themeColor="text1"/>
                <w:kern w:val="0"/>
                <w:sz w:val="15"/>
                <w:szCs w:val="15"/>
                <w:lang w:eastAsia="zh-CN"/>
              </w:rPr>
              <w:t>中华人民共和国</w:t>
            </w:r>
            <w:r>
              <w:rPr>
                <w:rFonts w:hint="eastAsia" w:ascii="仿宋" w:hAnsi="仿宋" w:eastAsia="仿宋" w:cs="仿宋_GB2312"/>
                <w:color w:val="000000" w:themeColor="text1"/>
                <w:kern w:val="0"/>
                <w:sz w:val="15"/>
                <w:szCs w:val="15"/>
              </w:rPr>
              <w:t>交通运输部令</w:t>
            </w:r>
            <w:r>
              <w:rPr>
                <w:rFonts w:ascii="仿宋" w:hAnsi="仿宋" w:eastAsia="仿宋" w:cs="仿宋_GB2312"/>
                <w:color w:val="000000" w:themeColor="text1"/>
                <w:kern w:val="0"/>
                <w:sz w:val="15"/>
                <w:szCs w:val="15"/>
              </w:rPr>
              <w:t>2021</w:t>
            </w:r>
            <w:r>
              <w:rPr>
                <w:rFonts w:hint="eastAsia" w:ascii="仿宋" w:hAnsi="仿宋" w:eastAsia="仿宋" w:cs="仿宋_GB2312"/>
                <w:color w:val="000000" w:themeColor="text1"/>
                <w:kern w:val="0"/>
                <w:sz w:val="15"/>
                <w:szCs w:val="15"/>
              </w:rPr>
              <w:t>年第</w:t>
            </w:r>
            <w:r>
              <w:rPr>
                <w:rFonts w:ascii="仿宋" w:hAnsi="仿宋" w:eastAsia="仿宋" w:cs="仿宋_GB2312"/>
                <w:color w:val="000000" w:themeColor="text1"/>
                <w:kern w:val="0"/>
                <w:sz w:val="15"/>
                <w:szCs w:val="15"/>
              </w:rPr>
              <w:t>12</w:t>
            </w:r>
            <w:r>
              <w:rPr>
                <w:rFonts w:hint="eastAsia" w:ascii="仿宋" w:hAnsi="仿宋" w:eastAsia="仿宋" w:cs="仿宋_GB2312"/>
                <w:color w:val="000000" w:themeColor="text1"/>
                <w:kern w:val="0"/>
                <w:sz w:val="15"/>
                <w:szCs w:val="15"/>
              </w:rPr>
              <w:t>号）第四十三条车辆违法超限运输的，由公路管理机构根据违法行为的性质、情节和危害程度，按下列规定给予处罚：（一）车货总高度从地面算起未超过</w:t>
            </w:r>
            <w:r>
              <w:rPr>
                <w:rFonts w:ascii="仿宋" w:hAnsi="仿宋" w:eastAsia="仿宋" w:cs="仿宋_GB2312"/>
                <w:color w:val="000000" w:themeColor="text1"/>
                <w:kern w:val="0"/>
                <w:sz w:val="15"/>
                <w:szCs w:val="15"/>
              </w:rPr>
              <w:t>4.2</w:t>
            </w:r>
            <w:r>
              <w:rPr>
                <w:rFonts w:hint="eastAsia" w:ascii="仿宋" w:hAnsi="仿宋" w:eastAsia="仿宋" w:cs="仿宋_GB2312"/>
                <w:color w:val="000000" w:themeColor="text1"/>
                <w:kern w:val="0"/>
                <w:sz w:val="15"/>
                <w:szCs w:val="15"/>
              </w:rPr>
              <w:t>米、总宽度未超过</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米且总长度未超过</w:t>
            </w:r>
            <w:r>
              <w:rPr>
                <w:rFonts w:ascii="仿宋" w:hAnsi="仿宋" w:eastAsia="仿宋" w:cs="仿宋_GB2312"/>
                <w:color w:val="000000" w:themeColor="text1"/>
                <w:kern w:val="0"/>
                <w:sz w:val="15"/>
                <w:szCs w:val="15"/>
              </w:rPr>
              <w:t>20</w:t>
            </w:r>
            <w:r>
              <w:rPr>
                <w:rFonts w:hint="eastAsia" w:ascii="仿宋" w:hAnsi="仿宋" w:eastAsia="仿宋" w:cs="仿宋_GB2312"/>
                <w:color w:val="000000" w:themeColor="text1"/>
                <w:kern w:val="0"/>
                <w:sz w:val="15"/>
                <w:szCs w:val="15"/>
              </w:rPr>
              <w:t>米的，可以处</w:t>
            </w:r>
            <w:r>
              <w:rPr>
                <w:rFonts w:ascii="仿宋" w:hAnsi="仿宋" w:eastAsia="仿宋" w:cs="仿宋_GB2312"/>
                <w:color w:val="000000" w:themeColor="text1"/>
                <w:kern w:val="0"/>
                <w:sz w:val="15"/>
                <w:szCs w:val="15"/>
              </w:rPr>
              <w:t>200</w:t>
            </w:r>
            <w:r>
              <w:rPr>
                <w:rFonts w:hint="eastAsia" w:ascii="仿宋" w:hAnsi="仿宋" w:eastAsia="仿宋" w:cs="仿宋_GB2312"/>
                <w:color w:val="000000" w:themeColor="text1"/>
                <w:kern w:val="0"/>
                <w:sz w:val="15"/>
                <w:szCs w:val="15"/>
              </w:rPr>
              <w:t>元以下罚款；车货总高度从地面算起未超过</w:t>
            </w:r>
            <w:r>
              <w:rPr>
                <w:rFonts w:ascii="仿宋" w:hAnsi="仿宋" w:eastAsia="仿宋" w:cs="仿宋_GB2312"/>
                <w:color w:val="000000" w:themeColor="text1"/>
                <w:kern w:val="0"/>
                <w:sz w:val="15"/>
                <w:szCs w:val="15"/>
              </w:rPr>
              <w:t>4.5</w:t>
            </w:r>
            <w:r>
              <w:rPr>
                <w:rFonts w:hint="eastAsia" w:ascii="仿宋" w:hAnsi="仿宋" w:eastAsia="仿宋" w:cs="仿宋_GB2312"/>
                <w:color w:val="000000" w:themeColor="text1"/>
                <w:kern w:val="0"/>
                <w:sz w:val="15"/>
                <w:szCs w:val="15"/>
              </w:rPr>
              <w:t>米、总宽度未超过</w:t>
            </w:r>
            <w:r>
              <w:rPr>
                <w:rFonts w:ascii="仿宋" w:hAnsi="仿宋" w:eastAsia="仿宋" w:cs="仿宋_GB2312"/>
                <w:color w:val="000000" w:themeColor="text1"/>
                <w:kern w:val="0"/>
                <w:sz w:val="15"/>
                <w:szCs w:val="15"/>
              </w:rPr>
              <w:t>3.75</w:t>
            </w:r>
            <w:r>
              <w:rPr>
                <w:rFonts w:hint="eastAsia" w:ascii="仿宋" w:hAnsi="仿宋" w:eastAsia="仿宋" w:cs="仿宋_GB2312"/>
                <w:color w:val="000000" w:themeColor="text1"/>
                <w:kern w:val="0"/>
                <w:sz w:val="15"/>
                <w:szCs w:val="15"/>
              </w:rPr>
              <w:t>米且总长度未超过</w:t>
            </w:r>
            <w:r>
              <w:rPr>
                <w:rFonts w:ascii="仿宋" w:hAnsi="仿宋" w:eastAsia="仿宋" w:cs="仿宋_GB2312"/>
                <w:color w:val="000000" w:themeColor="text1"/>
                <w:kern w:val="0"/>
                <w:sz w:val="15"/>
                <w:szCs w:val="15"/>
              </w:rPr>
              <w:t>28</w:t>
            </w:r>
            <w:r>
              <w:rPr>
                <w:rFonts w:hint="eastAsia" w:ascii="仿宋" w:hAnsi="仿宋" w:eastAsia="仿宋" w:cs="仿宋_GB2312"/>
                <w:color w:val="000000" w:themeColor="text1"/>
                <w:kern w:val="0"/>
                <w:sz w:val="15"/>
                <w:szCs w:val="15"/>
              </w:rPr>
              <w:t>米的，处</w:t>
            </w:r>
            <w:r>
              <w:rPr>
                <w:rFonts w:ascii="仿宋" w:hAnsi="仿宋" w:eastAsia="仿宋" w:cs="仿宋_GB2312"/>
                <w:color w:val="000000" w:themeColor="text1"/>
                <w:kern w:val="0"/>
                <w:sz w:val="15"/>
                <w:szCs w:val="15"/>
              </w:rPr>
              <w:t>200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1000</w:t>
            </w:r>
            <w:r>
              <w:rPr>
                <w:rFonts w:hint="eastAsia" w:ascii="仿宋" w:hAnsi="仿宋" w:eastAsia="仿宋" w:cs="仿宋_GB2312"/>
                <w:color w:val="000000" w:themeColor="text1"/>
                <w:kern w:val="0"/>
                <w:sz w:val="15"/>
                <w:szCs w:val="15"/>
              </w:rPr>
              <w:t>元以下罚款；车货总高度从地面算起超过</w:t>
            </w:r>
            <w:r>
              <w:rPr>
                <w:rFonts w:ascii="仿宋" w:hAnsi="仿宋" w:eastAsia="仿宋" w:cs="仿宋_GB2312"/>
                <w:color w:val="000000" w:themeColor="text1"/>
                <w:kern w:val="0"/>
                <w:sz w:val="15"/>
                <w:szCs w:val="15"/>
              </w:rPr>
              <w:t>4.5</w:t>
            </w:r>
            <w:r>
              <w:rPr>
                <w:rFonts w:hint="eastAsia" w:ascii="仿宋" w:hAnsi="仿宋" w:eastAsia="仿宋" w:cs="仿宋_GB2312"/>
                <w:color w:val="000000" w:themeColor="text1"/>
                <w:kern w:val="0"/>
                <w:sz w:val="15"/>
                <w:szCs w:val="15"/>
              </w:rPr>
              <w:t>米、总宽度超过</w:t>
            </w:r>
            <w:r>
              <w:rPr>
                <w:rFonts w:ascii="仿宋" w:hAnsi="仿宋" w:eastAsia="仿宋" w:cs="仿宋_GB2312"/>
                <w:color w:val="000000" w:themeColor="text1"/>
                <w:kern w:val="0"/>
                <w:sz w:val="15"/>
                <w:szCs w:val="15"/>
              </w:rPr>
              <w:t>3.75</w:t>
            </w:r>
            <w:r>
              <w:rPr>
                <w:rFonts w:hint="eastAsia" w:ascii="仿宋" w:hAnsi="仿宋" w:eastAsia="仿宋" w:cs="仿宋_GB2312"/>
                <w:color w:val="000000" w:themeColor="text1"/>
                <w:kern w:val="0"/>
                <w:sz w:val="15"/>
                <w:szCs w:val="15"/>
              </w:rPr>
              <w:t>米或者总长度超过</w:t>
            </w:r>
            <w:r>
              <w:rPr>
                <w:rFonts w:ascii="仿宋" w:hAnsi="仿宋" w:eastAsia="仿宋" w:cs="仿宋_GB2312"/>
                <w:color w:val="000000" w:themeColor="text1"/>
                <w:kern w:val="0"/>
                <w:sz w:val="15"/>
                <w:szCs w:val="15"/>
              </w:rPr>
              <w:t>28</w:t>
            </w:r>
            <w:r>
              <w:rPr>
                <w:rFonts w:hint="eastAsia" w:ascii="仿宋" w:hAnsi="仿宋" w:eastAsia="仿宋" w:cs="仿宋_GB2312"/>
                <w:color w:val="000000" w:themeColor="text1"/>
                <w:kern w:val="0"/>
                <w:sz w:val="15"/>
                <w:szCs w:val="15"/>
              </w:rPr>
              <w:t>米的，处</w:t>
            </w:r>
            <w:r>
              <w:rPr>
                <w:rFonts w:ascii="仿宋" w:hAnsi="仿宋" w:eastAsia="仿宋" w:cs="仿宋_GB2312"/>
                <w:color w:val="000000" w:themeColor="text1"/>
                <w:kern w:val="0"/>
                <w:sz w:val="15"/>
                <w:szCs w:val="15"/>
              </w:rPr>
              <w:t>1000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3000</w:t>
            </w:r>
            <w:r>
              <w:rPr>
                <w:rFonts w:hint="eastAsia" w:ascii="仿宋" w:hAnsi="仿宋" w:eastAsia="仿宋" w:cs="仿宋_GB2312"/>
                <w:color w:val="000000" w:themeColor="text1"/>
                <w:kern w:val="0"/>
                <w:sz w:val="15"/>
                <w:szCs w:val="15"/>
              </w:rPr>
              <w:t>元以下的罚款；（二）车货总质量超过本规定第三条第一款第四项至第八项规定的限定标准，但未超过</w:t>
            </w:r>
            <w:r>
              <w:rPr>
                <w:rFonts w:ascii="仿宋" w:hAnsi="仿宋" w:eastAsia="仿宋" w:cs="仿宋_GB2312"/>
                <w:color w:val="000000" w:themeColor="text1"/>
                <w:kern w:val="0"/>
                <w:sz w:val="15"/>
                <w:szCs w:val="15"/>
              </w:rPr>
              <w:t>1000</w:t>
            </w:r>
            <w:r>
              <w:rPr>
                <w:rFonts w:hint="eastAsia" w:ascii="仿宋" w:hAnsi="仿宋" w:eastAsia="仿宋" w:cs="仿宋_GB2312"/>
                <w:color w:val="000000" w:themeColor="text1"/>
                <w:kern w:val="0"/>
                <w:sz w:val="15"/>
                <w:szCs w:val="15"/>
              </w:rPr>
              <w:t>千克的，予以警告；超过</w:t>
            </w:r>
            <w:r>
              <w:rPr>
                <w:rFonts w:ascii="仿宋" w:hAnsi="仿宋" w:eastAsia="仿宋" w:cs="仿宋_GB2312"/>
                <w:color w:val="000000" w:themeColor="text1"/>
                <w:kern w:val="0"/>
                <w:sz w:val="15"/>
                <w:szCs w:val="15"/>
              </w:rPr>
              <w:t>1000</w:t>
            </w:r>
            <w:r>
              <w:rPr>
                <w:rFonts w:hint="eastAsia" w:ascii="仿宋" w:hAnsi="仿宋" w:eastAsia="仿宋" w:cs="仿宋_GB2312"/>
                <w:color w:val="000000" w:themeColor="text1"/>
                <w:kern w:val="0"/>
                <w:sz w:val="15"/>
                <w:szCs w:val="15"/>
              </w:rPr>
              <w:t>千克的，每超</w:t>
            </w:r>
            <w:r>
              <w:rPr>
                <w:rFonts w:ascii="仿宋" w:hAnsi="仿宋" w:eastAsia="仿宋" w:cs="仿宋_GB2312"/>
                <w:color w:val="000000" w:themeColor="text1"/>
                <w:kern w:val="0"/>
                <w:sz w:val="15"/>
                <w:szCs w:val="15"/>
              </w:rPr>
              <w:t>1000</w:t>
            </w:r>
            <w:r>
              <w:rPr>
                <w:rFonts w:hint="eastAsia" w:ascii="仿宋" w:hAnsi="仿宋" w:eastAsia="仿宋" w:cs="仿宋_GB2312"/>
                <w:color w:val="000000" w:themeColor="text1"/>
                <w:kern w:val="0"/>
                <w:sz w:val="15"/>
                <w:szCs w:val="15"/>
              </w:rPr>
              <w:t>千克罚款</w:t>
            </w:r>
            <w:r>
              <w:rPr>
                <w:rFonts w:ascii="仿宋" w:hAnsi="仿宋" w:eastAsia="仿宋" w:cs="仿宋_GB2312"/>
                <w:color w:val="000000" w:themeColor="text1"/>
                <w:kern w:val="0"/>
                <w:sz w:val="15"/>
                <w:szCs w:val="15"/>
              </w:rPr>
              <w:t>500</w:t>
            </w:r>
            <w:r>
              <w:rPr>
                <w:rFonts w:hint="eastAsia" w:ascii="仿宋" w:hAnsi="仿宋" w:eastAsia="仿宋" w:cs="仿宋_GB2312"/>
                <w:color w:val="000000" w:themeColor="text1"/>
                <w:kern w:val="0"/>
                <w:sz w:val="15"/>
                <w:szCs w:val="15"/>
              </w:rPr>
              <w:t>元，最高不得超过</w:t>
            </w:r>
            <w:r>
              <w:rPr>
                <w:rFonts w:ascii="仿宋" w:hAnsi="仿宋" w:eastAsia="仿宋" w:cs="仿宋_GB2312"/>
                <w:color w:val="000000" w:themeColor="text1"/>
                <w:kern w:val="0"/>
                <w:sz w:val="15"/>
                <w:szCs w:val="15"/>
              </w:rPr>
              <w:t>30000</w:t>
            </w:r>
            <w:r>
              <w:rPr>
                <w:rFonts w:hint="eastAsia" w:ascii="仿宋" w:hAnsi="仿宋" w:eastAsia="仿宋" w:cs="仿宋_GB2312"/>
                <w:color w:val="000000" w:themeColor="text1"/>
                <w:kern w:val="0"/>
                <w:sz w:val="15"/>
                <w:szCs w:val="15"/>
              </w:rPr>
              <w:t>元。有前款所列多项违法行为的，相应违法行为的罚款数额应当累计，但累计罚款数额最高不得超过</w:t>
            </w:r>
            <w:r>
              <w:rPr>
                <w:rFonts w:ascii="仿宋" w:hAnsi="仿宋" w:eastAsia="仿宋" w:cs="仿宋_GB2312"/>
                <w:color w:val="000000" w:themeColor="text1"/>
                <w:kern w:val="0"/>
                <w:sz w:val="15"/>
                <w:szCs w:val="15"/>
              </w:rPr>
              <w:t>30000</w:t>
            </w:r>
            <w:r>
              <w:rPr>
                <w:rFonts w:hint="eastAsia" w:ascii="仿宋" w:hAnsi="仿宋" w:eastAsia="仿宋" w:cs="仿宋_GB2312"/>
                <w:color w:val="000000" w:themeColor="text1"/>
                <w:kern w:val="0"/>
                <w:sz w:val="15"/>
                <w:szCs w:val="15"/>
              </w:rPr>
              <w:t>元。第四十七条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p w14:paraId="5DA240C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AAA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6FBB0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27C36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6C4F8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75178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42BE7D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4928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943" w:type="dxa"/>
            <w:vMerge w:val="continue"/>
            <w:vAlign w:val="center"/>
          </w:tcPr>
          <w:p w14:paraId="44E76D89">
            <w:pPr>
              <w:rPr>
                <w:color w:val="000000" w:themeColor="text1"/>
              </w:rPr>
            </w:pPr>
          </w:p>
        </w:tc>
        <w:tc>
          <w:tcPr>
            <w:tcW w:w="1110" w:type="dxa"/>
            <w:vAlign w:val="center"/>
          </w:tcPr>
          <w:p w14:paraId="234708C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02D27E1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C78DFAA">
            <w:pPr>
              <w:jc w:val="center"/>
              <w:rPr>
                <w:rFonts w:ascii="仿宋" w:hAnsi="仿宋" w:eastAsia="仿宋" w:cs="黑体"/>
                <w:color w:val="000000" w:themeColor="text1"/>
                <w:sz w:val="18"/>
                <w:szCs w:val="18"/>
              </w:rPr>
            </w:pPr>
          </w:p>
        </w:tc>
        <w:tc>
          <w:tcPr>
            <w:tcW w:w="1406" w:type="dxa"/>
            <w:vAlign w:val="center"/>
          </w:tcPr>
          <w:p w14:paraId="46142A8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718F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943" w:type="dxa"/>
            <w:vMerge w:val="continue"/>
            <w:vAlign w:val="center"/>
          </w:tcPr>
          <w:p w14:paraId="16569FAA">
            <w:pPr>
              <w:rPr>
                <w:color w:val="000000" w:themeColor="text1"/>
              </w:rPr>
            </w:pPr>
          </w:p>
        </w:tc>
        <w:tc>
          <w:tcPr>
            <w:tcW w:w="1110" w:type="dxa"/>
            <w:vAlign w:val="center"/>
          </w:tcPr>
          <w:p w14:paraId="1899C1F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6B51093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F36B931">
            <w:pPr>
              <w:jc w:val="center"/>
              <w:rPr>
                <w:rFonts w:ascii="仿宋" w:hAnsi="仿宋" w:eastAsia="仿宋" w:cs="黑体"/>
                <w:color w:val="000000" w:themeColor="text1"/>
                <w:sz w:val="18"/>
                <w:szCs w:val="18"/>
              </w:rPr>
            </w:pPr>
          </w:p>
        </w:tc>
        <w:tc>
          <w:tcPr>
            <w:tcW w:w="1406" w:type="dxa"/>
            <w:vAlign w:val="center"/>
          </w:tcPr>
          <w:p w14:paraId="30253AE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5FA0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7FF5FA6">
            <w:pPr>
              <w:rPr>
                <w:color w:val="000000" w:themeColor="text1"/>
              </w:rPr>
            </w:pPr>
          </w:p>
        </w:tc>
        <w:tc>
          <w:tcPr>
            <w:tcW w:w="1110" w:type="dxa"/>
            <w:vAlign w:val="center"/>
          </w:tcPr>
          <w:p w14:paraId="3851703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1760782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E168BFE">
            <w:pPr>
              <w:jc w:val="center"/>
              <w:rPr>
                <w:rFonts w:ascii="仿宋" w:hAnsi="仿宋" w:eastAsia="仿宋" w:cs="黑体"/>
                <w:color w:val="000000" w:themeColor="text1"/>
                <w:sz w:val="18"/>
                <w:szCs w:val="18"/>
              </w:rPr>
            </w:pPr>
          </w:p>
        </w:tc>
        <w:tc>
          <w:tcPr>
            <w:tcW w:w="1406" w:type="dxa"/>
            <w:vAlign w:val="center"/>
          </w:tcPr>
          <w:p w14:paraId="12BDC1B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6645C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DD64D49">
            <w:pPr>
              <w:rPr>
                <w:color w:val="000000" w:themeColor="text1"/>
              </w:rPr>
            </w:pPr>
          </w:p>
        </w:tc>
        <w:tc>
          <w:tcPr>
            <w:tcW w:w="1110" w:type="dxa"/>
            <w:vAlign w:val="center"/>
          </w:tcPr>
          <w:p w14:paraId="0C39B95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2329AE3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E58FB59">
            <w:pPr>
              <w:jc w:val="center"/>
              <w:rPr>
                <w:rFonts w:ascii="仿宋" w:hAnsi="仿宋" w:eastAsia="仿宋" w:cs="黑体"/>
                <w:color w:val="000000" w:themeColor="text1"/>
                <w:sz w:val="18"/>
                <w:szCs w:val="18"/>
              </w:rPr>
            </w:pPr>
          </w:p>
        </w:tc>
        <w:tc>
          <w:tcPr>
            <w:tcW w:w="1406" w:type="dxa"/>
            <w:vAlign w:val="center"/>
          </w:tcPr>
          <w:p w14:paraId="456FF0A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2E19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943" w:type="dxa"/>
            <w:vMerge w:val="continue"/>
            <w:vAlign w:val="center"/>
          </w:tcPr>
          <w:p w14:paraId="7C548602">
            <w:pPr>
              <w:rPr>
                <w:color w:val="000000" w:themeColor="text1"/>
              </w:rPr>
            </w:pPr>
          </w:p>
        </w:tc>
        <w:tc>
          <w:tcPr>
            <w:tcW w:w="1110" w:type="dxa"/>
            <w:vAlign w:val="center"/>
          </w:tcPr>
          <w:p w14:paraId="0C2FF21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4D13BBB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36CC1ED3">
            <w:pPr>
              <w:jc w:val="center"/>
              <w:rPr>
                <w:rFonts w:ascii="仿宋" w:hAnsi="仿宋" w:eastAsia="仿宋" w:cs="黑体"/>
                <w:color w:val="000000" w:themeColor="text1"/>
                <w:sz w:val="18"/>
                <w:szCs w:val="18"/>
              </w:rPr>
            </w:pPr>
          </w:p>
        </w:tc>
        <w:tc>
          <w:tcPr>
            <w:tcW w:w="1406" w:type="dxa"/>
            <w:vAlign w:val="center"/>
          </w:tcPr>
          <w:p w14:paraId="40E90D1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582F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943" w:type="dxa"/>
            <w:vAlign w:val="center"/>
          </w:tcPr>
          <w:p w14:paraId="052C11F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F24E57A">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64E0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6" w:hRule="atLeast"/>
          <w:jc w:val="center"/>
        </w:trPr>
        <w:tc>
          <w:tcPr>
            <w:tcW w:w="943" w:type="dxa"/>
            <w:vAlign w:val="center"/>
          </w:tcPr>
          <w:p w14:paraId="5A25F5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4AA14FD">
            <w:pPr>
              <w:widowControl/>
              <w:spacing w:line="240" w:lineRule="exact"/>
              <w:ind w:left="31680" w:hanging="180" w:hangingChars="100"/>
              <w:jc w:val="left"/>
              <w:textAlignment w:val="center"/>
              <w:rPr>
                <w:rFonts w:ascii="仿宋" w:hAnsi="仿宋" w:eastAsia="仿宋" w:cs="黑体"/>
                <w:color w:val="000000" w:themeColor="text1"/>
                <w:kern w:val="0"/>
                <w:sz w:val="18"/>
                <w:szCs w:val="18"/>
              </w:rPr>
            </w:pPr>
            <w:r>
              <w:rPr>
                <w:rFonts w:ascii="仿宋" w:hAnsi="仿宋" w:eastAsia="仿宋" w:cs="黑体"/>
                <w:color w:val="000000" w:themeColor="text1"/>
                <w:kern w:val="0"/>
                <w:sz w:val="18"/>
                <w:szCs w:val="18"/>
              </w:rPr>
              <w:t>1.</w:t>
            </w:r>
            <w:r>
              <w:rPr>
                <w:rFonts w:hint="eastAsia" w:ascii="仿宋" w:hAnsi="仿宋" w:eastAsia="仿宋" w:cs="黑体"/>
                <w:color w:val="000000" w:themeColor="text1"/>
                <w:kern w:val="0"/>
                <w:sz w:val="18"/>
                <w:szCs w:val="18"/>
              </w:rPr>
              <w:t>业务咨询：</w:t>
            </w:r>
            <w:r>
              <w:rPr>
                <w:rFonts w:ascii="仿宋" w:hAnsi="仿宋" w:eastAsia="仿宋" w:cs="黑体"/>
                <w:color w:val="000000" w:themeColor="text1"/>
                <w:kern w:val="0"/>
                <w:sz w:val="18"/>
                <w:szCs w:val="18"/>
              </w:rPr>
              <w:t>6181162      2.</w:t>
            </w:r>
            <w:r>
              <w:rPr>
                <w:rFonts w:hint="eastAsia" w:ascii="仿宋" w:hAnsi="仿宋" w:eastAsia="仿宋" w:cs="黑体"/>
                <w:color w:val="000000" w:themeColor="text1"/>
                <w:kern w:val="0"/>
                <w:sz w:val="18"/>
                <w:szCs w:val="18"/>
              </w:rPr>
              <w:t>投诉举报电话：</w:t>
            </w:r>
            <w:r>
              <w:rPr>
                <w:rFonts w:ascii="仿宋" w:hAnsi="仿宋" w:eastAsia="仿宋" w:cs="黑体"/>
                <w:color w:val="000000" w:themeColor="text1"/>
                <w:kern w:val="0"/>
                <w:sz w:val="18"/>
                <w:szCs w:val="18"/>
              </w:rPr>
              <w:t>6682452</w:t>
            </w:r>
          </w:p>
          <w:p w14:paraId="24430AD7">
            <w:pPr>
              <w:widowControl/>
              <w:spacing w:line="240" w:lineRule="exact"/>
              <w:jc w:val="left"/>
              <w:textAlignment w:val="center"/>
              <w:rPr>
                <w:rFonts w:ascii="仿宋" w:hAnsi="仿宋" w:eastAsia="仿宋" w:cs="黑体"/>
                <w:color w:val="000000" w:themeColor="text1"/>
                <w:sz w:val="24"/>
              </w:rPr>
            </w:pPr>
            <w:r>
              <w:rPr>
                <w:rFonts w:ascii="仿宋" w:hAnsi="仿宋" w:eastAsia="仿宋" w:cs="黑体"/>
                <w:color w:val="000000" w:themeColor="text1"/>
                <w:kern w:val="0"/>
                <w:sz w:val="18"/>
                <w:szCs w:val="18"/>
              </w:rPr>
              <w:t>3.</w:t>
            </w:r>
            <w:r>
              <w:rPr>
                <w:rFonts w:hint="eastAsia" w:ascii="仿宋" w:hAnsi="仿宋" w:eastAsia="仿宋" w:cs="黑体"/>
                <w:color w:val="000000" w:themeColor="text1"/>
                <w:kern w:val="0"/>
                <w:sz w:val="18"/>
                <w:szCs w:val="18"/>
              </w:rPr>
              <w:t>纪检监察投诉：抚宁区交通运输局纪检监察办公室，电话：</w:t>
            </w:r>
            <w:r>
              <w:rPr>
                <w:rFonts w:ascii="仿宋" w:hAnsi="仿宋" w:eastAsia="仿宋" w:cs="黑体"/>
                <w:color w:val="000000" w:themeColor="text1"/>
                <w:kern w:val="0"/>
                <w:sz w:val="18"/>
                <w:szCs w:val="18"/>
              </w:rPr>
              <w:t>6681263</w:t>
            </w:r>
          </w:p>
        </w:tc>
      </w:tr>
      <w:tr w14:paraId="434C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9" w:hRule="atLeast"/>
          <w:jc w:val="center"/>
        </w:trPr>
        <w:tc>
          <w:tcPr>
            <w:tcW w:w="943" w:type="dxa"/>
            <w:vAlign w:val="center"/>
          </w:tcPr>
          <w:p w14:paraId="6E9577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1170AB9">
            <w:pPr>
              <w:widowControl/>
              <w:jc w:val="left"/>
              <w:textAlignment w:val="center"/>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．不服处罚决定自知道该具体行政行为之日起六十日内向抚宁区人民政府申请行政复议。</w:t>
            </w:r>
          </w:p>
          <w:p w14:paraId="419528E7">
            <w:pPr>
              <w:widowControl/>
              <w:jc w:val="left"/>
              <w:textAlignment w:val="center"/>
              <w:rPr>
                <w:rFonts w:ascii="仿宋" w:hAnsi="仿宋" w:eastAsia="仿宋" w:cs="黑体"/>
                <w:b/>
                <w:bCs/>
                <w:color w:val="000000" w:themeColor="text1"/>
                <w:szCs w:val="21"/>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．不服处罚决定应当自知道或者应当知道作出行政行为之日起六个月内提出向抚宁区人民法院提起行政诉讼。</w:t>
            </w:r>
          </w:p>
        </w:tc>
      </w:tr>
      <w:tr w14:paraId="29331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3226404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9F150E8">
            <w:pPr>
              <w:widowControl/>
              <w:jc w:val="left"/>
              <w:textAlignment w:val="center"/>
              <w:rPr>
                <w:rFonts w:ascii="黑体" w:eastAsia="黑体" w:cs="黑体"/>
                <w:color w:val="000000" w:themeColor="text1"/>
                <w:kern w:val="0"/>
                <w:sz w:val="18"/>
                <w:szCs w:val="18"/>
              </w:rPr>
            </w:pPr>
          </w:p>
        </w:tc>
      </w:tr>
    </w:tbl>
    <w:p w14:paraId="045C38F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48B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3236C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86C5F99">
            <w:pPr>
              <w:jc w:val="center"/>
              <w:rPr>
                <w:rFonts w:ascii="黑体" w:eastAsia="黑体" w:cs="黑体"/>
                <w:b/>
                <w:bCs/>
                <w:color w:val="000000" w:themeColor="text1"/>
                <w:szCs w:val="21"/>
              </w:rPr>
            </w:pPr>
            <w:r>
              <w:rPr>
                <w:rFonts w:ascii="黑体" w:eastAsia="黑体" w:cs="黑体"/>
                <w:b/>
                <w:bCs/>
                <w:color w:val="000000" w:themeColor="text1"/>
                <w:szCs w:val="21"/>
              </w:rPr>
              <w:t>6</w:t>
            </w:r>
          </w:p>
        </w:tc>
        <w:tc>
          <w:tcPr>
            <w:tcW w:w="1691" w:type="dxa"/>
            <w:vAlign w:val="center"/>
          </w:tcPr>
          <w:p w14:paraId="5FA3B48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6BD98F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16E9C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CA36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2B94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06CF5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97D63AD">
            <w:pPr>
              <w:widowControl/>
              <w:jc w:val="center"/>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对损坏、擅自移动、涂改、遮挡公路附属设施或者利用公路附属设施架设管道、悬挂物品或者损坏、擅自挪动建筑控制区的标桩、界桩等可能危及公路安全等行为的行政处罚</w:t>
            </w:r>
          </w:p>
        </w:tc>
      </w:tr>
      <w:tr w14:paraId="74BF3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5F9995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1E34984">
            <w:pPr>
              <w:jc w:val="center"/>
              <w:rPr>
                <w:rFonts w:ascii="仿宋" w:hAnsi="仿宋" w:eastAsia="仿宋" w:cs="黑体"/>
                <w:color w:val="000000" w:themeColor="text1"/>
                <w:kern w:val="0"/>
                <w:sz w:val="18"/>
                <w:szCs w:val="18"/>
              </w:rPr>
            </w:pPr>
            <w:r>
              <w:rPr>
                <w:rFonts w:hint="eastAsia" w:ascii="仿宋" w:hAnsi="仿宋" w:eastAsia="仿宋" w:cs="仿宋_GB2312"/>
                <w:color w:val="000000" w:themeColor="text1"/>
                <w:kern w:val="0"/>
                <w:sz w:val="18"/>
                <w:szCs w:val="18"/>
              </w:rPr>
              <w:t>抚宁辖区内</w:t>
            </w:r>
          </w:p>
        </w:tc>
      </w:tr>
      <w:tr w14:paraId="521B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98ECA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1590524">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w:t>
            </w:r>
            <w:r>
              <w:rPr>
                <w:rFonts w:hint="eastAsia" w:ascii="仿宋" w:hAnsi="仿宋" w:eastAsia="仿宋" w:cs="仿宋_GB2312"/>
                <w:color w:val="000000" w:themeColor="text1"/>
                <w:kern w:val="0"/>
                <w:sz w:val="18"/>
                <w:szCs w:val="18"/>
              </w:rPr>
              <w:t>法律法规】</w:t>
            </w:r>
          </w:p>
          <w:p w14:paraId="6D2A3FA6">
            <w:pPr>
              <w:widowControl/>
              <w:spacing w:line="240" w:lineRule="exact"/>
              <w:jc w:val="left"/>
              <w:textAlignment w:val="center"/>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六条第（六）项有下列违法行为之一的，由交通主管部门责令停止违法行为，可以处三万元以下的罚款：（六）违反本法第五十二条、第五十六条规定，损坏、移动、涂改公路附属设施或者损坏、挪动建筑控制区的标桩、界桩，可能危及公路安全的。</w:t>
            </w:r>
          </w:p>
          <w:p w14:paraId="05A9AF94">
            <w:pPr>
              <w:widowControl/>
              <w:spacing w:line="240" w:lineRule="exact"/>
              <w:jc w:val="left"/>
              <w:textAlignment w:val="center"/>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《公路安全保护条例》（中华人民共和国国务院令第</w:t>
            </w:r>
            <w:r>
              <w:rPr>
                <w:rFonts w:ascii="仿宋" w:hAnsi="仿宋" w:eastAsia="仿宋" w:cs="仿宋_GB2312"/>
                <w:color w:val="000000" w:themeColor="text1"/>
                <w:kern w:val="0"/>
                <w:sz w:val="18"/>
                <w:szCs w:val="18"/>
              </w:rPr>
              <w:t>593</w:t>
            </w:r>
            <w:r>
              <w:rPr>
                <w:rFonts w:hint="eastAsia" w:ascii="仿宋" w:hAnsi="仿宋" w:eastAsia="仿宋" w:cs="仿宋_GB2312"/>
                <w:color w:val="000000" w:themeColor="text1"/>
                <w:kern w:val="0"/>
                <w:sz w:val="18"/>
                <w:szCs w:val="18"/>
              </w:rPr>
              <w:t>号）第二十五条禁止损坏、擅自移动、涂改、遮挡公路附属设施或者利用公路附属设施架设管道、悬挂物品。第六十条第（一）项违反本条例的规定，有下列行为之一的，由公路管理机构责令改正，可以处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万元以下的罚款：（一）损坏、擅自移动、涂改、遮挡公路附属设施或者利用公路附属设施架设管道、悬挂物品，可能危及公路安全的。</w:t>
            </w:r>
          </w:p>
          <w:p w14:paraId="7E7B20D8">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0AB6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D940A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F0CFC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43A46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3B709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5216F7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35C6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8" w:hRule="atLeast"/>
          <w:jc w:val="center"/>
        </w:trPr>
        <w:tc>
          <w:tcPr>
            <w:tcW w:w="943" w:type="dxa"/>
            <w:vMerge w:val="continue"/>
            <w:vAlign w:val="center"/>
          </w:tcPr>
          <w:p w14:paraId="1BCAA79B">
            <w:pPr>
              <w:rPr>
                <w:color w:val="000000" w:themeColor="text1"/>
              </w:rPr>
            </w:pPr>
          </w:p>
        </w:tc>
        <w:tc>
          <w:tcPr>
            <w:tcW w:w="1110" w:type="dxa"/>
            <w:vAlign w:val="center"/>
          </w:tcPr>
          <w:p w14:paraId="44129FA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0F98BB8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B7D43F4">
            <w:pPr>
              <w:jc w:val="center"/>
              <w:rPr>
                <w:rFonts w:ascii="仿宋" w:hAnsi="仿宋" w:eastAsia="仿宋" w:cs="黑体"/>
                <w:color w:val="000000" w:themeColor="text1"/>
                <w:sz w:val="18"/>
                <w:szCs w:val="18"/>
              </w:rPr>
            </w:pPr>
          </w:p>
        </w:tc>
        <w:tc>
          <w:tcPr>
            <w:tcW w:w="1406" w:type="dxa"/>
            <w:vAlign w:val="center"/>
          </w:tcPr>
          <w:p w14:paraId="4A34F7D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EDC0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35BE79F">
            <w:pPr>
              <w:rPr>
                <w:color w:val="000000" w:themeColor="text1"/>
              </w:rPr>
            </w:pPr>
          </w:p>
        </w:tc>
        <w:tc>
          <w:tcPr>
            <w:tcW w:w="1110" w:type="dxa"/>
            <w:vAlign w:val="center"/>
          </w:tcPr>
          <w:p w14:paraId="5604AB2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38B4088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45A2703">
            <w:pPr>
              <w:jc w:val="center"/>
              <w:rPr>
                <w:rFonts w:ascii="仿宋" w:hAnsi="仿宋" w:eastAsia="仿宋" w:cs="黑体"/>
                <w:color w:val="000000" w:themeColor="text1"/>
                <w:sz w:val="18"/>
                <w:szCs w:val="18"/>
              </w:rPr>
            </w:pPr>
          </w:p>
        </w:tc>
        <w:tc>
          <w:tcPr>
            <w:tcW w:w="1406" w:type="dxa"/>
            <w:vAlign w:val="center"/>
          </w:tcPr>
          <w:p w14:paraId="652CE5E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BF22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8699091">
            <w:pPr>
              <w:rPr>
                <w:color w:val="000000" w:themeColor="text1"/>
              </w:rPr>
            </w:pPr>
          </w:p>
        </w:tc>
        <w:tc>
          <w:tcPr>
            <w:tcW w:w="1110" w:type="dxa"/>
            <w:vAlign w:val="center"/>
          </w:tcPr>
          <w:p w14:paraId="08FCCE3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1C90F88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B95A2DB">
            <w:pPr>
              <w:jc w:val="center"/>
              <w:rPr>
                <w:rFonts w:ascii="仿宋" w:hAnsi="仿宋" w:eastAsia="仿宋" w:cs="黑体"/>
                <w:color w:val="000000" w:themeColor="text1"/>
                <w:sz w:val="18"/>
                <w:szCs w:val="18"/>
              </w:rPr>
            </w:pPr>
          </w:p>
        </w:tc>
        <w:tc>
          <w:tcPr>
            <w:tcW w:w="1406" w:type="dxa"/>
            <w:vAlign w:val="center"/>
          </w:tcPr>
          <w:p w14:paraId="508C462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68E3A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0FC423C">
            <w:pPr>
              <w:rPr>
                <w:color w:val="000000" w:themeColor="text1"/>
              </w:rPr>
            </w:pPr>
          </w:p>
        </w:tc>
        <w:tc>
          <w:tcPr>
            <w:tcW w:w="1110" w:type="dxa"/>
            <w:vAlign w:val="center"/>
          </w:tcPr>
          <w:p w14:paraId="16EA00D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5C6EF77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9794CC6">
            <w:pPr>
              <w:jc w:val="center"/>
              <w:rPr>
                <w:rFonts w:ascii="仿宋" w:hAnsi="仿宋" w:eastAsia="仿宋" w:cs="黑体"/>
                <w:color w:val="000000" w:themeColor="text1"/>
                <w:sz w:val="18"/>
                <w:szCs w:val="18"/>
              </w:rPr>
            </w:pPr>
          </w:p>
        </w:tc>
        <w:tc>
          <w:tcPr>
            <w:tcW w:w="1406" w:type="dxa"/>
            <w:vAlign w:val="center"/>
          </w:tcPr>
          <w:p w14:paraId="0796137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519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2" w:hRule="atLeast"/>
          <w:jc w:val="center"/>
        </w:trPr>
        <w:tc>
          <w:tcPr>
            <w:tcW w:w="943" w:type="dxa"/>
            <w:vMerge w:val="continue"/>
            <w:vAlign w:val="center"/>
          </w:tcPr>
          <w:p w14:paraId="2A59FA46">
            <w:pPr>
              <w:rPr>
                <w:color w:val="000000" w:themeColor="text1"/>
              </w:rPr>
            </w:pPr>
          </w:p>
        </w:tc>
        <w:tc>
          <w:tcPr>
            <w:tcW w:w="1110" w:type="dxa"/>
            <w:vAlign w:val="center"/>
          </w:tcPr>
          <w:p w14:paraId="216E9A4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1C89B23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12153F94">
            <w:pPr>
              <w:jc w:val="center"/>
              <w:rPr>
                <w:rFonts w:ascii="仿宋" w:hAnsi="仿宋" w:eastAsia="仿宋" w:cs="黑体"/>
                <w:color w:val="000000" w:themeColor="text1"/>
                <w:sz w:val="18"/>
                <w:szCs w:val="18"/>
              </w:rPr>
            </w:pPr>
          </w:p>
        </w:tc>
        <w:tc>
          <w:tcPr>
            <w:tcW w:w="1406" w:type="dxa"/>
            <w:vAlign w:val="center"/>
          </w:tcPr>
          <w:p w14:paraId="0350643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63A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66" w:hRule="atLeast"/>
          <w:jc w:val="center"/>
        </w:trPr>
        <w:tc>
          <w:tcPr>
            <w:tcW w:w="943" w:type="dxa"/>
            <w:vAlign w:val="center"/>
          </w:tcPr>
          <w:p w14:paraId="7E19530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D5A6739">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5625B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780B0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A44696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0D0D67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31E4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351B8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93D299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2ABE07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69B3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94AA01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8F505CC">
            <w:pPr>
              <w:widowControl/>
              <w:jc w:val="left"/>
              <w:textAlignment w:val="center"/>
              <w:rPr>
                <w:rFonts w:ascii="黑体" w:eastAsia="黑体" w:cs="黑体"/>
                <w:color w:val="000000" w:themeColor="text1"/>
                <w:kern w:val="0"/>
                <w:sz w:val="18"/>
                <w:szCs w:val="18"/>
              </w:rPr>
            </w:pPr>
          </w:p>
        </w:tc>
      </w:tr>
    </w:tbl>
    <w:p w14:paraId="42F72D35">
      <w:pPr>
        <w:snapToGrid w:val="0"/>
        <w:spacing w:line="240" w:lineRule="atLeast"/>
        <w:rPr>
          <w:color w:val="000000" w:themeColor="text1"/>
          <w:sz w:val="18"/>
          <w:szCs w:val="18"/>
        </w:rPr>
      </w:pPr>
    </w:p>
    <w:p w14:paraId="2C63900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8591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C27CC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CFE756A">
            <w:pPr>
              <w:jc w:val="center"/>
              <w:rPr>
                <w:rFonts w:ascii="黑体" w:eastAsia="黑体" w:cs="黑体"/>
                <w:b/>
                <w:bCs/>
                <w:color w:val="000000" w:themeColor="text1"/>
                <w:szCs w:val="21"/>
              </w:rPr>
            </w:pPr>
            <w:r>
              <w:rPr>
                <w:rFonts w:ascii="黑体" w:eastAsia="黑体" w:cs="黑体"/>
                <w:b/>
                <w:bCs/>
                <w:color w:val="000000" w:themeColor="text1"/>
                <w:szCs w:val="21"/>
              </w:rPr>
              <w:t>7</w:t>
            </w:r>
          </w:p>
        </w:tc>
        <w:tc>
          <w:tcPr>
            <w:tcW w:w="1691" w:type="dxa"/>
            <w:vAlign w:val="center"/>
          </w:tcPr>
          <w:p w14:paraId="3AED2D4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4194C7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8332F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8A427D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8E3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4409A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4A078B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对涉路工程设施影响公路完好、安全和畅通的行政处罚</w:t>
            </w:r>
          </w:p>
        </w:tc>
      </w:tr>
      <w:tr w14:paraId="306FD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782A87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7420DF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3CAA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4BB91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B86F35E">
            <w:pPr>
              <w:spacing w:line="24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w:t>
            </w:r>
            <w:r>
              <w:rPr>
                <w:rFonts w:hint="eastAsia" w:ascii="仿宋" w:hAnsi="仿宋" w:eastAsia="仿宋" w:cs="仿宋_GB2312"/>
                <w:color w:val="000000" w:themeColor="text1"/>
                <w:kern w:val="0"/>
                <w:sz w:val="18"/>
                <w:szCs w:val="18"/>
              </w:rPr>
              <w:t>法律法规】《公路安全保护条例》（中华人民共和国国务院令第</w:t>
            </w:r>
            <w:r>
              <w:rPr>
                <w:rFonts w:ascii="仿宋" w:hAnsi="仿宋" w:eastAsia="仿宋" w:cs="仿宋_GB2312"/>
                <w:color w:val="000000" w:themeColor="text1"/>
                <w:kern w:val="0"/>
                <w:sz w:val="18"/>
                <w:szCs w:val="18"/>
              </w:rPr>
              <w:t>593</w:t>
            </w:r>
            <w:r>
              <w:rPr>
                <w:rFonts w:hint="eastAsia" w:ascii="仿宋" w:hAnsi="仿宋" w:eastAsia="仿宋" w:cs="仿宋_GB2312"/>
                <w:color w:val="000000" w:themeColor="text1"/>
                <w:kern w:val="0"/>
                <w:sz w:val="18"/>
                <w:szCs w:val="18"/>
              </w:rPr>
              <w:t>号）第六十条第（二）项违反本条例的规定，有下列行为之一的，由公路管理机构责令改正，可以处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万元以下的罚款：（二）涉路工程设施影响公路完好、安全和畅通的。</w:t>
            </w:r>
          </w:p>
          <w:p w14:paraId="12500642">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3D5A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11ED2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884389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672A13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883E0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B503C1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E74D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A71DC7F">
            <w:pPr>
              <w:rPr>
                <w:color w:val="000000" w:themeColor="text1"/>
              </w:rPr>
            </w:pPr>
          </w:p>
        </w:tc>
        <w:tc>
          <w:tcPr>
            <w:tcW w:w="1110" w:type="dxa"/>
            <w:vAlign w:val="center"/>
          </w:tcPr>
          <w:p w14:paraId="4EDC960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23856A8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CB21CAE">
            <w:pPr>
              <w:jc w:val="center"/>
              <w:rPr>
                <w:rFonts w:ascii="仿宋" w:hAnsi="仿宋" w:eastAsia="仿宋" w:cs="黑体"/>
                <w:color w:val="000000" w:themeColor="text1"/>
                <w:sz w:val="18"/>
                <w:szCs w:val="18"/>
              </w:rPr>
            </w:pPr>
          </w:p>
        </w:tc>
        <w:tc>
          <w:tcPr>
            <w:tcW w:w="1406" w:type="dxa"/>
            <w:vAlign w:val="center"/>
          </w:tcPr>
          <w:p w14:paraId="7261F65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FA1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D64439E">
            <w:pPr>
              <w:rPr>
                <w:color w:val="000000" w:themeColor="text1"/>
              </w:rPr>
            </w:pPr>
          </w:p>
        </w:tc>
        <w:tc>
          <w:tcPr>
            <w:tcW w:w="1110" w:type="dxa"/>
            <w:vAlign w:val="center"/>
          </w:tcPr>
          <w:p w14:paraId="6CEA5E7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368A978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84A8738">
            <w:pPr>
              <w:jc w:val="center"/>
              <w:rPr>
                <w:rFonts w:ascii="仿宋" w:hAnsi="仿宋" w:eastAsia="仿宋" w:cs="黑体"/>
                <w:color w:val="000000" w:themeColor="text1"/>
                <w:sz w:val="18"/>
                <w:szCs w:val="18"/>
              </w:rPr>
            </w:pPr>
          </w:p>
        </w:tc>
        <w:tc>
          <w:tcPr>
            <w:tcW w:w="1406" w:type="dxa"/>
            <w:vAlign w:val="center"/>
          </w:tcPr>
          <w:p w14:paraId="1A4267E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8F9D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A08B10B">
            <w:pPr>
              <w:rPr>
                <w:color w:val="000000" w:themeColor="text1"/>
              </w:rPr>
            </w:pPr>
          </w:p>
        </w:tc>
        <w:tc>
          <w:tcPr>
            <w:tcW w:w="1110" w:type="dxa"/>
            <w:vAlign w:val="center"/>
          </w:tcPr>
          <w:p w14:paraId="25B4E5B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24FB29E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12AF0D7">
            <w:pPr>
              <w:jc w:val="center"/>
              <w:rPr>
                <w:rFonts w:ascii="仿宋" w:hAnsi="仿宋" w:eastAsia="仿宋" w:cs="黑体"/>
                <w:color w:val="000000" w:themeColor="text1"/>
                <w:sz w:val="18"/>
                <w:szCs w:val="18"/>
              </w:rPr>
            </w:pPr>
          </w:p>
        </w:tc>
        <w:tc>
          <w:tcPr>
            <w:tcW w:w="1406" w:type="dxa"/>
            <w:vAlign w:val="center"/>
          </w:tcPr>
          <w:p w14:paraId="6E86A23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16791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76E20DA">
            <w:pPr>
              <w:rPr>
                <w:color w:val="000000" w:themeColor="text1"/>
              </w:rPr>
            </w:pPr>
          </w:p>
        </w:tc>
        <w:tc>
          <w:tcPr>
            <w:tcW w:w="1110" w:type="dxa"/>
            <w:vAlign w:val="center"/>
          </w:tcPr>
          <w:p w14:paraId="09F3F7E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12AC7135">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D2B0637">
            <w:pPr>
              <w:jc w:val="center"/>
              <w:rPr>
                <w:rFonts w:ascii="仿宋" w:hAnsi="仿宋" w:eastAsia="仿宋" w:cs="黑体"/>
                <w:color w:val="000000" w:themeColor="text1"/>
                <w:sz w:val="18"/>
                <w:szCs w:val="18"/>
              </w:rPr>
            </w:pPr>
          </w:p>
        </w:tc>
        <w:tc>
          <w:tcPr>
            <w:tcW w:w="1406" w:type="dxa"/>
            <w:vAlign w:val="center"/>
          </w:tcPr>
          <w:p w14:paraId="4894F9F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DB85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99BD709">
            <w:pPr>
              <w:rPr>
                <w:color w:val="000000" w:themeColor="text1"/>
              </w:rPr>
            </w:pPr>
          </w:p>
        </w:tc>
        <w:tc>
          <w:tcPr>
            <w:tcW w:w="1110" w:type="dxa"/>
            <w:vAlign w:val="center"/>
          </w:tcPr>
          <w:p w14:paraId="7276095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699D1CE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38D92F3D">
            <w:pPr>
              <w:jc w:val="center"/>
              <w:rPr>
                <w:rFonts w:ascii="仿宋" w:hAnsi="仿宋" w:eastAsia="仿宋" w:cs="黑体"/>
                <w:color w:val="000000" w:themeColor="text1"/>
                <w:sz w:val="18"/>
                <w:szCs w:val="18"/>
              </w:rPr>
            </w:pPr>
          </w:p>
        </w:tc>
        <w:tc>
          <w:tcPr>
            <w:tcW w:w="1406" w:type="dxa"/>
            <w:vAlign w:val="center"/>
          </w:tcPr>
          <w:p w14:paraId="71D066F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E010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ACF526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346CEAE">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47AD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5367B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9E8BB1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100823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4D25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F4EC8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172FBC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197637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9901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2063D8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290AA3A">
            <w:pPr>
              <w:widowControl/>
              <w:jc w:val="left"/>
              <w:textAlignment w:val="center"/>
              <w:rPr>
                <w:rFonts w:ascii="黑体" w:eastAsia="黑体" w:cs="黑体"/>
                <w:color w:val="000000" w:themeColor="text1"/>
                <w:kern w:val="0"/>
                <w:sz w:val="18"/>
                <w:szCs w:val="18"/>
              </w:rPr>
            </w:pPr>
          </w:p>
        </w:tc>
      </w:tr>
    </w:tbl>
    <w:p w14:paraId="7BEE70B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6770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0CCF5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FEAACC6">
            <w:pPr>
              <w:jc w:val="center"/>
              <w:rPr>
                <w:rFonts w:ascii="黑体" w:eastAsia="黑体" w:cs="黑体"/>
                <w:b/>
                <w:bCs/>
                <w:color w:val="000000" w:themeColor="text1"/>
                <w:szCs w:val="21"/>
              </w:rPr>
            </w:pPr>
            <w:r>
              <w:rPr>
                <w:rFonts w:ascii="黑体" w:eastAsia="黑体" w:cs="黑体"/>
                <w:b/>
                <w:bCs/>
                <w:color w:val="000000" w:themeColor="text1"/>
                <w:szCs w:val="21"/>
              </w:rPr>
              <w:t>8</w:t>
            </w:r>
          </w:p>
        </w:tc>
        <w:tc>
          <w:tcPr>
            <w:tcW w:w="1691" w:type="dxa"/>
            <w:vAlign w:val="center"/>
          </w:tcPr>
          <w:p w14:paraId="7776138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B2CD77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2EC55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52495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1996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C781C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F8598E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对造成公路损坏未报告行为的行政处罚</w:t>
            </w:r>
          </w:p>
        </w:tc>
      </w:tr>
      <w:tr w14:paraId="3507C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B65E5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882CF1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EBC6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4CE13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B922F8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日第五次修改）第七十八条违反本法第五十三条规定，造成公路损坏，未报告的，由交通主管部门处一千元以下的罚款。</w:t>
            </w:r>
          </w:p>
          <w:p w14:paraId="0DBD4C65">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3FF660F0">
            <w:pPr>
              <w:rPr>
                <w:rFonts w:ascii="仿宋" w:hAnsi="仿宋" w:eastAsia="仿宋" w:cs="仿宋_GB2312"/>
                <w:color w:val="000000" w:themeColor="text1"/>
                <w:kern w:val="0"/>
                <w:sz w:val="18"/>
                <w:szCs w:val="18"/>
              </w:rPr>
            </w:pPr>
          </w:p>
          <w:p w14:paraId="2D8D7554">
            <w:pPr>
              <w:spacing w:line="240" w:lineRule="exact"/>
              <w:rPr>
                <w:rFonts w:ascii="仿宋_GB2312" w:eastAsia="仿宋_GB2312" w:cs="黑体"/>
                <w:b/>
                <w:bCs/>
                <w:color w:val="000000" w:themeColor="text1"/>
                <w:szCs w:val="21"/>
              </w:rPr>
            </w:pPr>
          </w:p>
        </w:tc>
      </w:tr>
      <w:tr w14:paraId="50575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540B8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A857B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34CB4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14F3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1A6F8D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1F53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A225827">
            <w:pPr>
              <w:rPr>
                <w:color w:val="000000" w:themeColor="text1"/>
              </w:rPr>
            </w:pPr>
          </w:p>
        </w:tc>
        <w:tc>
          <w:tcPr>
            <w:tcW w:w="1110" w:type="dxa"/>
            <w:vAlign w:val="center"/>
          </w:tcPr>
          <w:p w14:paraId="05F83DE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3A75BC4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B4FA6FD">
            <w:pPr>
              <w:jc w:val="center"/>
              <w:rPr>
                <w:rFonts w:ascii="仿宋" w:hAnsi="仿宋" w:eastAsia="仿宋" w:cs="黑体"/>
                <w:color w:val="000000" w:themeColor="text1"/>
                <w:sz w:val="18"/>
                <w:szCs w:val="18"/>
              </w:rPr>
            </w:pPr>
          </w:p>
        </w:tc>
        <w:tc>
          <w:tcPr>
            <w:tcW w:w="1406" w:type="dxa"/>
            <w:vAlign w:val="center"/>
          </w:tcPr>
          <w:p w14:paraId="4F908D9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A1A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85878CC">
            <w:pPr>
              <w:rPr>
                <w:color w:val="000000" w:themeColor="text1"/>
              </w:rPr>
            </w:pPr>
          </w:p>
        </w:tc>
        <w:tc>
          <w:tcPr>
            <w:tcW w:w="1110" w:type="dxa"/>
            <w:vAlign w:val="center"/>
          </w:tcPr>
          <w:p w14:paraId="1612C42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2E06EE4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891B2B2">
            <w:pPr>
              <w:jc w:val="center"/>
              <w:rPr>
                <w:rFonts w:ascii="仿宋" w:hAnsi="仿宋" w:eastAsia="仿宋" w:cs="黑体"/>
                <w:color w:val="000000" w:themeColor="text1"/>
                <w:sz w:val="18"/>
                <w:szCs w:val="18"/>
              </w:rPr>
            </w:pPr>
          </w:p>
        </w:tc>
        <w:tc>
          <w:tcPr>
            <w:tcW w:w="1406" w:type="dxa"/>
            <w:vAlign w:val="center"/>
          </w:tcPr>
          <w:p w14:paraId="0137C17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3C9B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093CECA">
            <w:pPr>
              <w:rPr>
                <w:color w:val="000000" w:themeColor="text1"/>
              </w:rPr>
            </w:pPr>
          </w:p>
        </w:tc>
        <w:tc>
          <w:tcPr>
            <w:tcW w:w="1110" w:type="dxa"/>
            <w:vAlign w:val="center"/>
          </w:tcPr>
          <w:p w14:paraId="07CDF3B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1D6A7CC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81511E2">
            <w:pPr>
              <w:jc w:val="center"/>
              <w:rPr>
                <w:rFonts w:ascii="仿宋" w:hAnsi="仿宋" w:eastAsia="仿宋" w:cs="黑体"/>
                <w:color w:val="000000" w:themeColor="text1"/>
                <w:sz w:val="18"/>
                <w:szCs w:val="18"/>
              </w:rPr>
            </w:pPr>
          </w:p>
        </w:tc>
        <w:tc>
          <w:tcPr>
            <w:tcW w:w="1406" w:type="dxa"/>
            <w:vAlign w:val="center"/>
          </w:tcPr>
          <w:p w14:paraId="7973445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18256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D6B7E7E">
            <w:pPr>
              <w:rPr>
                <w:color w:val="000000" w:themeColor="text1"/>
              </w:rPr>
            </w:pPr>
          </w:p>
        </w:tc>
        <w:tc>
          <w:tcPr>
            <w:tcW w:w="1110" w:type="dxa"/>
            <w:vAlign w:val="center"/>
          </w:tcPr>
          <w:p w14:paraId="49FE51C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6A4A1A6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5E01136">
            <w:pPr>
              <w:jc w:val="center"/>
              <w:rPr>
                <w:rFonts w:ascii="仿宋" w:hAnsi="仿宋" w:eastAsia="仿宋" w:cs="黑体"/>
                <w:color w:val="000000" w:themeColor="text1"/>
                <w:sz w:val="18"/>
                <w:szCs w:val="18"/>
              </w:rPr>
            </w:pPr>
          </w:p>
        </w:tc>
        <w:tc>
          <w:tcPr>
            <w:tcW w:w="1406" w:type="dxa"/>
            <w:vAlign w:val="center"/>
          </w:tcPr>
          <w:p w14:paraId="6C7495C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0F8F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13B187E2">
            <w:pPr>
              <w:rPr>
                <w:color w:val="000000" w:themeColor="text1"/>
              </w:rPr>
            </w:pPr>
          </w:p>
        </w:tc>
        <w:tc>
          <w:tcPr>
            <w:tcW w:w="1110" w:type="dxa"/>
            <w:vAlign w:val="center"/>
          </w:tcPr>
          <w:p w14:paraId="0571DB7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1C0F1EC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36C903B4">
            <w:pPr>
              <w:jc w:val="center"/>
              <w:rPr>
                <w:rFonts w:ascii="仿宋" w:hAnsi="仿宋" w:eastAsia="仿宋" w:cs="黑体"/>
                <w:color w:val="000000" w:themeColor="text1"/>
                <w:sz w:val="18"/>
                <w:szCs w:val="18"/>
              </w:rPr>
            </w:pPr>
          </w:p>
        </w:tc>
        <w:tc>
          <w:tcPr>
            <w:tcW w:w="1406" w:type="dxa"/>
            <w:vAlign w:val="center"/>
          </w:tcPr>
          <w:p w14:paraId="399D1C5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E639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D6BC91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B9DD48F">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1E142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8E478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A016C4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26A34E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CCEE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E660E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43007E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C65C67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8C58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D1BBB2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CE8C873">
            <w:pPr>
              <w:widowControl/>
              <w:jc w:val="left"/>
              <w:textAlignment w:val="center"/>
              <w:rPr>
                <w:rFonts w:ascii="黑体" w:eastAsia="黑体" w:cs="黑体"/>
                <w:color w:val="000000" w:themeColor="text1"/>
                <w:kern w:val="0"/>
                <w:sz w:val="18"/>
                <w:szCs w:val="18"/>
              </w:rPr>
            </w:pPr>
          </w:p>
        </w:tc>
      </w:tr>
    </w:tbl>
    <w:p w14:paraId="445D67AB">
      <w:pPr>
        <w:snapToGrid w:val="0"/>
        <w:spacing w:line="240" w:lineRule="atLeast"/>
        <w:rPr>
          <w:color w:val="000000" w:themeColor="text1"/>
          <w:sz w:val="18"/>
          <w:szCs w:val="18"/>
        </w:rPr>
      </w:pPr>
    </w:p>
    <w:p w14:paraId="5561170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1FCE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BF316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559A10C">
            <w:pPr>
              <w:jc w:val="center"/>
              <w:rPr>
                <w:rFonts w:ascii="黑体" w:eastAsia="黑体" w:cs="黑体"/>
                <w:b/>
                <w:bCs/>
                <w:color w:val="000000" w:themeColor="text1"/>
                <w:szCs w:val="21"/>
              </w:rPr>
            </w:pPr>
            <w:r>
              <w:rPr>
                <w:rFonts w:ascii="黑体" w:eastAsia="黑体" w:cs="黑体"/>
                <w:b/>
                <w:bCs/>
                <w:color w:val="000000" w:themeColor="text1"/>
                <w:szCs w:val="21"/>
              </w:rPr>
              <w:t>9</w:t>
            </w:r>
          </w:p>
        </w:tc>
        <w:tc>
          <w:tcPr>
            <w:tcW w:w="1691" w:type="dxa"/>
            <w:vAlign w:val="center"/>
          </w:tcPr>
          <w:p w14:paraId="5418003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A84E09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9F8E9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A4686C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600E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EC9C5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ED826C3">
            <w:pPr>
              <w:widowControl/>
              <w:jc w:val="center"/>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对擅自在公路用地范围内设置公路标志以外的其他标志行为的行政处罚</w:t>
            </w:r>
          </w:p>
        </w:tc>
      </w:tr>
      <w:tr w14:paraId="5B8C3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F2B5D9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659996B">
            <w:pPr>
              <w:jc w:val="center"/>
              <w:rPr>
                <w:rFonts w:ascii="仿宋" w:hAnsi="仿宋" w:eastAsia="仿宋" w:cs="黑体"/>
                <w:color w:val="000000" w:themeColor="text1"/>
                <w:kern w:val="0"/>
                <w:sz w:val="18"/>
                <w:szCs w:val="18"/>
              </w:rPr>
            </w:pPr>
            <w:r>
              <w:rPr>
                <w:rFonts w:hint="eastAsia" w:ascii="仿宋" w:hAnsi="仿宋" w:eastAsia="仿宋" w:cs="仿宋_GB2312"/>
                <w:color w:val="000000" w:themeColor="text1"/>
                <w:kern w:val="0"/>
                <w:sz w:val="18"/>
                <w:szCs w:val="18"/>
              </w:rPr>
              <w:t>抚宁辖区内</w:t>
            </w:r>
          </w:p>
        </w:tc>
      </w:tr>
      <w:tr w14:paraId="1654A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79675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EA4ED6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七十九条违反本法第五十四条规定，在公路用地范围内设置公路标志以外的其他标志的，由交通主管部门责令限期拆除，可以处二万元以下的罚款；逾期不拆除的，由交通主管部门拆除，有关费用由设置者负担。</w:t>
            </w:r>
          </w:p>
          <w:p w14:paraId="7E1A3CA9">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72DC381C">
            <w:pPr>
              <w:rPr>
                <w:rFonts w:ascii="仿宋" w:hAnsi="仿宋" w:eastAsia="仿宋" w:cs="仿宋_GB2312"/>
                <w:color w:val="000000" w:themeColor="text1"/>
                <w:kern w:val="0"/>
                <w:sz w:val="18"/>
                <w:szCs w:val="18"/>
              </w:rPr>
            </w:pPr>
          </w:p>
          <w:p w14:paraId="4DF2F12F">
            <w:pPr>
              <w:spacing w:line="240" w:lineRule="exact"/>
              <w:rPr>
                <w:rFonts w:ascii="仿宋" w:hAnsi="仿宋" w:eastAsia="仿宋" w:cs="黑体"/>
                <w:b/>
                <w:bCs/>
                <w:color w:val="000000" w:themeColor="text1"/>
                <w:szCs w:val="21"/>
              </w:rPr>
            </w:pPr>
          </w:p>
        </w:tc>
      </w:tr>
      <w:tr w14:paraId="66685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3594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836294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57B32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71003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004902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B66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D481A37">
            <w:pPr>
              <w:rPr>
                <w:color w:val="000000" w:themeColor="text1"/>
              </w:rPr>
            </w:pPr>
          </w:p>
        </w:tc>
        <w:tc>
          <w:tcPr>
            <w:tcW w:w="1110" w:type="dxa"/>
            <w:vAlign w:val="center"/>
          </w:tcPr>
          <w:p w14:paraId="1C65037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52CAA6B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A8D8D75">
            <w:pPr>
              <w:jc w:val="center"/>
              <w:rPr>
                <w:rFonts w:ascii="仿宋" w:hAnsi="仿宋" w:eastAsia="仿宋" w:cs="黑体"/>
                <w:color w:val="000000" w:themeColor="text1"/>
                <w:sz w:val="18"/>
                <w:szCs w:val="18"/>
              </w:rPr>
            </w:pPr>
          </w:p>
        </w:tc>
        <w:tc>
          <w:tcPr>
            <w:tcW w:w="1406" w:type="dxa"/>
            <w:vAlign w:val="center"/>
          </w:tcPr>
          <w:p w14:paraId="6F1FD7D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45C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85E4686">
            <w:pPr>
              <w:rPr>
                <w:color w:val="000000" w:themeColor="text1"/>
              </w:rPr>
            </w:pPr>
          </w:p>
        </w:tc>
        <w:tc>
          <w:tcPr>
            <w:tcW w:w="1110" w:type="dxa"/>
            <w:vAlign w:val="center"/>
          </w:tcPr>
          <w:p w14:paraId="79277B3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770A282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EDD865F">
            <w:pPr>
              <w:jc w:val="center"/>
              <w:rPr>
                <w:rFonts w:ascii="仿宋" w:hAnsi="仿宋" w:eastAsia="仿宋" w:cs="黑体"/>
                <w:color w:val="000000" w:themeColor="text1"/>
                <w:sz w:val="18"/>
                <w:szCs w:val="18"/>
              </w:rPr>
            </w:pPr>
          </w:p>
        </w:tc>
        <w:tc>
          <w:tcPr>
            <w:tcW w:w="1406" w:type="dxa"/>
            <w:vAlign w:val="center"/>
          </w:tcPr>
          <w:p w14:paraId="433022D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0DC6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1C466B0">
            <w:pPr>
              <w:rPr>
                <w:color w:val="000000" w:themeColor="text1"/>
              </w:rPr>
            </w:pPr>
          </w:p>
        </w:tc>
        <w:tc>
          <w:tcPr>
            <w:tcW w:w="1110" w:type="dxa"/>
            <w:vAlign w:val="center"/>
          </w:tcPr>
          <w:p w14:paraId="173856F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6B63C55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26E06B2">
            <w:pPr>
              <w:jc w:val="center"/>
              <w:rPr>
                <w:rFonts w:ascii="仿宋" w:hAnsi="仿宋" w:eastAsia="仿宋" w:cs="黑体"/>
                <w:color w:val="000000" w:themeColor="text1"/>
                <w:sz w:val="18"/>
                <w:szCs w:val="18"/>
              </w:rPr>
            </w:pPr>
          </w:p>
        </w:tc>
        <w:tc>
          <w:tcPr>
            <w:tcW w:w="1406" w:type="dxa"/>
            <w:vAlign w:val="center"/>
          </w:tcPr>
          <w:p w14:paraId="0FC9851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304F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A1EF544">
            <w:pPr>
              <w:rPr>
                <w:color w:val="000000" w:themeColor="text1"/>
              </w:rPr>
            </w:pPr>
          </w:p>
        </w:tc>
        <w:tc>
          <w:tcPr>
            <w:tcW w:w="1110" w:type="dxa"/>
            <w:vAlign w:val="center"/>
          </w:tcPr>
          <w:p w14:paraId="20EB46B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2C41000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E1A3110">
            <w:pPr>
              <w:jc w:val="center"/>
              <w:rPr>
                <w:rFonts w:ascii="仿宋" w:hAnsi="仿宋" w:eastAsia="仿宋" w:cs="黑体"/>
                <w:color w:val="000000" w:themeColor="text1"/>
                <w:sz w:val="18"/>
                <w:szCs w:val="18"/>
              </w:rPr>
            </w:pPr>
          </w:p>
        </w:tc>
        <w:tc>
          <w:tcPr>
            <w:tcW w:w="1406" w:type="dxa"/>
            <w:vAlign w:val="center"/>
          </w:tcPr>
          <w:p w14:paraId="3266D50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0D4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60EE88E">
            <w:pPr>
              <w:rPr>
                <w:color w:val="000000" w:themeColor="text1"/>
              </w:rPr>
            </w:pPr>
          </w:p>
        </w:tc>
        <w:tc>
          <w:tcPr>
            <w:tcW w:w="1110" w:type="dxa"/>
            <w:vAlign w:val="center"/>
          </w:tcPr>
          <w:p w14:paraId="36BF40F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3336643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22C079F5">
            <w:pPr>
              <w:jc w:val="center"/>
              <w:rPr>
                <w:rFonts w:ascii="仿宋" w:hAnsi="仿宋" w:eastAsia="仿宋" w:cs="黑体"/>
                <w:color w:val="000000" w:themeColor="text1"/>
                <w:sz w:val="18"/>
                <w:szCs w:val="18"/>
              </w:rPr>
            </w:pPr>
          </w:p>
        </w:tc>
        <w:tc>
          <w:tcPr>
            <w:tcW w:w="1406" w:type="dxa"/>
            <w:vAlign w:val="center"/>
          </w:tcPr>
          <w:p w14:paraId="51CE2C2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03B5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BBDFBC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7433B50">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3300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7AB1E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66B29E1">
            <w:pPr>
              <w:widowControl/>
              <w:spacing w:line="240" w:lineRule="exact"/>
              <w:ind w:left="31680" w:hanging="180" w:hangingChars="100"/>
              <w:jc w:val="left"/>
              <w:textAlignment w:val="center"/>
              <w:rPr>
                <w:rFonts w:ascii="仿宋" w:hAnsi="仿宋" w:eastAsia="仿宋" w:cs="黑体"/>
                <w:color w:val="000000" w:themeColor="text1"/>
                <w:kern w:val="0"/>
                <w:sz w:val="18"/>
                <w:szCs w:val="18"/>
              </w:rPr>
            </w:pPr>
            <w:r>
              <w:rPr>
                <w:rFonts w:ascii="仿宋" w:hAnsi="仿宋" w:eastAsia="仿宋" w:cs="黑体"/>
                <w:color w:val="000000" w:themeColor="text1"/>
                <w:kern w:val="0"/>
                <w:sz w:val="18"/>
                <w:szCs w:val="18"/>
              </w:rPr>
              <w:t>1.</w:t>
            </w:r>
            <w:r>
              <w:rPr>
                <w:rFonts w:hint="eastAsia" w:ascii="仿宋" w:hAnsi="仿宋" w:eastAsia="仿宋" w:cs="黑体"/>
                <w:color w:val="000000" w:themeColor="text1"/>
                <w:kern w:val="0"/>
                <w:sz w:val="18"/>
                <w:szCs w:val="18"/>
              </w:rPr>
              <w:t>业务咨询：</w:t>
            </w:r>
            <w:r>
              <w:rPr>
                <w:rFonts w:ascii="仿宋" w:hAnsi="仿宋" w:eastAsia="仿宋" w:cs="黑体"/>
                <w:color w:val="000000" w:themeColor="text1"/>
                <w:kern w:val="0"/>
                <w:sz w:val="18"/>
                <w:szCs w:val="18"/>
              </w:rPr>
              <w:t>6181162        2.</w:t>
            </w:r>
            <w:r>
              <w:rPr>
                <w:rFonts w:hint="eastAsia" w:ascii="仿宋" w:hAnsi="仿宋" w:eastAsia="仿宋" w:cs="黑体"/>
                <w:color w:val="000000" w:themeColor="text1"/>
                <w:kern w:val="0"/>
                <w:sz w:val="18"/>
                <w:szCs w:val="18"/>
              </w:rPr>
              <w:t>投诉举报电话：</w:t>
            </w:r>
            <w:r>
              <w:rPr>
                <w:rFonts w:ascii="仿宋" w:hAnsi="仿宋" w:eastAsia="仿宋" w:cs="黑体"/>
                <w:color w:val="000000" w:themeColor="text1"/>
                <w:kern w:val="0"/>
                <w:sz w:val="18"/>
                <w:szCs w:val="18"/>
              </w:rPr>
              <w:t>6682452</w:t>
            </w:r>
          </w:p>
          <w:p w14:paraId="7EB8C22A">
            <w:pPr>
              <w:widowControl/>
              <w:spacing w:line="240" w:lineRule="exact"/>
              <w:jc w:val="left"/>
              <w:textAlignment w:val="center"/>
              <w:rPr>
                <w:rFonts w:ascii="仿宋" w:hAnsi="仿宋" w:eastAsia="仿宋" w:cs="黑体"/>
                <w:color w:val="000000" w:themeColor="text1"/>
                <w:sz w:val="24"/>
              </w:rPr>
            </w:pPr>
            <w:r>
              <w:rPr>
                <w:rFonts w:ascii="仿宋" w:hAnsi="仿宋" w:eastAsia="仿宋" w:cs="黑体"/>
                <w:color w:val="000000" w:themeColor="text1"/>
                <w:kern w:val="0"/>
                <w:sz w:val="18"/>
                <w:szCs w:val="18"/>
              </w:rPr>
              <w:t>3.</w:t>
            </w:r>
            <w:r>
              <w:rPr>
                <w:rFonts w:hint="eastAsia" w:ascii="仿宋" w:hAnsi="仿宋" w:eastAsia="仿宋" w:cs="黑体"/>
                <w:color w:val="000000" w:themeColor="text1"/>
                <w:kern w:val="0"/>
                <w:sz w:val="18"/>
                <w:szCs w:val="18"/>
              </w:rPr>
              <w:t>纪检监察投诉：抚宁区交通运输局纪检监察办公室，电话：</w:t>
            </w:r>
            <w:r>
              <w:rPr>
                <w:rFonts w:ascii="仿宋" w:hAnsi="仿宋" w:eastAsia="仿宋" w:cs="黑体"/>
                <w:color w:val="000000" w:themeColor="text1"/>
                <w:kern w:val="0"/>
                <w:sz w:val="18"/>
                <w:szCs w:val="18"/>
              </w:rPr>
              <w:t>6681263</w:t>
            </w:r>
          </w:p>
        </w:tc>
      </w:tr>
      <w:tr w14:paraId="26AE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0FF6A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A9782B2">
            <w:pPr>
              <w:widowControl/>
              <w:jc w:val="left"/>
              <w:textAlignment w:val="center"/>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．不服处罚决定自知道该具体行政行为之日起六十日内向抚宁区人民政府申请行政复议。</w:t>
            </w:r>
          </w:p>
          <w:p w14:paraId="669CB15D">
            <w:pPr>
              <w:widowControl/>
              <w:jc w:val="left"/>
              <w:textAlignment w:val="center"/>
              <w:rPr>
                <w:rFonts w:ascii="仿宋" w:hAnsi="仿宋" w:eastAsia="仿宋" w:cs="黑体"/>
                <w:b/>
                <w:bCs/>
                <w:color w:val="000000" w:themeColor="text1"/>
                <w:szCs w:val="21"/>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．不服处罚决定应当自知道或者应当知道作出行政行为之日起六个月内提出向抚宁区人民法院提起行政诉讼。</w:t>
            </w:r>
          </w:p>
        </w:tc>
      </w:tr>
      <w:tr w14:paraId="00D7C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7E0BE9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B955135">
            <w:pPr>
              <w:widowControl/>
              <w:jc w:val="left"/>
              <w:textAlignment w:val="center"/>
              <w:rPr>
                <w:rFonts w:ascii="黑体" w:eastAsia="黑体" w:cs="黑体"/>
                <w:color w:val="000000" w:themeColor="text1"/>
                <w:kern w:val="0"/>
                <w:sz w:val="18"/>
                <w:szCs w:val="18"/>
              </w:rPr>
            </w:pPr>
          </w:p>
        </w:tc>
      </w:tr>
    </w:tbl>
    <w:p w14:paraId="4E0D58FA">
      <w:pPr>
        <w:snapToGrid w:val="0"/>
        <w:spacing w:line="240" w:lineRule="atLeast"/>
        <w:rPr>
          <w:color w:val="000000" w:themeColor="text1"/>
          <w:sz w:val="18"/>
          <w:szCs w:val="18"/>
        </w:rPr>
      </w:pPr>
    </w:p>
    <w:p w14:paraId="03A0445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93A5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EB081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E5A8A7E">
            <w:pPr>
              <w:jc w:val="center"/>
              <w:rPr>
                <w:rFonts w:ascii="黑体" w:eastAsia="黑体" w:cs="黑体"/>
                <w:b/>
                <w:bCs/>
                <w:color w:val="000000" w:themeColor="text1"/>
                <w:szCs w:val="21"/>
              </w:rPr>
            </w:pPr>
            <w:r>
              <w:rPr>
                <w:rFonts w:ascii="黑体" w:eastAsia="黑体" w:cs="黑体"/>
                <w:b/>
                <w:bCs/>
                <w:color w:val="000000" w:themeColor="text1"/>
                <w:szCs w:val="21"/>
              </w:rPr>
              <w:t>10</w:t>
            </w:r>
          </w:p>
        </w:tc>
        <w:tc>
          <w:tcPr>
            <w:tcW w:w="1691" w:type="dxa"/>
            <w:vAlign w:val="center"/>
          </w:tcPr>
          <w:p w14:paraId="4CC8881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350ACF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C664E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844E2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AEEC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67361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7E23179">
            <w:pPr>
              <w:widowControl/>
              <w:jc w:val="center"/>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对在公路建筑控制区内修建、扩建建筑物、地面构筑物或擅自埋设管道、电缆等设施行为的行政处罚</w:t>
            </w:r>
          </w:p>
        </w:tc>
      </w:tr>
      <w:tr w14:paraId="7F8CC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CF7257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93CE9CE">
            <w:pPr>
              <w:jc w:val="center"/>
              <w:rPr>
                <w:rFonts w:ascii="仿宋" w:hAnsi="仿宋" w:eastAsia="仿宋" w:cs="黑体"/>
                <w:color w:val="000000" w:themeColor="text1"/>
                <w:kern w:val="0"/>
                <w:sz w:val="18"/>
                <w:szCs w:val="18"/>
              </w:rPr>
            </w:pPr>
            <w:r>
              <w:rPr>
                <w:rFonts w:hint="eastAsia" w:ascii="仿宋" w:hAnsi="仿宋" w:eastAsia="仿宋" w:cs="仿宋_GB2312"/>
                <w:color w:val="000000" w:themeColor="text1"/>
                <w:kern w:val="0"/>
                <w:sz w:val="18"/>
                <w:szCs w:val="18"/>
              </w:rPr>
              <w:t>抚宁辖区内</w:t>
            </w:r>
          </w:p>
        </w:tc>
      </w:tr>
      <w:tr w14:paraId="0F4D4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66DB8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921F5F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p>
          <w:p w14:paraId="1F843EEB">
            <w:pPr>
              <w:spacing w:line="24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《中华人民共和国公路法》（国家主席令【</w:t>
            </w:r>
            <w:r>
              <w:rPr>
                <w:rFonts w:ascii="仿宋" w:hAnsi="仿宋" w:eastAsia="仿宋" w:cs="仿宋_GB2312"/>
                <w:color w:val="000000" w:themeColor="text1"/>
                <w:kern w:val="0"/>
                <w:sz w:val="18"/>
                <w:szCs w:val="18"/>
              </w:rPr>
              <w:t>97</w:t>
            </w:r>
            <w:r>
              <w:rPr>
                <w:rFonts w:hint="eastAsia" w:ascii="仿宋" w:hAnsi="仿宋" w:eastAsia="仿宋" w:cs="仿宋_GB2312"/>
                <w:color w:val="000000" w:themeColor="text1"/>
                <w:kern w:val="0"/>
                <w:sz w:val="18"/>
                <w:szCs w:val="18"/>
              </w:rPr>
              <w:t>】第</w:t>
            </w:r>
            <w:r>
              <w:rPr>
                <w:rFonts w:ascii="仿宋" w:hAnsi="仿宋" w:eastAsia="仿宋" w:cs="仿宋_GB2312"/>
                <w:color w:val="000000" w:themeColor="text1"/>
                <w:kern w:val="0"/>
                <w:sz w:val="18"/>
                <w:szCs w:val="18"/>
              </w:rPr>
              <w:t>86</w:t>
            </w:r>
            <w:r>
              <w:rPr>
                <w:rFonts w:hint="eastAsia" w:ascii="仿宋" w:hAnsi="仿宋" w:eastAsia="仿宋" w:cs="仿宋_GB2312"/>
                <w:color w:val="000000" w:themeColor="text1"/>
                <w:kern w:val="0"/>
                <w:sz w:val="18"/>
                <w:szCs w:val="18"/>
              </w:rPr>
              <w:t>号，</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改）第八十一条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p>
          <w:p w14:paraId="182B9796">
            <w:pPr>
              <w:spacing w:line="24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《公路安全保护条例》（中华人民共和国国务院令第</w:t>
            </w:r>
            <w:r>
              <w:rPr>
                <w:rFonts w:ascii="仿宋" w:hAnsi="仿宋" w:eastAsia="仿宋" w:cs="仿宋_GB2312"/>
                <w:color w:val="000000" w:themeColor="text1"/>
                <w:kern w:val="0"/>
                <w:sz w:val="18"/>
                <w:szCs w:val="18"/>
              </w:rPr>
              <w:t>593</w:t>
            </w:r>
            <w:r>
              <w:rPr>
                <w:rFonts w:hint="eastAsia" w:ascii="仿宋" w:hAnsi="仿宋" w:eastAsia="仿宋" w:cs="仿宋_GB2312"/>
                <w:color w:val="000000" w:themeColor="text1"/>
                <w:kern w:val="0"/>
                <w:sz w:val="18"/>
                <w:szCs w:val="18"/>
              </w:rPr>
              <w:t>号）第五十六条第（一）项违反本条例的规定，有下列情形之一的，由公路管理机构责令限期拆除，可以处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万元以下的罚款。逾期不拆除的，由公路管理机构拆除，有关费用由违法行为人承担：（一）在公路建筑控制区内修建、扩建建筑物、地面构筑物或者未经许可埋设管道、电缆等设施的。</w:t>
            </w:r>
          </w:p>
          <w:p w14:paraId="1C271979">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5050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7D6A8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CD2FC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5101C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61A66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1B2785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0A4D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5B7592C">
            <w:pPr>
              <w:rPr>
                <w:color w:val="000000" w:themeColor="text1"/>
              </w:rPr>
            </w:pPr>
          </w:p>
        </w:tc>
        <w:tc>
          <w:tcPr>
            <w:tcW w:w="1110" w:type="dxa"/>
            <w:vAlign w:val="center"/>
          </w:tcPr>
          <w:p w14:paraId="7024673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3FDA6C0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6D4B439">
            <w:pPr>
              <w:jc w:val="center"/>
              <w:rPr>
                <w:rFonts w:ascii="仿宋" w:hAnsi="仿宋" w:eastAsia="仿宋" w:cs="黑体"/>
                <w:color w:val="000000" w:themeColor="text1"/>
                <w:sz w:val="18"/>
                <w:szCs w:val="18"/>
              </w:rPr>
            </w:pPr>
          </w:p>
        </w:tc>
        <w:tc>
          <w:tcPr>
            <w:tcW w:w="1406" w:type="dxa"/>
            <w:vAlign w:val="center"/>
          </w:tcPr>
          <w:p w14:paraId="5D6E8CA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5DFF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FD24CDD">
            <w:pPr>
              <w:rPr>
                <w:color w:val="000000" w:themeColor="text1"/>
              </w:rPr>
            </w:pPr>
          </w:p>
        </w:tc>
        <w:tc>
          <w:tcPr>
            <w:tcW w:w="1110" w:type="dxa"/>
            <w:vAlign w:val="center"/>
          </w:tcPr>
          <w:p w14:paraId="3484F68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0955AC9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340ABF4">
            <w:pPr>
              <w:jc w:val="center"/>
              <w:rPr>
                <w:rFonts w:ascii="仿宋" w:hAnsi="仿宋" w:eastAsia="仿宋" w:cs="黑体"/>
                <w:color w:val="000000" w:themeColor="text1"/>
                <w:sz w:val="18"/>
                <w:szCs w:val="18"/>
              </w:rPr>
            </w:pPr>
          </w:p>
        </w:tc>
        <w:tc>
          <w:tcPr>
            <w:tcW w:w="1406" w:type="dxa"/>
            <w:vAlign w:val="center"/>
          </w:tcPr>
          <w:p w14:paraId="701C3E9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4100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DDE336C">
            <w:pPr>
              <w:rPr>
                <w:color w:val="000000" w:themeColor="text1"/>
              </w:rPr>
            </w:pPr>
          </w:p>
        </w:tc>
        <w:tc>
          <w:tcPr>
            <w:tcW w:w="1110" w:type="dxa"/>
            <w:vAlign w:val="center"/>
          </w:tcPr>
          <w:p w14:paraId="113F078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06E6087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C7994E8">
            <w:pPr>
              <w:jc w:val="center"/>
              <w:rPr>
                <w:rFonts w:ascii="仿宋" w:hAnsi="仿宋" w:eastAsia="仿宋" w:cs="黑体"/>
                <w:color w:val="000000" w:themeColor="text1"/>
                <w:sz w:val="18"/>
                <w:szCs w:val="18"/>
              </w:rPr>
            </w:pPr>
          </w:p>
        </w:tc>
        <w:tc>
          <w:tcPr>
            <w:tcW w:w="1406" w:type="dxa"/>
            <w:vAlign w:val="center"/>
          </w:tcPr>
          <w:p w14:paraId="224B66D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6048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A9FE983">
            <w:pPr>
              <w:rPr>
                <w:color w:val="000000" w:themeColor="text1"/>
              </w:rPr>
            </w:pPr>
          </w:p>
        </w:tc>
        <w:tc>
          <w:tcPr>
            <w:tcW w:w="1110" w:type="dxa"/>
            <w:vAlign w:val="center"/>
          </w:tcPr>
          <w:p w14:paraId="044C52A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3091AE9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22D8AD0">
            <w:pPr>
              <w:jc w:val="center"/>
              <w:rPr>
                <w:rFonts w:ascii="仿宋" w:hAnsi="仿宋" w:eastAsia="仿宋" w:cs="黑体"/>
                <w:color w:val="000000" w:themeColor="text1"/>
                <w:sz w:val="18"/>
                <w:szCs w:val="18"/>
              </w:rPr>
            </w:pPr>
          </w:p>
        </w:tc>
        <w:tc>
          <w:tcPr>
            <w:tcW w:w="1406" w:type="dxa"/>
            <w:vAlign w:val="center"/>
          </w:tcPr>
          <w:p w14:paraId="02F9627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798A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0070D5D">
            <w:pPr>
              <w:rPr>
                <w:color w:val="000000" w:themeColor="text1"/>
              </w:rPr>
            </w:pPr>
          </w:p>
        </w:tc>
        <w:tc>
          <w:tcPr>
            <w:tcW w:w="1110" w:type="dxa"/>
            <w:vAlign w:val="center"/>
          </w:tcPr>
          <w:p w14:paraId="3EAE740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5808F88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5CB0885A">
            <w:pPr>
              <w:jc w:val="center"/>
              <w:rPr>
                <w:rFonts w:ascii="仿宋" w:hAnsi="仿宋" w:eastAsia="仿宋" w:cs="黑体"/>
                <w:color w:val="000000" w:themeColor="text1"/>
                <w:sz w:val="18"/>
                <w:szCs w:val="18"/>
              </w:rPr>
            </w:pPr>
          </w:p>
        </w:tc>
        <w:tc>
          <w:tcPr>
            <w:tcW w:w="1406" w:type="dxa"/>
            <w:vAlign w:val="center"/>
          </w:tcPr>
          <w:p w14:paraId="710DEBF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EBA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6F441F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BA1717A">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4CDA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52B17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0C54E0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BD1E66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2D29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B0BA24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E8BF8B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706535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25AB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FE5B1A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FA5ED75">
            <w:pPr>
              <w:widowControl/>
              <w:jc w:val="left"/>
              <w:textAlignment w:val="center"/>
              <w:rPr>
                <w:rFonts w:ascii="黑体" w:eastAsia="黑体" w:cs="黑体"/>
                <w:color w:val="000000" w:themeColor="text1"/>
                <w:kern w:val="0"/>
                <w:sz w:val="18"/>
                <w:szCs w:val="18"/>
              </w:rPr>
            </w:pPr>
          </w:p>
        </w:tc>
      </w:tr>
    </w:tbl>
    <w:p w14:paraId="378C5230">
      <w:pPr>
        <w:widowControl/>
        <w:ind w:firstLine="220" w:firstLineChars="50"/>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801F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9868A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88AC553">
            <w:pPr>
              <w:jc w:val="center"/>
              <w:rPr>
                <w:rFonts w:ascii="黑体" w:eastAsia="黑体" w:cs="黑体"/>
                <w:b/>
                <w:bCs/>
                <w:color w:val="000000" w:themeColor="text1"/>
                <w:szCs w:val="21"/>
              </w:rPr>
            </w:pPr>
            <w:r>
              <w:rPr>
                <w:rFonts w:ascii="黑体" w:eastAsia="黑体" w:cs="黑体"/>
                <w:b/>
                <w:bCs/>
                <w:color w:val="000000" w:themeColor="text1"/>
                <w:szCs w:val="21"/>
              </w:rPr>
              <w:t>11</w:t>
            </w:r>
          </w:p>
        </w:tc>
        <w:tc>
          <w:tcPr>
            <w:tcW w:w="1691" w:type="dxa"/>
            <w:vAlign w:val="center"/>
          </w:tcPr>
          <w:p w14:paraId="3F5C03C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68FB0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0FC54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FC1CEC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w:t>
            </w:r>
            <w:r>
              <w:rPr>
                <w:rFonts w:ascii="仿宋_GB2312" w:eastAsia="仿宋_GB2312" w:cs="仿宋_GB2312"/>
                <w:color w:val="000000" w:themeColor="text1"/>
                <w:kern w:val="0"/>
                <w:sz w:val="18"/>
                <w:szCs w:val="18"/>
              </w:rPr>
              <w:tab/>
            </w:r>
            <w:r>
              <w:rPr>
                <w:rFonts w:hint="eastAsia" w:ascii="仿宋_GB2312" w:eastAsia="仿宋_GB2312" w:cs="仿宋_GB2312"/>
                <w:color w:val="000000" w:themeColor="text1"/>
                <w:kern w:val="0"/>
                <w:sz w:val="18"/>
                <w:szCs w:val="18"/>
              </w:rPr>
              <w:t>区交通运输局</w:t>
            </w:r>
          </w:p>
        </w:tc>
      </w:tr>
      <w:tr w14:paraId="2519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42237D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EB727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对在公路建筑控制区外修建的建筑物、地面构筑物以及其他设施遮挡公路标志或者妨碍安全视距行为的行政处罚</w:t>
            </w:r>
          </w:p>
        </w:tc>
      </w:tr>
      <w:tr w14:paraId="49F8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FAC5A8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3D00C7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435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4BC99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D78C9D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号）第五十六条第（二）项违反本条例的规定，有下列情形之一的，由公路管理机构责令限期拆除，可以处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万元以下的罚款。逾期不拆除的，由公路管理机构拆除，有关费用由违法行为人承担：（二）在公路建筑控制区外修建的建筑物、地面构筑物以及其他设施遮挡公路标志或者妨碍安全视距的。</w:t>
            </w:r>
          </w:p>
          <w:p w14:paraId="2966BAE2">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006D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73B81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F935D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71449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9A5F3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D7CAF0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F65E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4B0A0D1">
            <w:pPr>
              <w:rPr>
                <w:color w:val="000000" w:themeColor="text1"/>
              </w:rPr>
            </w:pPr>
          </w:p>
        </w:tc>
        <w:tc>
          <w:tcPr>
            <w:tcW w:w="1110" w:type="dxa"/>
            <w:vAlign w:val="center"/>
          </w:tcPr>
          <w:p w14:paraId="27D6E84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880" w:type="dxa"/>
            <w:gridSpan w:val="4"/>
            <w:vAlign w:val="center"/>
          </w:tcPr>
          <w:p w14:paraId="37ADA33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097AD9C">
            <w:pPr>
              <w:jc w:val="center"/>
              <w:rPr>
                <w:rFonts w:ascii="仿宋" w:hAnsi="仿宋" w:eastAsia="仿宋" w:cs="黑体"/>
                <w:color w:val="000000" w:themeColor="text1"/>
                <w:sz w:val="18"/>
                <w:szCs w:val="18"/>
              </w:rPr>
            </w:pPr>
          </w:p>
        </w:tc>
        <w:tc>
          <w:tcPr>
            <w:tcW w:w="1406" w:type="dxa"/>
            <w:vAlign w:val="center"/>
          </w:tcPr>
          <w:p w14:paraId="7E6D20F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5932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486C16D">
            <w:pPr>
              <w:rPr>
                <w:color w:val="000000" w:themeColor="text1"/>
              </w:rPr>
            </w:pPr>
          </w:p>
        </w:tc>
        <w:tc>
          <w:tcPr>
            <w:tcW w:w="1110" w:type="dxa"/>
            <w:vAlign w:val="center"/>
          </w:tcPr>
          <w:p w14:paraId="2ED5538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880" w:type="dxa"/>
            <w:gridSpan w:val="4"/>
            <w:vAlign w:val="center"/>
          </w:tcPr>
          <w:p w14:paraId="0ADF164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B57D9E4">
            <w:pPr>
              <w:jc w:val="center"/>
              <w:rPr>
                <w:rFonts w:ascii="仿宋" w:hAnsi="仿宋" w:eastAsia="仿宋" w:cs="黑体"/>
                <w:color w:val="000000" w:themeColor="text1"/>
                <w:sz w:val="18"/>
                <w:szCs w:val="18"/>
              </w:rPr>
            </w:pPr>
          </w:p>
        </w:tc>
        <w:tc>
          <w:tcPr>
            <w:tcW w:w="1406" w:type="dxa"/>
            <w:vAlign w:val="center"/>
          </w:tcPr>
          <w:p w14:paraId="3E888CC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AFB8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BA5AF75">
            <w:pPr>
              <w:rPr>
                <w:color w:val="000000" w:themeColor="text1"/>
              </w:rPr>
            </w:pPr>
          </w:p>
        </w:tc>
        <w:tc>
          <w:tcPr>
            <w:tcW w:w="1110" w:type="dxa"/>
            <w:vAlign w:val="center"/>
          </w:tcPr>
          <w:p w14:paraId="3F58016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880" w:type="dxa"/>
            <w:gridSpan w:val="4"/>
            <w:vAlign w:val="center"/>
          </w:tcPr>
          <w:p w14:paraId="039501D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0BFD0A0">
            <w:pPr>
              <w:jc w:val="center"/>
              <w:rPr>
                <w:rFonts w:ascii="仿宋" w:hAnsi="仿宋" w:eastAsia="仿宋" w:cs="黑体"/>
                <w:color w:val="000000" w:themeColor="text1"/>
                <w:sz w:val="18"/>
                <w:szCs w:val="18"/>
              </w:rPr>
            </w:pPr>
          </w:p>
        </w:tc>
        <w:tc>
          <w:tcPr>
            <w:tcW w:w="1406" w:type="dxa"/>
            <w:vAlign w:val="center"/>
          </w:tcPr>
          <w:p w14:paraId="609E2D5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w:t>
            </w:r>
            <w:r>
              <w:rPr>
                <w:rFonts w:hint="eastAsia" w:ascii="仿宋" w:hAnsi="仿宋" w:eastAsia="仿宋" w:cs="仿宋_GB2312"/>
                <w:color w:val="000000" w:themeColor="text1"/>
                <w:kern w:val="0"/>
                <w:sz w:val="18"/>
                <w:szCs w:val="18"/>
              </w:rPr>
              <w:t>大队</w:t>
            </w:r>
          </w:p>
        </w:tc>
      </w:tr>
      <w:tr w14:paraId="2FC4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1BB451F">
            <w:pPr>
              <w:rPr>
                <w:color w:val="000000" w:themeColor="text1"/>
              </w:rPr>
            </w:pPr>
          </w:p>
        </w:tc>
        <w:tc>
          <w:tcPr>
            <w:tcW w:w="1110" w:type="dxa"/>
            <w:vAlign w:val="center"/>
          </w:tcPr>
          <w:p w14:paraId="38C19BB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880" w:type="dxa"/>
            <w:gridSpan w:val="4"/>
            <w:vAlign w:val="center"/>
          </w:tcPr>
          <w:p w14:paraId="2692998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43AFD0D">
            <w:pPr>
              <w:jc w:val="center"/>
              <w:rPr>
                <w:rFonts w:ascii="仿宋" w:hAnsi="仿宋" w:eastAsia="仿宋" w:cs="黑体"/>
                <w:color w:val="000000" w:themeColor="text1"/>
                <w:sz w:val="18"/>
                <w:szCs w:val="18"/>
              </w:rPr>
            </w:pPr>
          </w:p>
        </w:tc>
        <w:tc>
          <w:tcPr>
            <w:tcW w:w="1406" w:type="dxa"/>
            <w:vAlign w:val="center"/>
          </w:tcPr>
          <w:p w14:paraId="0D5ABCC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A74A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F846D6E">
            <w:pPr>
              <w:rPr>
                <w:color w:val="000000" w:themeColor="text1"/>
              </w:rPr>
            </w:pPr>
          </w:p>
        </w:tc>
        <w:tc>
          <w:tcPr>
            <w:tcW w:w="1110" w:type="dxa"/>
            <w:vAlign w:val="center"/>
          </w:tcPr>
          <w:p w14:paraId="220E6B6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880" w:type="dxa"/>
            <w:gridSpan w:val="4"/>
            <w:vAlign w:val="center"/>
          </w:tcPr>
          <w:p w14:paraId="50A6A86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959" w:type="dxa"/>
            <w:gridSpan w:val="2"/>
            <w:vAlign w:val="center"/>
          </w:tcPr>
          <w:p w14:paraId="614AA9A0">
            <w:pPr>
              <w:jc w:val="center"/>
              <w:rPr>
                <w:rFonts w:ascii="仿宋" w:hAnsi="仿宋" w:eastAsia="仿宋" w:cs="黑体"/>
                <w:color w:val="000000" w:themeColor="text1"/>
                <w:sz w:val="18"/>
                <w:szCs w:val="18"/>
              </w:rPr>
            </w:pPr>
          </w:p>
        </w:tc>
        <w:tc>
          <w:tcPr>
            <w:tcW w:w="1406" w:type="dxa"/>
            <w:vAlign w:val="center"/>
          </w:tcPr>
          <w:p w14:paraId="2C18DDF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1C02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2D8FB0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17ED849">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23BBE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F2030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F09E2A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DFF384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F7DB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A3801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4DF64E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45C1C8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03B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EA2000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C0FCBF6">
            <w:pPr>
              <w:widowControl/>
              <w:jc w:val="left"/>
              <w:textAlignment w:val="center"/>
              <w:rPr>
                <w:rFonts w:ascii="黑体" w:eastAsia="黑体" w:cs="黑体"/>
                <w:color w:val="000000" w:themeColor="text1"/>
                <w:kern w:val="0"/>
                <w:sz w:val="18"/>
                <w:szCs w:val="18"/>
              </w:rPr>
            </w:pPr>
          </w:p>
        </w:tc>
      </w:tr>
    </w:tbl>
    <w:p w14:paraId="426D2B65">
      <w:pPr>
        <w:rPr>
          <w:color w:val="000000" w:themeColor="text1"/>
        </w:rPr>
      </w:pPr>
    </w:p>
    <w:p w14:paraId="241CE82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E355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17E8A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713BA0">
            <w:pPr>
              <w:jc w:val="center"/>
              <w:rPr>
                <w:rFonts w:ascii="黑体" w:eastAsia="黑体" w:cs="黑体"/>
                <w:b/>
                <w:bCs/>
                <w:color w:val="000000" w:themeColor="text1"/>
                <w:szCs w:val="21"/>
              </w:rPr>
            </w:pPr>
            <w:r>
              <w:rPr>
                <w:rFonts w:ascii="黑体" w:eastAsia="黑体" w:cs="黑体"/>
                <w:b/>
                <w:bCs/>
                <w:color w:val="000000" w:themeColor="text1"/>
                <w:szCs w:val="21"/>
              </w:rPr>
              <w:t>12</w:t>
            </w:r>
          </w:p>
        </w:tc>
        <w:tc>
          <w:tcPr>
            <w:tcW w:w="1691" w:type="dxa"/>
            <w:vAlign w:val="center"/>
          </w:tcPr>
          <w:p w14:paraId="1B47B58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7477DB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D009F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B692FE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F00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E6799F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944761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对擅自在公路上设卡、收费或者应当终止收费而不终止的行政处罚</w:t>
            </w:r>
          </w:p>
        </w:tc>
      </w:tr>
      <w:tr w14:paraId="6FCBE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6CC092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AC7E67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178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39DC7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66CC4E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5BD43244">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、《中华人民共和国公路法》（国家主席令【</w:t>
            </w:r>
            <w:r>
              <w:rPr>
                <w:rFonts w:ascii="仿宋_GB2312" w:eastAsia="仿宋_GB2312" w:cs="仿宋_GB2312"/>
                <w:color w:val="000000" w:themeColor="text1"/>
                <w:kern w:val="0"/>
                <w:sz w:val="18"/>
                <w:szCs w:val="18"/>
              </w:rPr>
              <w:t>97</w:t>
            </w:r>
            <w:r>
              <w:rPr>
                <w:rFonts w:hint="eastAsia" w:ascii="仿宋_GB2312" w:eastAsia="仿宋_GB2312" w:cs="仿宋_GB2312"/>
                <w:color w:val="000000" w:themeColor="text1"/>
                <w:kern w:val="0"/>
                <w:sz w:val="18"/>
                <w:szCs w:val="18"/>
              </w:rPr>
              <w:t>】第</w:t>
            </w:r>
            <w:r>
              <w:rPr>
                <w:rFonts w:ascii="仿宋_GB2312" w:eastAsia="仿宋_GB2312" w:cs="仿宋_GB2312"/>
                <w:color w:val="000000" w:themeColor="text1"/>
                <w:kern w:val="0"/>
                <w:sz w:val="18"/>
                <w:szCs w:val="18"/>
              </w:rPr>
              <w:t>86</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日第五次修改）第七十四条违反法律或者国务院有关规定，擅自在公路上设卡、收费的，由交通主管部门责令停止违法行为，没收违法所得，可以处违法所得三倍以下的罚款，没有违法所得的，可以处二万元以下的罚款；对负有直接责任的主管人员和其他直接责任人员，依法给予行政处分。</w:t>
            </w:r>
          </w:p>
          <w:p w14:paraId="05C3C547">
            <w:pPr>
              <w:spacing w:line="240" w:lineRule="exact"/>
              <w:rPr>
                <w:rFonts w:ascii="仿宋_GB2312" w:eastAsia="仿宋_GB2312" w:cs="仿宋_GB2312"/>
                <w:color w:val="000000" w:themeColor="text1"/>
                <w:kern w:val="0"/>
                <w:sz w:val="18"/>
                <w:szCs w:val="18"/>
              </w:rPr>
            </w:pP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、《收费公路管理条例》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四十九条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得</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倍以上</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倍以下的罚款；没有违法所得的，处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万元以下的罚款；负有责任的主管人员和其他直接责任人员属于国家工作人员的，依法给予记大过直至开除的行政处分。</w:t>
            </w:r>
          </w:p>
          <w:p w14:paraId="6224842B">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E8DE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CC557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39AB6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09FD7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83327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7C02EB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9B8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5AA7443">
            <w:pPr>
              <w:rPr>
                <w:color w:val="000000" w:themeColor="text1"/>
              </w:rPr>
            </w:pPr>
          </w:p>
        </w:tc>
        <w:tc>
          <w:tcPr>
            <w:tcW w:w="1110" w:type="dxa"/>
            <w:vAlign w:val="center"/>
          </w:tcPr>
          <w:p w14:paraId="2C8354C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044C74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5195098">
            <w:pPr>
              <w:jc w:val="center"/>
              <w:rPr>
                <w:rFonts w:ascii="仿宋_GB2312" w:hAnsi="黑体" w:eastAsia="仿宋_GB2312" w:cs="黑体"/>
                <w:color w:val="000000" w:themeColor="text1"/>
                <w:sz w:val="18"/>
                <w:szCs w:val="18"/>
              </w:rPr>
            </w:pPr>
          </w:p>
        </w:tc>
        <w:tc>
          <w:tcPr>
            <w:tcW w:w="1406" w:type="dxa"/>
            <w:vAlign w:val="center"/>
          </w:tcPr>
          <w:p w14:paraId="28D949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DD8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0B83EC0">
            <w:pPr>
              <w:rPr>
                <w:color w:val="000000" w:themeColor="text1"/>
              </w:rPr>
            </w:pPr>
          </w:p>
        </w:tc>
        <w:tc>
          <w:tcPr>
            <w:tcW w:w="1110" w:type="dxa"/>
            <w:vAlign w:val="center"/>
          </w:tcPr>
          <w:p w14:paraId="625230B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8081A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98EE91A">
            <w:pPr>
              <w:jc w:val="center"/>
              <w:rPr>
                <w:rFonts w:ascii="仿宋_GB2312" w:hAnsi="黑体" w:eastAsia="仿宋_GB2312" w:cs="黑体"/>
                <w:color w:val="000000" w:themeColor="text1"/>
                <w:sz w:val="18"/>
                <w:szCs w:val="18"/>
              </w:rPr>
            </w:pPr>
          </w:p>
        </w:tc>
        <w:tc>
          <w:tcPr>
            <w:tcW w:w="1406" w:type="dxa"/>
            <w:vAlign w:val="center"/>
          </w:tcPr>
          <w:p w14:paraId="53120A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9E0C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C1C2262">
            <w:pPr>
              <w:rPr>
                <w:color w:val="000000" w:themeColor="text1"/>
              </w:rPr>
            </w:pPr>
          </w:p>
        </w:tc>
        <w:tc>
          <w:tcPr>
            <w:tcW w:w="1110" w:type="dxa"/>
            <w:vAlign w:val="center"/>
          </w:tcPr>
          <w:p w14:paraId="1D17B53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254F4F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8D66342">
            <w:pPr>
              <w:jc w:val="center"/>
              <w:rPr>
                <w:rFonts w:ascii="仿宋_GB2312" w:hAnsi="黑体" w:eastAsia="仿宋_GB2312" w:cs="黑体"/>
                <w:color w:val="000000" w:themeColor="text1"/>
                <w:sz w:val="18"/>
                <w:szCs w:val="18"/>
              </w:rPr>
            </w:pPr>
          </w:p>
        </w:tc>
        <w:tc>
          <w:tcPr>
            <w:tcW w:w="1406" w:type="dxa"/>
            <w:vAlign w:val="center"/>
          </w:tcPr>
          <w:p w14:paraId="5550D73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CFC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1A43C67">
            <w:pPr>
              <w:rPr>
                <w:color w:val="000000" w:themeColor="text1"/>
              </w:rPr>
            </w:pPr>
          </w:p>
        </w:tc>
        <w:tc>
          <w:tcPr>
            <w:tcW w:w="1110" w:type="dxa"/>
            <w:vAlign w:val="center"/>
          </w:tcPr>
          <w:p w14:paraId="30A4C5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90FD60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9C7D0DB">
            <w:pPr>
              <w:jc w:val="center"/>
              <w:rPr>
                <w:rFonts w:ascii="仿宋_GB2312" w:hAnsi="黑体" w:eastAsia="仿宋_GB2312" w:cs="黑体"/>
                <w:color w:val="000000" w:themeColor="text1"/>
                <w:sz w:val="18"/>
                <w:szCs w:val="18"/>
              </w:rPr>
            </w:pPr>
          </w:p>
        </w:tc>
        <w:tc>
          <w:tcPr>
            <w:tcW w:w="1406" w:type="dxa"/>
            <w:vAlign w:val="center"/>
          </w:tcPr>
          <w:p w14:paraId="16E7A0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AF3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1" w:hRule="atLeast"/>
          <w:jc w:val="center"/>
        </w:trPr>
        <w:tc>
          <w:tcPr>
            <w:tcW w:w="943" w:type="dxa"/>
            <w:vMerge w:val="continue"/>
            <w:vAlign w:val="center"/>
          </w:tcPr>
          <w:p w14:paraId="7A1F37D7">
            <w:pPr>
              <w:rPr>
                <w:color w:val="000000" w:themeColor="text1"/>
              </w:rPr>
            </w:pPr>
          </w:p>
        </w:tc>
        <w:tc>
          <w:tcPr>
            <w:tcW w:w="1110" w:type="dxa"/>
            <w:vAlign w:val="center"/>
          </w:tcPr>
          <w:p w14:paraId="1FBD07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02F78D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8285860">
            <w:pPr>
              <w:jc w:val="center"/>
              <w:rPr>
                <w:rFonts w:ascii="仿宋_GB2312" w:hAnsi="黑体" w:eastAsia="仿宋_GB2312" w:cs="黑体"/>
                <w:color w:val="000000" w:themeColor="text1"/>
                <w:sz w:val="18"/>
                <w:szCs w:val="18"/>
              </w:rPr>
            </w:pPr>
          </w:p>
        </w:tc>
        <w:tc>
          <w:tcPr>
            <w:tcW w:w="1406" w:type="dxa"/>
            <w:vAlign w:val="center"/>
          </w:tcPr>
          <w:p w14:paraId="13D5F2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98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567EC5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4C0BD20">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FCB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3D0B6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732FFD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E627691">
            <w:pPr>
              <w:widowControl/>
              <w:spacing w:line="240" w:lineRule="exact"/>
              <w:ind w:left="31680" w:hanging="180" w:hangingChars="100"/>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27C4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3097B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D9A4BE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899D51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CAE0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76B9CFE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E0546CA">
            <w:pPr>
              <w:widowControl/>
              <w:jc w:val="left"/>
              <w:textAlignment w:val="center"/>
              <w:rPr>
                <w:rFonts w:ascii="黑体" w:eastAsia="黑体" w:cs="黑体"/>
                <w:color w:val="000000" w:themeColor="text1"/>
                <w:kern w:val="0"/>
                <w:sz w:val="18"/>
                <w:szCs w:val="18"/>
              </w:rPr>
            </w:pPr>
          </w:p>
        </w:tc>
      </w:tr>
    </w:tbl>
    <w:p w14:paraId="7E3B6CE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A76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54F33F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6E5397E">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13</w:t>
            </w:r>
          </w:p>
        </w:tc>
        <w:tc>
          <w:tcPr>
            <w:tcW w:w="1691" w:type="dxa"/>
            <w:vAlign w:val="center"/>
          </w:tcPr>
          <w:p w14:paraId="7795BD69">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4AD6E39">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41823D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A09A828">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762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C91B94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4F12E96">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对利用公路桥梁进行牵拉、吊装等危及公路桥梁安全的施工作业行为的行政处罚</w:t>
            </w:r>
          </w:p>
        </w:tc>
      </w:tr>
      <w:tr w14:paraId="13B9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80A04DC">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2660FF8">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1F03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9FB832E">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6890F7A">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2974B2E2">
            <w:pPr>
              <w:spacing w:line="200" w:lineRule="exact"/>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《公路安全保护条例》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第二十二条第一款禁止利用公路桥梁进行牵拉、吊装等危及公路桥梁安全的施工作业。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第五十九条违反本条例第二十二条规定的，由公路管理机构责令改正，处</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万元以下的罚款。</w:t>
            </w:r>
          </w:p>
          <w:p w14:paraId="690A63A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268721B">
            <w:pPr>
              <w:rPr>
                <w:rFonts w:ascii="仿宋" w:hAnsi="仿宋" w:eastAsia="仿宋" w:cs="仿宋_GB2312"/>
                <w:color w:val="000000" w:themeColor="text1"/>
                <w:kern w:val="0"/>
                <w:sz w:val="18"/>
                <w:szCs w:val="18"/>
              </w:rPr>
            </w:pPr>
          </w:p>
          <w:p w14:paraId="62631F2D">
            <w:pPr>
              <w:spacing w:line="200" w:lineRule="exact"/>
              <w:rPr>
                <w:rFonts w:ascii="仿宋_GB2312" w:eastAsia="仿宋_GB2312" w:cs="黑体"/>
                <w:b/>
                <w:bCs/>
                <w:color w:val="000000" w:themeColor="text1"/>
                <w:szCs w:val="21"/>
              </w:rPr>
            </w:pPr>
          </w:p>
        </w:tc>
      </w:tr>
      <w:tr w14:paraId="7F5DC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86D188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69F2AB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8D4A12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AD6263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1C3056B">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ED0F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8" w:hRule="atLeast"/>
          <w:jc w:val="center"/>
        </w:trPr>
        <w:tc>
          <w:tcPr>
            <w:tcW w:w="943" w:type="dxa"/>
            <w:vMerge w:val="continue"/>
            <w:vAlign w:val="center"/>
          </w:tcPr>
          <w:p w14:paraId="43F9F9A5">
            <w:pPr>
              <w:spacing w:line="200" w:lineRule="exact"/>
              <w:rPr>
                <w:color w:val="000000" w:themeColor="text1"/>
              </w:rPr>
            </w:pPr>
          </w:p>
        </w:tc>
        <w:tc>
          <w:tcPr>
            <w:tcW w:w="1110" w:type="dxa"/>
            <w:vAlign w:val="center"/>
          </w:tcPr>
          <w:p w14:paraId="75E6A00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57AF33C">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753228E">
            <w:pPr>
              <w:spacing w:line="200" w:lineRule="exact"/>
              <w:jc w:val="center"/>
              <w:rPr>
                <w:rFonts w:ascii="仿宋_GB2312" w:hAnsi="黑体" w:eastAsia="仿宋_GB2312" w:cs="黑体"/>
                <w:color w:val="000000" w:themeColor="text1"/>
                <w:sz w:val="18"/>
                <w:szCs w:val="18"/>
              </w:rPr>
            </w:pPr>
          </w:p>
        </w:tc>
        <w:tc>
          <w:tcPr>
            <w:tcW w:w="1406" w:type="dxa"/>
            <w:vAlign w:val="center"/>
          </w:tcPr>
          <w:p w14:paraId="3256C5E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9DAB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0" w:hRule="atLeast"/>
          <w:jc w:val="center"/>
        </w:trPr>
        <w:tc>
          <w:tcPr>
            <w:tcW w:w="943" w:type="dxa"/>
            <w:vMerge w:val="continue"/>
            <w:vAlign w:val="center"/>
          </w:tcPr>
          <w:p w14:paraId="1CFEFA92">
            <w:pPr>
              <w:spacing w:line="200" w:lineRule="exact"/>
              <w:rPr>
                <w:color w:val="000000" w:themeColor="text1"/>
              </w:rPr>
            </w:pPr>
          </w:p>
        </w:tc>
        <w:tc>
          <w:tcPr>
            <w:tcW w:w="1110" w:type="dxa"/>
            <w:vAlign w:val="center"/>
          </w:tcPr>
          <w:p w14:paraId="128A652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20FA5B8">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72ACD3D">
            <w:pPr>
              <w:spacing w:line="200" w:lineRule="exact"/>
              <w:jc w:val="center"/>
              <w:rPr>
                <w:rFonts w:ascii="仿宋_GB2312" w:hAnsi="黑体" w:eastAsia="仿宋_GB2312" w:cs="黑体"/>
                <w:color w:val="000000" w:themeColor="text1"/>
                <w:sz w:val="18"/>
                <w:szCs w:val="18"/>
              </w:rPr>
            </w:pPr>
          </w:p>
        </w:tc>
        <w:tc>
          <w:tcPr>
            <w:tcW w:w="1406" w:type="dxa"/>
            <w:vAlign w:val="center"/>
          </w:tcPr>
          <w:p w14:paraId="6896D1C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091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75" w:hRule="atLeast"/>
          <w:jc w:val="center"/>
        </w:trPr>
        <w:tc>
          <w:tcPr>
            <w:tcW w:w="943" w:type="dxa"/>
            <w:vMerge w:val="continue"/>
            <w:vAlign w:val="center"/>
          </w:tcPr>
          <w:p w14:paraId="58E9F6D3">
            <w:pPr>
              <w:spacing w:line="200" w:lineRule="exact"/>
              <w:rPr>
                <w:color w:val="000000" w:themeColor="text1"/>
              </w:rPr>
            </w:pPr>
          </w:p>
        </w:tc>
        <w:tc>
          <w:tcPr>
            <w:tcW w:w="1110" w:type="dxa"/>
            <w:vAlign w:val="center"/>
          </w:tcPr>
          <w:p w14:paraId="0C50A77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FB757C2">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0A35303">
            <w:pPr>
              <w:spacing w:line="200" w:lineRule="exact"/>
              <w:jc w:val="center"/>
              <w:rPr>
                <w:rFonts w:ascii="仿宋_GB2312" w:hAnsi="黑体" w:eastAsia="仿宋_GB2312" w:cs="黑体"/>
                <w:color w:val="000000" w:themeColor="text1"/>
                <w:sz w:val="18"/>
                <w:szCs w:val="18"/>
              </w:rPr>
            </w:pPr>
          </w:p>
        </w:tc>
        <w:tc>
          <w:tcPr>
            <w:tcW w:w="1406" w:type="dxa"/>
            <w:vAlign w:val="center"/>
          </w:tcPr>
          <w:p w14:paraId="2018D35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0434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3BA87A1">
            <w:pPr>
              <w:spacing w:line="200" w:lineRule="exact"/>
              <w:rPr>
                <w:color w:val="000000" w:themeColor="text1"/>
              </w:rPr>
            </w:pPr>
          </w:p>
        </w:tc>
        <w:tc>
          <w:tcPr>
            <w:tcW w:w="1110" w:type="dxa"/>
            <w:vAlign w:val="center"/>
          </w:tcPr>
          <w:p w14:paraId="4E2C4DE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8BE6697">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DF26FD5">
            <w:pPr>
              <w:spacing w:line="200" w:lineRule="exact"/>
              <w:jc w:val="center"/>
              <w:rPr>
                <w:rFonts w:ascii="仿宋_GB2312" w:hAnsi="黑体" w:eastAsia="仿宋_GB2312" w:cs="黑体"/>
                <w:color w:val="000000" w:themeColor="text1"/>
                <w:sz w:val="18"/>
                <w:szCs w:val="18"/>
              </w:rPr>
            </w:pPr>
          </w:p>
        </w:tc>
        <w:tc>
          <w:tcPr>
            <w:tcW w:w="1406" w:type="dxa"/>
            <w:vAlign w:val="center"/>
          </w:tcPr>
          <w:p w14:paraId="3025FF17">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80B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43" w:hRule="atLeast"/>
          <w:jc w:val="center"/>
        </w:trPr>
        <w:tc>
          <w:tcPr>
            <w:tcW w:w="943" w:type="dxa"/>
            <w:vMerge w:val="continue"/>
            <w:vAlign w:val="center"/>
          </w:tcPr>
          <w:p w14:paraId="76B2DBCD">
            <w:pPr>
              <w:spacing w:line="200" w:lineRule="exact"/>
              <w:rPr>
                <w:color w:val="000000" w:themeColor="text1"/>
              </w:rPr>
            </w:pPr>
          </w:p>
        </w:tc>
        <w:tc>
          <w:tcPr>
            <w:tcW w:w="1110" w:type="dxa"/>
            <w:vAlign w:val="center"/>
          </w:tcPr>
          <w:p w14:paraId="12ECE5C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BFFB291">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4D39D40">
            <w:pPr>
              <w:spacing w:line="200" w:lineRule="exact"/>
              <w:jc w:val="center"/>
              <w:rPr>
                <w:rFonts w:ascii="仿宋_GB2312" w:hAnsi="黑体" w:eastAsia="仿宋_GB2312" w:cs="黑体"/>
                <w:color w:val="000000" w:themeColor="text1"/>
                <w:sz w:val="18"/>
                <w:szCs w:val="18"/>
              </w:rPr>
            </w:pPr>
          </w:p>
        </w:tc>
        <w:tc>
          <w:tcPr>
            <w:tcW w:w="1406" w:type="dxa"/>
            <w:vAlign w:val="center"/>
          </w:tcPr>
          <w:p w14:paraId="34C1854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4D6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72" w:hRule="atLeast"/>
          <w:jc w:val="center"/>
        </w:trPr>
        <w:tc>
          <w:tcPr>
            <w:tcW w:w="943" w:type="dxa"/>
            <w:vAlign w:val="center"/>
          </w:tcPr>
          <w:p w14:paraId="5394D1B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A4DBACD">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4123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9" w:hRule="atLeast"/>
          <w:jc w:val="center"/>
        </w:trPr>
        <w:tc>
          <w:tcPr>
            <w:tcW w:w="943" w:type="dxa"/>
            <w:vAlign w:val="center"/>
          </w:tcPr>
          <w:p w14:paraId="47F0DABF">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5E62111">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10E9352">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4652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8" w:hRule="atLeast"/>
          <w:jc w:val="center"/>
        </w:trPr>
        <w:tc>
          <w:tcPr>
            <w:tcW w:w="943" w:type="dxa"/>
            <w:vAlign w:val="center"/>
          </w:tcPr>
          <w:p w14:paraId="27735E2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BA5F93C">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21179D2">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D62F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5" w:hRule="atLeast"/>
          <w:jc w:val="center"/>
        </w:trPr>
        <w:tc>
          <w:tcPr>
            <w:tcW w:w="943" w:type="dxa"/>
            <w:vAlign w:val="center"/>
          </w:tcPr>
          <w:p w14:paraId="6699B712">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7590F4C">
            <w:pPr>
              <w:widowControl/>
              <w:spacing w:line="200" w:lineRule="exact"/>
              <w:jc w:val="left"/>
              <w:textAlignment w:val="center"/>
              <w:rPr>
                <w:rFonts w:ascii="黑体" w:eastAsia="黑体" w:cs="黑体"/>
                <w:color w:val="000000" w:themeColor="text1"/>
                <w:kern w:val="0"/>
                <w:sz w:val="18"/>
                <w:szCs w:val="18"/>
              </w:rPr>
            </w:pPr>
          </w:p>
        </w:tc>
      </w:tr>
    </w:tbl>
    <w:p w14:paraId="66824535">
      <w:pPr>
        <w:rPr>
          <w:color w:val="000000" w:themeColor="text1"/>
          <w:sz w:val="24"/>
        </w:rPr>
      </w:pPr>
    </w:p>
    <w:p w14:paraId="01C9A36D">
      <w:pPr>
        <w:rPr>
          <w:color w:val="000000" w:themeColor="text1"/>
        </w:rPr>
      </w:pPr>
    </w:p>
    <w:p w14:paraId="5A7A71EF">
      <w:pPr>
        <w:rPr>
          <w:color w:val="000000" w:themeColor="text1"/>
        </w:rPr>
      </w:pPr>
    </w:p>
    <w:p w14:paraId="3315282B">
      <w:pPr>
        <w:rPr>
          <w:color w:val="000000" w:themeColor="text1"/>
        </w:rPr>
      </w:pPr>
    </w:p>
    <w:p w14:paraId="0C82C217">
      <w:pPr>
        <w:rPr>
          <w:color w:val="000000" w:themeColor="text1"/>
        </w:rPr>
      </w:pPr>
    </w:p>
    <w:p w14:paraId="15295841">
      <w:pPr>
        <w:rPr>
          <w:color w:val="000000" w:themeColor="text1"/>
        </w:rPr>
      </w:pPr>
    </w:p>
    <w:p w14:paraId="263AAF4D">
      <w:pPr>
        <w:rPr>
          <w:color w:val="000000" w:themeColor="text1"/>
        </w:rPr>
      </w:pPr>
    </w:p>
    <w:p w14:paraId="7C81602C">
      <w:pPr>
        <w:rPr>
          <w:color w:val="000000" w:themeColor="text1"/>
        </w:rPr>
      </w:pPr>
    </w:p>
    <w:p w14:paraId="0CA4961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52F7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82898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B314F93">
            <w:pPr>
              <w:jc w:val="center"/>
              <w:rPr>
                <w:rFonts w:ascii="黑体" w:eastAsia="黑体" w:cs="黑体"/>
                <w:b/>
                <w:bCs/>
                <w:color w:val="000000" w:themeColor="text1"/>
                <w:szCs w:val="21"/>
              </w:rPr>
            </w:pPr>
            <w:r>
              <w:rPr>
                <w:rFonts w:ascii="黑体" w:eastAsia="黑体" w:cs="黑体"/>
                <w:b/>
                <w:bCs/>
                <w:color w:val="000000" w:themeColor="text1"/>
                <w:szCs w:val="21"/>
              </w:rPr>
              <w:t>14</w:t>
            </w:r>
          </w:p>
        </w:tc>
        <w:tc>
          <w:tcPr>
            <w:tcW w:w="1691" w:type="dxa"/>
            <w:vAlign w:val="center"/>
          </w:tcPr>
          <w:p w14:paraId="31A1D20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2A96B6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5B861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F7A8A5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835A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65C1A7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812F86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对利用公路桥梁（含桥下空间）、公路隧道、涵洞堆放物品，搭建设施以及铺设高压电线和输送易燃、易爆或者其他有毒有害气体、液体的管道行为的行政处罚</w:t>
            </w:r>
          </w:p>
        </w:tc>
      </w:tr>
      <w:tr w14:paraId="06877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CFDA17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7DD625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1137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0543C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3DD40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64ED274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二十二条第二款禁止利用公路桥梁（含桥下空间）、公路隧道、涵洞堆放物品，搭建设施以及铺设高压电线和输送易燃、易爆或者其他有毒有害气体、液体的管道。第五十九条违反本条例第二十二条规定的，由公路管理机构责令改正，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w:t>
            </w:r>
          </w:p>
          <w:p w14:paraId="67C547D1">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1D57EA57">
            <w:pPr>
              <w:spacing w:line="240" w:lineRule="exact"/>
              <w:rPr>
                <w:rFonts w:ascii="仿宋_GB2312" w:eastAsia="仿宋_GB2312" w:cs="黑体"/>
                <w:b/>
                <w:bCs/>
                <w:color w:val="000000" w:themeColor="text1"/>
                <w:szCs w:val="21"/>
              </w:rPr>
            </w:pPr>
          </w:p>
        </w:tc>
      </w:tr>
      <w:tr w14:paraId="1A5F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07073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01E96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16046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DFD0E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3DC4A4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7E3E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4B80644">
            <w:pPr>
              <w:rPr>
                <w:color w:val="000000" w:themeColor="text1"/>
              </w:rPr>
            </w:pPr>
          </w:p>
        </w:tc>
        <w:tc>
          <w:tcPr>
            <w:tcW w:w="1110" w:type="dxa"/>
            <w:vAlign w:val="center"/>
          </w:tcPr>
          <w:p w14:paraId="3A2AC9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FD3328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DD8E5CA">
            <w:pPr>
              <w:jc w:val="center"/>
              <w:rPr>
                <w:rFonts w:ascii="仿宋_GB2312" w:hAnsi="黑体" w:eastAsia="仿宋_GB2312" w:cs="黑体"/>
                <w:color w:val="000000" w:themeColor="text1"/>
                <w:sz w:val="18"/>
                <w:szCs w:val="18"/>
              </w:rPr>
            </w:pPr>
          </w:p>
        </w:tc>
        <w:tc>
          <w:tcPr>
            <w:tcW w:w="1406" w:type="dxa"/>
            <w:vAlign w:val="center"/>
          </w:tcPr>
          <w:p w14:paraId="44AAF32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A39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CCF8847">
            <w:pPr>
              <w:rPr>
                <w:color w:val="000000" w:themeColor="text1"/>
              </w:rPr>
            </w:pPr>
          </w:p>
        </w:tc>
        <w:tc>
          <w:tcPr>
            <w:tcW w:w="1110" w:type="dxa"/>
            <w:vAlign w:val="center"/>
          </w:tcPr>
          <w:p w14:paraId="13F47F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B99C97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5AA1FDF">
            <w:pPr>
              <w:jc w:val="center"/>
              <w:rPr>
                <w:rFonts w:ascii="仿宋_GB2312" w:hAnsi="黑体" w:eastAsia="仿宋_GB2312" w:cs="黑体"/>
                <w:color w:val="000000" w:themeColor="text1"/>
                <w:sz w:val="18"/>
                <w:szCs w:val="18"/>
              </w:rPr>
            </w:pPr>
          </w:p>
        </w:tc>
        <w:tc>
          <w:tcPr>
            <w:tcW w:w="1406" w:type="dxa"/>
            <w:vAlign w:val="center"/>
          </w:tcPr>
          <w:p w14:paraId="6F74EE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214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15DD30F">
            <w:pPr>
              <w:rPr>
                <w:color w:val="000000" w:themeColor="text1"/>
              </w:rPr>
            </w:pPr>
          </w:p>
        </w:tc>
        <w:tc>
          <w:tcPr>
            <w:tcW w:w="1110" w:type="dxa"/>
            <w:vAlign w:val="center"/>
          </w:tcPr>
          <w:p w14:paraId="7BE327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A0CD7A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D57B409">
            <w:pPr>
              <w:jc w:val="center"/>
              <w:rPr>
                <w:rFonts w:ascii="仿宋_GB2312" w:hAnsi="黑体" w:eastAsia="仿宋_GB2312" w:cs="黑体"/>
                <w:color w:val="000000" w:themeColor="text1"/>
                <w:sz w:val="18"/>
                <w:szCs w:val="18"/>
              </w:rPr>
            </w:pPr>
          </w:p>
        </w:tc>
        <w:tc>
          <w:tcPr>
            <w:tcW w:w="1406" w:type="dxa"/>
            <w:vAlign w:val="center"/>
          </w:tcPr>
          <w:p w14:paraId="0F4E4D4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287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BA801B1">
            <w:pPr>
              <w:rPr>
                <w:color w:val="000000" w:themeColor="text1"/>
              </w:rPr>
            </w:pPr>
          </w:p>
        </w:tc>
        <w:tc>
          <w:tcPr>
            <w:tcW w:w="1110" w:type="dxa"/>
            <w:vAlign w:val="center"/>
          </w:tcPr>
          <w:p w14:paraId="6155E4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0F72C3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1AE1760">
            <w:pPr>
              <w:jc w:val="center"/>
              <w:rPr>
                <w:rFonts w:ascii="仿宋_GB2312" w:hAnsi="黑体" w:eastAsia="仿宋_GB2312" w:cs="黑体"/>
                <w:color w:val="000000" w:themeColor="text1"/>
                <w:sz w:val="18"/>
                <w:szCs w:val="18"/>
              </w:rPr>
            </w:pPr>
          </w:p>
        </w:tc>
        <w:tc>
          <w:tcPr>
            <w:tcW w:w="1406" w:type="dxa"/>
            <w:vAlign w:val="center"/>
          </w:tcPr>
          <w:p w14:paraId="647F8D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FB2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7D8248D">
            <w:pPr>
              <w:rPr>
                <w:color w:val="000000" w:themeColor="text1"/>
              </w:rPr>
            </w:pPr>
          </w:p>
        </w:tc>
        <w:tc>
          <w:tcPr>
            <w:tcW w:w="1110" w:type="dxa"/>
            <w:vAlign w:val="center"/>
          </w:tcPr>
          <w:p w14:paraId="48962D9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CD5C6D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C3D362B">
            <w:pPr>
              <w:jc w:val="center"/>
              <w:rPr>
                <w:rFonts w:ascii="仿宋_GB2312" w:hAnsi="黑体" w:eastAsia="仿宋_GB2312" w:cs="黑体"/>
                <w:color w:val="000000" w:themeColor="text1"/>
                <w:sz w:val="18"/>
                <w:szCs w:val="18"/>
              </w:rPr>
            </w:pPr>
          </w:p>
        </w:tc>
        <w:tc>
          <w:tcPr>
            <w:tcW w:w="1406" w:type="dxa"/>
            <w:vAlign w:val="center"/>
          </w:tcPr>
          <w:p w14:paraId="303E58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5AA7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7EBF01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32F13F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BF24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E0018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2A05D0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F4FA2F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21F0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D0A5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E7D1AE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1B5F63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49FF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09E196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7B14D95">
            <w:pPr>
              <w:widowControl/>
              <w:jc w:val="left"/>
              <w:textAlignment w:val="center"/>
              <w:rPr>
                <w:rFonts w:ascii="黑体" w:eastAsia="黑体" w:cs="黑体"/>
                <w:color w:val="000000" w:themeColor="text1"/>
                <w:kern w:val="0"/>
                <w:sz w:val="18"/>
                <w:szCs w:val="18"/>
              </w:rPr>
            </w:pPr>
          </w:p>
        </w:tc>
      </w:tr>
    </w:tbl>
    <w:p w14:paraId="4BF1C52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8028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7BC8C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1686404">
            <w:pPr>
              <w:jc w:val="center"/>
              <w:rPr>
                <w:rFonts w:ascii="黑体" w:eastAsia="黑体" w:cs="黑体"/>
                <w:b/>
                <w:bCs/>
                <w:color w:val="000000" w:themeColor="text1"/>
                <w:szCs w:val="21"/>
              </w:rPr>
            </w:pPr>
            <w:r>
              <w:rPr>
                <w:rFonts w:ascii="黑体" w:eastAsia="黑体" w:cs="黑体"/>
                <w:b/>
                <w:bCs/>
                <w:color w:val="000000" w:themeColor="text1"/>
                <w:szCs w:val="21"/>
              </w:rPr>
              <w:t>15</w:t>
            </w:r>
          </w:p>
        </w:tc>
        <w:tc>
          <w:tcPr>
            <w:tcW w:w="1691" w:type="dxa"/>
            <w:vAlign w:val="center"/>
          </w:tcPr>
          <w:p w14:paraId="6373762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1BF7D7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C20FA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1970AA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6BD7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E9183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D56746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对擅自进行涉路施工等行为的行政处罚</w:t>
            </w:r>
          </w:p>
        </w:tc>
      </w:tr>
      <w:tr w14:paraId="5005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34FE2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C51911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5D41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79363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9D84E8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187746D1">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《中华人民共和国公路法》（国家主席令【</w:t>
            </w:r>
            <w:r>
              <w:rPr>
                <w:rFonts w:ascii="仿宋_GB2312" w:eastAsia="仿宋_GB2312" w:cs="仿宋_GB2312"/>
                <w:color w:val="000000" w:themeColor="text1"/>
                <w:kern w:val="0"/>
                <w:sz w:val="18"/>
                <w:szCs w:val="18"/>
              </w:rPr>
              <w:t>97</w:t>
            </w:r>
            <w:r>
              <w:rPr>
                <w:rFonts w:hint="eastAsia" w:ascii="仿宋_GB2312" w:eastAsia="仿宋_GB2312" w:cs="仿宋_GB2312"/>
                <w:color w:val="000000" w:themeColor="text1"/>
                <w:kern w:val="0"/>
                <w:sz w:val="18"/>
                <w:szCs w:val="18"/>
              </w:rPr>
              <w:t>】第</w:t>
            </w:r>
            <w:r>
              <w:rPr>
                <w:rFonts w:ascii="仿宋_GB2312" w:eastAsia="仿宋_GB2312" w:cs="仿宋_GB2312"/>
                <w:color w:val="000000" w:themeColor="text1"/>
                <w:kern w:val="0"/>
                <w:sz w:val="18"/>
                <w:szCs w:val="18"/>
              </w:rPr>
              <w:t>86</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日第五次修改）第七十六条第（一）项有下列违法行为之一的，由交通主管部门责令停止违法行为，可以处三万元以下的罚款：（一）违反本法第四十四条第一款规定，擅自占用、挖掘公路的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违反本法第四十五条规定，未经同意或者未按照公路工程技术标准的要求修建桥梁、渡槽或者架设、埋设管线、电缆等设施的。第八十条违反本法第五十五条规定，未经批准在公路上增设平面交叉道口的，由交通主管部门责令恢复原状，处五万元以下的罚款。</w:t>
            </w:r>
          </w:p>
          <w:p w14:paraId="7FD4B1C1">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二十七条进行下列涉路施工活动，建设单位应当向公路管理机构提出申请：（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第六十二条违反本条例的规定，未经许可进行本条例第二十七条第一项至第五项规定的涉路施工活动的，由公路管理机构责令改正，可以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万元以下的罚款；未经许可进行本条例第二十七条第六项规定的涉路施工活动的，由公路管理机构责令改正，处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w:t>
            </w:r>
          </w:p>
          <w:p w14:paraId="04B97803">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37DD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1" w:hRule="atLeast"/>
          <w:jc w:val="center"/>
        </w:trPr>
        <w:tc>
          <w:tcPr>
            <w:tcW w:w="943" w:type="dxa"/>
            <w:vMerge w:val="restart"/>
            <w:vAlign w:val="center"/>
          </w:tcPr>
          <w:p w14:paraId="116D5A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3A7BE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3BAE9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B3137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F8FC3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3199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5" w:hRule="atLeast"/>
          <w:jc w:val="center"/>
        </w:trPr>
        <w:tc>
          <w:tcPr>
            <w:tcW w:w="943" w:type="dxa"/>
            <w:vMerge w:val="continue"/>
            <w:vAlign w:val="center"/>
          </w:tcPr>
          <w:p w14:paraId="10C24BBF">
            <w:pPr>
              <w:rPr>
                <w:color w:val="000000" w:themeColor="text1"/>
              </w:rPr>
            </w:pPr>
          </w:p>
        </w:tc>
        <w:tc>
          <w:tcPr>
            <w:tcW w:w="1110" w:type="dxa"/>
            <w:vAlign w:val="center"/>
          </w:tcPr>
          <w:p w14:paraId="3DA7B1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E09F84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8D404D1">
            <w:pPr>
              <w:jc w:val="center"/>
              <w:rPr>
                <w:rFonts w:ascii="仿宋_GB2312" w:hAnsi="黑体" w:eastAsia="仿宋_GB2312" w:cs="黑体"/>
                <w:color w:val="000000" w:themeColor="text1"/>
                <w:sz w:val="18"/>
                <w:szCs w:val="18"/>
              </w:rPr>
            </w:pPr>
          </w:p>
        </w:tc>
        <w:tc>
          <w:tcPr>
            <w:tcW w:w="1406" w:type="dxa"/>
            <w:vAlign w:val="center"/>
          </w:tcPr>
          <w:p w14:paraId="26EB38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FD78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0" w:hRule="atLeast"/>
          <w:jc w:val="center"/>
        </w:trPr>
        <w:tc>
          <w:tcPr>
            <w:tcW w:w="943" w:type="dxa"/>
            <w:vMerge w:val="continue"/>
            <w:vAlign w:val="center"/>
          </w:tcPr>
          <w:p w14:paraId="2184C0BF">
            <w:pPr>
              <w:rPr>
                <w:color w:val="000000" w:themeColor="text1"/>
              </w:rPr>
            </w:pPr>
          </w:p>
        </w:tc>
        <w:tc>
          <w:tcPr>
            <w:tcW w:w="1110" w:type="dxa"/>
            <w:vAlign w:val="center"/>
          </w:tcPr>
          <w:p w14:paraId="4BF9E9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703B70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03CDC36">
            <w:pPr>
              <w:jc w:val="center"/>
              <w:rPr>
                <w:rFonts w:ascii="仿宋_GB2312" w:hAnsi="黑体" w:eastAsia="仿宋_GB2312" w:cs="黑体"/>
                <w:color w:val="000000" w:themeColor="text1"/>
                <w:sz w:val="18"/>
                <w:szCs w:val="18"/>
              </w:rPr>
            </w:pPr>
          </w:p>
        </w:tc>
        <w:tc>
          <w:tcPr>
            <w:tcW w:w="1406" w:type="dxa"/>
            <w:vAlign w:val="center"/>
          </w:tcPr>
          <w:p w14:paraId="2B45E3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6F0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95" w:hRule="atLeast"/>
          <w:jc w:val="center"/>
        </w:trPr>
        <w:tc>
          <w:tcPr>
            <w:tcW w:w="943" w:type="dxa"/>
            <w:vMerge w:val="continue"/>
            <w:vAlign w:val="center"/>
          </w:tcPr>
          <w:p w14:paraId="0EDCCC37">
            <w:pPr>
              <w:rPr>
                <w:color w:val="000000" w:themeColor="text1"/>
              </w:rPr>
            </w:pPr>
          </w:p>
        </w:tc>
        <w:tc>
          <w:tcPr>
            <w:tcW w:w="1110" w:type="dxa"/>
            <w:vAlign w:val="center"/>
          </w:tcPr>
          <w:p w14:paraId="33F05C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3771F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D7A5622">
            <w:pPr>
              <w:jc w:val="center"/>
              <w:rPr>
                <w:rFonts w:ascii="仿宋_GB2312" w:hAnsi="黑体" w:eastAsia="仿宋_GB2312" w:cs="黑体"/>
                <w:color w:val="000000" w:themeColor="text1"/>
                <w:sz w:val="18"/>
                <w:szCs w:val="18"/>
              </w:rPr>
            </w:pPr>
          </w:p>
        </w:tc>
        <w:tc>
          <w:tcPr>
            <w:tcW w:w="1406" w:type="dxa"/>
            <w:vAlign w:val="center"/>
          </w:tcPr>
          <w:p w14:paraId="4EB7D7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E65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417C4C0">
            <w:pPr>
              <w:rPr>
                <w:color w:val="000000" w:themeColor="text1"/>
              </w:rPr>
            </w:pPr>
          </w:p>
        </w:tc>
        <w:tc>
          <w:tcPr>
            <w:tcW w:w="1110" w:type="dxa"/>
            <w:vAlign w:val="center"/>
          </w:tcPr>
          <w:p w14:paraId="09489D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7579C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DBE0189">
            <w:pPr>
              <w:jc w:val="center"/>
              <w:rPr>
                <w:rFonts w:ascii="仿宋_GB2312" w:hAnsi="黑体" w:eastAsia="仿宋_GB2312" w:cs="黑体"/>
                <w:color w:val="000000" w:themeColor="text1"/>
                <w:sz w:val="18"/>
                <w:szCs w:val="18"/>
              </w:rPr>
            </w:pPr>
          </w:p>
        </w:tc>
        <w:tc>
          <w:tcPr>
            <w:tcW w:w="1406" w:type="dxa"/>
            <w:vAlign w:val="center"/>
          </w:tcPr>
          <w:p w14:paraId="61F02A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380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9" w:hRule="atLeast"/>
          <w:jc w:val="center"/>
        </w:trPr>
        <w:tc>
          <w:tcPr>
            <w:tcW w:w="943" w:type="dxa"/>
            <w:vMerge w:val="continue"/>
            <w:vAlign w:val="center"/>
          </w:tcPr>
          <w:p w14:paraId="04558C30">
            <w:pPr>
              <w:rPr>
                <w:color w:val="000000" w:themeColor="text1"/>
              </w:rPr>
            </w:pPr>
          </w:p>
        </w:tc>
        <w:tc>
          <w:tcPr>
            <w:tcW w:w="1110" w:type="dxa"/>
            <w:vAlign w:val="center"/>
          </w:tcPr>
          <w:p w14:paraId="58FDEC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8B1EEC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4159DA4">
            <w:pPr>
              <w:jc w:val="center"/>
              <w:rPr>
                <w:rFonts w:ascii="仿宋_GB2312" w:hAnsi="黑体" w:eastAsia="仿宋_GB2312" w:cs="黑体"/>
                <w:color w:val="000000" w:themeColor="text1"/>
                <w:sz w:val="18"/>
                <w:szCs w:val="18"/>
              </w:rPr>
            </w:pPr>
          </w:p>
        </w:tc>
        <w:tc>
          <w:tcPr>
            <w:tcW w:w="1406" w:type="dxa"/>
            <w:vAlign w:val="center"/>
          </w:tcPr>
          <w:p w14:paraId="1CB863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EE0C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11" w:hRule="atLeast"/>
          <w:jc w:val="center"/>
        </w:trPr>
        <w:tc>
          <w:tcPr>
            <w:tcW w:w="943" w:type="dxa"/>
            <w:vAlign w:val="center"/>
          </w:tcPr>
          <w:p w14:paraId="6FFBE3F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D9A2E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8CED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9" w:hRule="atLeast"/>
          <w:jc w:val="center"/>
        </w:trPr>
        <w:tc>
          <w:tcPr>
            <w:tcW w:w="943" w:type="dxa"/>
            <w:vAlign w:val="center"/>
          </w:tcPr>
          <w:p w14:paraId="5B1C89B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8A4145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F3839B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ED0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9" w:hRule="atLeast"/>
          <w:jc w:val="center"/>
        </w:trPr>
        <w:tc>
          <w:tcPr>
            <w:tcW w:w="943" w:type="dxa"/>
            <w:vAlign w:val="center"/>
          </w:tcPr>
          <w:p w14:paraId="2C39B2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F6E036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A76FF5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204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666DB14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7AFEC39">
            <w:pPr>
              <w:widowControl/>
              <w:jc w:val="left"/>
              <w:textAlignment w:val="center"/>
              <w:rPr>
                <w:rFonts w:ascii="黑体" w:eastAsia="黑体" w:cs="黑体"/>
                <w:color w:val="000000" w:themeColor="text1"/>
                <w:kern w:val="0"/>
                <w:sz w:val="18"/>
                <w:szCs w:val="18"/>
              </w:rPr>
            </w:pPr>
          </w:p>
        </w:tc>
      </w:tr>
    </w:tbl>
    <w:p w14:paraId="0C127E5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D81A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E8677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9DEE755">
            <w:pPr>
              <w:jc w:val="center"/>
              <w:rPr>
                <w:rFonts w:ascii="黑体" w:eastAsia="黑体" w:cs="黑体"/>
                <w:b/>
                <w:bCs/>
                <w:color w:val="000000" w:themeColor="text1"/>
                <w:szCs w:val="21"/>
              </w:rPr>
            </w:pPr>
            <w:r>
              <w:rPr>
                <w:rFonts w:ascii="黑体" w:eastAsia="黑体" w:cs="黑体"/>
                <w:b/>
                <w:bCs/>
                <w:color w:val="000000" w:themeColor="text1"/>
                <w:szCs w:val="21"/>
              </w:rPr>
              <w:t>16</w:t>
            </w:r>
          </w:p>
        </w:tc>
        <w:tc>
          <w:tcPr>
            <w:tcW w:w="1691" w:type="dxa"/>
            <w:vAlign w:val="center"/>
          </w:tcPr>
          <w:p w14:paraId="2A05CC6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E12B4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21D11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4A739D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852A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3D69A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8FF4D2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对擅自更新采伐护路林行为的行政处罚</w:t>
            </w:r>
          </w:p>
        </w:tc>
      </w:tr>
      <w:tr w14:paraId="017E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B7BECD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1C9FBC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43FA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D4229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C4A8CF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号）第六十一条违反本条例的规定，未经批准更新采伐护路林的，由公路管理机构责令补种，没收违法所得，并处采伐林木价值</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倍以上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倍以下的罚款。</w:t>
            </w:r>
          </w:p>
          <w:p w14:paraId="7CE059EF">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11F1BC55">
            <w:pPr>
              <w:spacing w:line="240" w:lineRule="exact"/>
              <w:rPr>
                <w:rFonts w:ascii="仿宋_GB2312" w:eastAsia="仿宋_GB2312" w:cs="黑体"/>
                <w:b/>
                <w:bCs/>
                <w:color w:val="000000" w:themeColor="text1"/>
                <w:szCs w:val="21"/>
              </w:rPr>
            </w:pPr>
          </w:p>
        </w:tc>
      </w:tr>
      <w:tr w14:paraId="6C440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BDA8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25EF6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0AEA8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86C03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F55761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3F44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B0223F7">
            <w:pPr>
              <w:rPr>
                <w:color w:val="000000" w:themeColor="text1"/>
              </w:rPr>
            </w:pPr>
          </w:p>
        </w:tc>
        <w:tc>
          <w:tcPr>
            <w:tcW w:w="1110" w:type="dxa"/>
            <w:vAlign w:val="center"/>
          </w:tcPr>
          <w:p w14:paraId="3CC933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9254D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58DAA46">
            <w:pPr>
              <w:jc w:val="center"/>
              <w:rPr>
                <w:rFonts w:ascii="仿宋_GB2312" w:hAnsi="黑体" w:eastAsia="仿宋_GB2312" w:cs="黑体"/>
                <w:color w:val="000000" w:themeColor="text1"/>
                <w:sz w:val="18"/>
                <w:szCs w:val="18"/>
              </w:rPr>
            </w:pPr>
          </w:p>
        </w:tc>
        <w:tc>
          <w:tcPr>
            <w:tcW w:w="1406" w:type="dxa"/>
            <w:vAlign w:val="center"/>
          </w:tcPr>
          <w:p w14:paraId="0D3DB29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A181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BE77FD8">
            <w:pPr>
              <w:rPr>
                <w:color w:val="000000" w:themeColor="text1"/>
              </w:rPr>
            </w:pPr>
          </w:p>
        </w:tc>
        <w:tc>
          <w:tcPr>
            <w:tcW w:w="1110" w:type="dxa"/>
            <w:vAlign w:val="center"/>
          </w:tcPr>
          <w:p w14:paraId="4D07B5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1D042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8FC6B70">
            <w:pPr>
              <w:jc w:val="center"/>
              <w:rPr>
                <w:rFonts w:ascii="仿宋_GB2312" w:hAnsi="黑体" w:eastAsia="仿宋_GB2312" w:cs="黑体"/>
                <w:color w:val="000000" w:themeColor="text1"/>
                <w:sz w:val="18"/>
                <w:szCs w:val="18"/>
              </w:rPr>
            </w:pPr>
          </w:p>
        </w:tc>
        <w:tc>
          <w:tcPr>
            <w:tcW w:w="1406" w:type="dxa"/>
            <w:vAlign w:val="center"/>
          </w:tcPr>
          <w:p w14:paraId="7B586E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022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736FE02">
            <w:pPr>
              <w:rPr>
                <w:color w:val="000000" w:themeColor="text1"/>
              </w:rPr>
            </w:pPr>
          </w:p>
        </w:tc>
        <w:tc>
          <w:tcPr>
            <w:tcW w:w="1110" w:type="dxa"/>
            <w:vAlign w:val="center"/>
          </w:tcPr>
          <w:p w14:paraId="64131BB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688F4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94D9F95">
            <w:pPr>
              <w:jc w:val="center"/>
              <w:rPr>
                <w:rFonts w:ascii="仿宋_GB2312" w:hAnsi="黑体" w:eastAsia="仿宋_GB2312" w:cs="黑体"/>
                <w:color w:val="000000" w:themeColor="text1"/>
                <w:sz w:val="18"/>
                <w:szCs w:val="18"/>
              </w:rPr>
            </w:pPr>
          </w:p>
        </w:tc>
        <w:tc>
          <w:tcPr>
            <w:tcW w:w="1406" w:type="dxa"/>
            <w:vAlign w:val="center"/>
          </w:tcPr>
          <w:p w14:paraId="7DFD60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2E0D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DAA3CD3">
            <w:pPr>
              <w:rPr>
                <w:color w:val="000000" w:themeColor="text1"/>
              </w:rPr>
            </w:pPr>
          </w:p>
        </w:tc>
        <w:tc>
          <w:tcPr>
            <w:tcW w:w="1110" w:type="dxa"/>
            <w:vAlign w:val="center"/>
          </w:tcPr>
          <w:p w14:paraId="3CC35A4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043C1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C0A1573">
            <w:pPr>
              <w:jc w:val="center"/>
              <w:rPr>
                <w:rFonts w:ascii="仿宋_GB2312" w:hAnsi="黑体" w:eastAsia="仿宋_GB2312" w:cs="黑体"/>
                <w:color w:val="000000" w:themeColor="text1"/>
                <w:sz w:val="18"/>
                <w:szCs w:val="18"/>
              </w:rPr>
            </w:pPr>
          </w:p>
        </w:tc>
        <w:tc>
          <w:tcPr>
            <w:tcW w:w="1406" w:type="dxa"/>
            <w:vAlign w:val="center"/>
          </w:tcPr>
          <w:p w14:paraId="3A62B1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957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262C86D">
            <w:pPr>
              <w:rPr>
                <w:color w:val="000000" w:themeColor="text1"/>
              </w:rPr>
            </w:pPr>
          </w:p>
        </w:tc>
        <w:tc>
          <w:tcPr>
            <w:tcW w:w="1110" w:type="dxa"/>
            <w:vAlign w:val="center"/>
          </w:tcPr>
          <w:p w14:paraId="402C34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F738A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7EDF677">
            <w:pPr>
              <w:jc w:val="center"/>
              <w:rPr>
                <w:rFonts w:ascii="仿宋_GB2312" w:hAnsi="黑体" w:eastAsia="仿宋_GB2312" w:cs="黑体"/>
                <w:color w:val="000000" w:themeColor="text1"/>
                <w:sz w:val="18"/>
                <w:szCs w:val="18"/>
              </w:rPr>
            </w:pPr>
          </w:p>
        </w:tc>
        <w:tc>
          <w:tcPr>
            <w:tcW w:w="1406" w:type="dxa"/>
            <w:vAlign w:val="center"/>
          </w:tcPr>
          <w:p w14:paraId="62A116A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2CE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03A13D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45308A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0D5E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C827C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D1C6B3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495997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8B8C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FF0CB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F2F4BA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0C911F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FA4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6C3F8AC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1FB152A">
            <w:pPr>
              <w:widowControl/>
              <w:jc w:val="left"/>
              <w:textAlignment w:val="center"/>
              <w:rPr>
                <w:rFonts w:ascii="黑体" w:eastAsia="黑体" w:cs="黑体"/>
                <w:color w:val="000000" w:themeColor="text1"/>
                <w:kern w:val="0"/>
                <w:sz w:val="18"/>
                <w:szCs w:val="18"/>
              </w:rPr>
            </w:pPr>
          </w:p>
        </w:tc>
      </w:tr>
    </w:tbl>
    <w:p w14:paraId="0CB7C45E">
      <w:pPr>
        <w:rPr>
          <w:color w:val="000000" w:themeColor="text1"/>
          <w:sz w:val="24"/>
        </w:rPr>
      </w:pPr>
    </w:p>
    <w:p w14:paraId="10A64CC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175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D9F81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6C16DF7">
            <w:pPr>
              <w:jc w:val="center"/>
              <w:rPr>
                <w:rFonts w:ascii="黑体" w:eastAsia="黑体" w:cs="黑体"/>
                <w:b/>
                <w:bCs/>
                <w:color w:val="000000" w:themeColor="text1"/>
                <w:szCs w:val="21"/>
              </w:rPr>
            </w:pPr>
            <w:r>
              <w:rPr>
                <w:rFonts w:ascii="黑体" w:eastAsia="黑体" w:cs="黑体"/>
                <w:b/>
                <w:bCs/>
                <w:color w:val="000000" w:themeColor="text1"/>
                <w:szCs w:val="21"/>
              </w:rPr>
              <w:t>17</w:t>
            </w:r>
          </w:p>
        </w:tc>
        <w:tc>
          <w:tcPr>
            <w:tcW w:w="1691" w:type="dxa"/>
            <w:vAlign w:val="center"/>
          </w:tcPr>
          <w:p w14:paraId="3411E44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C16350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FC60F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B77F4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400F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CB7EFD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49930F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对租借、转让超限运输车辆通行证或者使用伪造、变造的超限运输车辆通行证行为的行政处罚</w:t>
            </w:r>
          </w:p>
        </w:tc>
      </w:tr>
      <w:tr w14:paraId="37897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338BB6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8CD3CE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w:t>
            </w:r>
          </w:p>
        </w:tc>
      </w:tr>
      <w:tr w14:paraId="2E133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48930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A2655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2ADB973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六十五条违反本条例的规定，经批准进行超限运输的车辆，未按照指定时间、路线和速度行驶的，由公路管理机构或者公安机关交通管理部门责令改正；拒不改正的，公路管理机构或者公安机关交通管理部门可以扣留车辆。</w:t>
            </w:r>
          </w:p>
          <w:p w14:paraId="6A468C9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未随车携带超限运输车辆通行证的，由公路管理机构扣留车辆，责令车辆驾驶人提供超限运输车辆通行证或者相应的证明。</w:t>
            </w:r>
          </w:p>
          <w:p w14:paraId="58EE74F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租借、转让超限运输车辆通行证的，由公路管理机构没收超限运输车辆通行证，处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元以下的罚款。使用伪造、变造的超限运输车辆通行证的，由公路管理机构没收伪造、变造的超限运输车辆通行证，处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442BAE4D">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9E66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3DF3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EB929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14919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CDB2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626EBE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A0C9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065FF3F">
            <w:pPr>
              <w:rPr>
                <w:color w:val="000000" w:themeColor="text1"/>
              </w:rPr>
            </w:pPr>
          </w:p>
        </w:tc>
        <w:tc>
          <w:tcPr>
            <w:tcW w:w="1110" w:type="dxa"/>
            <w:vAlign w:val="center"/>
          </w:tcPr>
          <w:p w14:paraId="284675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DD7D6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DF9E3EC">
            <w:pPr>
              <w:jc w:val="center"/>
              <w:rPr>
                <w:rFonts w:ascii="仿宋_GB2312" w:hAnsi="黑体" w:eastAsia="仿宋_GB2312" w:cs="黑体"/>
                <w:color w:val="000000" w:themeColor="text1"/>
                <w:sz w:val="18"/>
                <w:szCs w:val="18"/>
              </w:rPr>
            </w:pPr>
          </w:p>
        </w:tc>
        <w:tc>
          <w:tcPr>
            <w:tcW w:w="1406" w:type="dxa"/>
            <w:vAlign w:val="center"/>
          </w:tcPr>
          <w:p w14:paraId="7F04DD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0338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95CF664">
            <w:pPr>
              <w:rPr>
                <w:color w:val="000000" w:themeColor="text1"/>
              </w:rPr>
            </w:pPr>
          </w:p>
        </w:tc>
        <w:tc>
          <w:tcPr>
            <w:tcW w:w="1110" w:type="dxa"/>
            <w:vAlign w:val="center"/>
          </w:tcPr>
          <w:p w14:paraId="64CB3C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5A5517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F5B9B9A">
            <w:pPr>
              <w:jc w:val="center"/>
              <w:rPr>
                <w:rFonts w:ascii="仿宋_GB2312" w:hAnsi="黑体" w:eastAsia="仿宋_GB2312" w:cs="黑体"/>
                <w:color w:val="000000" w:themeColor="text1"/>
                <w:sz w:val="18"/>
                <w:szCs w:val="18"/>
              </w:rPr>
            </w:pPr>
          </w:p>
        </w:tc>
        <w:tc>
          <w:tcPr>
            <w:tcW w:w="1406" w:type="dxa"/>
            <w:vAlign w:val="center"/>
          </w:tcPr>
          <w:p w14:paraId="3646C2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822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DA187E5">
            <w:pPr>
              <w:rPr>
                <w:color w:val="000000" w:themeColor="text1"/>
              </w:rPr>
            </w:pPr>
          </w:p>
        </w:tc>
        <w:tc>
          <w:tcPr>
            <w:tcW w:w="1110" w:type="dxa"/>
            <w:vAlign w:val="center"/>
          </w:tcPr>
          <w:p w14:paraId="73BAFA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9E970A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09C0022">
            <w:pPr>
              <w:jc w:val="center"/>
              <w:rPr>
                <w:rFonts w:ascii="仿宋_GB2312" w:hAnsi="黑体" w:eastAsia="仿宋_GB2312" w:cs="黑体"/>
                <w:color w:val="000000" w:themeColor="text1"/>
                <w:sz w:val="18"/>
                <w:szCs w:val="18"/>
              </w:rPr>
            </w:pPr>
          </w:p>
        </w:tc>
        <w:tc>
          <w:tcPr>
            <w:tcW w:w="1406" w:type="dxa"/>
            <w:vAlign w:val="center"/>
          </w:tcPr>
          <w:p w14:paraId="0414268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FE8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EEA2FAB">
            <w:pPr>
              <w:rPr>
                <w:color w:val="000000" w:themeColor="text1"/>
              </w:rPr>
            </w:pPr>
          </w:p>
        </w:tc>
        <w:tc>
          <w:tcPr>
            <w:tcW w:w="1110" w:type="dxa"/>
            <w:vAlign w:val="center"/>
          </w:tcPr>
          <w:p w14:paraId="269BA2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59FB11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2AF266A">
            <w:pPr>
              <w:jc w:val="center"/>
              <w:rPr>
                <w:rFonts w:ascii="仿宋_GB2312" w:hAnsi="黑体" w:eastAsia="仿宋_GB2312" w:cs="黑体"/>
                <w:color w:val="000000" w:themeColor="text1"/>
                <w:sz w:val="18"/>
                <w:szCs w:val="18"/>
              </w:rPr>
            </w:pPr>
          </w:p>
        </w:tc>
        <w:tc>
          <w:tcPr>
            <w:tcW w:w="1406" w:type="dxa"/>
            <w:vAlign w:val="center"/>
          </w:tcPr>
          <w:p w14:paraId="11EC02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7394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4" w:hRule="atLeast"/>
          <w:jc w:val="center"/>
        </w:trPr>
        <w:tc>
          <w:tcPr>
            <w:tcW w:w="943" w:type="dxa"/>
            <w:vMerge w:val="continue"/>
            <w:vAlign w:val="center"/>
          </w:tcPr>
          <w:p w14:paraId="43A5B099">
            <w:pPr>
              <w:rPr>
                <w:color w:val="000000" w:themeColor="text1"/>
              </w:rPr>
            </w:pPr>
          </w:p>
        </w:tc>
        <w:tc>
          <w:tcPr>
            <w:tcW w:w="1110" w:type="dxa"/>
            <w:vAlign w:val="center"/>
          </w:tcPr>
          <w:p w14:paraId="0AB482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3FAE7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FCB4CE1">
            <w:pPr>
              <w:jc w:val="center"/>
              <w:rPr>
                <w:rFonts w:ascii="仿宋_GB2312" w:hAnsi="黑体" w:eastAsia="仿宋_GB2312" w:cs="黑体"/>
                <w:color w:val="000000" w:themeColor="text1"/>
                <w:sz w:val="18"/>
                <w:szCs w:val="18"/>
              </w:rPr>
            </w:pPr>
          </w:p>
        </w:tc>
        <w:tc>
          <w:tcPr>
            <w:tcW w:w="1406" w:type="dxa"/>
            <w:vAlign w:val="center"/>
          </w:tcPr>
          <w:p w14:paraId="23FB00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8AD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23" w:hRule="atLeast"/>
          <w:jc w:val="center"/>
        </w:trPr>
        <w:tc>
          <w:tcPr>
            <w:tcW w:w="943" w:type="dxa"/>
            <w:vAlign w:val="center"/>
          </w:tcPr>
          <w:p w14:paraId="1E24F08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91BFD2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F2B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6FAA5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8E95BA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BB2137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53E9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E10721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14EE7E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6B8195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6BDF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4A6B36D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C6E4C79">
            <w:pPr>
              <w:widowControl/>
              <w:jc w:val="left"/>
              <w:textAlignment w:val="center"/>
              <w:rPr>
                <w:rFonts w:ascii="黑体" w:eastAsia="黑体" w:cs="黑体"/>
                <w:color w:val="000000" w:themeColor="text1"/>
                <w:kern w:val="0"/>
                <w:sz w:val="18"/>
                <w:szCs w:val="18"/>
              </w:rPr>
            </w:pPr>
          </w:p>
        </w:tc>
      </w:tr>
    </w:tbl>
    <w:p w14:paraId="69FEB081">
      <w:pPr>
        <w:rPr>
          <w:color w:val="000000" w:themeColor="text1"/>
        </w:rPr>
      </w:pPr>
    </w:p>
    <w:p w14:paraId="72AF76E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2DF0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1A8DF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FB58962">
            <w:pPr>
              <w:jc w:val="center"/>
              <w:rPr>
                <w:rFonts w:ascii="黑体" w:eastAsia="黑体" w:cs="黑体"/>
                <w:b/>
                <w:bCs/>
                <w:color w:val="000000" w:themeColor="text1"/>
                <w:szCs w:val="21"/>
              </w:rPr>
            </w:pPr>
            <w:r>
              <w:rPr>
                <w:rFonts w:ascii="黑体" w:eastAsia="黑体" w:cs="黑体"/>
                <w:b/>
                <w:bCs/>
                <w:color w:val="000000" w:themeColor="text1"/>
                <w:szCs w:val="21"/>
              </w:rPr>
              <w:t>18</w:t>
            </w:r>
          </w:p>
        </w:tc>
        <w:tc>
          <w:tcPr>
            <w:tcW w:w="1691" w:type="dxa"/>
            <w:vAlign w:val="center"/>
          </w:tcPr>
          <w:p w14:paraId="0BB53BC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B09176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CD37F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9D58B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A20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0781AC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0F1A2B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对采取故意堵塞固定超限检测站点通行车道、强行通过固定超限检测站点等方式扰乱超限检测秩序等行为的行政处罚</w:t>
            </w:r>
          </w:p>
        </w:tc>
      </w:tr>
      <w:tr w14:paraId="0020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ADDA43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614832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A291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36543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928BC3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号）第六十七条违反本条例的规定，有下列行为之一的，由公路管理机构强制拖离或者扣留车辆，处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万元以下的罚款：（一）采取故意堵塞固定超限检测站点通行车道、强行通过固定超限检测站点等方式扰乱超限检测秩序的；（二）采取短途驳载等方式逃避超限检测的。</w:t>
            </w:r>
          </w:p>
          <w:p w14:paraId="575080B8">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04B255F7">
            <w:pPr>
              <w:spacing w:line="240" w:lineRule="exact"/>
              <w:rPr>
                <w:rFonts w:ascii="仿宋_GB2312" w:eastAsia="仿宋_GB2312" w:cs="黑体"/>
                <w:b/>
                <w:bCs/>
                <w:color w:val="000000" w:themeColor="text1"/>
                <w:szCs w:val="21"/>
              </w:rPr>
            </w:pPr>
          </w:p>
        </w:tc>
      </w:tr>
      <w:tr w14:paraId="036A0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9C881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69D22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EEF06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A5BC6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3C5454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08CB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A9114B2">
            <w:pPr>
              <w:rPr>
                <w:color w:val="000000" w:themeColor="text1"/>
              </w:rPr>
            </w:pPr>
          </w:p>
        </w:tc>
        <w:tc>
          <w:tcPr>
            <w:tcW w:w="1110" w:type="dxa"/>
            <w:vAlign w:val="center"/>
          </w:tcPr>
          <w:p w14:paraId="5EF76F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C7520A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3FB9414">
            <w:pPr>
              <w:jc w:val="center"/>
              <w:rPr>
                <w:rFonts w:ascii="仿宋_GB2312" w:hAnsi="黑体" w:eastAsia="仿宋_GB2312" w:cs="黑体"/>
                <w:color w:val="000000" w:themeColor="text1"/>
                <w:sz w:val="18"/>
                <w:szCs w:val="18"/>
              </w:rPr>
            </w:pPr>
          </w:p>
        </w:tc>
        <w:tc>
          <w:tcPr>
            <w:tcW w:w="1406" w:type="dxa"/>
            <w:vAlign w:val="center"/>
          </w:tcPr>
          <w:p w14:paraId="74019A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130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8376EC6">
            <w:pPr>
              <w:rPr>
                <w:color w:val="000000" w:themeColor="text1"/>
              </w:rPr>
            </w:pPr>
          </w:p>
        </w:tc>
        <w:tc>
          <w:tcPr>
            <w:tcW w:w="1110" w:type="dxa"/>
            <w:vAlign w:val="center"/>
          </w:tcPr>
          <w:p w14:paraId="33FD4C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66C25D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2DD7E46">
            <w:pPr>
              <w:jc w:val="center"/>
              <w:rPr>
                <w:rFonts w:ascii="仿宋_GB2312" w:hAnsi="黑体" w:eastAsia="仿宋_GB2312" w:cs="黑体"/>
                <w:color w:val="000000" w:themeColor="text1"/>
                <w:sz w:val="18"/>
                <w:szCs w:val="18"/>
              </w:rPr>
            </w:pPr>
          </w:p>
        </w:tc>
        <w:tc>
          <w:tcPr>
            <w:tcW w:w="1406" w:type="dxa"/>
            <w:vAlign w:val="center"/>
          </w:tcPr>
          <w:p w14:paraId="3CD08E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BFE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C92EC7E">
            <w:pPr>
              <w:rPr>
                <w:color w:val="000000" w:themeColor="text1"/>
              </w:rPr>
            </w:pPr>
          </w:p>
        </w:tc>
        <w:tc>
          <w:tcPr>
            <w:tcW w:w="1110" w:type="dxa"/>
            <w:vAlign w:val="center"/>
          </w:tcPr>
          <w:p w14:paraId="3397B1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B606AD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2E6F07B">
            <w:pPr>
              <w:jc w:val="center"/>
              <w:rPr>
                <w:rFonts w:ascii="仿宋_GB2312" w:hAnsi="黑体" w:eastAsia="仿宋_GB2312" w:cs="黑体"/>
                <w:color w:val="000000" w:themeColor="text1"/>
                <w:sz w:val="18"/>
                <w:szCs w:val="18"/>
              </w:rPr>
            </w:pPr>
          </w:p>
        </w:tc>
        <w:tc>
          <w:tcPr>
            <w:tcW w:w="1406" w:type="dxa"/>
            <w:vAlign w:val="center"/>
          </w:tcPr>
          <w:p w14:paraId="0B7013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5CCB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A943719">
            <w:pPr>
              <w:rPr>
                <w:color w:val="000000" w:themeColor="text1"/>
              </w:rPr>
            </w:pPr>
          </w:p>
        </w:tc>
        <w:tc>
          <w:tcPr>
            <w:tcW w:w="1110" w:type="dxa"/>
            <w:vAlign w:val="center"/>
          </w:tcPr>
          <w:p w14:paraId="79289BA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2188ED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8A48168">
            <w:pPr>
              <w:jc w:val="center"/>
              <w:rPr>
                <w:rFonts w:ascii="仿宋_GB2312" w:hAnsi="黑体" w:eastAsia="仿宋_GB2312" w:cs="黑体"/>
                <w:color w:val="000000" w:themeColor="text1"/>
                <w:sz w:val="18"/>
                <w:szCs w:val="18"/>
              </w:rPr>
            </w:pPr>
          </w:p>
        </w:tc>
        <w:tc>
          <w:tcPr>
            <w:tcW w:w="1406" w:type="dxa"/>
            <w:vAlign w:val="center"/>
          </w:tcPr>
          <w:p w14:paraId="4FD33C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60A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9" w:hRule="atLeast"/>
          <w:jc w:val="center"/>
        </w:trPr>
        <w:tc>
          <w:tcPr>
            <w:tcW w:w="943" w:type="dxa"/>
            <w:vMerge w:val="continue"/>
            <w:vAlign w:val="center"/>
          </w:tcPr>
          <w:p w14:paraId="354DD629">
            <w:pPr>
              <w:rPr>
                <w:color w:val="000000" w:themeColor="text1"/>
              </w:rPr>
            </w:pPr>
          </w:p>
        </w:tc>
        <w:tc>
          <w:tcPr>
            <w:tcW w:w="1110" w:type="dxa"/>
            <w:vAlign w:val="center"/>
          </w:tcPr>
          <w:p w14:paraId="41B41C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1E310A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43A8C9A">
            <w:pPr>
              <w:jc w:val="center"/>
              <w:rPr>
                <w:rFonts w:ascii="仿宋_GB2312" w:hAnsi="黑体" w:eastAsia="仿宋_GB2312" w:cs="黑体"/>
                <w:color w:val="000000" w:themeColor="text1"/>
                <w:sz w:val="18"/>
                <w:szCs w:val="18"/>
              </w:rPr>
            </w:pPr>
          </w:p>
        </w:tc>
        <w:tc>
          <w:tcPr>
            <w:tcW w:w="1406" w:type="dxa"/>
            <w:vAlign w:val="center"/>
          </w:tcPr>
          <w:p w14:paraId="15C0169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D92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7AAFC3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7B66E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44B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C7322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2AC7FD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8C34C38">
            <w:pPr>
              <w:widowControl/>
              <w:spacing w:line="240" w:lineRule="exact"/>
              <w:ind w:left="31680" w:hanging="180" w:hangingChars="100"/>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 xml:space="preserve"> 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B49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D55BA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7852BC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E6E6C6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8D8D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46B3679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F74885C">
            <w:pPr>
              <w:widowControl/>
              <w:jc w:val="left"/>
              <w:textAlignment w:val="center"/>
              <w:rPr>
                <w:rFonts w:ascii="黑体" w:eastAsia="黑体" w:cs="黑体"/>
                <w:color w:val="000000" w:themeColor="text1"/>
                <w:kern w:val="0"/>
                <w:sz w:val="18"/>
                <w:szCs w:val="18"/>
              </w:rPr>
            </w:pPr>
          </w:p>
        </w:tc>
      </w:tr>
    </w:tbl>
    <w:p w14:paraId="04F37796">
      <w:pPr>
        <w:rPr>
          <w:color w:val="000000" w:themeColor="text1"/>
          <w:sz w:val="24"/>
        </w:rPr>
      </w:pPr>
    </w:p>
    <w:p w14:paraId="1BA9CF2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EFD3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4E597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C98B6EE">
            <w:pPr>
              <w:jc w:val="center"/>
              <w:rPr>
                <w:rFonts w:ascii="黑体" w:eastAsia="黑体" w:cs="黑体"/>
                <w:b/>
                <w:bCs/>
                <w:color w:val="000000" w:themeColor="text1"/>
                <w:szCs w:val="21"/>
              </w:rPr>
            </w:pPr>
            <w:r>
              <w:rPr>
                <w:rFonts w:ascii="黑体" w:eastAsia="黑体" w:cs="黑体"/>
                <w:b/>
                <w:bCs/>
                <w:color w:val="000000" w:themeColor="text1"/>
                <w:szCs w:val="21"/>
              </w:rPr>
              <w:t>19</w:t>
            </w:r>
          </w:p>
        </w:tc>
        <w:tc>
          <w:tcPr>
            <w:tcW w:w="1691" w:type="dxa"/>
            <w:vAlign w:val="center"/>
          </w:tcPr>
          <w:p w14:paraId="6210BF4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ACEA6D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90B699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FD46CB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A0E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CF393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0BB780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对未按技术规范和操作规程进行公路养护作业行为的行政处罚</w:t>
            </w:r>
          </w:p>
        </w:tc>
      </w:tr>
      <w:tr w14:paraId="4BFE7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D0E0EF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DF9581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175D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CA152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D25FBE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号）第七十条违反本条例的规定，公路养护作业单位未按照国务院交通运输主管部门规定的技术规范和操作规程进行公路养护作业的，由公路管理机构责令改正，处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万元以下的罚款；拒不改正的，吊销其资质证书。</w:t>
            </w:r>
          </w:p>
          <w:p w14:paraId="4D9F56B5">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3EFD2F2">
            <w:pPr>
              <w:spacing w:line="240" w:lineRule="exact"/>
              <w:rPr>
                <w:rFonts w:ascii="仿宋_GB2312" w:eastAsia="仿宋_GB2312" w:cs="黑体"/>
                <w:b/>
                <w:bCs/>
                <w:color w:val="000000" w:themeColor="text1"/>
                <w:szCs w:val="21"/>
              </w:rPr>
            </w:pPr>
          </w:p>
        </w:tc>
      </w:tr>
      <w:tr w14:paraId="13D6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07A3C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2A4EF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D54F8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D2B01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FE81E4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621E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BD1E22D">
            <w:pPr>
              <w:rPr>
                <w:color w:val="000000" w:themeColor="text1"/>
              </w:rPr>
            </w:pPr>
          </w:p>
        </w:tc>
        <w:tc>
          <w:tcPr>
            <w:tcW w:w="1110" w:type="dxa"/>
            <w:vAlign w:val="center"/>
          </w:tcPr>
          <w:p w14:paraId="0432DB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3B589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32467AD">
            <w:pPr>
              <w:jc w:val="center"/>
              <w:rPr>
                <w:rFonts w:ascii="仿宋_GB2312" w:hAnsi="黑体" w:eastAsia="仿宋_GB2312" w:cs="黑体"/>
                <w:color w:val="000000" w:themeColor="text1"/>
                <w:sz w:val="18"/>
                <w:szCs w:val="18"/>
              </w:rPr>
            </w:pPr>
          </w:p>
        </w:tc>
        <w:tc>
          <w:tcPr>
            <w:tcW w:w="1406" w:type="dxa"/>
            <w:vAlign w:val="center"/>
          </w:tcPr>
          <w:p w14:paraId="57C1EF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92B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566512D">
            <w:pPr>
              <w:rPr>
                <w:color w:val="000000" w:themeColor="text1"/>
              </w:rPr>
            </w:pPr>
          </w:p>
        </w:tc>
        <w:tc>
          <w:tcPr>
            <w:tcW w:w="1110" w:type="dxa"/>
            <w:vAlign w:val="center"/>
          </w:tcPr>
          <w:p w14:paraId="45C641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7FC814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55284AF">
            <w:pPr>
              <w:jc w:val="center"/>
              <w:rPr>
                <w:rFonts w:ascii="仿宋_GB2312" w:hAnsi="黑体" w:eastAsia="仿宋_GB2312" w:cs="黑体"/>
                <w:color w:val="000000" w:themeColor="text1"/>
                <w:sz w:val="18"/>
                <w:szCs w:val="18"/>
              </w:rPr>
            </w:pPr>
          </w:p>
        </w:tc>
        <w:tc>
          <w:tcPr>
            <w:tcW w:w="1406" w:type="dxa"/>
            <w:vAlign w:val="center"/>
          </w:tcPr>
          <w:p w14:paraId="3DEA4C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533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5E661D5">
            <w:pPr>
              <w:rPr>
                <w:color w:val="000000" w:themeColor="text1"/>
              </w:rPr>
            </w:pPr>
          </w:p>
        </w:tc>
        <w:tc>
          <w:tcPr>
            <w:tcW w:w="1110" w:type="dxa"/>
            <w:vAlign w:val="center"/>
          </w:tcPr>
          <w:p w14:paraId="660C0D0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6EE3BB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0A96341">
            <w:pPr>
              <w:jc w:val="center"/>
              <w:rPr>
                <w:rFonts w:ascii="仿宋_GB2312" w:hAnsi="黑体" w:eastAsia="仿宋_GB2312" w:cs="黑体"/>
                <w:color w:val="000000" w:themeColor="text1"/>
                <w:sz w:val="18"/>
                <w:szCs w:val="18"/>
              </w:rPr>
            </w:pPr>
          </w:p>
        </w:tc>
        <w:tc>
          <w:tcPr>
            <w:tcW w:w="1406" w:type="dxa"/>
            <w:vAlign w:val="center"/>
          </w:tcPr>
          <w:p w14:paraId="0944282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FCEA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E7E5638">
            <w:pPr>
              <w:rPr>
                <w:color w:val="000000" w:themeColor="text1"/>
              </w:rPr>
            </w:pPr>
          </w:p>
        </w:tc>
        <w:tc>
          <w:tcPr>
            <w:tcW w:w="1110" w:type="dxa"/>
            <w:vAlign w:val="center"/>
          </w:tcPr>
          <w:p w14:paraId="5507C3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849CD9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0EB2F38">
            <w:pPr>
              <w:jc w:val="center"/>
              <w:rPr>
                <w:rFonts w:ascii="仿宋_GB2312" w:hAnsi="黑体" w:eastAsia="仿宋_GB2312" w:cs="黑体"/>
                <w:color w:val="000000" w:themeColor="text1"/>
                <w:sz w:val="18"/>
                <w:szCs w:val="18"/>
              </w:rPr>
            </w:pPr>
          </w:p>
        </w:tc>
        <w:tc>
          <w:tcPr>
            <w:tcW w:w="1406" w:type="dxa"/>
            <w:vAlign w:val="center"/>
          </w:tcPr>
          <w:p w14:paraId="1589D3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AB0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3DC3FCA">
            <w:pPr>
              <w:rPr>
                <w:color w:val="000000" w:themeColor="text1"/>
              </w:rPr>
            </w:pPr>
          </w:p>
        </w:tc>
        <w:tc>
          <w:tcPr>
            <w:tcW w:w="1110" w:type="dxa"/>
            <w:vAlign w:val="center"/>
          </w:tcPr>
          <w:p w14:paraId="33283F9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CB548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F95A8DE">
            <w:pPr>
              <w:jc w:val="center"/>
              <w:rPr>
                <w:rFonts w:ascii="仿宋_GB2312" w:hAnsi="黑体" w:eastAsia="仿宋_GB2312" w:cs="黑体"/>
                <w:color w:val="000000" w:themeColor="text1"/>
                <w:sz w:val="18"/>
                <w:szCs w:val="18"/>
              </w:rPr>
            </w:pPr>
          </w:p>
        </w:tc>
        <w:tc>
          <w:tcPr>
            <w:tcW w:w="1406" w:type="dxa"/>
            <w:vAlign w:val="center"/>
          </w:tcPr>
          <w:p w14:paraId="0E544BE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F7C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09" w:hRule="atLeast"/>
          <w:jc w:val="center"/>
        </w:trPr>
        <w:tc>
          <w:tcPr>
            <w:tcW w:w="943" w:type="dxa"/>
            <w:vAlign w:val="center"/>
          </w:tcPr>
          <w:p w14:paraId="0FA4CC2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A2D4E0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052F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E46D7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2447D4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857115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7B88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35015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B6A30F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CDD09E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8F19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0A97F0B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F66676F">
            <w:pPr>
              <w:widowControl/>
              <w:jc w:val="left"/>
              <w:textAlignment w:val="center"/>
              <w:rPr>
                <w:rFonts w:ascii="黑体" w:eastAsia="黑体" w:cs="黑体"/>
                <w:color w:val="000000" w:themeColor="text1"/>
                <w:kern w:val="0"/>
                <w:sz w:val="18"/>
                <w:szCs w:val="18"/>
              </w:rPr>
            </w:pPr>
          </w:p>
        </w:tc>
      </w:tr>
    </w:tbl>
    <w:p w14:paraId="32A3724F">
      <w:pPr>
        <w:widowControl/>
        <w:jc w:val="center"/>
        <w:textAlignment w:val="center"/>
        <w:rPr>
          <w:rFonts w:ascii="方正小标宋简体" w:eastAsia="方正小标宋简体" w:cs="方正小标宋简体"/>
          <w:color w:val="000000" w:themeColor="text1"/>
          <w:kern w:val="0"/>
          <w:sz w:val="44"/>
          <w:szCs w:val="44"/>
        </w:rPr>
      </w:pPr>
    </w:p>
    <w:p w14:paraId="32C2772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08AC9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52B3DF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753890EA">
            <w:pPr>
              <w:jc w:val="center"/>
              <w:rPr>
                <w:rFonts w:ascii="黑体" w:eastAsia="黑体" w:cs="黑体"/>
                <w:b/>
                <w:bCs/>
                <w:color w:val="000000" w:themeColor="text1"/>
                <w:szCs w:val="21"/>
              </w:rPr>
            </w:pPr>
            <w:r>
              <w:rPr>
                <w:rFonts w:ascii="黑体" w:eastAsia="黑体" w:cs="黑体"/>
                <w:b/>
                <w:bCs/>
                <w:color w:val="000000" w:themeColor="text1"/>
                <w:szCs w:val="21"/>
              </w:rPr>
              <w:t>20</w:t>
            </w:r>
          </w:p>
        </w:tc>
        <w:tc>
          <w:tcPr>
            <w:tcW w:w="1691" w:type="dxa"/>
            <w:tcMar>
              <w:top w:w="15" w:type="dxa"/>
              <w:left w:w="15" w:type="dxa"/>
              <w:bottom w:w="15" w:type="dxa"/>
              <w:right w:w="15" w:type="dxa"/>
            </w:tcMar>
            <w:vAlign w:val="center"/>
          </w:tcPr>
          <w:p w14:paraId="4B0C820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461A7AC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6E62783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7B06591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A786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4DDE38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EE935A9">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对收费公路经营管理单位未对超限运输车辆通行证进行查验行为的行政处罚</w:t>
            </w:r>
          </w:p>
        </w:tc>
      </w:tr>
      <w:tr w14:paraId="336E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3F39555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029644D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1886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655A10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3AF5CE6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【法律法规】《河北省公路条例》第六十五条　违反本条例规定，收费公路经营管理单位未对超限运输车辆通行证进行查验的，由交通运输主管部门处每辆次一千元罚款。</w:t>
            </w:r>
          </w:p>
          <w:p w14:paraId="49F855F6">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号第五条承担全区道路运输市场监管责任。执行道路运输有关政策、技术标准和运营规范并监督实施。</w:t>
            </w:r>
          </w:p>
        </w:tc>
      </w:tr>
      <w:tr w14:paraId="09ED6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29E7F6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44DD70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40287C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73F785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239510F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CE92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145AE8E6">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4CDD22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70FC9CA5">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7625B73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7ED475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2D0A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1407763">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6B56E6D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707E5AD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CCF3BD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C24FAD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A9AB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AF36143">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47048A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70119D5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5ED7181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FB6EEA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DBFF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4B838D23">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417010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72C667C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7163D4A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FC1D43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F28C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35E71408">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146810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07B742A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1B705AD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AA9FA1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B2F2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74AC575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625D700">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399C6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582A44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4A07207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517005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907A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758133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FE2881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6FF7B8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E5AF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255CEAE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52A68E89">
            <w:pPr>
              <w:widowControl/>
              <w:jc w:val="left"/>
              <w:textAlignment w:val="center"/>
              <w:rPr>
                <w:rFonts w:ascii="黑体" w:eastAsia="黑体" w:cs="黑体"/>
                <w:color w:val="000000" w:themeColor="text1"/>
                <w:kern w:val="0"/>
                <w:sz w:val="18"/>
                <w:szCs w:val="18"/>
              </w:rPr>
            </w:pPr>
          </w:p>
        </w:tc>
      </w:tr>
    </w:tbl>
    <w:p w14:paraId="788B3EF5">
      <w:pPr>
        <w:rPr>
          <w:color w:val="000000" w:themeColor="text1"/>
        </w:rPr>
      </w:pPr>
    </w:p>
    <w:p w14:paraId="35A2E7C4">
      <w:pPr>
        <w:rPr>
          <w:color w:val="000000" w:themeColor="text1"/>
        </w:rPr>
      </w:pPr>
    </w:p>
    <w:p w14:paraId="4120F7FE">
      <w:pPr>
        <w:rPr>
          <w:color w:val="000000" w:themeColor="text1"/>
          <w:sz w:val="24"/>
        </w:rPr>
      </w:pPr>
    </w:p>
    <w:p w14:paraId="208B0D1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A944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CFD28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F9771E3">
            <w:pPr>
              <w:jc w:val="center"/>
              <w:rPr>
                <w:rFonts w:ascii="黑体" w:eastAsia="黑体" w:cs="黑体"/>
                <w:b/>
                <w:bCs/>
                <w:color w:val="000000" w:themeColor="text1"/>
                <w:szCs w:val="21"/>
              </w:rPr>
            </w:pPr>
            <w:r>
              <w:rPr>
                <w:rFonts w:ascii="黑体" w:eastAsia="黑体" w:cs="黑体"/>
                <w:b/>
                <w:bCs/>
                <w:color w:val="000000" w:themeColor="text1"/>
                <w:szCs w:val="21"/>
              </w:rPr>
              <w:t>21</w:t>
            </w:r>
          </w:p>
        </w:tc>
        <w:tc>
          <w:tcPr>
            <w:tcW w:w="1691" w:type="dxa"/>
            <w:vAlign w:val="center"/>
          </w:tcPr>
          <w:p w14:paraId="7FDCD80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1AAA32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743BE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8BC4DE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4BA8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60751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26601AD">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对高速公路经营管理单位未按照规定在高速公路入口设置称重检测设施、放行违法超限超载货运车辆驶入高速公路行为的行政处罚</w:t>
            </w:r>
          </w:p>
        </w:tc>
      </w:tr>
      <w:tr w14:paraId="6E57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78BA25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37B240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0F56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9070D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025039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河北省公路条例》第六十四条违反本条例规定，高速公路经营管理单位未按照规定在高速公路入口设置称重检测设施的，由交通运输主管部门责令限期改正；逾期不改正的，处一万元以上五万元以下罚款；高速公路经营管理单位放行违法超限超载货运车辆驶入高速公路的，由交通运输主管部门处一万元以上三万元以下罚款。</w:t>
            </w:r>
          </w:p>
          <w:p w14:paraId="4EF94C7F">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8A86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7C501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28207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95BCF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4CB7A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CE579D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4C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B5B3CCF">
            <w:pPr>
              <w:rPr>
                <w:color w:val="000000" w:themeColor="text1"/>
              </w:rPr>
            </w:pPr>
          </w:p>
        </w:tc>
        <w:tc>
          <w:tcPr>
            <w:tcW w:w="1110" w:type="dxa"/>
            <w:vAlign w:val="center"/>
          </w:tcPr>
          <w:p w14:paraId="108A9C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6F9EE6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9CBB8EF">
            <w:pPr>
              <w:jc w:val="center"/>
              <w:rPr>
                <w:rFonts w:ascii="仿宋_GB2312" w:hAnsi="黑体" w:eastAsia="仿宋_GB2312" w:cs="黑体"/>
                <w:color w:val="000000" w:themeColor="text1"/>
                <w:sz w:val="18"/>
                <w:szCs w:val="18"/>
              </w:rPr>
            </w:pPr>
          </w:p>
        </w:tc>
        <w:tc>
          <w:tcPr>
            <w:tcW w:w="1406" w:type="dxa"/>
            <w:vAlign w:val="center"/>
          </w:tcPr>
          <w:p w14:paraId="30DCDF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198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9BE9D0A">
            <w:pPr>
              <w:rPr>
                <w:color w:val="000000" w:themeColor="text1"/>
              </w:rPr>
            </w:pPr>
          </w:p>
        </w:tc>
        <w:tc>
          <w:tcPr>
            <w:tcW w:w="1110" w:type="dxa"/>
            <w:vAlign w:val="center"/>
          </w:tcPr>
          <w:p w14:paraId="20A650F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F19F0B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8D684AB">
            <w:pPr>
              <w:jc w:val="center"/>
              <w:rPr>
                <w:rFonts w:ascii="仿宋_GB2312" w:hAnsi="黑体" w:eastAsia="仿宋_GB2312" w:cs="黑体"/>
                <w:color w:val="000000" w:themeColor="text1"/>
                <w:sz w:val="18"/>
                <w:szCs w:val="18"/>
              </w:rPr>
            </w:pPr>
          </w:p>
        </w:tc>
        <w:tc>
          <w:tcPr>
            <w:tcW w:w="1406" w:type="dxa"/>
            <w:vAlign w:val="center"/>
          </w:tcPr>
          <w:p w14:paraId="565FD78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1FE6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218830B">
            <w:pPr>
              <w:rPr>
                <w:color w:val="000000" w:themeColor="text1"/>
              </w:rPr>
            </w:pPr>
          </w:p>
        </w:tc>
        <w:tc>
          <w:tcPr>
            <w:tcW w:w="1110" w:type="dxa"/>
            <w:vAlign w:val="center"/>
          </w:tcPr>
          <w:p w14:paraId="2497FAD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90644A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01C01ED">
            <w:pPr>
              <w:jc w:val="center"/>
              <w:rPr>
                <w:rFonts w:ascii="仿宋_GB2312" w:hAnsi="黑体" w:eastAsia="仿宋_GB2312" w:cs="黑体"/>
                <w:color w:val="000000" w:themeColor="text1"/>
                <w:sz w:val="18"/>
                <w:szCs w:val="18"/>
              </w:rPr>
            </w:pPr>
          </w:p>
        </w:tc>
        <w:tc>
          <w:tcPr>
            <w:tcW w:w="1406" w:type="dxa"/>
            <w:vAlign w:val="center"/>
          </w:tcPr>
          <w:p w14:paraId="500880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C68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14D6B05">
            <w:pPr>
              <w:rPr>
                <w:color w:val="000000" w:themeColor="text1"/>
              </w:rPr>
            </w:pPr>
          </w:p>
        </w:tc>
        <w:tc>
          <w:tcPr>
            <w:tcW w:w="1110" w:type="dxa"/>
            <w:vAlign w:val="center"/>
          </w:tcPr>
          <w:p w14:paraId="599EE48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8C0AAD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81A26BD">
            <w:pPr>
              <w:jc w:val="center"/>
              <w:rPr>
                <w:rFonts w:ascii="仿宋_GB2312" w:hAnsi="黑体" w:eastAsia="仿宋_GB2312" w:cs="黑体"/>
                <w:color w:val="000000" w:themeColor="text1"/>
                <w:sz w:val="18"/>
                <w:szCs w:val="18"/>
              </w:rPr>
            </w:pPr>
          </w:p>
        </w:tc>
        <w:tc>
          <w:tcPr>
            <w:tcW w:w="1406" w:type="dxa"/>
            <w:vAlign w:val="center"/>
          </w:tcPr>
          <w:p w14:paraId="3721C4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DFCD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7" w:hRule="atLeast"/>
          <w:jc w:val="center"/>
        </w:trPr>
        <w:tc>
          <w:tcPr>
            <w:tcW w:w="943" w:type="dxa"/>
            <w:vMerge w:val="continue"/>
            <w:vAlign w:val="center"/>
          </w:tcPr>
          <w:p w14:paraId="6C6FC54C">
            <w:pPr>
              <w:rPr>
                <w:color w:val="000000" w:themeColor="text1"/>
              </w:rPr>
            </w:pPr>
          </w:p>
        </w:tc>
        <w:tc>
          <w:tcPr>
            <w:tcW w:w="1110" w:type="dxa"/>
            <w:vAlign w:val="center"/>
          </w:tcPr>
          <w:p w14:paraId="218FB94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9C61B0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715FBE0">
            <w:pPr>
              <w:jc w:val="center"/>
              <w:rPr>
                <w:rFonts w:ascii="仿宋_GB2312" w:hAnsi="黑体" w:eastAsia="仿宋_GB2312" w:cs="黑体"/>
                <w:color w:val="000000" w:themeColor="text1"/>
                <w:sz w:val="18"/>
                <w:szCs w:val="18"/>
              </w:rPr>
            </w:pPr>
          </w:p>
        </w:tc>
        <w:tc>
          <w:tcPr>
            <w:tcW w:w="1406" w:type="dxa"/>
            <w:vAlign w:val="center"/>
          </w:tcPr>
          <w:p w14:paraId="0D6BB8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57F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9E8AA2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3B9F23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2A1D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F5525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44EA8F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B0955F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0FA6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E7688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C0A791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725052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1C7B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6ACFD8E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B0DE36F">
            <w:pPr>
              <w:widowControl/>
              <w:jc w:val="left"/>
              <w:textAlignment w:val="center"/>
              <w:rPr>
                <w:rFonts w:ascii="黑体" w:eastAsia="黑体" w:cs="黑体"/>
                <w:color w:val="000000" w:themeColor="text1"/>
                <w:kern w:val="0"/>
                <w:sz w:val="18"/>
                <w:szCs w:val="18"/>
              </w:rPr>
            </w:pPr>
          </w:p>
        </w:tc>
      </w:tr>
    </w:tbl>
    <w:p w14:paraId="0F85BAB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8F77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FC7FF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541CFDD">
            <w:pPr>
              <w:jc w:val="center"/>
              <w:rPr>
                <w:rFonts w:ascii="黑体" w:eastAsia="黑体" w:cs="黑体"/>
                <w:b/>
                <w:bCs/>
                <w:color w:val="000000" w:themeColor="text1"/>
                <w:szCs w:val="21"/>
              </w:rPr>
            </w:pPr>
            <w:r>
              <w:rPr>
                <w:rFonts w:ascii="黑体" w:eastAsia="黑体" w:cs="黑体"/>
                <w:b/>
                <w:bCs/>
                <w:color w:val="000000" w:themeColor="text1"/>
                <w:szCs w:val="21"/>
              </w:rPr>
              <w:t>22</w:t>
            </w:r>
          </w:p>
        </w:tc>
        <w:tc>
          <w:tcPr>
            <w:tcW w:w="1691" w:type="dxa"/>
            <w:vAlign w:val="center"/>
          </w:tcPr>
          <w:p w14:paraId="5813F4F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0438B2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152FD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22AF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D40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2774C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2F6B5B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对多次、严重违法超限运输的车辆或者违法超限超载运输的驾驶人和企业的行政处罚</w:t>
            </w:r>
          </w:p>
        </w:tc>
      </w:tr>
      <w:tr w14:paraId="01998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BA58AA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690EC6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9223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BAF40B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21579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536503A6">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号）第六十六条对</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年内违法超限运输超过</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次的货运车辆，由道路运输管理机构吊销其车辆营运证；对</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年内违法超限运输超过</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次的货运车辆驾驶人，由道路运输管理机构责令其停止从事营业性运输；道路运输企业</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年内违法超限运输的货运车辆超过本单位货运车辆总数</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的，由道路运输管理机构责令道路运输企业停业整顿；情节严重的，吊销其道路运输经营许可证，并向社会公告。</w:t>
            </w:r>
          </w:p>
          <w:p w14:paraId="79FF3046">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 xml:space="preserve"> 2.</w:t>
            </w:r>
            <w:r>
              <w:rPr>
                <w:rFonts w:hint="eastAsia" w:ascii="仿宋_GB2312" w:eastAsia="仿宋_GB2312" w:cs="仿宋_GB2312"/>
                <w:color w:val="000000" w:themeColor="text1"/>
                <w:kern w:val="0"/>
                <w:sz w:val="18"/>
                <w:szCs w:val="18"/>
              </w:rPr>
              <w:t>《河北省道路运输条例》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第六十六条违反本条例规定，道路运输企业一年内违法超限超载运输的货运车辆超过本单位货运车辆总数百分之十的，由道路运输管理机构责令其停业整顿</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情节严重的，吊销其道路运输经营许可证，并向社会公告。道路货物运输车辆驾驶员违法超限超载运输的，由有关部门依法处理，一年内三次以上违法超限超载运输的，由发证机构吊销其从业资格证件，自吊销之日起五年内不得从事道路货物运输经营</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构成犯罪的，依法追究刑事责任。</w:t>
            </w:r>
          </w:p>
          <w:p w14:paraId="114E076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9C1C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3F734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62B8A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BCF68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7586A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596533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38DD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9E22AB5">
            <w:pPr>
              <w:rPr>
                <w:color w:val="000000" w:themeColor="text1"/>
              </w:rPr>
            </w:pPr>
          </w:p>
        </w:tc>
        <w:tc>
          <w:tcPr>
            <w:tcW w:w="1110" w:type="dxa"/>
            <w:vAlign w:val="center"/>
          </w:tcPr>
          <w:p w14:paraId="5A2759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20BEF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8E2AB2D">
            <w:pPr>
              <w:jc w:val="center"/>
              <w:rPr>
                <w:rFonts w:ascii="仿宋_GB2312" w:hAnsi="黑体" w:eastAsia="仿宋_GB2312" w:cs="黑体"/>
                <w:color w:val="000000" w:themeColor="text1"/>
                <w:sz w:val="18"/>
                <w:szCs w:val="18"/>
              </w:rPr>
            </w:pPr>
          </w:p>
        </w:tc>
        <w:tc>
          <w:tcPr>
            <w:tcW w:w="1406" w:type="dxa"/>
            <w:vAlign w:val="center"/>
          </w:tcPr>
          <w:p w14:paraId="0E9F05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EB0B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AF70487">
            <w:pPr>
              <w:rPr>
                <w:color w:val="000000" w:themeColor="text1"/>
              </w:rPr>
            </w:pPr>
          </w:p>
        </w:tc>
        <w:tc>
          <w:tcPr>
            <w:tcW w:w="1110" w:type="dxa"/>
            <w:vAlign w:val="center"/>
          </w:tcPr>
          <w:p w14:paraId="77D0AD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F1A29D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87C8C3E">
            <w:pPr>
              <w:jc w:val="center"/>
              <w:rPr>
                <w:rFonts w:ascii="仿宋_GB2312" w:hAnsi="黑体" w:eastAsia="仿宋_GB2312" w:cs="黑体"/>
                <w:color w:val="000000" w:themeColor="text1"/>
                <w:sz w:val="18"/>
                <w:szCs w:val="18"/>
              </w:rPr>
            </w:pPr>
          </w:p>
        </w:tc>
        <w:tc>
          <w:tcPr>
            <w:tcW w:w="1406" w:type="dxa"/>
            <w:vAlign w:val="center"/>
          </w:tcPr>
          <w:p w14:paraId="6BA1F6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52C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5CC52DE">
            <w:pPr>
              <w:rPr>
                <w:color w:val="000000" w:themeColor="text1"/>
              </w:rPr>
            </w:pPr>
          </w:p>
        </w:tc>
        <w:tc>
          <w:tcPr>
            <w:tcW w:w="1110" w:type="dxa"/>
            <w:vAlign w:val="center"/>
          </w:tcPr>
          <w:p w14:paraId="22E769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B4912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DB0FC7A">
            <w:pPr>
              <w:jc w:val="center"/>
              <w:rPr>
                <w:rFonts w:ascii="仿宋_GB2312" w:hAnsi="黑体" w:eastAsia="仿宋_GB2312" w:cs="黑体"/>
                <w:color w:val="000000" w:themeColor="text1"/>
                <w:sz w:val="18"/>
                <w:szCs w:val="18"/>
              </w:rPr>
            </w:pPr>
          </w:p>
        </w:tc>
        <w:tc>
          <w:tcPr>
            <w:tcW w:w="1406" w:type="dxa"/>
            <w:vAlign w:val="center"/>
          </w:tcPr>
          <w:p w14:paraId="002D50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E51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830030D">
            <w:pPr>
              <w:rPr>
                <w:color w:val="000000" w:themeColor="text1"/>
              </w:rPr>
            </w:pPr>
          </w:p>
        </w:tc>
        <w:tc>
          <w:tcPr>
            <w:tcW w:w="1110" w:type="dxa"/>
            <w:vAlign w:val="center"/>
          </w:tcPr>
          <w:p w14:paraId="0311C2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21B4B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562A64B">
            <w:pPr>
              <w:jc w:val="center"/>
              <w:rPr>
                <w:rFonts w:ascii="仿宋_GB2312" w:hAnsi="黑体" w:eastAsia="仿宋_GB2312" w:cs="黑体"/>
                <w:color w:val="000000" w:themeColor="text1"/>
                <w:sz w:val="18"/>
                <w:szCs w:val="18"/>
              </w:rPr>
            </w:pPr>
          </w:p>
        </w:tc>
        <w:tc>
          <w:tcPr>
            <w:tcW w:w="1406" w:type="dxa"/>
            <w:vAlign w:val="center"/>
          </w:tcPr>
          <w:p w14:paraId="54730C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FC9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2358F96">
            <w:pPr>
              <w:rPr>
                <w:color w:val="000000" w:themeColor="text1"/>
              </w:rPr>
            </w:pPr>
          </w:p>
        </w:tc>
        <w:tc>
          <w:tcPr>
            <w:tcW w:w="1110" w:type="dxa"/>
            <w:vAlign w:val="center"/>
          </w:tcPr>
          <w:p w14:paraId="2C59367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62981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C8290F7">
            <w:pPr>
              <w:jc w:val="center"/>
              <w:rPr>
                <w:rFonts w:ascii="仿宋_GB2312" w:hAnsi="黑体" w:eastAsia="仿宋_GB2312" w:cs="黑体"/>
                <w:color w:val="000000" w:themeColor="text1"/>
                <w:sz w:val="18"/>
                <w:szCs w:val="18"/>
              </w:rPr>
            </w:pPr>
          </w:p>
        </w:tc>
        <w:tc>
          <w:tcPr>
            <w:tcW w:w="1406" w:type="dxa"/>
            <w:vAlign w:val="center"/>
          </w:tcPr>
          <w:p w14:paraId="116561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FA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236443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C6F285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50D4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703F6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49C4C6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D4C9B2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3D9E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410D6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855643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BBA674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49B0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943" w:type="dxa"/>
            <w:vAlign w:val="center"/>
          </w:tcPr>
          <w:p w14:paraId="16464C5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9B3E93B">
            <w:pPr>
              <w:widowControl/>
              <w:jc w:val="left"/>
              <w:textAlignment w:val="center"/>
              <w:rPr>
                <w:rFonts w:ascii="黑体" w:eastAsia="黑体" w:cs="黑体"/>
                <w:color w:val="000000" w:themeColor="text1"/>
                <w:kern w:val="0"/>
                <w:sz w:val="18"/>
                <w:szCs w:val="18"/>
              </w:rPr>
            </w:pPr>
          </w:p>
        </w:tc>
      </w:tr>
    </w:tbl>
    <w:p w14:paraId="2B42A37E">
      <w:pPr>
        <w:rPr>
          <w:color w:val="000000" w:themeColor="text1"/>
          <w:sz w:val="24"/>
        </w:rPr>
      </w:pPr>
    </w:p>
    <w:p w14:paraId="605272B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4C81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78BCB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9975D68">
            <w:pPr>
              <w:jc w:val="center"/>
              <w:rPr>
                <w:rFonts w:ascii="黑体" w:eastAsia="黑体" w:cs="黑体"/>
                <w:b/>
                <w:bCs/>
                <w:color w:val="000000" w:themeColor="text1"/>
                <w:szCs w:val="21"/>
              </w:rPr>
            </w:pPr>
            <w:r>
              <w:rPr>
                <w:rFonts w:ascii="黑体" w:eastAsia="黑体" w:cs="黑体"/>
                <w:b/>
                <w:bCs/>
                <w:color w:val="000000" w:themeColor="text1"/>
                <w:szCs w:val="21"/>
              </w:rPr>
              <w:t>23</w:t>
            </w:r>
          </w:p>
        </w:tc>
        <w:tc>
          <w:tcPr>
            <w:tcW w:w="1691" w:type="dxa"/>
            <w:vAlign w:val="center"/>
          </w:tcPr>
          <w:p w14:paraId="4ED7D7B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6C34BC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6B1AB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E5A606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3CC4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5F63B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7A6F04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对指使、强令车辆驾驶人超限运输货物行为的行政处罚</w:t>
            </w:r>
          </w:p>
        </w:tc>
      </w:tr>
      <w:tr w14:paraId="0E6E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E5B8DE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A2AA0E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9AD7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E8CFC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67DC87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《公路安全保护条例》（中华人民共和国国务院令第</w:t>
            </w:r>
            <w:r>
              <w:rPr>
                <w:rFonts w:ascii="仿宋_GB2312" w:eastAsia="仿宋_GB2312" w:cs="仿宋_GB2312"/>
                <w:color w:val="000000" w:themeColor="text1"/>
                <w:kern w:val="0"/>
                <w:sz w:val="18"/>
                <w:szCs w:val="18"/>
              </w:rPr>
              <w:t>593</w:t>
            </w:r>
            <w:r>
              <w:rPr>
                <w:rFonts w:hint="eastAsia" w:ascii="仿宋_GB2312" w:eastAsia="仿宋_GB2312" w:cs="仿宋_GB2312"/>
                <w:color w:val="000000" w:themeColor="text1"/>
                <w:kern w:val="0"/>
                <w:sz w:val="18"/>
                <w:szCs w:val="18"/>
              </w:rPr>
              <w:t>号）第六十八条违反本条例的规定，指使、强令车辆驾驶人超限运输货物的，由道路运输管理机构责令改正，处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67288665">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《超限运输车辆行驶公路管理规定》（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号）第四十九条违反本规定，指使、强令车辆驾驶人超限运输货物的，由道路运输管理机构责令改正，处</w:t>
            </w:r>
            <w:r>
              <w:rPr>
                <w:rFonts w:ascii="仿宋_GB2312" w:eastAsia="仿宋_GB2312" w:cs="仿宋_GB2312"/>
                <w:color w:val="000000" w:themeColor="text1"/>
                <w:kern w:val="0"/>
                <w:sz w:val="18"/>
                <w:szCs w:val="18"/>
              </w:rPr>
              <w:t>30000</w:t>
            </w:r>
            <w:r>
              <w:rPr>
                <w:rFonts w:hint="eastAsia" w:ascii="仿宋_GB2312" w:eastAsia="仿宋_GB2312" w:cs="仿宋_GB2312"/>
                <w:color w:val="000000" w:themeColor="text1"/>
                <w:kern w:val="0"/>
                <w:sz w:val="18"/>
                <w:szCs w:val="18"/>
              </w:rPr>
              <w:t>元以下罚款。</w:t>
            </w:r>
          </w:p>
          <w:p w14:paraId="4CEED8F3">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28FA3486">
            <w:pPr>
              <w:rPr>
                <w:rFonts w:ascii="仿宋" w:hAnsi="仿宋" w:eastAsia="仿宋" w:cs="仿宋_GB2312"/>
                <w:color w:val="000000" w:themeColor="text1"/>
                <w:kern w:val="0"/>
                <w:sz w:val="18"/>
                <w:szCs w:val="18"/>
              </w:rPr>
            </w:pPr>
          </w:p>
          <w:p w14:paraId="39BE0311">
            <w:pPr>
              <w:spacing w:line="240" w:lineRule="exact"/>
              <w:rPr>
                <w:rFonts w:ascii="仿宋_GB2312" w:eastAsia="仿宋_GB2312" w:cs="黑体"/>
                <w:b/>
                <w:bCs/>
                <w:color w:val="000000" w:themeColor="text1"/>
                <w:szCs w:val="21"/>
              </w:rPr>
            </w:pPr>
          </w:p>
        </w:tc>
      </w:tr>
      <w:tr w14:paraId="1750F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BD49F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DA2A6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FB067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7B4E5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A58619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826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5590ECD">
            <w:pPr>
              <w:rPr>
                <w:color w:val="000000" w:themeColor="text1"/>
              </w:rPr>
            </w:pPr>
          </w:p>
        </w:tc>
        <w:tc>
          <w:tcPr>
            <w:tcW w:w="1110" w:type="dxa"/>
            <w:vAlign w:val="center"/>
          </w:tcPr>
          <w:p w14:paraId="14D5BDF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DEF146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DC64CCA">
            <w:pPr>
              <w:jc w:val="center"/>
              <w:rPr>
                <w:rFonts w:ascii="仿宋_GB2312" w:hAnsi="黑体" w:eastAsia="仿宋_GB2312" w:cs="黑体"/>
                <w:color w:val="000000" w:themeColor="text1"/>
                <w:sz w:val="18"/>
                <w:szCs w:val="18"/>
              </w:rPr>
            </w:pPr>
          </w:p>
        </w:tc>
        <w:tc>
          <w:tcPr>
            <w:tcW w:w="1406" w:type="dxa"/>
            <w:vAlign w:val="center"/>
          </w:tcPr>
          <w:p w14:paraId="61BFB4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96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18F6AF9">
            <w:pPr>
              <w:rPr>
                <w:color w:val="000000" w:themeColor="text1"/>
              </w:rPr>
            </w:pPr>
          </w:p>
        </w:tc>
        <w:tc>
          <w:tcPr>
            <w:tcW w:w="1110" w:type="dxa"/>
            <w:vAlign w:val="center"/>
          </w:tcPr>
          <w:p w14:paraId="6941B9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FC20C1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F91CA24">
            <w:pPr>
              <w:jc w:val="center"/>
              <w:rPr>
                <w:rFonts w:ascii="仿宋_GB2312" w:hAnsi="黑体" w:eastAsia="仿宋_GB2312" w:cs="黑体"/>
                <w:color w:val="000000" w:themeColor="text1"/>
                <w:sz w:val="18"/>
                <w:szCs w:val="18"/>
              </w:rPr>
            </w:pPr>
          </w:p>
        </w:tc>
        <w:tc>
          <w:tcPr>
            <w:tcW w:w="1406" w:type="dxa"/>
            <w:vAlign w:val="center"/>
          </w:tcPr>
          <w:p w14:paraId="704CCF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D55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C5F8717">
            <w:pPr>
              <w:rPr>
                <w:color w:val="000000" w:themeColor="text1"/>
              </w:rPr>
            </w:pPr>
          </w:p>
        </w:tc>
        <w:tc>
          <w:tcPr>
            <w:tcW w:w="1110" w:type="dxa"/>
            <w:vAlign w:val="center"/>
          </w:tcPr>
          <w:p w14:paraId="3F59E6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C8541A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69D70B7">
            <w:pPr>
              <w:jc w:val="center"/>
              <w:rPr>
                <w:rFonts w:ascii="仿宋_GB2312" w:hAnsi="黑体" w:eastAsia="仿宋_GB2312" w:cs="黑体"/>
                <w:color w:val="000000" w:themeColor="text1"/>
                <w:sz w:val="18"/>
                <w:szCs w:val="18"/>
              </w:rPr>
            </w:pPr>
          </w:p>
        </w:tc>
        <w:tc>
          <w:tcPr>
            <w:tcW w:w="1406" w:type="dxa"/>
            <w:vAlign w:val="center"/>
          </w:tcPr>
          <w:p w14:paraId="7B78FA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79DE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A8E4FBC">
            <w:pPr>
              <w:rPr>
                <w:color w:val="000000" w:themeColor="text1"/>
              </w:rPr>
            </w:pPr>
          </w:p>
        </w:tc>
        <w:tc>
          <w:tcPr>
            <w:tcW w:w="1110" w:type="dxa"/>
            <w:vAlign w:val="center"/>
          </w:tcPr>
          <w:p w14:paraId="157773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BA93FA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94B9476">
            <w:pPr>
              <w:jc w:val="center"/>
              <w:rPr>
                <w:rFonts w:ascii="仿宋_GB2312" w:hAnsi="黑体" w:eastAsia="仿宋_GB2312" w:cs="黑体"/>
                <w:color w:val="000000" w:themeColor="text1"/>
                <w:sz w:val="18"/>
                <w:szCs w:val="18"/>
              </w:rPr>
            </w:pPr>
          </w:p>
        </w:tc>
        <w:tc>
          <w:tcPr>
            <w:tcW w:w="1406" w:type="dxa"/>
            <w:vAlign w:val="center"/>
          </w:tcPr>
          <w:p w14:paraId="6C590E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DB8D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00C5B15">
            <w:pPr>
              <w:rPr>
                <w:color w:val="000000" w:themeColor="text1"/>
              </w:rPr>
            </w:pPr>
          </w:p>
        </w:tc>
        <w:tc>
          <w:tcPr>
            <w:tcW w:w="1110" w:type="dxa"/>
            <w:vAlign w:val="center"/>
          </w:tcPr>
          <w:p w14:paraId="7332EBD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BB1572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A1384C6">
            <w:pPr>
              <w:jc w:val="center"/>
              <w:rPr>
                <w:rFonts w:ascii="仿宋_GB2312" w:hAnsi="黑体" w:eastAsia="仿宋_GB2312" w:cs="黑体"/>
                <w:color w:val="000000" w:themeColor="text1"/>
                <w:sz w:val="18"/>
                <w:szCs w:val="18"/>
              </w:rPr>
            </w:pPr>
          </w:p>
        </w:tc>
        <w:tc>
          <w:tcPr>
            <w:tcW w:w="1406" w:type="dxa"/>
            <w:vAlign w:val="center"/>
          </w:tcPr>
          <w:p w14:paraId="50C9B30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674C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35" w:hRule="atLeast"/>
          <w:jc w:val="center"/>
        </w:trPr>
        <w:tc>
          <w:tcPr>
            <w:tcW w:w="943" w:type="dxa"/>
            <w:vAlign w:val="center"/>
          </w:tcPr>
          <w:p w14:paraId="0A1744D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5EEC4D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35A8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AB959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F840AC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EA8E66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BB8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FBC60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4CEA4D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FA0CD1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E419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4E95F5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98294C5">
            <w:pPr>
              <w:widowControl/>
              <w:jc w:val="left"/>
              <w:textAlignment w:val="center"/>
              <w:rPr>
                <w:rFonts w:ascii="黑体" w:eastAsia="黑体" w:cs="黑体"/>
                <w:color w:val="000000" w:themeColor="text1"/>
                <w:kern w:val="0"/>
                <w:sz w:val="18"/>
                <w:szCs w:val="18"/>
              </w:rPr>
            </w:pPr>
          </w:p>
        </w:tc>
      </w:tr>
    </w:tbl>
    <w:p w14:paraId="3B946484">
      <w:pPr>
        <w:rPr>
          <w:color w:val="000000" w:themeColor="text1"/>
          <w:sz w:val="24"/>
        </w:rPr>
      </w:pPr>
    </w:p>
    <w:p w14:paraId="4AB4DD8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C61F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E3D95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B9AB987">
            <w:pPr>
              <w:jc w:val="center"/>
              <w:rPr>
                <w:rFonts w:ascii="黑体" w:eastAsia="黑体" w:cs="黑体"/>
                <w:b/>
                <w:bCs/>
                <w:color w:val="000000" w:themeColor="text1"/>
                <w:szCs w:val="21"/>
              </w:rPr>
            </w:pPr>
            <w:r>
              <w:rPr>
                <w:rFonts w:ascii="黑体" w:eastAsia="黑体" w:cs="黑体"/>
                <w:b/>
                <w:bCs/>
                <w:color w:val="000000" w:themeColor="text1"/>
                <w:szCs w:val="21"/>
              </w:rPr>
              <w:t>24</w:t>
            </w:r>
          </w:p>
        </w:tc>
        <w:tc>
          <w:tcPr>
            <w:tcW w:w="1691" w:type="dxa"/>
            <w:vAlign w:val="center"/>
          </w:tcPr>
          <w:p w14:paraId="4D5780D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7C0AD2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D4734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3B997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939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11ED74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AE9281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对货运源头单位违反超限超载规定等行为的行政处罚</w:t>
            </w:r>
          </w:p>
        </w:tc>
      </w:tr>
      <w:tr w14:paraId="30E8F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5C78C08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7A8701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45D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557BE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F2960B7">
            <w:pPr>
              <w:widowControl/>
              <w:spacing w:line="240" w:lineRule="exact"/>
              <w:jc w:val="left"/>
              <w:textAlignment w:val="center"/>
              <w:rPr>
                <w:rFonts w:ascii="仿宋_GB2312" w:eastAsia="仿宋_GB2312" w:cs="仿宋_GB2312"/>
                <w:color w:val="000000" w:themeColor="text1"/>
                <w:kern w:val="0"/>
                <w:sz w:val="15"/>
                <w:szCs w:val="15"/>
              </w:rPr>
            </w:pPr>
            <w:r>
              <w:rPr>
                <w:rFonts w:hint="eastAsia" w:ascii="仿宋_GB2312" w:eastAsia="仿宋_GB2312" w:cs="仿宋_GB2312"/>
                <w:color w:val="000000" w:themeColor="text1"/>
                <w:kern w:val="0"/>
                <w:sz w:val="15"/>
                <w:szCs w:val="15"/>
              </w:rPr>
              <w:t>【法律法规】</w:t>
            </w:r>
          </w:p>
          <w:p w14:paraId="5E18DA06">
            <w:pPr>
              <w:widowControl/>
              <w:spacing w:line="240" w:lineRule="exact"/>
              <w:jc w:val="left"/>
              <w:textAlignment w:val="center"/>
              <w:rPr>
                <w:rFonts w:ascii="仿宋_GB2312" w:eastAsia="仿宋_GB2312" w:cs="仿宋_GB2312"/>
                <w:color w:val="000000" w:themeColor="text1"/>
                <w:kern w:val="0"/>
                <w:sz w:val="15"/>
                <w:szCs w:val="15"/>
              </w:rPr>
            </w:pPr>
            <w:r>
              <w:rPr>
                <w:rFonts w:ascii="仿宋_GB2312" w:eastAsia="仿宋_GB2312" w:cs="仿宋_GB2312"/>
                <w:color w:val="000000" w:themeColor="text1"/>
                <w:kern w:val="0"/>
                <w:sz w:val="15"/>
                <w:szCs w:val="15"/>
              </w:rPr>
              <w:t>1.</w:t>
            </w:r>
            <w:r>
              <w:rPr>
                <w:rFonts w:hint="eastAsia" w:ascii="仿宋_GB2312" w:eastAsia="仿宋_GB2312" w:cs="仿宋_GB2312"/>
                <w:color w:val="000000" w:themeColor="text1"/>
                <w:kern w:val="0"/>
                <w:sz w:val="15"/>
                <w:szCs w:val="15"/>
              </w:rPr>
              <w:t>《河北省公路条例》（</w:t>
            </w:r>
            <w:r>
              <w:rPr>
                <w:rFonts w:ascii="仿宋_GB2312" w:eastAsia="仿宋_GB2312" w:cs="仿宋_GB2312"/>
                <w:color w:val="000000" w:themeColor="text1"/>
                <w:kern w:val="0"/>
                <w:sz w:val="15"/>
                <w:szCs w:val="15"/>
              </w:rPr>
              <w:t>2021</w:t>
            </w:r>
            <w:r>
              <w:rPr>
                <w:rFonts w:hint="eastAsia" w:ascii="仿宋_GB2312" w:eastAsia="仿宋_GB2312" w:cs="仿宋_GB2312"/>
                <w:color w:val="000000" w:themeColor="text1"/>
                <w:kern w:val="0"/>
                <w:sz w:val="15"/>
                <w:szCs w:val="15"/>
              </w:rPr>
              <w:t>年</w:t>
            </w:r>
            <w:r>
              <w:rPr>
                <w:rFonts w:ascii="仿宋_GB2312" w:eastAsia="仿宋_GB2312" w:cs="仿宋_GB2312"/>
                <w:color w:val="000000" w:themeColor="text1"/>
                <w:kern w:val="0"/>
                <w:sz w:val="15"/>
                <w:szCs w:val="15"/>
              </w:rPr>
              <w:t>11</w:t>
            </w:r>
            <w:r>
              <w:rPr>
                <w:rFonts w:hint="eastAsia" w:ascii="仿宋_GB2312" w:eastAsia="仿宋_GB2312" w:cs="仿宋_GB2312"/>
                <w:color w:val="000000" w:themeColor="text1"/>
                <w:kern w:val="0"/>
                <w:sz w:val="15"/>
                <w:szCs w:val="15"/>
              </w:rPr>
              <w:t>月</w:t>
            </w:r>
            <w:r>
              <w:rPr>
                <w:rFonts w:ascii="仿宋_GB2312" w:eastAsia="仿宋_GB2312" w:cs="仿宋_GB2312"/>
                <w:color w:val="000000" w:themeColor="text1"/>
                <w:kern w:val="0"/>
                <w:sz w:val="15"/>
                <w:szCs w:val="15"/>
              </w:rPr>
              <w:t>23</w:t>
            </w:r>
            <w:r>
              <w:rPr>
                <w:rFonts w:hint="eastAsia" w:ascii="仿宋_GB2312" w:eastAsia="仿宋_GB2312" w:cs="仿宋_GB2312"/>
                <w:color w:val="000000" w:themeColor="text1"/>
                <w:kern w:val="0"/>
                <w:sz w:val="15"/>
                <w:szCs w:val="15"/>
              </w:rPr>
              <w:t>日河北省第十三届人民代表大会常务委员会第二十七次会议通过）第六十二条违反本条例规定，货运源头单位放行违法超限超载货运车辆驶出其经营场所的，由交通运输主管部门或者有关部门责令改正，处一万元以上三万元以下罚款。</w:t>
            </w:r>
          </w:p>
          <w:p w14:paraId="31566D89">
            <w:pPr>
              <w:widowControl/>
              <w:spacing w:line="240" w:lineRule="exact"/>
              <w:jc w:val="left"/>
              <w:textAlignment w:val="center"/>
              <w:rPr>
                <w:rFonts w:ascii="仿宋_GB2312" w:eastAsia="仿宋_GB2312" w:cs="仿宋_GB2312"/>
                <w:color w:val="000000" w:themeColor="text1"/>
                <w:kern w:val="0"/>
                <w:sz w:val="15"/>
                <w:szCs w:val="15"/>
              </w:rPr>
            </w:pP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《河北省治理货运车辆超限超载规定》（</w:t>
            </w:r>
            <w:r>
              <w:rPr>
                <w:rFonts w:ascii="仿宋_GB2312" w:eastAsia="仿宋_GB2312" w:cs="仿宋_GB2312"/>
                <w:color w:val="000000" w:themeColor="text1"/>
                <w:kern w:val="0"/>
                <w:sz w:val="15"/>
                <w:szCs w:val="15"/>
              </w:rPr>
              <w:t>2010</w:t>
            </w:r>
            <w:r>
              <w:rPr>
                <w:rFonts w:hint="eastAsia" w:ascii="仿宋_GB2312" w:eastAsia="仿宋_GB2312" w:cs="仿宋_GB2312"/>
                <w:color w:val="000000" w:themeColor="text1"/>
                <w:kern w:val="0"/>
                <w:sz w:val="15"/>
                <w:szCs w:val="15"/>
              </w:rPr>
              <w:t>年</w:t>
            </w:r>
            <w:r>
              <w:rPr>
                <w:rFonts w:ascii="仿宋_GB2312" w:eastAsia="仿宋_GB2312" w:cs="仿宋_GB2312"/>
                <w:color w:val="000000" w:themeColor="text1"/>
                <w:kern w:val="0"/>
                <w:sz w:val="15"/>
                <w:szCs w:val="15"/>
              </w:rPr>
              <w:t>6</w:t>
            </w:r>
            <w:r>
              <w:rPr>
                <w:rFonts w:hint="eastAsia" w:ascii="仿宋_GB2312" w:eastAsia="仿宋_GB2312" w:cs="仿宋_GB2312"/>
                <w:color w:val="000000" w:themeColor="text1"/>
                <w:kern w:val="0"/>
                <w:sz w:val="15"/>
                <w:szCs w:val="15"/>
              </w:rPr>
              <w:t>月</w:t>
            </w:r>
            <w:r>
              <w:rPr>
                <w:rFonts w:ascii="仿宋_GB2312" w:eastAsia="仿宋_GB2312" w:cs="仿宋_GB2312"/>
                <w:color w:val="000000" w:themeColor="text1"/>
                <w:kern w:val="0"/>
                <w:sz w:val="15"/>
                <w:szCs w:val="15"/>
              </w:rPr>
              <w:t>26</w:t>
            </w:r>
            <w:r>
              <w:rPr>
                <w:rFonts w:hint="eastAsia" w:ascii="仿宋_GB2312" w:eastAsia="仿宋_GB2312" w:cs="仿宋_GB2312"/>
                <w:color w:val="000000" w:themeColor="text1"/>
                <w:kern w:val="0"/>
                <w:sz w:val="15"/>
                <w:szCs w:val="15"/>
              </w:rPr>
              <w:t>日由河北省省政府第</w:t>
            </w:r>
            <w:r>
              <w:rPr>
                <w:rFonts w:ascii="仿宋_GB2312" w:eastAsia="仿宋_GB2312" w:cs="仿宋_GB2312"/>
                <w:color w:val="000000" w:themeColor="text1"/>
                <w:kern w:val="0"/>
                <w:sz w:val="15"/>
                <w:szCs w:val="15"/>
              </w:rPr>
              <w:t>61</w:t>
            </w:r>
            <w:r>
              <w:rPr>
                <w:rFonts w:hint="eastAsia" w:ascii="仿宋_GB2312" w:eastAsia="仿宋_GB2312" w:cs="仿宋_GB2312"/>
                <w:color w:val="000000" w:themeColor="text1"/>
                <w:kern w:val="0"/>
                <w:sz w:val="15"/>
                <w:szCs w:val="15"/>
              </w:rPr>
              <w:t>次常务会议通过）第十八条　从事砂石料、铁粉、煤炭、钢材、水泥、危险化学品等生产经营的企业和港口经营企业、火车站、道路货物运输站场，以及其他从事道路货物运输装载、配载的经营者（以下统称货运源头单位）必须遵守下列规定：（一）明确本单位有关从业人员治超工作职责，建立并落实责任追究制度；（二）对货物装载、开票、计重等从业人员进行培训；（三）按道路运输管理机构的规定，登记货运车辆、驾驶员和货物的信息，并及时报送登记结果；（四）配备装载、配载计重设施、设备；（五）接受治超执法人员的监督检查，并如实提供有关情况和资料。第十九条　货运源头单位不得有下列行为：（二）为没有号牌或者行驶证、道路运输证的货运车辆装载、配载货物；（三）为擅自改变已登记的结构、构造或者特征的货运车辆装载、配载货物；（四）为未出示驾驶证、从业资格证人员驾驶的货运车辆装载、配载货物；（五）为超限超载货运车辆提供虚假证明。第二十九条　违反本规定第十八条规定的，由道路运输管理机构责令限期改正，逾期不改正的，处一千元以上二千元以下的罚款。第三十条　违反本规定第十九条规定的，由道路运输管理机构责令改正，并按每辆次处一千元的罚款。危险化学品的货运源头单位装载、配载危险化学品违反本规定第十九条第二项、第三项规定的，由道路运输管理机构移送安全生产监督管理部门，由安全生产监督管理部门责令改正，并按每辆次处一万元的罚款。</w:t>
            </w:r>
          </w:p>
          <w:p w14:paraId="215888CA">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97FF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943" w:type="dxa"/>
            <w:vMerge w:val="restart"/>
            <w:vAlign w:val="center"/>
          </w:tcPr>
          <w:p w14:paraId="2C829A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1E67A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A83CA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2333E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F3C97B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581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15" w:hRule="atLeast"/>
          <w:jc w:val="center"/>
        </w:trPr>
        <w:tc>
          <w:tcPr>
            <w:tcW w:w="943" w:type="dxa"/>
            <w:vMerge w:val="continue"/>
            <w:vAlign w:val="center"/>
          </w:tcPr>
          <w:p w14:paraId="391CC1EB">
            <w:pPr>
              <w:rPr>
                <w:color w:val="000000" w:themeColor="text1"/>
              </w:rPr>
            </w:pPr>
          </w:p>
        </w:tc>
        <w:tc>
          <w:tcPr>
            <w:tcW w:w="1110" w:type="dxa"/>
            <w:vAlign w:val="center"/>
          </w:tcPr>
          <w:p w14:paraId="3B877C2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763A86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AA5188C">
            <w:pPr>
              <w:jc w:val="center"/>
              <w:rPr>
                <w:rFonts w:ascii="仿宋_GB2312" w:hAnsi="黑体" w:eastAsia="仿宋_GB2312" w:cs="黑体"/>
                <w:color w:val="000000" w:themeColor="text1"/>
                <w:sz w:val="18"/>
                <w:szCs w:val="18"/>
              </w:rPr>
            </w:pPr>
          </w:p>
        </w:tc>
        <w:tc>
          <w:tcPr>
            <w:tcW w:w="1406" w:type="dxa"/>
            <w:vAlign w:val="center"/>
          </w:tcPr>
          <w:p w14:paraId="7CD7888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9F1E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5" w:hRule="atLeast"/>
          <w:jc w:val="center"/>
        </w:trPr>
        <w:tc>
          <w:tcPr>
            <w:tcW w:w="943" w:type="dxa"/>
            <w:vMerge w:val="continue"/>
            <w:vAlign w:val="center"/>
          </w:tcPr>
          <w:p w14:paraId="53B1B88D">
            <w:pPr>
              <w:rPr>
                <w:color w:val="000000" w:themeColor="text1"/>
              </w:rPr>
            </w:pPr>
          </w:p>
        </w:tc>
        <w:tc>
          <w:tcPr>
            <w:tcW w:w="1110" w:type="dxa"/>
            <w:vAlign w:val="center"/>
          </w:tcPr>
          <w:p w14:paraId="5845E5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EF67F2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7BF4FB9">
            <w:pPr>
              <w:jc w:val="center"/>
              <w:rPr>
                <w:rFonts w:ascii="仿宋_GB2312" w:hAnsi="黑体" w:eastAsia="仿宋_GB2312" w:cs="黑体"/>
                <w:color w:val="000000" w:themeColor="text1"/>
                <w:sz w:val="18"/>
                <w:szCs w:val="18"/>
              </w:rPr>
            </w:pPr>
          </w:p>
        </w:tc>
        <w:tc>
          <w:tcPr>
            <w:tcW w:w="1406" w:type="dxa"/>
            <w:vAlign w:val="center"/>
          </w:tcPr>
          <w:p w14:paraId="184404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AF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0" w:hRule="atLeast"/>
          <w:jc w:val="center"/>
        </w:trPr>
        <w:tc>
          <w:tcPr>
            <w:tcW w:w="943" w:type="dxa"/>
            <w:vMerge w:val="continue"/>
            <w:vAlign w:val="center"/>
          </w:tcPr>
          <w:p w14:paraId="70C935C6">
            <w:pPr>
              <w:rPr>
                <w:color w:val="000000" w:themeColor="text1"/>
              </w:rPr>
            </w:pPr>
          </w:p>
        </w:tc>
        <w:tc>
          <w:tcPr>
            <w:tcW w:w="1110" w:type="dxa"/>
            <w:vAlign w:val="center"/>
          </w:tcPr>
          <w:p w14:paraId="26D783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C410BA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05A86F3">
            <w:pPr>
              <w:jc w:val="center"/>
              <w:rPr>
                <w:rFonts w:ascii="仿宋_GB2312" w:hAnsi="黑体" w:eastAsia="仿宋_GB2312" w:cs="黑体"/>
                <w:color w:val="000000" w:themeColor="text1"/>
                <w:sz w:val="18"/>
                <w:szCs w:val="18"/>
              </w:rPr>
            </w:pPr>
          </w:p>
        </w:tc>
        <w:tc>
          <w:tcPr>
            <w:tcW w:w="1406" w:type="dxa"/>
            <w:vAlign w:val="center"/>
          </w:tcPr>
          <w:p w14:paraId="5C55094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BAC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4" w:hRule="atLeast"/>
          <w:jc w:val="center"/>
        </w:trPr>
        <w:tc>
          <w:tcPr>
            <w:tcW w:w="943" w:type="dxa"/>
            <w:vMerge w:val="continue"/>
            <w:vAlign w:val="center"/>
          </w:tcPr>
          <w:p w14:paraId="4231C739">
            <w:pPr>
              <w:rPr>
                <w:color w:val="000000" w:themeColor="text1"/>
              </w:rPr>
            </w:pPr>
          </w:p>
        </w:tc>
        <w:tc>
          <w:tcPr>
            <w:tcW w:w="1110" w:type="dxa"/>
            <w:vAlign w:val="center"/>
          </w:tcPr>
          <w:p w14:paraId="58A7F5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50CEB7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15AD187">
            <w:pPr>
              <w:jc w:val="center"/>
              <w:rPr>
                <w:rFonts w:ascii="仿宋_GB2312" w:hAnsi="黑体" w:eastAsia="仿宋_GB2312" w:cs="黑体"/>
                <w:color w:val="000000" w:themeColor="text1"/>
                <w:sz w:val="18"/>
                <w:szCs w:val="18"/>
              </w:rPr>
            </w:pPr>
          </w:p>
        </w:tc>
        <w:tc>
          <w:tcPr>
            <w:tcW w:w="1406" w:type="dxa"/>
            <w:vAlign w:val="center"/>
          </w:tcPr>
          <w:p w14:paraId="0A498FB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C148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9" w:hRule="atLeast"/>
          <w:jc w:val="center"/>
        </w:trPr>
        <w:tc>
          <w:tcPr>
            <w:tcW w:w="943" w:type="dxa"/>
            <w:vMerge w:val="continue"/>
            <w:vAlign w:val="center"/>
          </w:tcPr>
          <w:p w14:paraId="4CAE4608">
            <w:pPr>
              <w:rPr>
                <w:color w:val="000000" w:themeColor="text1"/>
              </w:rPr>
            </w:pPr>
          </w:p>
        </w:tc>
        <w:tc>
          <w:tcPr>
            <w:tcW w:w="1110" w:type="dxa"/>
            <w:vAlign w:val="center"/>
          </w:tcPr>
          <w:p w14:paraId="718F23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664634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46F5268">
            <w:pPr>
              <w:jc w:val="center"/>
              <w:rPr>
                <w:rFonts w:ascii="仿宋_GB2312" w:hAnsi="黑体" w:eastAsia="仿宋_GB2312" w:cs="黑体"/>
                <w:color w:val="000000" w:themeColor="text1"/>
                <w:sz w:val="18"/>
                <w:szCs w:val="18"/>
              </w:rPr>
            </w:pPr>
          </w:p>
        </w:tc>
        <w:tc>
          <w:tcPr>
            <w:tcW w:w="1406" w:type="dxa"/>
            <w:vAlign w:val="center"/>
          </w:tcPr>
          <w:p w14:paraId="046268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16D3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40" w:hRule="atLeast"/>
          <w:jc w:val="center"/>
        </w:trPr>
        <w:tc>
          <w:tcPr>
            <w:tcW w:w="943" w:type="dxa"/>
            <w:vAlign w:val="center"/>
          </w:tcPr>
          <w:p w14:paraId="61189B5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801032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84AA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1" w:hRule="atLeast"/>
          <w:jc w:val="center"/>
        </w:trPr>
        <w:tc>
          <w:tcPr>
            <w:tcW w:w="943" w:type="dxa"/>
            <w:vAlign w:val="center"/>
          </w:tcPr>
          <w:p w14:paraId="278A4F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58A44A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3DA790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2B60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9" w:hRule="atLeast"/>
          <w:jc w:val="center"/>
        </w:trPr>
        <w:tc>
          <w:tcPr>
            <w:tcW w:w="943" w:type="dxa"/>
            <w:vAlign w:val="center"/>
          </w:tcPr>
          <w:p w14:paraId="6173DB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0938A2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0F3824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7F24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777DEB7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C6C5C95">
            <w:pPr>
              <w:widowControl/>
              <w:jc w:val="left"/>
              <w:textAlignment w:val="center"/>
              <w:rPr>
                <w:rFonts w:ascii="黑体" w:eastAsia="黑体" w:cs="黑体"/>
                <w:color w:val="000000" w:themeColor="text1"/>
                <w:kern w:val="0"/>
                <w:sz w:val="18"/>
                <w:szCs w:val="18"/>
              </w:rPr>
            </w:pPr>
          </w:p>
        </w:tc>
      </w:tr>
    </w:tbl>
    <w:p w14:paraId="37A7F7E9">
      <w:pPr>
        <w:rPr>
          <w:color w:val="000000" w:themeColor="text1"/>
        </w:rPr>
      </w:pPr>
    </w:p>
    <w:p w14:paraId="195D7F4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8564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C4A6D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B821F60">
            <w:pPr>
              <w:jc w:val="center"/>
              <w:rPr>
                <w:rFonts w:ascii="黑体" w:eastAsia="黑体" w:cs="黑体"/>
                <w:b/>
                <w:bCs/>
                <w:color w:val="000000" w:themeColor="text1"/>
                <w:szCs w:val="21"/>
              </w:rPr>
            </w:pPr>
            <w:r>
              <w:rPr>
                <w:rFonts w:ascii="黑体" w:eastAsia="黑体" w:cs="黑体"/>
                <w:b/>
                <w:bCs/>
                <w:color w:val="000000" w:themeColor="text1"/>
                <w:szCs w:val="21"/>
              </w:rPr>
              <w:t>25</w:t>
            </w:r>
          </w:p>
        </w:tc>
        <w:tc>
          <w:tcPr>
            <w:tcW w:w="1691" w:type="dxa"/>
            <w:vAlign w:val="center"/>
          </w:tcPr>
          <w:p w14:paraId="05B7722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19C16B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548BC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C3F36E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1F3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56DF1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E9F889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对取得经营许可的经营者使用无道路运输证的车辆参加经营行为的行政处罚</w:t>
            </w:r>
          </w:p>
        </w:tc>
      </w:tr>
      <w:tr w14:paraId="1F35C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CAAA74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D4A70D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8A2E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DA67B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C31036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79FDDFAA">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33</w:t>
            </w:r>
            <w:r>
              <w:rPr>
                <w:rFonts w:hint="eastAsia" w:ascii="仿宋_GB2312" w:eastAsia="仿宋_GB2312" w:cs="仿宋_GB2312"/>
                <w:color w:val="000000" w:themeColor="text1"/>
                <w:kern w:val="0"/>
                <w:sz w:val="18"/>
                <w:szCs w:val="18"/>
              </w:rPr>
              <w:t>号）第九十七条第一款　违反本规定，客运经营者使用未持合法有效《道路运输证》的车辆参加客运经营的，或者聘用不具备从业资格的驾驶员参加客运经营的，由交通运输主管部门责令改正，处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w:t>
            </w:r>
          </w:p>
          <w:p w14:paraId="3E33195D">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《道路货物运输及站场管理规定》（中华人民共和国交通运输部令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号）第六十三条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违反本规定，取得道路货物运输经营许可的道路货物运输经营者使用无《道路运输证》的车辆参加普通货物运输的，由交通运输主管部门责令改正，处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元以下的罚款。违反前款规定使用无《道路运输证》的车辆参加危险货物运输的，由交通运输主管部门责令改正，处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w:t>
            </w:r>
          </w:p>
          <w:p w14:paraId="6AD9883E">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1015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E8DDC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FB0D9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A6D35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0812A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BD9D53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AFCD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1BA9938">
            <w:pPr>
              <w:rPr>
                <w:color w:val="000000" w:themeColor="text1"/>
              </w:rPr>
            </w:pPr>
          </w:p>
        </w:tc>
        <w:tc>
          <w:tcPr>
            <w:tcW w:w="1110" w:type="dxa"/>
            <w:vAlign w:val="center"/>
          </w:tcPr>
          <w:p w14:paraId="04F9FC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7612F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5F934C4">
            <w:pPr>
              <w:jc w:val="center"/>
              <w:rPr>
                <w:rFonts w:ascii="仿宋_GB2312" w:hAnsi="黑体" w:eastAsia="仿宋_GB2312" w:cs="黑体"/>
                <w:color w:val="000000" w:themeColor="text1"/>
                <w:sz w:val="18"/>
                <w:szCs w:val="18"/>
              </w:rPr>
            </w:pPr>
          </w:p>
        </w:tc>
        <w:tc>
          <w:tcPr>
            <w:tcW w:w="1406" w:type="dxa"/>
            <w:vAlign w:val="center"/>
          </w:tcPr>
          <w:p w14:paraId="2ACA97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09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4D92CFE">
            <w:pPr>
              <w:rPr>
                <w:color w:val="000000" w:themeColor="text1"/>
              </w:rPr>
            </w:pPr>
          </w:p>
        </w:tc>
        <w:tc>
          <w:tcPr>
            <w:tcW w:w="1110" w:type="dxa"/>
            <w:vAlign w:val="center"/>
          </w:tcPr>
          <w:p w14:paraId="60670F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C539A5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972FB89">
            <w:pPr>
              <w:jc w:val="center"/>
              <w:rPr>
                <w:rFonts w:ascii="仿宋_GB2312" w:hAnsi="黑体" w:eastAsia="仿宋_GB2312" w:cs="黑体"/>
                <w:color w:val="000000" w:themeColor="text1"/>
                <w:sz w:val="18"/>
                <w:szCs w:val="18"/>
              </w:rPr>
            </w:pPr>
          </w:p>
        </w:tc>
        <w:tc>
          <w:tcPr>
            <w:tcW w:w="1406" w:type="dxa"/>
            <w:vAlign w:val="center"/>
          </w:tcPr>
          <w:p w14:paraId="245A61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82F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BFA01EC">
            <w:pPr>
              <w:rPr>
                <w:color w:val="000000" w:themeColor="text1"/>
              </w:rPr>
            </w:pPr>
          </w:p>
        </w:tc>
        <w:tc>
          <w:tcPr>
            <w:tcW w:w="1110" w:type="dxa"/>
            <w:vAlign w:val="center"/>
          </w:tcPr>
          <w:p w14:paraId="7F68F0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F0B96C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035DC56">
            <w:pPr>
              <w:jc w:val="center"/>
              <w:rPr>
                <w:rFonts w:ascii="仿宋_GB2312" w:hAnsi="黑体" w:eastAsia="仿宋_GB2312" w:cs="黑体"/>
                <w:color w:val="000000" w:themeColor="text1"/>
                <w:sz w:val="18"/>
                <w:szCs w:val="18"/>
              </w:rPr>
            </w:pPr>
          </w:p>
        </w:tc>
        <w:tc>
          <w:tcPr>
            <w:tcW w:w="1406" w:type="dxa"/>
            <w:vAlign w:val="center"/>
          </w:tcPr>
          <w:p w14:paraId="10FBAC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98CC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225AA9A">
            <w:pPr>
              <w:rPr>
                <w:color w:val="000000" w:themeColor="text1"/>
              </w:rPr>
            </w:pPr>
          </w:p>
        </w:tc>
        <w:tc>
          <w:tcPr>
            <w:tcW w:w="1110" w:type="dxa"/>
            <w:vAlign w:val="center"/>
          </w:tcPr>
          <w:p w14:paraId="3FB906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96DA0D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D1F758E">
            <w:pPr>
              <w:jc w:val="center"/>
              <w:rPr>
                <w:rFonts w:ascii="仿宋_GB2312" w:hAnsi="黑体" w:eastAsia="仿宋_GB2312" w:cs="黑体"/>
                <w:color w:val="000000" w:themeColor="text1"/>
                <w:sz w:val="18"/>
                <w:szCs w:val="18"/>
              </w:rPr>
            </w:pPr>
          </w:p>
        </w:tc>
        <w:tc>
          <w:tcPr>
            <w:tcW w:w="1406" w:type="dxa"/>
            <w:vAlign w:val="center"/>
          </w:tcPr>
          <w:p w14:paraId="5F9468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462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1" w:hRule="atLeast"/>
          <w:jc w:val="center"/>
        </w:trPr>
        <w:tc>
          <w:tcPr>
            <w:tcW w:w="943" w:type="dxa"/>
            <w:vMerge w:val="continue"/>
            <w:vAlign w:val="center"/>
          </w:tcPr>
          <w:p w14:paraId="692EDB78">
            <w:pPr>
              <w:rPr>
                <w:color w:val="000000" w:themeColor="text1"/>
              </w:rPr>
            </w:pPr>
          </w:p>
        </w:tc>
        <w:tc>
          <w:tcPr>
            <w:tcW w:w="1110" w:type="dxa"/>
            <w:vAlign w:val="center"/>
          </w:tcPr>
          <w:p w14:paraId="7C2DF2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A7876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72C087B">
            <w:pPr>
              <w:jc w:val="center"/>
              <w:rPr>
                <w:rFonts w:ascii="仿宋_GB2312" w:hAnsi="黑体" w:eastAsia="仿宋_GB2312" w:cs="黑体"/>
                <w:color w:val="000000" w:themeColor="text1"/>
                <w:sz w:val="18"/>
                <w:szCs w:val="18"/>
              </w:rPr>
            </w:pPr>
          </w:p>
        </w:tc>
        <w:tc>
          <w:tcPr>
            <w:tcW w:w="1406" w:type="dxa"/>
            <w:vAlign w:val="center"/>
          </w:tcPr>
          <w:p w14:paraId="57F614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07B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03" w:hRule="atLeast"/>
          <w:jc w:val="center"/>
        </w:trPr>
        <w:tc>
          <w:tcPr>
            <w:tcW w:w="943" w:type="dxa"/>
            <w:vAlign w:val="center"/>
          </w:tcPr>
          <w:p w14:paraId="635B8F7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B6D095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06EE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8F026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C7D8B5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72F732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3679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DF3BE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3964B9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CC936C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DB87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742E386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8111B49">
            <w:pPr>
              <w:widowControl/>
              <w:jc w:val="left"/>
              <w:textAlignment w:val="center"/>
              <w:rPr>
                <w:rFonts w:ascii="黑体" w:eastAsia="黑体" w:cs="黑体"/>
                <w:color w:val="000000" w:themeColor="text1"/>
                <w:kern w:val="0"/>
                <w:sz w:val="18"/>
                <w:szCs w:val="18"/>
              </w:rPr>
            </w:pPr>
          </w:p>
        </w:tc>
      </w:tr>
    </w:tbl>
    <w:p w14:paraId="114AE7A4">
      <w:pPr>
        <w:widowControl/>
        <w:jc w:val="center"/>
        <w:textAlignment w:val="center"/>
        <w:rPr>
          <w:rFonts w:ascii="方正小标宋简体" w:eastAsia="方正小标宋简体" w:cs="方正小标宋简体"/>
          <w:color w:val="000000" w:themeColor="text1"/>
          <w:kern w:val="0"/>
          <w:sz w:val="44"/>
          <w:szCs w:val="44"/>
        </w:rPr>
      </w:pPr>
    </w:p>
    <w:p w14:paraId="3EA8C1A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A1D4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0" w:hRule="atLeast"/>
          <w:jc w:val="center"/>
        </w:trPr>
        <w:tc>
          <w:tcPr>
            <w:tcW w:w="943" w:type="dxa"/>
            <w:vAlign w:val="center"/>
          </w:tcPr>
          <w:p w14:paraId="2C981DA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009ECDB">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26</w:t>
            </w:r>
          </w:p>
        </w:tc>
        <w:tc>
          <w:tcPr>
            <w:tcW w:w="1691" w:type="dxa"/>
            <w:vAlign w:val="center"/>
          </w:tcPr>
          <w:p w14:paraId="75939610">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7A187E5">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BF7FFE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191E01D">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D785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52" w:hRule="atLeast"/>
          <w:jc w:val="center"/>
        </w:trPr>
        <w:tc>
          <w:tcPr>
            <w:tcW w:w="943" w:type="dxa"/>
            <w:vAlign w:val="center"/>
          </w:tcPr>
          <w:p w14:paraId="47AD5AE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CA25ED2">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对未取得相应从业资格证件等从事道路运输经营及道路运输相关业务经营行为的行政处罚</w:t>
            </w:r>
          </w:p>
        </w:tc>
      </w:tr>
      <w:tr w14:paraId="120B2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7" w:hRule="atLeast"/>
          <w:jc w:val="center"/>
        </w:trPr>
        <w:tc>
          <w:tcPr>
            <w:tcW w:w="943" w:type="dxa"/>
            <w:vAlign w:val="center"/>
          </w:tcPr>
          <w:p w14:paraId="1E119A96">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EF99F7D">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7384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4411D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E740D23">
            <w:pPr>
              <w:spacing w:line="20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《中华人民共和国道路运输条例》第九条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从事客运经营的驾驶人员，应当符合下列条件：（一）取得相应的机动车驾驶证；（二）年龄不超过</w:t>
            </w:r>
            <w:r>
              <w:rPr>
                <w:rFonts w:ascii="仿宋" w:hAnsi="仿宋" w:eastAsia="仿宋" w:cs="仿宋_GB2312"/>
                <w:color w:val="000000" w:themeColor="text1"/>
                <w:kern w:val="0"/>
                <w:sz w:val="18"/>
                <w:szCs w:val="18"/>
              </w:rPr>
              <w:t>60</w:t>
            </w:r>
            <w:r>
              <w:rPr>
                <w:rFonts w:hint="eastAsia" w:ascii="仿宋" w:hAnsi="仿宋" w:eastAsia="仿宋" w:cs="仿宋_GB2312"/>
                <w:color w:val="000000" w:themeColor="text1"/>
                <w:kern w:val="0"/>
                <w:sz w:val="18"/>
                <w:szCs w:val="18"/>
              </w:rPr>
              <w:t>周岁；（三）</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年内无重大以上交通责任事故记录；（四）经设区的市级人民政府交通运输主管部门对有关客运法律法规、机动车维修和旅客急救基本知识考试合格。第二十二条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从事货运经营的驾驶人员，应当符合下列条件：（一）取得相应的机动车驾驶证；（二）年龄不超过</w:t>
            </w:r>
            <w:r>
              <w:rPr>
                <w:rFonts w:ascii="仿宋" w:hAnsi="仿宋" w:eastAsia="仿宋" w:cs="仿宋_GB2312"/>
                <w:color w:val="000000" w:themeColor="text1"/>
                <w:kern w:val="0"/>
                <w:sz w:val="18"/>
                <w:szCs w:val="18"/>
              </w:rPr>
              <w:t>60</w:t>
            </w:r>
            <w:r>
              <w:rPr>
                <w:rFonts w:hint="eastAsia" w:ascii="仿宋" w:hAnsi="仿宋" w:eastAsia="仿宋" w:cs="仿宋_GB2312"/>
                <w:color w:val="000000" w:themeColor="text1"/>
                <w:kern w:val="0"/>
                <w:sz w:val="18"/>
                <w:szCs w:val="18"/>
              </w:rPr>
              <w:t>周岁；（三）经设区的市级人民政府交通运输主管部门对有关货运法律法规、机动车维修和货物装载保管基本知识考试合格（使用总质量</w:t>
            </w:r>
            <w:r>
              <w:rPr>
                <w:rFonts w:ascii="仿宋" w:hAnsi="仿宋" w:eastAsia="仿宋" w:cs="仿宋_GB2312"/>
                <w:color w:val="000000" w:themeColor="text1"/>
                <w:kern w:val="0"/>
                <w:sz w:val="18"/>
                <w:szCs w:val="18"/>
              </w:rPr>
              <w:t>4500</w:t>
            </w:r>
            <w:r>
              <w:rPr>
                <w:rFonts w:hint="eastAsia" w:ascii="仿宋" w:hAnsi="仿宋" w:eastAsia="仿宋" w:cs="仿宋_GB2312"/>
                <w:color w:val="000000" w:themeColor="text1"/>
                <w:kern w:val="0"/>
                <w:sz w:val="18"/>
                <w:szCs w:val="18"/>
              </w:rPr>
              <w:t>千克及以下普通货运车辆的驾驶人员除外）。第六十四条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不符合本条例第九条、第二十二条规定条件的人员驾驶道路运输经营车辆的，由地方人民政府交通运输主管部门责令改正，处</w:t>
            </w:r>
            <w:r>
              <w:rPr>
                <w:rFonts w:ascii="仿宋" w:hAnsi="仿宋" w:eastAsia="仿宋" w:cs="仿宋_GB2312"/>
                <w:color w:val="000000" w:themeColor="text1"/>
                <w:kern w:val="0"/>
                <w:sz w:val="18"/>
                <w:szCs w:val="18"/>
              </w:rPr>
              <w:t>200</w:t>
            </w:r>
            <w:r>
              <w:rPr>
                <w:rFonts w:hint="eastAsia" w:ascii="仿宋" w:hAnsi="仿宋" w:eastAsia="仿宋" w:cs="仿宋_GB2312"/>
                <w:color w:val="000000" w:themeColor="text1"/>
                <w:kern w:val="0"/>
                <w:sz w:val="18"/>
                <w:szCs w:val="18"/>
              </w:rPr>
              <w:t>元以上</w:t>
            </w:r>
            <w:r>
              <w:rPr>
                <w:rFonts w:ascii="仿宋" w:hAnsi="仿宋" w:eastAsia="仿宋" w:cs="仿宋_GB2312"/>
                <w:color w:val="000000" w:themeColor="text1"/>
                <w:kern w:val="0"/>
                <w:sz w:val="18"/>
                <w:szCs w:val="18"/>
              </w:rPr>
              <w:t>2000</w:t>
            </w:r>
            <w:r>
              <w:rPr>
                <w:rFonts w:hint="eastAsia" w:ascii="仿宋" w:hAnsi="仿宋" w:eastAsia="仿宋" w:cs="仿宋_GB2312"/>
                <w:color w:val="000000" w:themeColor="text1"/>
                <w:kern w:val="0"/>
                <w:sz w:val="18"/>
                <w:szCs w:val="18"/>
              </w:rPr>
              <w:t>元以下的罚款；构成犯罪的，依法追究刑事责任。</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《危险化学品安全管理条例》第八十六条第一项</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有下列情形之一的，由交通运输主管部门责令改正，处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万元以下的罚款；拒不改正的，责令停产停业整顿；构成犯罪的，依法追究刑事责任：（一）危险化学品道路运输企业、水路运输企业的驾驶人员、船员、装卸管理人员、押运人员、申报人员、集装箱装箱现场检查员未取得从业资格上岗作业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《放射性物品道路运输管理规定》第四十条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放射性物品道路运输活动中，由不符合本规定第七条、第八条规定条件的人员驾驶专用车辆的，由交通运输主管部门责令改正，处</w:t>
            </w:r>
            <w:r>
              <w:rPr>
                <w:rFonts w:ascii="仿宋" w:hAnsi="仿宋" w:eastAsia="仿宋" w:cs="仿宋_GB2312"/>
                <w:color w:val="000000" w:themeColor="text1"/>
                <w:kern w:val="0"/>
                <w:sz w:val="18"/>
                <w:szCs w:val="18"/>
              </w:rPr>
              <w:t>200</w:t>
            </w:r>
            <w:r>
              <w:rPr>
                <w:rFonts w:hint="eastAsia" w:ascii="仿宋" w:hAnsi="仿宋" w:eastAsia="仿宋" w:cs="仿宋_GB2312"/>
                <w:color w:val="000000" w:themeColor="text1"/>
                <w:kern w:val="0"/>
                <w:sz w:val="18"/>
                <w:szCs w:val="18"/>
              </w:rPr>
              <w:t>元以上</w:t>
            </w:r>
            <w:r>
              <w:rPr>
                <w:rFonts w:ascii="仿宋" w:hAnsi="仿宋" w:eastAsia="仿宋" w:cs="仿宋_GB2312"/>
                <w:color w:val="000000" w:themeColor="text1"/>
                <w:kern w:val="0"/>
                <w:sz w:val="18"/>
                <w:szCs w:val="18"/>
              </w:rPr>
              <w:t>2000</w:t>
            </w:r>
            <w:r>
              <w:rPr>
                <w:rFonts w:hint="eastAsia" w:ascii="仿宋" w:hAnsi="仿宋" w:eastAsia="仿宋" w:cs="仿宋_GB2312"/>
                <w:color w:val="000000" w:themeColor="text1"/>
                <w:kern w:val="0"/>
                <w:sz w:val="18"/>
                <w:szCs w:val="18"/>
              </w:rPr>
              <w:t>元以下的罚款；构成犯罪的，依法追究刑事责任。</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《道路危险货物运输管理规定》第五十八条第一项</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违反本规定，道路危险货物运输企业或者单位以及托运人有下列情形之一的，由交通运输主管部门责令改正，并处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万元以下的罚款，拒不改正的，责令停产停业整顿；构成犯罪的，依法追究刑事责任：（一）驾驶人员、装卸管理人员、押运人员未取得从业资格上岗作业的。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《道路运输从业人员管理规定》第四十六条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违反本规定，有下列行为之一的人员，由县级以上交通运输主管部门责令改正，处</w:t>
            </w:r>
            <w:r>
              <w:rPr>
                <w:rFonts w:ascii="仿宋" w:hAnsi="仿宋" w:eastAsia="仿宋" w:cs="仿宋_GB2312"/>
                <w:color w:val="000000" w:themeColor="text1"/>
                <w:kern w:val="0"/>
                <w:sz w:val="18"/>
                <w:szCs w:val="18"/>
              </w:rPr>
              <w:t>200</w:t>
            </w:r>
            <w:r>
              <w:rPr>
                <w:rFonts w:hint="eastAsia" w:ascii="仿宋" w:hAnsi="仿宋" w:eastAsia="仿宋" w:cs="仿宋_GB2312"/>
                <w:color w:val="000000" w:themeColor="text1"/>
                <w:kern w:val="0"/>
                <w:sz w:val="18"/>
                <w:szCs w:val="18"/>
              </w:rPr>
              <w:t>元以上</w:t>
            </w:r>
            <w:r>
              <w:rPr>
                <w:rFonts w:ascii="仿宋" w:hAnsi="仿宋" w:eastAsia="仿宋" w:cs="仿宋_GB2312"/>
                <w:color w:val="000000" w:themeColor="text1"/>
                <w:kern w:val="0"/>
                <w:sz w:val="18"/>
                <w:szCs w:val="18"/>
              </w:rPr>
              <w:t>2000</w:t>
            </w:r>
            <w:r>
              <w:rPr>
                <w:rFonts w:hint="eastAsia" w:ascii="仿宋" w:hAnsi="仿宋" w:eastAsia="仿宋" w:cs="仿宋_GB2312"/>
                <w:color w:val="000000" w:themeColor="text1"/>
                <w:kern w:val="0"/>
                <w:sz w:val="18"/>
                <w:szCs w:val="18"/>
              </w:rPr>
              <w:t>元以下的罚款：（一）未取得相应从业资格证件，驾驶道路客运车辆的；（二）使用失效、伪造、变造的从业资格证件，驾驶道路客运车辆的；（三）超越从业资格证件核定范围，驾驶道路客运车辆的。驾驶道路货运车辆违反前款规定的，由县级以上交通运输主管部门责令改正，处</w:t>
            </w:r>
            <w:r>
              <w:rPr>
                <w:rFonts w:ascii="仿宋" w:hAnsi="仿宋" w:eastAsia="仿宋" w:cs="仿宋_GB2312"/>
                <w:color w:val="000000" w:themeColor="text1"/>
                <w:kern w:val="0"/>
                <w:sz w:val="18"/>
                <w:szCs w:val="18"/>
              </w:rPr>
              <w:t>200</w:t>
            </w:r>
            <w:r>
              <w:rPr>
                <w:rFonts w:hint="eastAsia" w:ascii="仿宋" w:hAnsi="仿宋" w:eastAsia="仿宋" w:cs="仿宋_GB2312"/>
                <w:color w:val="000000" w:themeColor="text1"/>
                <w:kern w:val="0"/>
                <w:sz w:val="18"/>
                <w:szCs w:val="18"/>
              </w:rPr>
              <w:t>元罚款。第四十七条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违反本规定，有下列行为之一的人员，由设区的市级人民政府交通运输主管部门处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万元以下的罚款：（一）未取得相应从业资格证件，从事道路危险货物运输活动的；（二）使用失效、伪造、变造的从业资格证件，从事道路危险货物运输活动的；（三）超越从业资格证件核定范围，从事道路危险货物运输活动的。</w:t>
            </w:r>
          </w:p>
          <w:p w14:paraId="125D0DF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8DFA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75" w:hRule="atLeast"/>
          <w:jc w:val="center"/>
        </w:trPr>
        <w:tc>
          <w:tcPr>
            <w:tcW w:w="943" w:type="dxa"/>
            <w:vMerge w:val="restart"/>
            <w:vAlign w:val="center"/>
          </w:tcPr>
          <w:p w14:paraId="18E694F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D33B5F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113ABD9">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077AF0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7B58BF9">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FCA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EE5C94F">
            <w:pPr>
              <w:spacing w:line="200" w:lineRule="exact"/>
              <w:rPr>
                <w:color w:val="000000" w:themeColor="text1"/>
              </w:rPr>
            </w:pPr>
          </w:p>
        </w:tc>
        <w:tc>
          <w:tcPr>
            <w:tcW w:w="1110" w:type="dxa"/>
            <w:vAlign w:val="center"/>
          </w:tcPr>
          <w:p w14:paraId="3E51BEFC">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1979A81">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9C2D04C">
            <w:pPr>
              <w:spacing w:line="200" w:lineRule="exact"/>
              <w:jc w:val="center"/>
              <w:rPr>
                <w:rFonts w:ascii="仿宋_GB2312" w:hAnsi="黑体" w:eastAsia="仿宋_GB2312" w:cs="黑体"/>
                <w:color w:val="000000" w:themeColor="text1"/>
                <w:sz w:val="18"/>
                <w:szCs w:val="18"/>
              </w:rPr>
            </w:pPr>
          </w:p>
        </w:tc>
        <w:tc>
          <w:tcPr>
            <w:tcW w:w="1406" w:type="dxa"/>
            <w:vAlign w:val="center"/>
          </w:tcPr>
          <w:p w14:paraId="0D985FE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9A3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60" w:hRule="atLeast"/>
          <w:jc w:val="center"/>
        </w:trPr>
        <w:tc>
          <w:tcPr>
            <w:tcW w:w="943" w:type="dxa"/>
            <w:vMerge w:val="continue"/>
            <w:vAlign w:val="center"/>
          </w:tcPr>
          <w:p w14:paraId="1878842B">
            <w:pPr>
              <w:spacing w:line="200" w:lineRule="exact"/>
              <w:rPr>
                <w:color w:val="000000" w:themeColor="text1"/>
              </w:rPr>
            </w:pPr>
          </w:p>
        </w:tc>
        <w:tc>
          <w:tcPr>
            <w:tcW w:w="1110" w:type="dxa"/>
            <w:vAlign w:val="center"/>
          </w:tcPr>
          <w:p w14:paraId="20E49F9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4E708D9">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B6A144E">
            <w:pPr>
              <w:spacing w:line="200" w:lineRule="exact"/>
              <w:jc w:val="center"/>
              <w:rPr>
                <w:rFonts w:ascii="仿宋_GB2312" w:hAnsi="黑体" w:eastAsia="仿宋_GB2312" w:cs="黑体"/>
                <w:color w:val="000000" w:themeColor="text1"/>
                <w:sz w:val="18"/>
                <w:szCs w:val="18"/>
              </w:rPr>
            </w:pPr>
          </w:p>
        </w:tc>
        <w:tc>
          <w:tcPr>
            <w:tcW w:w="1406" w:type="dxa"/>
            <w:vAlign w:val="center"/>
          </w:tcPr>
          <w:p w14:paraId="194B3115">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D67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0" w:hRule="atLeast"/>
          <w:jc w:val="center"/>
        </w:trPr>
        <w:tc>
          <w:tcPr>
            <w:tcW w:w="943" w:type="dxa"/>
            <w:vMerge w:val="continue"/>
            <w:vAlign w:val="center"/>
          </w:tcPr>
          <w:p w14:paraId="754651BC">
            <w:pPr>
              <w:spacing w:line="200" w:lineRule="exact"/>
              <w:rPr>
                <w:color w:val="000000" w:themeColor="text1"/>
              </w:rPr>
            </w:pPr>
          </w:p>
        </w:tc>
        <w:tc>
          <w:tcPr>
            <w:tcW w:w="1110" w:type="dxa"/>
            <w:vAlign w:val="center"/>
          </w:tcPr>
          <w:p w14:paraId="588C3B5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93E9F57">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C0C8C96">
            <w:pPr>
              <w:spacing w:line="200" w:lineRule="exact"/>
              <w:jc w:val="center"/>
              <w:rPr>
                <w:rFonts w:ascii="仿宋_GB2312" w:hAnsi="黑体" w:eastAsia="仿宋_GB2312" w:cs="黑体"/>
                <w:color w:val="000000" w:themeColor="text1"/>
                <w:sz w:val="18"/>
                <w:szCs w:val="18"/>
              </w:rPr>
            </w:pPr>
          </w:p>
        </w:tc>
        <w:tc>
          <w:tcPr>
            <w:tcW w:w="1406" w:type="dxa"/>
            <w:vAlign w:val="center"/>
          </w:tcPr>
          <w:p w14:paraId="11A95A4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67FD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4" w:hRule="atLeast"/>
          <w:jc w:val="center"/>
        </w:trPr>
        <w:tc>
          <w:tcPr>
            <w:tcW w:w="943" w:type="dxa"/>
            <w:vMerge w:val="continue"/>
            <w:vAlign w:val="center"/>
          </w:tcPr>
          <w:p w14:paraId="082E74EA">
            <w:pPr>
              <w:spacing w:line="200" w:lineRule="exact"/>
              <w:rPr>
                <w:color w:val="000000" w:themeColor="text1"/>
              </w:rPr>
            </w:pPr>
          </w:p>
        </w:tc>
        <w:tc>
          <w:tcPr>
            <w:tcW w:w="1110" w:type="dxa"/>
            <w:vAlign w:val="center"/>
          </w:tcPr>
          <w:p w14:paraId="2D108D45">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624819B">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78F3DC9">
            <w:pPr>
              <w:spacing w:line="200" w:lineRule="exact"/>
              <w:jc w:val="center"/>
              <w:rPr>
                <w:rFonts w:ascii="仿宋_GB2312" w:hAnsi="黑体" w:eastAsia="仿宋_GB2312" w:cs="黑体"/>
                <w:color w:val="000000" w:themeColor="text1"/>
                <w:sz w:val="18"/>
                <w:szCs w:val="18"/>
              </w:rPr>
            </w:pPr>
          </w:p>
        </w:tc>
        <w:tc>
          <w:tcPr>
            <w:tcW w:w="1406" w:type="dxa"/>
            <w:vAlign w:val="center"/>
          </w:tcPr>
          <w:p w14:paraId="25A6311C">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B0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4" w:hRule="atLeast"/>
          <w:jc w:val="center"/>
        </w:trPr>
        <w:tc>
          <w:tcPr>
            <w:tcW w:w="943" w:type="dxa"/>
            <w:vMerge w:val="continue"/>
            <w:vAlign w:val="center"/>
          </w:tcPr>
          <w:p w14:paraId="39AE95BF">
            <w:pPr>
              <w:spacing w:line="200" w:lineRule="exact"/>
              <w:rPr>
                <w:color w:val="000000" w:themeColor="text1"/>
              </w:rPr>
            </w:pPr>
          </w:p>
        </w:tc>
        <w:tc>
          <w:tcPr>
            <w:tcW w:w="1110" w:type="dxa"/>
            <w:vAlign w:val="center"/>
          </w:tcPr>
          <w:p w14:paraId="28B1FCE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3B0FE49">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3B4C224">
            <w:pPr>
              <w:spacing w:line="200" w:lineRule="exact"/>
              <w:jc w:val="center"/>
              <w:rPr>
                <w:rFonts w:ascii="仿宋_GB2312" w:hAnsi="黑体" w:eastAsia="仿宋_GB2312" w:cs="黑体"/>
                <w:color w:val="000000" w:themeColor="text1"/>
                <w:sz w:val="18"/>
                <w:szCs w:val="18"/>
              </w:rPr>
            </w:pPr>
          </w:p>
        </w:tc>
        <w:tc>
          <w:tcPr>
            <w:tcW w:w="1406" w:type="dxa"/>
            <w:vAlign w:val="center"/>
          </w:tcPr>
          <w:p w14:paraId="769EC537">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1C0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60" w:hRule="atLeast"/>
          <w:jc w:val="center"/>
        </w:trPr>
        <w:tc>
          <w:tcPr>
            <w:tcW w:w="943" w:type="dxa"/>
            <w:vAlign w:val="center"/>
          </w:tcPr>
          <w:p w14:paraId="1F406AE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F5DC16">
            <w:pPr>
              <w:widowControl/>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A1F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1" w:hRule="atLeast"/>
          <w:jc w:val="center"/>
        </w:trPr>
        <w:tc>
          <w:tcPr>
            <w:tcW w:w="943" w:type="dxa"/>
            <w:vAlign w:val="center"/>
          </w:tcPr>
          <w:p w14:paraId="26D8196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BD46B34">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714950">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0820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Align w:val="center"/>
          </w:tcPr>
          <w:p w14:paraId="591F2D7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599274F">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94F3799">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FE49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7" w:hRule="atLeast"/>
          <w:jc w:val="center"/>
        </w:trPr>
        <w:tc>
          <w:tcPr>
            <w:tcW w:w="943" w:type="dxa"/>
            <w:vAlign w:val="center"/>
          </w:tcPr>
          <w:p w14:paraId="3CECAD4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7F90D23">
            <w:pPr>
              <w:widowControl/>
              <w:jc w:val="left"/>
              <w:textAlignment w:val="center"/>
              <w:rPr>
                <w:rFonts w:ascii="黑体" w:eastAsia="黑体" w:cs="黑体"/>
                <w:color w:val="000000" w:themeColor="text1"/>
                <w:kern w:val="0"/>
                <w:sz w:val="18"/>
                <w:szCs w:val="18"/>
              </w:rPr>
            </w:pPr>
          </w:p>
        </w:tc>
      </w:tr>
    </w:tbl>
    <w:p w14:paraId="00649099">
      <w:pPr>
        <w:rPr>
          <w:color w:val="000000" w:themeColor="text1"/>
          <w:sz w:val="24"/>
        </w:rPr>
      </w:pPr>
    </w:p>
    <w:p w14:paraId="26FEAFA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3A8E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1A1C9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326E67F">
            <w:pPr>
              <w:jc w:val="center"/>
              <w:rPr>
                <w:rFonts w:ascii="黑体" w:eastAsia="黑体" w:cs="黑体"/>
                <w:b/>
                <w:bCs/>
                <w:color w:val="000000" w:themeColor="text1"/>
                <w:szCs w:val="21"/>
              </w:rPr>
            </w:pPr>
            <w:r>
              <w:rPr>
                <w:rFonts w:ascii="黑体" w:eastAsia="黑体" w:cs="黑体"/>
                <w:b/>
                <w:bCs/>
                <w:color w:val="000000" w:themeColor="text1"/>
                <w:szCs w:val="21"/>
              </w:rPr>
              <w:t>27</w:t>
            </w:r>
          </w:p>
        </w:tc>
        <w:tc>
          <w:tcPr>
            <w:tcW w:w="1691" w:type="dxa"/>
            <w:vAlign w:val="center"/>
          </w:tcPr>
          <w:p w14:paraId="5AEEBD3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1E19F7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F5641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0A66A2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505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902A7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93A556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对非法转让、出租道路运输及道路运输相关业务许可证件行为的行政处罚</w:t>
            </w:r>
          </w:p>
        </w:tc>
      </w:tr>
      <w:tr w14:paraId="6989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1B478A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5BDD50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555B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4C4BB9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E09A06E">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号）第六十六条违反本条例的规定，客运经营者、货运经营者、道路运输相关业务经营者非法转让、出租道路运输许可证件的，由县级以上地方人民政府交通运输主管部门责令停止违法行为，收缴有关证件，处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万元以下的罚款；有违法所得的，没收违法所得。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33</w:t>
            </w:r>
            <w:r>
              <w:rPr>
                <w:rFonts w:hint="eastAsia" w:ascii="仿宋_GB2312" w:eastAsia="仿宋_GB2312" w:cs="仿宋_GB2312"/>
                <w:color w:val="000000" w:themeColor="text1"/>
                <w:kern w:val="0"/>
                <w:sz w:val="18"/>
                <w:szCs w:val="18"/>
              </w:rPr>
              <w:t>号）第九十五条　违反本规定，客运经营者、客运站经营者非法转让、出租道路运输经营许可证件的，由县级以上道路运输管理机构责令停止违法行为，收缴有关证件，处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万元以下的罚款；有违法所得的，没收违法所得。</w:t>
            </w:r>
            <w:r>
              <w:rPr>
                <w:rFonts w:ascii="仿宋_GB2312" w:eastAsia="仿宋_GB2312" w:cs="仿宋_GB2312"/>
                <w:color w:val="000000" w:themeColor="text1"/>
                <w:kern w:val="0"/>
                <w:sz w:val="18"/>
                <w:szCs w:val="18"/>
              </w:rPr>
              <w:t xml:space="preserve">                                          3.</w:t>
            </w:r>
            <w:r>
              <w:rPr>
                <w:rFonts w:hint="eastAsia" w:ascii="仿宋_GB2312" w:eastAsia="仿宋_GB2312" w:cs="仿宋_GB2312"/>
                <w:color w:val="000000" w:themeColor="text1"/>
                <w:kern w:val="0"/>
                <w:sz w:val="18"/>
                <w:szCs w:val="18"/>
              </w:rPr>
              <w:t>《道路货物运输及站场管理规定》（中华人民共和国交通运输部令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号）六十二条　违反本规定，道路货物运输经营者非法转让、出租道路运输经营许可证件的，由交通运输主管部门责令停止违法行为，收缴有关证件，处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万元以下的罚款；有违法所得的，没收违法所得。</w:t>
            </w:r>
            <w:r>
              <w:rPr>
                <w:rFonts w:ascii="仿宋_GB2312" w:eastAsia="仿宋_GB2312" w:cs="仿宋_GB2312"/>
                <w:color w:val="000000" w:themeColor="text1"/>
                <w:kern w:val="0"/>
                <w:sz w:val="18"/>
                <w:szCs w:val="18"/>
              </w:rPr>
              <w:t>4.</w:t>
            </w:r>
            <w:r>
              <w:rPr>
                <w:color w:val="000000" w:themeColor="text1"/>
              </w:rPr>
              <w:t xml:space="preserve"> </w:t>
            </w:r>
            <w:r>
              <w:rPr>
                <w:rFonts w:hint="eastAsia" w:ascii="仿宋_GB2312" w:eastAsia="仿宋_GB2312" w:cs="仿宋_GB2312"/>
                <w:color w:val="000000" w:themeColor="text1"/>
                <w:kern w:val="0"/>
                <w:sz w:val="18"/>
                <w:szCs w:val="18"/>
              </w:rPr>
              <w:t>《道路危险货物运输管理规定》第五十六条　违反本规定，道路危险货物运输企业或者单位非法转让、出租道路危险货物运输许可证件的，由交通运输主管部门责令停止违法行为，收缴有关证件，处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万元以下的罚款；有违法所得的，没收违法所得。</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《放射性物品道路运输管理规定》（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2016</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71</w:t>
            </w:r>
            <w:r>
              <w:rPr>
                <w:rFonts w:hint="eastAsia" w:ascii="仿宋_GB2312" w:eastAsia="仿宋_GB2312" w:cs="仿宋_GB2312"/>
                <w:color w:val="000000" w:themeColor="text1"/>
                <w:kern w:val="0"/>
                <w:sz w:val="18"/>
                <w:szCs w:val="18"/>
              </w:rPr>
              <w:t>号）第四十二条</w:t>
            </w:r>
            <w:r>
              <w:rPr>
                <w:rFonts w:hint="eastAsia" w:ascii="仿宋" w:hAnsi="仿宋" w:eastAsia="仿宋"/>
                <w:color w:val="000000" w:themeColor="text1"/>
                <w:sz w:val="18"/>
                <w:szCs w:val="18"/>
                <w:shd w:val="clear" w:color="auto" w:fill="FFFFFF"/>
              </w:rPr>
              <w:t>违反本规定，放射性物品道路运输企业或者单位非法转让、出租放射性物品道路运输许可证件的，由交通运输主管部门责令停止违法行为，收缴有关证件，处</w:t>
            </w:r>
            <w:r>
              <w:rPr>
                <w:rFonts w:ascii="仿宋" w:hAnsi="仿宋" w:eastAsia="仿宋"/>
                <w:color w:val="000000" w:themeColor="text1"/>
                <w:sz w:val="18"/>
                <w:szCs w:val="18"/>
                <w:shd w:val="clear" w:color="auto" w:fill="FFFFFF"/>
              </w:rPr>
              <w:t>2000</w:t>
            </w:r>
            <w:r>
              <w:rPr>
                <w:rFonts w:hint="eastAsia" w:ascii="仿宋" w:hAnsi="仿宋" w:eastAsia="仿宋"/>
                <w:color w:val="000000" w:themeColor="text1"/>
                <w:sz w:val="18"/>
                <w:szCs w:val="18"/>
                <w:shd w:val="clear" w:color="auto" w:fill="FFFFFF"/>
              </w:rPr>
              <w:t>元以上</w:t>
            </w:r>
            <w:r>
              <w:rPr>
                <w:rFonts w:ascii="仿宋" w:hAnsi="仿宋" w:eastAsia="仿宋"/>
                <w:color w:val="000000" w:themeColor="text1"/>
                <w:sz w:val="18"/>
                <w:szCs w:val="18"/>
                <w:shd w:val="clear" w:color="auto" w:fill="FFFFFF"/>
              </w:rPr>
              <w:t>1</w:t>
            </w:r>
            <w:r>
              <w:rPr>
                <w:rFonts w:hint="eastAsia" w:ascii="仿宋" w:hAnsi="仿宋" w:eastAsia="仿宋"/>
                <w:color w:val="000000" w:themeColor="text1"/>
                <w:sz w:val="18"/>
                <w:szCs w:val="18"/>
                <w:shd w:val="clear" w:color="auto" w:fill="FFFFFF"/>
              </w:rPr>
              <w:t>万元以下的罚款；有违法所得的，没收违法所得。</w:t>
            </w:r>
          </w:p>
          <w:p w14:paraId="364BA17E">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8F86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8D4A6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2CBFA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B30AF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B7B9E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E616E4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20CF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5" w:hRule="atLeast"/>
          <w:jc w:val="center"/>
        </w:trPr>
        <w:tc>
          <w:tcPr>
            <w:tcW w:w="943" w:type="dxa"/>
            <w:vMerge w:val="continue"/>
            <w:vAlign w:val="center"/>
          </w:tcPr>
          <w:p w14:paraId="7201FBD0">
            <w:pPr>
              <w:rPr>
                <w:color w:val="000000" w:themeColor="text1"/>
              </w:rPr>
            </w:pPr>
          </w:p>
        </w:tc>
        <w:tc>
          <w:tcPr>
            <w:tcW w:w="1110" w:type="dxa"/>
            <w:vAlign w:val="center"/>
          </w:tcPr>
          <w:p w14:paraId="26B265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76AF21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E5B63E1">
            <w:pPr>
              <w:jc w:val="center"/>
              <w:rPr>
                <w:rFonts w:ascii="仿宋_GB2312" w:hAnsi="黑体" w:eastAsia="仿宋_GB2312" w:cs="黑体"/>
                <w:color w:val="000000" w:themeColor="text1"/>
                <w:sz w:val="18"/>
                <w:szCs w:val="18"/>
              </w:rPr>
            </w:pPr>
          </w:p>
        </w:tc>
        <w:tc>
          <w:tcPr>
            <w:tcW w:w="1406" w:type="dxa"/>
            <w:vAlign w:val="center"/>
          </w:tcPr>
          <w:p w14:paraId="7F0221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212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5" w:hRule="atLeast"/>
          <w:jc w:val="center"/>
        </w:trPr>
        <w:tc>
          <w:tcPr>
            <w:tcW w:w="943" w:type="dxa"/>
            <w:vMerge w:val="continue"/>
            <w:vAlign w:val="center"/>
          </w:tcPr>
          <w:p w14:paraId="1B5FFD62">
            <w:pPr>
              <w:rPr>
                <w:color w:val="000000" w:themeColor="text1"/>
              </w:rPr>
            </w:pPr>
          </w:p>
        </w:tc>
        <w:tc>
          <w:tcPr>
            <w:tcW w:w="1110" w:type="dxa"/>
            <w:vAlign w:val="center"/>
          </w:tcPr>
          <w:p w14:paraId="1785DE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E3FD9B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D795F3F">
            <w:pPr>
              <w:jc w:val="center"/>
              <w:rPr>
                <w:rFonts w:ascii="仿宋_GB2312" w:hAnsi="黑体" w:eastAsia="仿宋_GB2312" w:cs="黑体"/>
                <w:color w:val="000000" w:themeColor="text1"/>
                <w:sz w:val="18"/>
                <w:szCs w:val="18"/>
              </w:rPr>
            </w:pPr>
          </w:p>
        </w:tc>
        <w:tc>
          <w:tcPr>
            <w:tcW w:w="1406" w:type="dxa"/>
            <w:vAlign w:val="center"/>
          </w:tcPr>
          <w:p w14:paraId="6B7DCD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920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B871BAE">
            <w:pPr>
              <w:rPr>
                <w:color w:val="000000" w:themeColor="text1"/>
              </w:rPr>
            </w:pPr>
          </w:p>
        </w:tc>
        <w:tc>
          <w:tcPr>
            <w:tcW w:w="1110" w:type="dxa"/>
            <w:vAlign w:val="center"/>
          </w:tcPr>
          <w:p w14:paraId="47606D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2EC3A0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A9E8918">
            <w:pPr>
              <w:jc w:val="center"/>
              <w:rPr>
                <w:rFonts w:ascii="仿宋_GB2312" w:hAnsi="黑体" w:eastAsia="仿宋_GB2312" w:cs="黑体"/>
                <w:color w:val="000000" w:themeColor="text1"/>
                <w:sz w:val="18"/>
                <w:szCs w:val="18"/>
              </w:rPr>
            </w:pPr>
          </w:p>
        </w:tc>
        <w:tc>
          <w:tcPr>
            <w:tcW w:w="1406" w:type="dxa"/>
            <w:vAlign w:val="center"/>
          </w:tcPr>
          <w:p w14:paraId="557629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3903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4" w:hRule="atLeast"/>
          <w:jc w:val="center"/>
        </w:trPr>
        <w:tc>
          <w:tcPr>
            <w:tcW w:w="943" w:type="dxa"/>
            <w:vMerge w:val="continue"/>
            <w:vAlign w:val="center"/>
          </w:tcPr>
          <w:p w14:paraId="036844B5">
            <w:pPr>
              <w:rPr>
                <w:color w:val="000000" w:themeColor="text1"/>
              </w:rPr>
            </w:pPr>
          </w:p>
        </w:tc>
        <w:tc>
          <w:tcPr>
            <w:tcW w:w="1110" w:type="dxa"/>
            <w:vAlign w:val="center"/>
          </w:tcPr>
          <w:p w14:paraId="59E64F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CECE84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317AC6F">
            <w:pPr>
              <w:jc w:val="center"/>
              <w:rPr>
                <w:rFonts w:ascii="仿宋_GB2312" w:hAnsi="黑体" w:eastAsia="仿宋_GB2312" w:cs="黑体"/>
                <w:color w:val="000000" w:themeColor="text1"/>
                <w:sz w:val="18"/>
                <w:szCs w:val="18"/>
              </w:rPr>
            </w:pPr>
          </w:p>
        </w:tc>
        <w:tc>
          <w:tcPr>
            <w:tcW w:w="1406" w:type="dxa"/>
            <w:vAlign w:val="center"/>
          </w:tcPr>
          <w:p w14:paraId="6E97A8C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2F6F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9" w:hRule="atLeast"/>
          <w:jc w:val="center"/>
        </w:trPr>
        <w:tc>
          <w:tcPr>
            <w:tcW w:w="943" w:type="dxa"/>
            <w:vMerge w:val="continue"/>
            <w:vAlign w:val="center"/>
          </w:tcPr>
          <w:p w14:paraId="2E910B51">
            <w:pPr>
              <w:rPr>
                <w:color w:val="000000" w:themeColor="text1"/>
              </w:rPr>
            </w:pPr>
          </w:p>
        </w:tc>
        <w:tc>
          <w:tcPr>
            <w:tcW w:w="1110" w:type="dxa"/>
            <w:vAlign w:val="center"/>
          </w:tcPr>
          <w:p w14:paraId="5F227B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F84A1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0BE5701">
            <w:pPr>
              <w:jc w:val="center"/>
              <w:rPr>
                <w:rFonts w:ascii="仿宋_GB2312" w:hAnsi="黑体" w:eastAsia="仿宋_GB2312" w:cs="黑体"/>
                <w:color w:val="000000" w:themeColor="text1"/>
                <w:sz w:val="18"/>
                <w:szCs w:val="18"/>
              </w:rPr>
            </w:pPr>
          </w:p>
        </w:tc>
        <w:tc>
          <w:tcPr>
            <w:tcW w:w="1406" w:type="dxa"/>
            <w:vAlign w:val="center"/>
          </w:tcPr>
          <w:p w14:paraId="660F9B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64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63" w:hRule="atLeast"/>
          <w:jc w:val="center"/>
        </w:trPr>
        <w:tc>
          <w:tcPr>
            <w:tcW w:w="943" w:type="dxa"/>
            <w:vAlign w:val="center"/>
          </w:tcPr>
          <w:p w14:paraId="0AD02A3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496503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D782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87D46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EC51F8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0113B7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918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A9ED5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3E079E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8FA434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93F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2" w:hRule="atLeast"/>
          <w:jc w:val="center"/>
        </w:trPr>
        <w:tc>
          <w:tcPr>
            <w:tcW w:w="943" w:type="dxa"/>
            <w:vAlign w:val="center"/>
          </w:tcPr>
          <w:p w14:paraId="423568A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DC77C03">
            <w:pPr>
              <w:widowControl/>
              <w:jc w:val="left"/>
              <w:textAlignment w:val="center"/>
              <w:rPr>
                <w:rFonts w:ascii="黑体" w:eastAsia="黑体" w:cs="黑体"/>
                <w:color w:val="000000" w:themeColor="text1"/>
                <w:kern w:val="0"/>
                <w:sz w:val="18"/>
                <w:szCs w:val="18"/>
              </w:rPr>
            </w:pPr>
          </w:p>
        </w:tc>
      </w:tr>
    </w:tbl>
    <w:p w14:paraId="5BF7A7E9">
      <w:pPr>
        <w:rPr>
          <w:color w:val="000000" w:themeColor="text1"/>
        </w:rPr>
      </w:pPr>
    </w:p>
    <w:p w14:paraId="4D99770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989A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F7CF1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CB61286">
            <w:pPr>
              <w:jc w:val="center"/>
              <w:rPr>
                <w:rFonts w:ascii="黑体" w:eastAsia="黑体" w:cs="黑体"/>
                <w:b/>
                <w:bCs/>
                <w:color w:val="000000" w:themeColor="text1"/>
                <w:szCs w:val="21"/>
              </w:rPr>
            </w:pPr>
            <w:r>
              <w:rPr>
                <w:rFonts w:ascii="黑体" w:eastAsia="黑体" w:cs="黑体"/>
                <w:b/>
                <w:bCs/>
                <w:color w:val="000000" w:themeColor="text1"/>
                <w:szCs w:val="21"/>
              </w:rPr>
              <w:t>28</w:t>
            </w:r>
          </w:p>
        </w:tc>
        <w:tc>
          <w:tcPr>
            <w:tcW w:w="1691" w:type="dxa"/>
            <w:vAlign w:val="center"/>
          </w:tcPr>
          <w:p w14:paraId="4DD98B4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2101F6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5D203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2D40CE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74AA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BD407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AE4576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对未按规定投保道路运输承运人责任险行为的行政处罚</w:t>
            </w:r>
          </w:p>
        </w:tc>
      </w:tr>
      <w:tr w14:paraId="0ADFE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755363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EADE41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DDE3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019729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FE945EE">
            <w:pPr>
              <w:spacing w:line="20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号）第六十七条</w:t>
            </w:r>
            <w:r>
              <w:rPr>
                <w:rFonts w:hint="eastAsia" w:ascii="仿宋" w:hAnsi="仿宋" w:eastAsia="仿宋" w:cs="仿宋_GB2312"/>
                <w:color w:val="000000" w:themeColor="text1"/>
                <w:kern w:val="0"/>
                <w:sz w:val="18"/>
                <w:szCs w:val="18"/>
              </w:rPr>
              <w:t>违反本条例的规定，客运经营者、危险货物运输经营者未按规定投保承运人责任险的，由县级以上地方人民政府交通运输主管部门责令限期投保；拒不投保的，由原许可机关吊销道路运输经营许可证。</w:t>
            </w:r>
          </w:p>
          <w:p w14:paraId="6D316F11">
            <w:pPr>
              <w:spacing w:line="20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《道路旅客运输及客运站管理规定》（中华人民共和国交通运输部令</w:t>
            </w:r>
            <w:r>
              <w:rPr>
                <w:rFonts w:ascii="仿宋" w:hAnsi="仿宋" w:eastAsia="仿宋" w:cs="仿宋_GB2312"/>
                <w:color w:val="000000" w:themeColor="text1"/>
                <w:kern w:val="0"/>
                <w:sz w:val="18"/>
                <w:szCs w:val="18"/>
              </w:rPr>
              <w:t>2022</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33</w:t>
            </w:r>
            <w:r>
              <w:rPr>
                <w:rFonts w:hint="eastAsia" w:ascii="仿宋" w:hAnsi="仿宋" w:eastAsia="仿宋" w:cs="仿宋_GB2312"/>
                <w:color w:val="000000" w:themeColor="text1"/>
                <w:kern w:val="0"/>
                <w:sz w:val="18"/>
                <w:szCs w:val="18"/>
              </w:rPr>
              <w:t>号）第九十六条　违反本规定，客运经营者有下列行为之一的，由县级以上道路运输管理机构责令限期投保；拒不投保的，由原许可机关吊销相应许可：（一）未为旅客投保承运人责任险的；（二）未按照最低投保限额投保的；（三）投保的承运人责任险已过期，未继续投保的。</w:t>
            </w:r>
          </w:p>
          <w:p w14:paraId="1CCCBD94">
            <w:pPr>
              <w:spacing w:line="20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《道路危险货物运输管理规定》（</w:t>
            </w:r>
            <w:r>
              <w:rPr>
                <w:rFonts w:hint="eastAsia" w:ascii="仿宋" w:hAnsi="仿宋" w:eastAsia="仿宋"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13</w:t>
            </w:r>
            <w:r>
              <w:rPr>
                <w:rFonts w:hint="eastAsia" w:ascii="仿宋" w:hAnsi="仿宋" w:eastAsia="仿宋" w:cs="仿宋_GB2312"/>
                <w:color w:val="000000" w:themeColor="text1"/>
                <w:kern w:val="0"/>
                <w:sz w:val="18"/>
                <w:szCs w:val="18"/>
              </w:rPr>
              <w:t>号）</w:t>
            </w:r>
            <w:r>
              <w:rPr>
                <w:rFonts w:hint="eastAsia" w:ascii="仿宋" w:hAnsi="仿宋" w:eastAsia="仿宋"/>
                <w:color w:val="000000" w:themeColor="text1"/>
                <w:sz w:val="18"/>
                <w:szCs w:val="18"/>
                <w:shd w:val="clear" w:color="auto" w:fill="FFFFFF"/>
              </w:rPr>
              <w:t>第五十七条　违反本规定，道路危险货物运输企业或者单位有下列行为之一，由交通运输主管部门责令限期投保；拒不投保的，由原许可机关吊销《道路运输经营许可证》或者《道路危险货物运输许可证》，或者吊销相应的经营范围：</w:t>
            </w:r>
            <w:r>
              <w:rPr>
                <w:rFonts w:hint="eastAsia" w:ascii="仿宋" w:hAnsi="仿宋" w:eastAsia="仿宋" w:cs="微软雅黑"/>
                <w:color w:val="000000" w:themeColor="text1"/>
                <w:sz w:val="18"/>
                <w:szCs w:val="18"/>
                <w:shd w:val="clear" w:color="auto" w:fill="FFFFFF"/>
              </w:rPr>
              <w:t>（一）未投保危险货物承运人责任险的；（二）投保的危险货物承运人责任险已过期，未继续投保的。</w:t>
            </w:r>
          </w:p>
          <w:p w14:paraId="48B791FE">
            <w:pPr>
              <w:spacing w:line="20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《放射性物品道路运输管理规定》（</w:t>
            </w:r>
            <w:r>
              <w:rPr>
                <w:rFonts w:hint="eastAsia" w:ascii="仿宋" w:hAnsi="仿宋" w:eastAsia="仿宋"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2016</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71</w:t>
            </w:r>
            <w:r>
              <w:rPr>
                <w:rFonts w:hint="eastAsia" w:ascii="仿宋" w:hAnsi="仿宋" w:eastAsia="仿宋" w:cs="仿宋_GB2312"/>
                <w:color w:val="000000" w:themeColor="text1"/>
                <w:kern w:val="0"/>
                <w:sz w:val="18"/>
                <w:szCs w:val="18"/>
              </w:rPr>
              <w:t>号）</w:t>
            </w:r>
            <w:r>
              <w:rPr>
                <w:rStyle w:val="18"/>
                <w:rFonts w:hint="eastAsia" w:ascii="仿宋" w:hAnsi="仿宋" w:eastAsia="仿宋" w:cs="宋体"/>
                <w:color w:val="000000" w:themeColor="text1"/>
                <w:szCs w:val="18"/>
              </w:rPr>
              <w:t>第四十一条违反本规定，放射性物品道路运输企业或者单位有下列行为之一，由交通运输主管部门责令限期投保；拒不投保的，由原许可的设区的市级道路运输管理机构吊销《道路运输经营许可证》或者《放射性物品道路运输许可证》，或者在许可证件上注销相应的许可范围：（一）未投保危险货物承运人责任险的；（二）投保的危险货物承运人责任险已过期，未继续投保的。</w:t>
            </w:r>
          </w:p>
          <w:p w14:paraId="34E48FC7">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CC4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26E460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87C051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0C27C1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4AEC20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91BDAAA">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08F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0" w:hRule="atLeast"/>
          <w:jc w:val="center"/>
        </w:trPr>
        <w:tc>
          <w:tcPr>
            <w:tcW w:w="943" w:type="dxa"/>
            <w:vMerge w:val="continue"/>
            <w:vAlign w:val="center"/>
          </w:tcPr>
          <w:p w14:paraId="06C41525">
            <w:pPr>
              <w:spacing w:line="200" w:lineRule="exact"/>
              <w:rPr>
                <w:color w:val="000000" w:themeColor="text1"/>
              </w:rPr>
            </w:pPr>
          </w:p>
        </w:tc>
        <w:tc>
          <w:tcPr>
            <w:tcW w:w="1110" w:type="dxa"/>
            <w:vAlign w:val="center"/>
          </w:tcPr>
          <w:p w14:paraId="15CAD37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90D9AD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168CEEF">
            <w:pPr>
              <w:spacing w:line="200" w:lineRule="exact"/>
              <w:jc w:val="center"/>
              <w:rPr>
                <w:rFonts w:ascii="仿宋_GB2312" w:hAnsi="黑体" w:eastAsia="仿宋_GB2312" w:cs="黑体"/>
                <w:color w:val="000000" w:themeColor="text1"/>
                <w:sz w:val="18"/>
                <w:szCs w:val="18"/>
              </w:rPr>
            </w:pPr>
          </w:p>
        </w:tc>
        <w:tc>
          <w:tcPr>
            <w:tcW w:w="1406" w:type="dxa"/>
            <w:vAlign w:val="center"/>
          </w:tcPr>
          <w:p w14:paraId="1AFED32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3D8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85F2518">
            <w:pPr>
              <w:spacing w:line="200" w:lineRule="exact"/>
              <w:rPr>
                <w:color w:val="000000" w:themeColor="text1"/>
              </w:rPr>
            </w:pPr>
          </w:p>
        </w:tc>
        <w:tc>
          <w:tcPr>
            <w:tcW w:w="1110" w:type="dxa"/>
            <w:vAlign w:val="center"/>
          </w:tcPr>
          <w:p w14:paraId="7901E1C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C617A6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CBD62DB">
            <w:pPr>
              <w:spacing w:line="200" w:lineRule="exact"/>
              <w:jc w:val="center"/>
              <w:rPr>
                <w:rFonts w:ascii="仿宋_GB2312" w:hAnsi="黑体" w:eastAsia="仿宋_GB2312" w:cs="黑体"/>
                <w:color w:val="000000" w:themeColor="text1"/>
                <w:sz w:val="18"/>
                <w:szCs w:val="18"/>
              </w:rPr>
            </w:pPr>
          </w:p>
        </w:tc>
        <w:tc>
          <w:tcPr>
            <w:tcW w:w="1406" w:type="dxa"/>
            <w:vAlign w:val="center"/>
          </w:tcPr>
          <w:p w14:paraId="15547CC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B86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73103A8">
            <w:pPr>
              <w:spacing w:line="200" w:lineRule="exact"/>
              <w:rPr>
                <w:color w:val="000000" w:themeColor="text1"/>
              </w:rPr>
            </w:pPr>
          </w:p>
        </w:tc>
        <w:tc>
          <w:tcPr>
            <w:tcW w:w="1110" w:type="dxa"/>
            <w:vAlign w:val="center"/>
          </w:tcPr>
          <w:p w14:paraId="21E1E3C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891AA2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8369136">
            <w:pPr>
              <w:spacing w:line="200" w:lineRule="exact"/>
              <w:jc w:val="center"/>
              <w:rPr>
                <w:rFonts w:ascii="仿宋_GB2312" w:hAnsi="黑体" w:eastAsia="仿宋_GB2312" w:cs="黑体"/>
                <w:color w:val="000000" w:themeColor="text1"/>
                <w:sz w:val="18"/>
                <w:szCs w:val="18"/>
              </w:rPr>
            </w:pPr>
          </w:p>
        </w:tc>
        <w:tc>
          <w:tcPr>
            <w:tcW w:w="1406" w:type="dxa"/>
            <w:vAlign w:val="center"/>
          </w:tcPr>
          <w:p w14:paraId="40A9A99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363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FAEC065">
            <w:pPr>
              <w:spacing w:line="200" w:lineRule="exact"/>
              <w:rPr>
                <w:color w:val="000000" w:themeColor="text1"/>
              </w:rPr>
            </w:pPr>
          </w:p>
        </w:tc>
        <w:tc>
          <w:tcPr>
            <w:tcW w:w="1110" w:type="dxa"/>
            <w:vAlign w:val="center"/>
          </w:tcPr>
          <w:p w14:paraId="358F07A3">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EB4A22B">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1884A0E">
            <w:pPr>
              <w:spacing w:line="200" w:lineRule="exact"/>
              <w:jc w:val="center"/>
              <w:rPr>
                <w:rFonts w:ascii="仿宋_GB2312" w:hAnsi="黑体" w:eastAsia="仿宋_GB2312" w:cs="黑体"/>
                <w:color w:val="000000" w:themeColor="text1"/>
                <w:sz w:val="18"/>
                <w:szCs w:val="18"/>
              </w:rPr>
            </w:pPr>
          </w:p>
        </w:tc>
        <w:tc>
          <w:tcPr>
            <w:tcW w:w="1406" w:type="dxa"/>
            <w:vAlign w:val="center"/>
          </w:tcPr>
          <w:p w14:paraId="1D6D46D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98D0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9" w:hRule="atLeast"/>
          <w:jc w:val="center"/>
        </w:trPr>
        <w:tc>
          <w:tcPr>
            <w:tcW w:w="943" w:type="dxa"/>
            <w:vMerge w:val="continue"/>
            <w:vAlign w:val="center"/>
          </w:tcPr>
          <w:p w14:paraId="069AA480">
            <w:pPr>
              <w:spacing w:line="200" w:lineRule="exact"/>
              <w:rPr>
                <w:color w:val="000000" w:themeColor="text1"/>
              </w:rPr>
            </w:pPr>
          </w:p>
        </w:tc>
        <w:tc>
          <w:tcPr>
            <w:tcW w:w="1110" w:type="dxa"/>
            <w:vAlign w:val="center"/>
          </w:tcPr>
          <w:p w14:paraId="33D5541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07A3EC8">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2472138">
            <w:pPr>
              <w:spacing w:line="200" w:lineRule="exact"/>
              <w:jc w:val="center"/>
              <w:rPr>
                <w:rFonts w:ascii="仿宋_GB2312" w:hAnsi="黑体" w:eastAsia="仿宋_GB2312" w:cs="黑体"/>
                <w:color w:val="000000" w:themeColor="text1"/>
                <w:sz w:val="18"/>
                <w:szCs w:val="18"/>
              </w:rPr>
            </w:pPr>
          </w:p>
        </w:tc>
        <w:tc>
          <w:tcPr>
            <w:tcW w:w="1406" w:type="dxa"/>
            <w:vAlign w:val="center"/>
          </w:tcPr>
          <w:p w14:paraId="07C050F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A37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50" w:hRule="atLeast"/>
          <w:jc w:val="center"/>
        </w:trPr>
        <w:tc>
          <w:tcPr>
            <w:tcW w:w="943" w:type="dxa"/>
            <w:vAlign w:val="center"/>
          </w:tcPr>
          <w:p w14:paraId="4C13412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21F656C">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C72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92DCF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868510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29A1FA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802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13A6D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41802B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3AF495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06E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2" w:hRule="atLeast"/>
          <w:jc w:val="center"/>
        </w:trPr>
        <w:tc>
          <w:tcPr>
            <w:tcW w:w="943" w:type="dxa"/>
            <w:vAlign w:val="center"/>
          </w:tcPr>
          <w:p w14:paraId="0166DA7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F9A0D17">
            <w:pPr>
              <w:widowControl/>
              <w:jc w:val="left"/>
              <w:textAlignment w:val="center"/>
              <w:rPr>
                <w:rFonts w:ascii="黑体" w:eastAsia="黑体" w:cs="黑体"/>
                <w:color w:val="000000" w:themeColor="text1"/>
                <w:kern w:val="0"/>
                <w:sz w:val="18"/>
                <w:szCs w:val="18"/>
              </w:rPr>
            </w:pPr>
          </w:p>
        </w:tc>
      </w:tr>
    </w:tbl>
    <w:p w14:paraId="1C84FDE8">
      <w:pPr>
        <w:rPr>
          <w:color w:val="000000" w:themeColor="text1"/>
        </w:rPr>
      </w:pPr>
    </w:p>
    <w:p w14:paraId="3593B65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DDA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1B809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E83FF7D">
            <w:pPr>
              <w:jc w:val="center"/>
              <w:rPr>
                <w:rFonts w:ascii="黑体" w:eastAsia="黑体" w:cs="黑体"/>
                <w:b/>
                <w:bCs/>
                <w:color w:val="000000" w:themeColor="text1"/>
                <w:szCs w:val="21"/>
              </w:rPr>
            </w:pPr>
            <w:r>
              <w:rPr>
                <w:rFonts w:ascii="黑体" w:eastAsia="黑体" w:cs="黑体"/>
                <w:b/>
                <w:bCs/>
                <w:color w:val="000000" w:themeColor="text1"/>
                <w:szCs w:val="21"/>
              </w:rPr>
              <w:t>29</w:t>
            </w:r>
          </w:p>
        </w:tc>
        <w:tc>
          <w:tcPr>
            <w:tcW w:w="1691" w:type="dxa"/>
            <w:vAlign w:val="center"/>
          </w:tcPr>
          <w:p w14:paraId="6EF4D25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A7E902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8D12B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78008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4F7E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AE81D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A9B5A3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对道路运输客运、货运站（场）经营者允许无证经营的车辆进站从事经营活动等行为的行政处罚</w:t>
            </w:r>
          </w:p>
        </w:tc>
      </w:tr>
      <w:tr w14:paraId="0C9F1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9430A9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E45853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0BF3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3654D5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BE01286">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七十条第一款第二款违反本条例的规定，道路旅客运输站（场）经营者允许无证经营的车辆进站从事经营活动以及超载车辆、未经安全检查的车辆出站或者无正当理由拒绝道路运输车辆进站从事经营活动的，由县级以上地方人民政府交通运输主管部门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27E50432">
            <w:pPr>
              <w:spacing w:line="20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道路货物运输站（场）经营者有前款违法情形的，由县级以上地方人民政府交通运输主管部门责令改正，处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33</w:t>
            </w:r>
            <w:r>
              <w:rPr>
                <w:rFonts w:hint="eastAsia" w:ascii="仿宋_GB2312" w:eastAsia="仿宋_GB2312" w:cs="仿宋_GB2312"/>
                <w:color w:val="000000" w:themeColor="text1"/>
                <w:kern w:val="0"/>
                <w:sz w:val="18"/>
                <w:szCs w:val="18"/>
              </w:rPr>
              <w:t>号）第一百零一条　违反本规定，客运站经营者有下列情形之一的，由交通运输主管部门责令改正，处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一）允许无经营证件的车辆进站从事经营活动的；（二）允许超载车辆出站的；（三）允许未经安全检查或者安全检查不合格的车辆发车的；（四）无正当理由拒绝客运车辆进站从事经营活动的；（五）设立的停靠点未按照规定备案的。</w:t>
            </w:r>
            <w:r>
              <w:rPr>
                <w:rFonts w:ascii="仿宋_GB2312" w:eastAsia="仿宋_GB2312" w:cs="仿宋_GB2312"/>
                <w:color w:val="000000" w:themeColor="text1"/>
                <w:kern w:val="0"/>
                <w:sz w:val="18"/>
                <w:szCs w:val="18"/>
              </w:rPr>
              <w:t>3</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《道路货物运输及站场管理规定》（中华人民共和国交通运输部令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12</w:t>
            </w:r>
            <w:r>
              <w:rPr>
                <w:rFonts w:hint="eastAsia" w:ascii="仿宋" w:hAnsi="仿宋" w:eastAsia="仿宋" w:cs="仿宋_GB2312"/>
                <w:color w:val="000000" w:themeColor="text1"/>
                <w:kern w:val="0"/>
                <w:sz w:val="18"/>
                <w:szCs w:val="18"/>
              </w:rPr>
              <w:t>号）第六十六条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违反本规定，货运站经营者允许无证经营的车辆进站从事经营活动以及超载车辆、未经安全检查的车辆出站或者无正当理由拒绝道路运输车辆进站从事经营活动的，由交通运输主管部门责令改正，处</w:t>
            </w:r>
            <w:r>
              <w:rPr>
                <w:rFonts w:ascii="仿宋" w:hAnsi="仿宋" w:eastAsia="仿宋" w:cs="仿宋_GB2312"/>
                <w:color w:val="000000" w:themeColor="text1"/>
                <w:kern w:val="0"/>
                <w:sz w:val="18"/>
                <w:szCs w:val="18"/>
              </w:rPr>
              <w:t>3000</w:t>
            </w:r>
            <w:r>
              <w:rPr>
                <w:rFonts w:hint="eastAsia" w:ascii="仿宋" w:hAnsi="仿宋" w:eastAsia="仿宋" w:cs="仿宋_GB2312"/>
                <w:color w:val="000000" w:themeColor="text1"/>
                <w:kern w:val="0"/>
                <w:sz w:val="18"/>
                <w:szCs w:val="18"/>
              </w:rPr>
              <w:t>元以上</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万元以下的罚款。</w:t>
            </w:r>
          </w:p>
          <w:p w14:paraId="1F3DDF8C">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2417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E4DCB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4C613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BE271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89F2E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9B98EB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F29B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40D7750">
            <w:pPr>
              <w:rPr>
                <w:color w:val="000000" w:themeColor="text1"/>
              </w:rPr>
            </w:pPr>
          </w:p>
        </w:tc>
        <w:tc>
          <w:tcPr>
            <w:tcW w:w="1110" w:type="dxa"/>
            <w:vAlign w:val="center"/>
          </w:tcPr>
          <w:p w14:paraId="1A899B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21F00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87751D7">
            <w:pPr>
              <w:jc w:val="center"/>
              <w:rPr>
                <w:rFonts w:ascii="仿宋_GB2312" w:hAnsi="黑体" w:eastAsia="仿宋_GB2312" w:cs="黑体"/>
                <w:color w:val="000000" w:themeColor="text1"/>
                <w:sz w:val="18"/>
                <w:szCs w:val="18"/>
              </w:rPr>
            </w:pPr>
          </w:p>
        </w:tc>
        <w:tc>
          <w:tcPr>
            <w:tcW w:w="1406" w:type="dxa"/>
            <w:vAlign w:val="center"/>
          </w:tcPr>
          <w:p w14:paraId="51D13E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E60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45E56FE">
            <w:pPr>
              <w:rPr>
                <w:color w:val="000000" w:themeColor="text1"/>
              </w:rPr>
            </w:pPr>
          </w:p>
        </w:tc>
        <w:tc>
          <w:tcPr>
            <w:tcW w:w="1110" w:type="dxa"/>
            <w:vAlign w:val="center"/>
          </w:tcPr>
          <w:p w14:paraId="355B44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04312F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A8E3236">
            <w:pPr>
              <w:jc w:val="center"/>
              <w:rPr>
                <w:rFonts w:ascii="仿宋_GB2312" w:hAnsi="黑体" w:eastAsia="仿宋_GB2312" w:cs="黑体"/>
                <w:color w:val="000000" w:themeColor="text1"/>
                <w:sz w:val="18"/>
                <w:szCs w:val="18"/>
              </w:rPr>
            </w:pPr>
          </w:p>
        </w:tc>
        <w:tc>
          <w:tcPr>
            <w:tcW w:w="1406" w:type="dxa"/>
            <w:vAlign w:val="center"/>
          </w:tcPr>
          <w:p w14:paraId="32C5400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AC6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6B80C61">
            <w:pPr>
              <w:rPr>
                <w:color w:val="000000" w:themeColor="text1"/>
              </w:rPr>
            </w:pPr>
          </w:p>
        </w:tc>
        <w:tc>
          <w:tcPr>
            <w:tcW w:w="1110" w:type="dxa"/>
            <w:vAlign w:val="center"/>
          </w:tcPr>
          <w:p w14:paraId="4C6F72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D6342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C5B71A9">
            <w:pPr>
              <w:jc w:val="center"/>
              <w:rPr>
                <w:rFonts w:ascii="仿宋_GB2312" w:hAnsi="黑体" w:eastAsia="仿宋_GB2312" w:cs="黑体"/>
                <w:color w:val="000000" w:themeColor="text1"/>
                <w:sz w:val="18"/>
                <w:szCs w:val="18"/>
              </w:rPr>
            </w:pPr>
          </w:p>
        </w:tc>
        <w:tc>
          <w:tcPr>
            <w:tcW w:w="1406" w:type="dxa"/>
            <w:vAlign w:val="center"/>
          </w:tcPr>
          <w:p w14:paraId="472793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4E1D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FB099BF">
            <w:pPr>
              <w:rPr>
                <w:color w:val="000000" w:themeColor="text1"/>
              </w:rPr>
            </w:pPr>
          </w:p>
        </w:tc>
        <w:tc>
          <w:tcPr>
            <w:tcW w:w="1110" w:type="dxa"/>
            <w:vAlign w:val="center"/>
          </w:tcPr>
          <w:p w14:paraId="7C3DEB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C7BCA7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D9FA860">
            <w:pPr>
              <w:jc w:val="center"/>
              <w:rPr>
                <w:rFonts w:ascii="仿宋_GB2312" w:hAnsi="黑体" w:eastAsia="仿宋_GB2312" w:cs="黑体"/>
                <w:color w:val="000000" w:themeColor="text1"/>
                <w:sz w:val="18"/>
                <w:szCs w:val="18"/>
              </w:rPr>
            </w:pPr>
          </w:p>
        </w:tc>
        <w:tc>
          <w:tcPr>
            <w:tcW w:w="1406" w:type="dxa"/>
            <w:vAlign w:val="center"/>
          </w:tcPr>
          <w:p w14:paraId="4162459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E04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0" w:hRule="atLeast"/>
          <w:jc w:val="center"/>
        </w:trPr>
        <w:tc>
          <w:tcPr>
            <w:tcW w:w="943" w:type="dxa"/>
            <w:vMerge w:val="continue"/>
            <w:vAlign w:val="center"/>
          </w:tcPr>
          <w:p w14:paraId="7877B338">
            <w:pPr>
              <w:rPr>
                <w:color w:val="000000" w:themeColor="text1"/>
              </w:rPr>
            </w:pPr>
          </w:p>
        </w:tc>
        <w:tc>
          <w:tcPr>
            <w:tcW w:w="1110" w:type="dxa"/>
            <w:vAlign w:val="center"/>
          </w:tcPr>
          <w:p w14:paraId="1FFB16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EBFB5B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B2350BE">
            <w:pPr>
              <w:jc w:val="center"/>
              <w:rPr>
                <w:rFonts w:ascii="仿宋_GB2312" w:hAnsi="黑体" w:eastAsia="仿宋_GB2312" w:cs="黑体"/>
                <w:color w:val="000000" w:themeColor="text1"/>
                <w:sz w:val="18"/>
                <w:szCs w:val="18"/>
              </w:rPr>
            </w:pPr>
          </w:p>
        </w:tc>
        <w:tc>
          <w:tcPr>
            <w:tcW w:w="1406" w:type="dxa"/>
            <w:vAlign w:val="center"/>
          </w:tcPr>
          <w:p w14:paraId="2A4C54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F8A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50" w:hRule="atLeast"/>
          <w:jc w:val="center"/>
        </w:trPr>
        <w:tc>
          <w:tcPr>
            <w:tcW w:w="943" w:type="dxa"/>
            <w:vAlign w:val="center"/>
          </w:tcPr>
          <w:p w14:paraId="44A146F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955863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6473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5" w:hRule="atLeast"/>
          <w:jc w:val="center"/>
        </w:trPr>
        <w:tc>
          <w:tcPr>
            <w:tcW w:w="943" w:type="dxa"/>
            <w:vAlign w:val="center"/>
          </w:tcPr>
          <w:p w14:paraId="166865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034022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502F17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03AC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89546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6185A9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6579ED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5E3E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943" w:type="dxa"/>
            <w:vAlign w:val="center"/>
          </w:tcPr>
          <w:p w14:paraId="158FB03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7B3B7F2">
            <w:pPr>
              <w:widowControl/>
              <w:jc w:val="left"/>
              <w:textAlignment w:val="center"/>
              <w:rPr>
                <w:rFonts w:ascii="黑体" w:eastAsia="黑体" w:cs="黑体"/>
                <w:color w:val="000000" w:themeColor="text1"/>
                <w:kern w:val="0"/>
                <w:sz w:val="18"/>
                <w:szCs w:val="18"/>
              </w:rPr>
            </w:pPr>
          </w:p>
        </w:tc>
      </w:tr>
    </w:tbl>
    <w:p w14:paraId="6247A4FD">
      <w:pPr>
        <w:rPr>
          <w:color w:val="000000" w:themeColor="text1"/>
          <w:sz w:val="24"/>
        </w:rPr>
      </w:pPr>
    </w:p>
    <w:p w14:paraId="047444B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5320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70069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631A02E">
            <w:pPr>
              <w:jc w:val="center"/>
              <w:rPr>
                <w:rFonts w:ascii="黑体" w:eastAsia="黑体" w:cs="黑体"/>
                <w:b/>
                <w:bCs/>
                <w:color w:val="000000" w:themeColor="text1"/>
                <w:szCs w:val="21"/>
              </w:rPr>
            </w:pPr>
            <w:r>
              <w:rPr>
                <w:rFonts w:ascii="黑体" w:eastAsia="黑体" w:cs="黑体"/>
                <w:b/>
                <w:bCs/>
                <w:color w:val="000000" w:themeColor="text1"/>
                <w:szCs w:val="21"/>
              </w:rPr>
              <w:t>30</w:t>
            </w:r>
          </w:p>
        </w:tc>
        <w:tc>
          <w:tcPr>
            <w:tcW w:w="1691" w:type="dxa"/>
            <w:vAlign w:val="center"/>
          </w:tcPr>
          <w:p w14:paraId="5F51A9A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D3F76C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23EE8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D55571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5D10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62093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96540A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对擅自改变站（场）用途和服务功能等行为的行政处罚</w:t>
            </w:r>
          </w:p>
        </w:tc>
      </w:tr>
      <w:tr w14:paraId="7BB95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017455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41C2A0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46A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D7592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2671E8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号）第七十条第三款违反本条例的规定，道路运输站</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场</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经营者擅自改变道路运输站</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场</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的用途和服务功能，或者不公布运输线路、起止经停站点、运输班次、始发时间、票价的，由县级以上地方人民政府交通运输主管部门责令改正；拒不改正的，处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元的罚款；有违法所得的，没收违法所得。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33</w:t>
            </w:r>
            <w:r>
              <w:rPr>
                <w:rFonts w:hint="eastAsia" w:ascii="仿宋_GB2312" w:eastAsia="仿宋_GB2312" w:cs="仿宋_GB2312"/>
                <w:color w:val="000000" w:themeColor="text1"/>
                <w:kern w:val="0"/>
                <w:sz w:val="18"/>
                <w:szCs w:val="18"/>
              </w:rPr>
              <w:t>号）第一百零二条　违反本规定，客运站经营者有下列情形之一的，由交通运输主管部门责令改正；拒不改正的，处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元的罚款；有违法所得的，没收违法所得：（一）擅自改变客运站的用途和服务功能的；（二）不公布运输线路、配客站点、班次、发车时间、票价的。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《道路货物运输及站场管理规定》（中华人民共和国交通运输部令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号）第六十七条　违反本规定，货运站经营者擅自改变货运站的用途和服务功能，由交通运输主管部门责令改正；拒不改正的，处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元的罚款；有违法所得的，没收违法所得。</w:t>
            </w:r>
          </w:p>
          <w:p w14:paraId="517B57FB">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854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F0E8C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21C6A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C8113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DCB92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DCCFAE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2356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CBC95AD">
            <w:pPr>
              <w:rPr>
                <w:color w:val="000000" w:themeColor="text1"/>
              </w:rPr>
            </w:pPr>
          </w:p>
        </w:tc>
        <w:tc>
          <w:tcPr>
            <w:tcW w:w="1110" w:type="dxa"/>
            <w:vAlign w:val="center"/>
          </w:tcPr>
          <w:p w14:paraId="7D9D99D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008BB2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2E7A899">
            <w:pPr>
              <w:jc w:val="center"/>
              <w:rPr>
                <w:rFonts w:ascii="仿宋_GB2312" w:hAnsi="黑体" w:eastAsia="仿宋_GB2312" w:cs="黑体"/>
                <w:color w:val="000000" w:themeColor="text1"/>
                <w:sz w:val="18"/>
                <w:szCs w:val="18"/>
              </w:rPr>
            </w:pPr>
          </w:p>
        </w:tc>
        <w:tc>
          <w:tcPr>
            <w:tcW w:w="1406" w:type="dxa"/>
            <w:vAlign w:val="center"/>
          </w:tcPr>
          <w:p w14:paraId="322479C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92F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8DACF34">
            <w:pPr>
              <w:rPr>
                <w:color w:val="000000" w:themeColor="text1"/>
              </w:rPr>
            </w:pPr>
          </w:p>
        </w:tc>
        <w:tc>
          <w:tcPr>
            <w:tcW w:w="1110" w:type="dxa"/>
            <w:vAlign w:val="center"/>
          </w:tcPr>
          <w:p w14:paraId="2D137B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E512A1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AB81639">
            <w:pPr>
              <w:jc w:val="center"/>
              <w:rPr>
                <w:rFonts w:ascii="仿宋_GB2312" w:hAnsi="黑体" w:eastAsia="仿宋_GB2312" w:cs="黑体"/>
                <w:color w:val="000000" w:themeColor="text1"/>
                <w:sz w:val="18"/>
                <w:szCs w:val="18"/>
              </w:rPr>
            </w:pPr>
          </w:p>
        </w:tc>
        <w:tc>
          <w:tcPr>
            <w:tcW w:w="1406" w:type="dxa"/>
            <w:vAlign w:val="center"/>
          </w:tcPr>
          <w:p w14:paraId="3E1BB3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B0C3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1017213">
            <w:pPr>
              <w:rPr>
                <w:color w:val="000000" w:themeColor="text1"/>
              </w:rPr>
            </w:pPr>
          </w:p>
        </w:tc>
        <w:tc>
          <w:tcPr>
            <w:tcW w:w="1110" w:type="dxa"/>
            <w:vAlign w:val="center"/>
          </w:tcPr>
          <w:p w14:paraId="3BC8ED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DD1680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E3D3F35">
            <w:pPr>
              <w:jc w:val="center"/>
              <w:rPr>
                <w:rFonts w:ascii="仿宋_GB2312" w:hAnsi="黑体" w:eastAsia="仿宋_GB2312" w:cs="黑体"/>
                <w:color w:val="000000" w:themeColor="text1"/>
                <w:sz w:val="18"/>
                <w:szCs w:val="18"/>
              </w:rPr>
            </w:pPr>
          </w:p>
        </w:tc>
        <w:tc>
          <w:tcPr>
            <w:tcW w:w="1406" w:type="dxa"/>
            <w:vAlign w:val="center"/>
          </w:tcPr>
          <w:p w14:paraId="077F00D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08A8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D285C98">
            <w:pPr>
              <w:rPr>
                <w:color w:val="000000" w:themeColor="text1"/>
              </w:rPr>
            </w:pPr>
          </w:p>
        </w:tc>
        <w:tc>
          <w:tcPr>
            <w:tcW w:w="1110" w:type="dxa"/>
            <w:vAlign w:val="center"/>
          </w:tcPr>
          <w:p w14:paraId="6D97A1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94C845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CCAA8E3">
            <w:pPr>
              <w:jc w:val="center"/>
              <w:rPr>
                <w:rFonts w:ascii="仿宋_GB2312" w:hAnsi="黑体" w:eastAsia="仿宋_GB2312" w:cs="黑体"/>
                <w:color w:val="000000" w:themeColor="text1"/>
                <w:sz w:val="18"/>
                <w:szCs w:val="18"/>
              </w:rPr>
            </w:pPr>
          </w:p>
        </w:tc>
        <w:tc>
          <w:tcPr>
            <w:tcW w:w="1406" w:type="dxa"/>
            <w:vAlign w:val="center"/>
          </w:tcPr>
          <w:p w14:paraId="6A3B59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A2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517D2BA">
            <w:pPr>
              <w:rPr>
                <w:color w:val="000000" w:themeColor="text1"/>
              </w:rPr>
            </w:pPr>
          </w:p>
        </w:tc>
        <w:tc>
          <w:tcPr>
            <w:tcW w:w="1110" w:type="dxa"/>
            <w:vAlign w:val="center"/>
          </w:tcPr>
          <w:p w14:paraId="42DD47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D2C73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36529A8">
            <w:pPr>
              <w:jc w:val="center"/>
              <w:rPr>
                <w:rFonts w:ascii="仿宋_GB2312" w:hAnsi="黑体" w:eastAsia="仿宋_GB2312" w:cs="黑体"/>
                <w:color w:val="000000" w:themeColor="text1"/>
                <w:sz w:val="18"/>
                <w:szCs w:val="18"/>
              </w:rPr>
            </w:pPr>
          </w:p>
        </w:tc>
        <w:tc>
          <w:tcPr>
            <w:tcW w:w="1406" w:type="dxa"/>
            <w:vAlign w:val="center"/>
          </w:tcPr>
          <w:p w14:paraId="13B88B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2783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048B58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703AAC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8BC2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3418F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92CD01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144E59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1D9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1DBD8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4A2AE5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3C3E99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A7EF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2" w:hRule="atLeast"/>
          <w:jc w:val="center"/>
        </w:trPr>
        <w:tc>
          <w:tcPr>
            <w:tcW w:w="943" w:type="dxa"/>
            <w:vAlign w:val="center"/>
          </w:tcPr>
          <w:p w14:paraId="074EAA8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9E69667">
            <w:pPr>
              <w:widowControl/>
              <w:jc w:val="left"/>
              <w:textAlignment w:val="center"/>
              <w:rPr>
                <w:rFonts w:ascii="黑体" w:eastAsia="黑体" w:cs="黑体"/>
                <w:color w:val="000000" w:themeColor="text1"/>
                <w:kern w:val="0"/>
                <w:sz w:val="18"/>
                <w:szCs w:val="18"/>
              </w:rPr>
            </w:pPr>
          </w:p>
        </w:tc>
      </w:tr>
    </w:tbl>
    <w:p w14:paraId="5D67FFA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3899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9AF78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30191AE">
            <w:pPr>
              <w:jc w:val="center"/>
              <w:rPr>
                <w:rFonts w:ascii="黑体" w:eastAsia="黑体" w:cs="黑体"/>
                <w:b/>
                <w:bCs/>
                <w:color w:val="000000" w:themeColor="text1"/>
                <w:szCs w:val="21"/>
              </w:rPr>
            </w:pPr>
            <w:r>
              <w:rPr>
                <w:rFonts w:ascii="黑体" w:eastAsia="黑体" w:cs="黑体"/>
                <w:b/>
                <w:bCs/>
                <w:color w:val="000000" w:themeColor="text1"/>
                <w:szCs w:val="21"/>
              </w:rPr>
              <w:t>31</w:t>
            </w:r>
          </w:p>
        </w:tc>
        <w:tc>
          <w:tcPr>
            <w:tcW w:w="1691" w:type="dxa"/>
            <w:vAlign w:val="center"/>
          </w:tcPr>
          <w:p w14:paraId="38A7D92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C4F58F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307FF7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39467A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2FA0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FB898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5FDBFE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对擅自从事道路旅客运输经营等行为的行政处罚</w:t>
            </w:r>
          </w:p>
        </w:tc>
      </w:tr>
      <w:tr w14:paraId="5035A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053391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CFAF28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7A45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9C847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7E709B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《中华人民共和国道路运输条例》（</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20</w:t>
            </w:r>
            <w:r>
              <w:rPr>
                <w:rFonts w:hint="eastAsia" w:ascii="仿宋" w:hAnsi="仿宋" w:eastAsia="仿宋" w:cs="仿宋_GB2312"/>
                <w:color w:val="000000" w:themeColor="text1"/>
                <w:kern w:val="0"/>
                <w:sz w:val="18"/>
                <w:szCs w:val="18"/>
              </w:rPr>
              <w:t>日中华人民共和国国务院令第</w:t>
            </w:r>
            <w:r>
              <w:rPr>
                <w:rFonts w:ascii="仿宋" w:hAnsi="仿宋" w:eastAsia="仿宋" w:cs="仿宋_GB2312"/>
                <w:color w:val="000000" w:themeColor="text1"/>
                <w:kern w:val="0"/>
                <w:sz w:val="18"/>
                <w:szCs w:val="18"/>
              </w:rPr>
              <w:t>764</w:t>
            </w:r>
            <w:r>
              <w:rPr>
                <w:rFonts w:hint="eastAsia" w:ascii="仿宋" w:hAnsi="仿宋" w:eastAsia="仿宋" w:cs="仿宋_GB2312"/>
                <w:color w:val="000000" w:themeColor="text1"/>
                <w:kern w:val="0"/>
                <w:sz w:val="18"/>
                <w:szCs w:val="18"/>
              </w:rPr>
              <w:t>号）第六十三条第二项“违反本条例的规定，有下列情形之一的，由县级以上地方人民政府交通运输主管部门责令停止经营，并处罚款；构成犯罪的，依法追究刑事责任：（二）未取得道路运输经营许可，擅自从事道路客运经营，违法所得超过</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万元的，没收违法所得，处违法所得</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倍以上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倍以下的罚款；没有违法所得或者违法所得不足</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万元的，处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万元以下的罚款；</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《道路旅客运输及客运站管理规定》（中华人民共和国交通运输部令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18</w:t>
            </w:r>
            <w:r>
              <w:rPr>
                <w:rFonts w:hint="eastAsia" w:ascii="仿宋" w:hAnsi="仿宋" w:eastAsia="仿宋" w:cs="仿宋_GB2312"/>
                <w:color w:val="000000" w:themeColor="text1"/>
                <w:kern w:val="0"/>
                <w:sz w:val="18"/>
                <w:szCs w:val="18"/>
              </w:rPr>
              <w:t>号）第九十三条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违反本规定，有下列行为之一的，由交通运输主管部门责令停止经营；违法所得超过</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万元的，没收违法所得，处违法所得</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倍以上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倍以下的罚款；没有违法所得或者违法所得不足</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万元的，处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万元以下的罚款；构成犯罪的，依法追究刑事责任：（一）未取得道路客运经营许可，擅自从事道路客运经营的；（二）未取得道路客运班线经营许可，擅自从事班车客运经营的；（三）使用失效、伪造、变造、被注销等无效的道路客运许可证件从事道路客运经营的；（四）超越许可事项，从事道路客运经营的。</w:t>
            </w:r>
          </w:p>
          <w:p w14:paraId="32ECEB86">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3E72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A7EE6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3595E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67D69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17C24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A0C472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61B1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5" w:hRule="atLeast"/>
          <w:jc w:val="center"/>
        </w:trPr>
        <w:tc>
          <w:tcPr>
            <w:tcW w:w="943" w:type="dxa"/>
            <w:vMerge w:val="continue"/>
            <w:vAlign w:val="center"/>
          </w:tcPr>
          <w:p w14:paraId="6FC34728">
            <w:pPr>
              <w:rPr>
                <w:color w:val="000000" w:themeColor="text1"/>
              </w:rPr>
            </w:pPr>
          </w:p>
        </w:tc>
        <w:tc>
          <w:tcPr>
            <w:tcW w:w="1110" w:type="dxa"/>
            <w:vAlign w:val="center"/>
          </w:tcPr>
          <w:p w14:paraId="32BA13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34B47F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ECD2FA4">
            <w:pPr>
              <w:jc w:val="center"/>
              <w:rPr>
                <w:rFonts w:ascii="仿宋_GB2312" w:hAnsi="黑体" w:eastAsia="仿宋_GB2312" w:cs="黑体"/>
                <w:color w:val="000000" w:themeColor="text1"/>
                <w:sz w:val="18"/>
                <w:szCs w:val="18"/>
              </w:rPr>
            </w:pPr>
          </w:p>
        </w:tc>
        <w:tc>
          <w:tcPr>
            <w:tcW w:w="1406" w:type="dxa"/>
            <w:vAlign w:val="center"/>
          </w:tcPr>
          <w:p w14:paraId="5603EC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280D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0B47BC0">
            <w:pPr>
              <w:rPr>
                <w:color w:val="000000" w:themeColor="text1"/>
              </w:rPr>
            </w:pPr>
          </w:p>
        </w:tc>
        <w:tc>
          <w:tcPr>
            <w:tcW w:w="1110" w:type="dxa"/>
            <w:vAlign w:val="center"/>
          </w:tcPr>
          <w:p w14:paraId="3F61AA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C3F347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C47E35A">
            <w:pPr>
              <w:jc w:val="center"/>
              <w:rPr>
                <w:rFonts w:ascii="仿宋_GB2312" w:hAnsi="黑体" w:eastAsia="仿宋_GB2312" w:cs="黑体"/>
                <w:color w:val="000000" w:themeColor="text1"/>
                <w:sz w:val="18"/>
                <w:szCs w:val="18"/>
              </w:rPr>
            </w:pPr>
          </w:p>
        </w:tc>
        <w:tc>
          <w:tcPr>
            <w:tcW w:w="1406" w:type="dxa"/>
            <w:vAlign w:val="center"/>
          </w:tcPr>
          <w:p w14:paraId="00A1BE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12D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29BF6CD">
            <w:pPr>
              <w:rPr>
                <w:color w:val="000000" w:themeColor="text1"/>
              </w:rPr>
            </w:pPr>
          </w:p>
        </w:tc>
        <w:tc>
          <w:tcPr>
            <w:tcW w:w="1110" w:type="dxa"/>
            <w:vAlign w:val="center"/>
          </w:tcPr>
          <w:p w14:paraId="51C8A2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29E21D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B60257E">
            <w:pPr>
              <w:jc w:val="center"/>
              <w:rPr>
                <w:rFonts w:ascii="仿宋_GB2312" w:hAnsi="黑体" w:eastAsia="仿宋_GB2312" w:cs="黑体"/>
                <w:color w:val="000000" w:themeColor="text1"/>
                <w:sz w:val="18"/>
                <w:szCs w:val="18"/>
              </w:rPr>
            </w:pPr>
          </w:p>
        </w:tc>
        <w:tc>
          <w:tcPr>
            <w:tcW w:w="1406" w:type="dxa"/>
            <w:vAlign w:val="center"/>
          </w:tcPr>
          <w:p w14:paraId="689576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8FF3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9A8918B">
            <w:pPr>
              <w:rPr>
                <w:color w:val="000000" w:themeColor="text1"/>
              </w:rPr>
            </w:pPr>
          </w:p>
        </w:tc>
        <w:tc>
          <w:tcPr>
            <w:tcW w:w="1110" w:type="dxa"/>
            <w:vAlign w:val="center"/>
          </w:tcPr>
          <w:p w14:paraId="79F002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CEE0EE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FD7B7EA">
            <w:pPr>
              <w:jc w:val="center"/>
              <w:rPr>
                <w:rFonts w:ascii="仿宋_GB2312" w:hAnsi="黑体" w:eastAsia="仿宋_GB2312" w:cs="黑体"/>
                <w:color w:val="000000" w:themeColor="text1"/>
                <w:sz w:val="18"/>
                <w:szCs w:val="18"/>
              </w:rPr>
            </w:pPr>
          </w:p>
        </w:tc>
        <w:tc>
          <w:tcPr>
            <w:tcW w:w="1406" w:type="dxa"/>
            <w:vAlign w:val="center"/>
          </w:tcPr>
          <w:p w14:paraId="63406A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8C9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35A2FA8">
            <w:pPr>
              <w:rPr>
                <w:color w:val="000000" w:themeColor="text1"/>
              </w:rPr>
            </w:pPr>
          </w:p>
        </w:tc>
        <w:tc>
          <w:tcPr>
            <w:tcW w:w="1110" w:type="dxa"/>
            <w:vAlign w:val="center"/>
          </w:tcPr>
          <w:p w14:paraId="78C61F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B51492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6AF8038">
            <w:pPr>
              <w:jc w:val="center"/>
              <w:rPr>
                <w:rFonts w:ascii="仿宋_GB2312" w:hAnsi="黑体" w:eastAsia="仿宋_GB2312" w:cs="黑体"/>
                <w:color w:val="000000" w:themeColor="text1"/>
                <w:sz w:val="18"/>
                <w:szCs w:val="18"/>
              </w:rPr>
            </w:pPr>
          </w:p>
        </w:tc>
        <w:tc>
          <w:tcPr>
            <w:tcW w:w="1406" w:type="dxa"/>
            <w:vAlign w:val="center"/>
          </w:tcPr>
          <w:p w14:paraId="3ECEB2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A41D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CB1D79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B2C7EE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4600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A616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846F00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F62CD12">
            <w:pPr>
              <w:widowControl/>
              <w:spacing w:line="240" w:lineRule="exact"/>
              <w:ind w:left="31680" w:hanging="180" w:hangingChars="100"/>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 xml:space="preserve"> 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A839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61075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BD492B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908356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F2D9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2" w:hRule="atLeast"/>
          <w:jc w:val="center"/>
        </w:trPr>
        <w:tc>
          <w:tcPr>
            <w:tcW w:w="943" w:type="dxa"/>
            <w:vAlign w:val="center"/>
          </w:tcPr>
          <w:p w14:paraId="75429FA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02302D9">
            <w:pPr>
              <w:widowControl/>
              <w:jc w:val="left"/>
              <w:textAlignment w:val="center"/>
              <w:rPr>
                <w:rFonts w:ascii="黑体" w:eastAsia="黑体" w:cs="黑体"/>
                <w:color w:val="000000" w:themeColor="text1"/>
                <w:kern w:val="0"/>
                <w:sz w:val="18"/>
                <w:szCs w:val="18"/>
              </w:rPr>
            </w:pPr>
          </w:p>
        </w:tc>
      </w:tr>
    </w:tbl>
    <w:p w14:paraId="09CA9978">
      <w:pPr>
        <w:rPr>
          <w:color w:val="000000" w:themeColor="text1"/>
          <w:sz w:val="24"/>
        </w:rPr>
      </w:pPr>
    </w:p>
    <w:p w14:paraId="1156958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39EE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447E3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00DD0B6">
            <w:pPr>
              <w:jc w:val="center"/>
              <w:rPr>
                <w:rFonts w:ascii="黑体" w:eastAsia="黑体" w:cs="黑体"/>
                <w:b/>
                <w:bCs/>
                <w:color w:val="000000" w:themeColor="text1"/>
                <w:szCs w:val="21"/>
              </w:rPr>
            </w:pPr>
            <w:r>
              <w:rPr>
                <w:rFonts w:ascii="黑体" w:eastAsia="黑体" w:cs="黑体"/>
                <w:b/>
                <w:bCs/>
                <w:color w:val="000000" w:themeColor="text1"/>
                <w:szCs w:val="21"/>
              </w:rPr>
              <w:t>32</w:t>
            </w:r>
          </w:p>
        </w:tc>
        <w:tc>
          <w:tcPr>
            <w:tcW w:w="1691" w:type="dxa"/>
            <w:vAlign w:val="center"/>
          </w:tcPr>
          <w:p w14:paraId="7A7FD3F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1DCEE0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99071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CBB4A1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21AD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A63DF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AF05DF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对擅自从事道路客运站经营等行为的行政处罚</w:t>
            </w:r>
          </w:p>
        </w:tc>
      </w:tr>
      <w:tr w14:paraId="10A69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262E99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CFF60F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3403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95397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502DA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号）第六十五条第一款违反本条例的规定，未经许可擅自从事道路旅客运输站（场）经营的，由县级以上地方人民政府交通运输主管部门责令停止经营；有违法所得的，没收违法所得，处违法所得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倍以上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倍以下的罚款；没有违法所得或者违法所得不足</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万元的，处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万元以下的罚款；构成犯罪的，依法追究刑事责任。</w:t>
            </w:r>
          </w:p>
          <w:p w14:paraId="16EBBF14">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18</w:t>
            </w:r>
            <w:r>
              <w:rPr>
                <w:rFonts w:hint="eastAsia" w:ascii="仿宋_GB2312" w:eastAsia="仿宋_GB2312" w:cs="仿宋_GB2312"/>
                <w:color w:val="000000" w:themeColor="text1"/>
                <w:kern w:val="0"/>
                <w:sz w:val="18"/>
                <w:szCs w:val="18"/>
              </w:rPr>
              <w:t>号）第九十四条　违反本规定，有下列行为之一的，由交通运输主管部门责令停止经营；有违法所得的，没收违法所得，处违法所得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倍以上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倍以下的罚款；没有违法所得或者违法所得不足</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万元的，处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构成犯罪的，依法追究刑事责任：（一）未取得客运站经营许可，擅自从事客运站经营的；（二）使用失效、伪造、变造、被注销等无效的客运站许可证件从事客运站经营的；（三）超越许可事项，从事客运站经营的。</w:t>
            </w:r>
          </w:p>
          <w:p w14:paraId="4F97026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668D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C74B8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13132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969B1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1735B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8D5595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6EB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DC9FA86">
            <w:pPr>
              <w:rPr>
                <w:color w:val="000000" w:themeColor="text1"/>
              </w:rPr>
            </w:pPr>
          </w:p>
        </w:tc>
        <w:tc>
          <w:tcPr>
            <w:tcW w:w="1110" w:type="dxa"/>
            <w:vAlign w:val="center"/>
          </w:tcPr>
          <w:p w14:paraId="29833A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B9BF8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CA9418E">
            <w:pPr>
              <w:jc w:val="center"/>
              <w:rPr>
                <w:rFonts w:ascii="仿宋_GB2312" w:hAnsi="黑体" w:eastAsia="仿宋_GB2312" w:cs="黑体"/>
                <w:color w:val="000000" w:themeColor="text1"/>
                <w:sz w:val="18"/>
                <w:szCs w:val="18"/>
              </w:rPr>
            </w:pPr>
          </w:p>
        </w:tc>
        <w:tc>
          <w:tcPr>
            <w:tcW w:w="1406" w:type="dxa"/>
            <w:vAlign w:val="center"/>
          </w:tcPr>
          <w:p w14:paraId="1B603B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C32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8C741B7">
            <w:pPr>
              <w:rPr>
                <w:color w:val="000000" w:themeColor="text1"/>
              </w:rPr>
            </w:pPr>
          </w:p>
        </w:tc>
        <w:tc>
          <w:tcPr>
            <w:tcW w:w="1110" w:type="dxa"/>
            <w:vAlign w:val="center"/>
          </w:tcPr>
          <w:p w14:paraId="023D33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82BA0B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8DD0B63">
            <w:pPr>
              <w:jc w:val="center"/>
              <w:rPr>
                <w:rFonts w:ascii="仿宋_GB2312" w:hAnsi="黑体" w:eastAsia="仿宋_GB2312" w:cs="黑体"/>
                <w:color w:val="000000" w:themeColor="text1"/>
                <w:sz w:val="18"/>
                <w:szCs w:val="18"/>
              </w:rPr>
            </w:pPr>
          </w:p>
        </w:tc>
        <w:tc>
          <w:tcPr>
            <w:tcW w:w="1406" w:type="dxa"/>
            <w:vAlign w:val="center"/>
          </w:tcPr>
          <w:p w14:paraId="6B95569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20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B5EFF95">
            <w:pPr>
              <w:rPr>
                <w:color w:val="000000" w:themeColor="text1"/>
              </w:rPr>
            </w:pPr>
          </w:p>
        </w:tc>
        <w:tc>
          <w:tcPr>
            <w:tcW w:w="1110" w:type="dxa"/>
            <w:vAlign w:val="center"/>
          </w:tcPr>
          <w:p w14:paraId="62425E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4CE876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97EF6C3">
            <w:pPr>
              <w:jc w:val="center"/>
              <w:rPr>
                <w:rFonts w:ascii="仿宋_GB2312" w:hAnsi="黑体" w:eastAsia="仿宋_GB2312" w:cs="黑体"/>
                <w:color w:val="000000" w:themeColor="text1"/>
                <w:sz w:val="18"/>
                <w:szCs w:val="18"/>
              </w:rPr>
            </w:pPr>
          </w:p>
        </w:tc>
        <w:tc>
          <w:tcPr>
            <w:tcW w:w="1406" w:type="dxa"/>
            <w:vAlign w:val="center"/>
          </w:tcPr>
          <w:p w14:paraId="252623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381B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6119517">
            <w:pPr>
              <w:rPr>
                <w:color w:val="000000" w:themeColor="text1"/>
              </w:rPr>
            </w:pPr>
          </w:p>
        </w:tc>
        <w:tc>
          <w:tcPr>
            <w:tcW w:w="1110" w:type="dxa"/>
            <w:vAlign w:val="center"/>
          </w:tcPr>
          <w:p w14:paraId="03839F8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251958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B9196A5">
            <w:pPr>
              <w:jc w:val="center"/>
              <w:rPr>
                <w:rFonts w:ascii="仿宋_GB2312" w:hAnsi="黑体" w:eastAsia="仿宋_GB2312" w:cs="黑体"/>
                <w:color w:val="000000" w:themeColor="text1"/>
                <w:sz w:val="18"/>
                <w:szCs w:val="18"/>
              </w:rPr>
            </w:pPr>
          </w:p>
        </w:tc>
        <w:tc>
          <w:tcPr>
            <w:tcW w:w="1406" w:type="dxa"/>
            <w:vAlign w:val="center"/>
          </w:tcPr>
          <w:p w14:paraId="29260A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738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8F3D8B8">
            <w:pPr>
              <w:rPr>
                <w:color w:val="000000" w:themeColor="text1"/>
              </w:rPr>
            </w:pPr>
          </w:p>
        </w:tc>
        <w:tc>
          <w:tcPr>
            <w:tcW w:w="1110" w:type="dxa"/>
            <w:vAlign w:val="center"/>
          </w:tcPr>
          <w:p w14:paraId="458EFE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8B694B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1223065">
            <w:pPr>
              <w:jc w:val="center"/>
              <w:rPr>
                <w:rFonts w:ascii="仿宋_GB2312" w:hAnsi="黑体" w:eastAsia="仿宋_GB2312" w:cs="黑体"/>
                <w:color w:val="000000" w:themeColor="text1"/>
                <w:sz w:val="18"/>
                <w:szCs w:val="18"/>
              </w:rPr>
            </w:pPr>
          </w:p>
        </w:tc>
        <w:tc>
          <w:tcPr>
            <w:tcW w:w="1406" w:type="dxa"/>
            <w:vAlign w:val="center"/>
          </w:tcPr>
          <w:p w14:paraId="710C15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A9F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05" w:hRule="atLeast"/>
          <w:jc w:val="center"/>
        </w:trPr>
        <w:tc>
          <w:tcPr>
            <w:tcW w:w="943" w:type="dxa"/>
            <w:vAlign w:val="center"/>
          </w:tcPr>
          <w:p w14:paraId="5886B27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573591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80C8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85A08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C94C5D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BE4BF8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108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E95FE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18B356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A746EE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261E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F35FF5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E827620">
            <w:pPr>
              <w:widowControl/>
              <w:jc w:val="left"/>
              <w:textAlignment w:val="center"/>
              <w:rPr>
                <w:rFonts w:ascii="黑体" w:eastAsia="黑体" w:cs="黑体"/>
                <w:color w:val="000000" w:themeColor="text1"/>
                <w:kern w:val="0"/>
                <w:sz w:val="18"/>
                <w:szCs w:val="18"/>
              </w:rPr>
            </w:pPr>
          </w:p>
        </w:tc>
      </w:tr>
    </w:tbl>
    <w:p w14:paraId="21B6C27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37B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B858B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8322801">
            <w:pPr>
              <w:jc w:val="center"/>
              <w:rPr>
                <w:rFonts w:ascii="黑体" w:eastAsia="黑体" w:cs="黑体"/>
                <w:b/>
                <w:bCs/>
                <w:color w:val="000000" w:themeColor="text1"/>
                <w:szCs w:val="21"/>
              </w:rPr>
            </w:pPr>
            <w:r>
              <w:rPr>
                <w:rFonts w:ascii="黑体" w:eastAsia="黑体" w:cs="黑体"/>
                <w:b/>
                <w:bCs/>
                <w:color w:val="000000" w:themeColor="text1"/>
                <w:szCs w:val="21"/>
              </w:rPr>
              <w:t>33</w:t>
            </w:r>
          </w:p>
        </w:tc>
        <w:tc>
          <w:tcPr>
            <w:tcW w:w="1691" w:type="dxa"/>
            <w:vAlign w:val="center"/>
          </w:tcPr>
          <w:p w14:paraId="0D05D07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20ECF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BBB73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0D0DFC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F6B1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D177E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235ECD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对客运班车不按批准的客运站点停靠或者不按规定的线路、班次行驶等行为的行政处罚</w:t>
            </w:r>
          </w:p>
        </w:tc>
      </w:tr>
      <w:tr w14:paraId="10541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E72D41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E39656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37E0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7C8309F">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EAA2F82">
            <w:pPr>
              <w:snapToGrid w:val="0"/>
              <w:spacing w:line="240" w:lineRule="atLeas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号）第六十八条第一款第（一）（二）（三）项违反本条例的规定，客运经营者有下列情形之一的，由县级以上地方人民政府交通运输主管部门责令改正，处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下的罚款；情节严重的，由原许可机关吊销道路运输经营许可证：（一）不按批准的客运站点停靠或者不按规定的线路、公布的班次行驶的；（二）在旅客运输途中擅自变更运输车辆或者将旅客移交他人运输的；（三）未报告原许可机关，擅自终止客运经营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18</w:t>
            </w:r>
            <w:r>
              <w:rPr>
                <w:rFonts w:hint="eastAsia" w:ascii="仿宋_GB2312" w:eastAsia="仿宋_GB2312" w:cs="仿宋_GB2312"/>
                <w:color w:val="000000" w:themeColor="text1"/>
                <w:kern w:val="0"/>
                <w:sz w:val="18"/>
                <w:szCs w:val="18"/>
              </w:rPr>
              <w:t>号）第九十九条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违反本规定，客运经营者有下列情形之一的，由交通运输主管部门责令改正，处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下的罚款：（一）客运班车不按照批准的配客站点停靠或者不按照规定的线路、日发班次下限行驶的；（二）加班车、顶班车、接驳车无正当理由不按照规定的线路、站点运行的；（三）擅自将旅客移交他人运输的；（四）在旅客运输途中擅自变更运输车辆的；（五）未报告原许可机关，擅自终止道路客运经营的；（六）客运包车未持有效的包车客运标志牌进行经营的，不按照包车客运标志牌载明的事项运行的，线路两端均不在车籍所在地的，招揽包车合同以外的旅客乘车的；（七）开展定制客运未按照规定备案的；（八）未按照规定在发车前对旅客进行安全事项告知的。违反前款第（一）至（五）项规定，情节严重的，由原许可机关吊销相应许可。客运经营者强行招揽旅客的，由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元以下的罚款；情节严重的，由原许可机关吊销相应许可。</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color w:val="000000" w:themeColor="text1"/>
              </w:rPr>
              <w:t xml:space="preserve"> </w:t>
            </w:r>
            <w:r>
              <w:rPr>
                <w:rFonts w:hint="eastAsia" w:ascii="仿宋_GB2312" w:eastAsia="仿宋_GB2312" w:cs="仿宋_GB2312"/>
                <w:color w:val="000000" w:themeColor="text1"/>
                <w:kern w:val="0"/>
                <w:sz w:val="18"/>
                <w:szCs w:val="18"/>
              </w:rPr>
              <w:t>第六十二条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包车客运经营者按照班车模式定点定线运营，或者招揽包车合同外的旅客乘车的，由县级以上人民政府交通运输主管部门责令改正，处一千元以上三千元以下的罚款；情节严重的，由原许可机关吊销道路运输经营许可证或者吊销相应的经营范围。</w:t>
            </w:r>
          </w:p>
          <w:p w14:paraId="16A3E11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B9F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09ADF7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86BB88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5468CBF">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C7D404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08F7392">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2EC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943" w:type="dxa"/>
            <w:vMerge w:val="continue"/>
            <w:vAlign w:val="center"/>
          </w:tcPr>
          <w:p w14:paraId="7EFC583E">
            <w:pPr>
              <w:spacing w:line="200" w:lineRule="exact"/>
              <w:rPr>
                <w:color w:val="000000" w:themeColor="text1"/>
              </w:rPr>
            </w:pPr>
          </w:p>
        </w:tc>
        <w:tc>
          <w:tcPr>
            <w:tcW w:w="1110" w:type="dxa"/>
            <w:vAlign w:val="center"/>
          </w:tcPr>
          <w:p w14:paraId="302B6E0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EF4C3FC">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D4FB919">
            <w:pPr>
              <w:spacing w:line="200" w:lineRule="exact"/>
              <w:jc w:val="center"/>
              <w:rPr>
                <w:rFonts w:ascii="仿宋_GB2312" w:hAnsi="黑体" w:eastAsia="仿宋_GB2312" w:cs="黑体"/>
                <w:color w:val="000000" w:themeColor="text1"/>
                <w:sz w:val="18"/>
                <w:szCs w:val="18"/>
              </w:rPr>
            </w:pPr>
          </w:p>
        </w:tc>
        <w:tc>
          <w:tcPr>
            <w:tcW w:w="1406" w:type="dxa"/>
            <w:vAlign w:val="center"/>
          </w:tcPr>
          <w:p w14:paraId="32D0932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F8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0" w:hRule="atLeast"/>
          <w:jc w:val="center"/>
        </w:trPr>
        <w:tc>
          <w:tcPr>
            <w:tcW w:w="943" w:type="dxa"/>
            <w:vMerge w:val="continue"/>
            <w:vAlign w:val="center"/>
          </w:tcPr>
          <w:p w14:paraId="31D6D274">
            <w:pPr>
              <w:spacing w:line="200" w:lineRule="exact"/>
              <w:rPr>
                <w:color w:val="000000" w:themeColor="text1"/>
              </w:rPr>
            </w:pPr>
          </w:p>
        </w:tc>
        <w:tc>
          <w:tcPr>
            <w:tcW w:w="1110" w:type="dxa"/>
            <w:vAlign w:val="center"/>
          </w:tcPr>
          <w:p w14:paraId="54060897">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1752426">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505C446">
            <w:pPr>
              <w:spacing w:line="200" w:lineRule="exact"/>
              <w:jc w:val="center"/>
              <w:rPr>
                <w:rFonts w:ascii="仿宋_GB2312" w:hAnsi="黑体" w:eastAsia="仿宋_GB2312" w:cs="黑体"/>
                <w:color w:val="000000" w:themeColor="text1"/>
                <w:sz w:val="18"/>
                <w:szCs w:val="18"/>
              </w:rPr>
            </w:pPr>
          </w:p>
        </w:tc>
        <w:tc>
          <w:tcPr>
            <w:tcW w:w="1406" w:type="dxa"/>
            <w:vAlign w:val="center"/>
          </w:tcPr>
          <w:p w14:paraId="3C29794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C8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6F4FFB9">
            <w:pPr>
              <w:spacing w:line="200" w:lineRule="exact"/>
              <w:rPr>
                <w:color w:val="000000" w:themeColor="text1"/>
              </w:rPr>
            </w:pPr>
          </w:p>
        </w:tc>
        <w:tc>
          <w:tcPr>
            <w:tcW w:w="1110" w:type="dxa"/>
            <w:vAlign w:val="center"/>
          </w:tcPr>
          <w:p w14:paraId="73DFC33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84FC883">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683557C">
            <w:pPr>
              <w:spacing w:line="200" w:lineRule="exact"/>
              <w:jc w:val="center"/>
              <w:rPr>
                <w:rFonts w:ascii="仿宋_GB2312" w:hAnsi="黑体" w:eastAsia="仿宋_GB2312" w:cs="黑体"/>
                <w:color w:val="000000" w:themeColor="text1"/>
                <w:sz w:val="18"/>
                <w:szCs w:val="18"/>
              </w:rPr>
            </w:pPr>
          </w:p>
        </w:tc>
        <w:tc>
          <w:tcPr>
            <w:tcW w:w="1406" w:type="dxa"/>
            <w:vAlign w:val="center"/>
          </w:tcPr>
          <w:p w14:paraId="0E2A40A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EED9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3E8A844">
            <w:pPr>
              <w:spacing w:line="200" w:lineRule="exact"/>
              <w:rPr>
                <w:color w:val="000000" w:themeColor="text1"/>
              </w:rPr>
            </w:pPr>
          </w:p>
        </w:tc>
        <w:tc>
          <w:tcPr>
            <w:tcW w:w="1110" w:type="dxa"/>
            <w:vAlign w:val="center"/>
          </w:tcPr>
          <w:p w14:paraId="23C1FBD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87F6BB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165FA7C">
            <w:pPr>
              <w:spacing w:line="200" w:lineRule="exact"/>
              <w:jc w:val="center"/>
              <w:rPr>
                <w:rFonts w:ascii="仿宋_GB2312" w:hAnsi="黑体" w:eastAsia="仿宋_GB2312" w:cs="黑体"/>
                <w:color w:val="000000" w:themeColor="text1"/>
                <w:sz w:val="18"/>
                <w:szCs w:val="18"/>
              </w:rPr>
            </w:pPr>
          </w:p>
        </w:tc>
        <w:tc>
          <w:tcPr>
            <w:tcW w:w="1406" w:type="dxa"/>
            <w:vAlign w:val="center"/>
          </w:tcPr>
          <w:p w14:paraId="74F10DA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00B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4" w:hRule="atLeast"/>
          <w:jc w:val="center"/>
        </w:trPr>
        <w:tc>
          <w:tcPr>
            <w:tcW w:w="943" w:type="dxa"/>
            <w:vMerge w:val="continue"/>
            <w:vAlign w:val="center"/>
          </w:tcPr>
          <w:p w14:paraId="155BD4AE">
            <w:pPr>
              <w:spacing w:line="200" w:lineRule="exact"/>
              <w:rPr>
                <w:color w:val="000000" w:themeColor="text1"/>
              </w:rPr>
            </w:pPr>
          </w:p>
        </w:tc>
        <w:tc>
          <w:tcPr>
            <w:tcW w:w="1110" w:type="dxa"/>
            <w:vAlign w:val="center"/>
          </w:tcPr>
          <w:p w14:paraId="03E86D1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32DBE75">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4DDC72B">
            <w:pPr>
              <w:spacing w:line="200" w:lineRule="exact"/>
              <w:jc w:val="center"/>
              <w:rPr>
                <w:rFonts w:ascii="仿宋_GB2312" w:hAnsi="黑体" w:eastAsia="仿宋_GB2312" w:cs="黑体"/>
                <w:color w:val="000000" w:themeColor="text1"/>
                <w:sz w:val="18"/>
                <w:szCs w:val="18"/>
              </w:rPr>
            </w:pPr>
          </w:p>
        </w:tc>
        <w:tc>
          <w:tcPr>
            <w:tcW w:w="1406" w:type="dxa"/>
            <w:vAlign w:val="center"/>
          </w:tcPr>
          <w:p w14:paraId="6FF9DE8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83B9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71" w:hRule="atLeast"/>
          <w:jc w:val="center"/>
        </w:trPr>
        <w:tc>
          <w:tcPr>
            <w:tcW w:w="943" w:type="dxa"/>
            <w:vAlign w:val="center"/>
          </w:tcPr>
          <w:p w14:paraId="481B428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51B99D2">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C9B4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EF4699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EF13458">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3EFA5F8">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E355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9" w:hRule="atLeast"/>
          <w:jc w:val="center"/>
        </w:trPr>
        <w:tc>
          <w:tcPr>
            <w:tcW w:w="943" w:type="dxa"/>
            <w:vAlign w:val="center"/>
          </w:tcPr>
          <w:p w14:paraId="4A37827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DF4BF85">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9591C15">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1DCC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5ECF9F53">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315CDBD">
            <w:pPr>
              <w:widowControl/>
              <w:spacing w:line="200" w:lineRule="exact"/>
              <w:jc w:val="left"/>
              <w:textAlignment w:val="center"/>
              <w:rPr>
                <w:rFonts w:ascii="黑体" w:eastAsia="黑体" w:cs="黑体"/>
                <w:color w:val="000000" w:themeColor="text1"/>
                <w:kern w:val="0"/>
                <w:sz w:val="18"/>
                <w:szCs w:val="18"/>
              </w:rPr>
            </w:pPr>
          </w:p>
        </w:tc>
      </w:tr>
    </w:tbl>
    <w:p w14:paraId="3DCA664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2711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0FCC4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6282475">
            <w:pPr>
              <w:jc w:val="center"/>
              <w:rPr>
                <w:rFonts w:ascii="黑体" w:eastAsia="黑体" w:cs="黑体"/>
                <w:b/>
                <w:bCs/>
                <w:color w:val="000000" w:themeColor="text1"/>
                <w:szCs w:val="21"/>
              </w:rPr>
            </w:pPr>
            <w:r>
              <w:rPr>
                <w:rFonts w:ascii="黑体" w:eastAsia="黑体" w:cs="黑体"/>
                <w:b/>
                <w:bCs/>
                <w:color w:val="000000" w:themeColor="text1"/>
                <w:szCs w:val="21"/>
              </w:rPr>
              <w:t>34</w:t>
            </w:r>
          </w:p>
        </w:tc>
        <w:tc>
          <w:tcPr>
            <w:tcW w:w="1691" w:type="dxa"/>
            <w:vAlign w:val="center"/>
          </w:tcPr>
          <w:p w14:paraId="404F0AD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5E72B0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16047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2AD573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AE64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E16D3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7A2817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对班车客运经营、包车客运经营和旅游客运经营中途将乘客交给他人运输、甩客或者在高速公路上下乘客、装卸行李和包裹的行政处罚</w:t>
            </w:r>
          </w:p>
        </w:tc>
      </w:tr>
      <w:tr w14:paraId="05E7A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AA91CA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A05C90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1230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23110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4ED0E7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第六十三条　违反本条例规定，班车客运经营、包车客运经营和旅游客运经营中途将乘客交给他人运输、甩客或者在高速公路上下乘客、装卸行李和包裹的，由县级以上人民政府交通运输主管部门责令限期改正，处一千元以上三千元以下的罚款；情节严重的，吊销相关车辆道路运输证件。</w:t>
            </w:r>
          </w:p>
          <w:p w14:paraId="61D88979">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0AD57DF7">
            <w:pPr>
              <w:spacing w:line="240" w:lineRule="exact"/>
              <w:rPr>
                <w:rFonts w:ascii="仿宋_GB2312" w:eastAsia="仿宋_GB2312" w:cs="黑体"/>
                <w:b/>
                <w:bCs/>
                <w:color w:val="000000" w:themeColor="text1"/>
                <w:szCs w:val="21"/>
              </w:rPr>
            </w:pPr>
          </w:p>
        </w:tc>
      </w:tr>
      <w:tr w14:paraId="38B39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4B5EA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0808F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8ACFA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D02D2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AE04EB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336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D7912DD">
            <w:pPr>
              <w:rPr>
                <w:color w:val="000000" w:themeColor="text1"/>
              </w:rPr>
            </w:pPr>
          </w:p>
        </w:tc>
        <w:tc>
          <w:tcPr>
            <w:tcW w:w="1110" w:type="dxa"/>
            <w:vAlign w:val="center"/>
          </w:tcPr>
          <w:p w14:paraId="00CE262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229E25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DD6B246">
            <w:pPr>
              <w:jc w:val="center"/>
              <w:rPr>
                <w:rFonts w:ascii="仿宋_GB2312" w:hAnsi="黑体" w:eastAsia="仿宋_GB2312" w:cs="黑体"/>
                <w:color w:val="000000" w:themeColor="text1"/>
                <w:sz w:val="18"/>
                <w:szCs w:val="18"/>
              </w:rPr>
            </w:pPr>
          </w:p>
        </w:tc>
        <w:tc>
          <w:tcPr>
            <w:tcW w:w="1406" w:type="dxa"/>
            <w:vAlign w:val="center"/>
          </w:tcPr>
          <w:p w14:paraId="5C2DA0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E87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7879A82">
            <w:pPr>
              <w:rPr>
                <w:color w:val="000000" w:themeColor="text1"/>
              </w:rPr>
            </w:pPr>
          </w:p>
        </w:tc>
        <w:tc>
          <w:tcPr>
            <w:tcW w:w="1110" w:type="dxa"/>
            <w:vAlign w:val="center"/>
          </w:tcPr>
          <w:p w14:paraId="5A5FCB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9A56A0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6B48373">
            <w:pPr>
              <w:jc w:val="center"/>
              <w:rPr>
                <w:rFonts w:ascii="仿宋_GB2312" w:hAnsi="黑体" w:eastAsia="仿宋_GB2312" w:cs="黑体"/>
                <w:color w:val="000000" w:themeColor="text1"/>
                <w:sz w:val="18"/>
                <w:szCs w:val="18"/>
              </w:rPr>
            </w:pPr>
          </w:p>
        </w:tc>
        <w:tc>
          <w:tcPr>
            <w:tcW w:w="1406" w:type="dxa"/>
            <w:vAlign w:val="center"/>
          </w:tcPr>
          <w:p w14:paraId="4B066C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A4F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144E5AA">
            <w:pPr>
              <w:rPr>
                <w:color w:val="000000" w:themeColor="text1"/>
              </w:rPr>
            </w:pPr>
          </w:p>
        </w:tc>
        <w:tc>
          <w:tcPr>
            <w:tcW w:w="1110" w:type="dxa"/>
            <w:vAlign w:val="center"/>
          </w:tcPr>
          <w:p w14:paraId="3022209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CFE63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4FAE8FA">
            <w:pPr>
              <w:jc w:val="center"/>
              <w:rPr>
                <w:rFonts w:ascii="仿宋_GB2312" w:hAnsi="黑体" w:eastAsia="仿宋_GB2312" w:cs="黑体"/>
                <w:color w:val="000000" w:themeColor="text1"/>
                <w:sz w:val="18"/>
                <w:szCs w:val="18"/>
              </w:rPr>
            </w:pPr>
          </w:p>
        </w:tc>
        <w:tc>
          <w:tcPr>
            <w:tcW w:w="1406" w:type="dxa"/>
            <w:vAlign w:val="center"/>
          </w:tcPr>
          <w:p w14:paraId="755909B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536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F2FA8D7">
            <w:pPr>
              <w:rPr>
                <w:color w:val="000000" w:themeColor="text1"/>
              </w:rPr>
            </w:pPr>
          </w:p>
        </w:tc>
        <w:tc>
          <w:tcPr>
            <w:tcW w:w="1110" w:type="dxa"/>
            <w:vAlign w:val="center"/>
          </w:tcPr>
          <w:p w14:paraId="6AD0B4D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BB8CF7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B8D121B">
            <w:pPr>
              <w:jc w:val="center"/>
              <w:rPr>
                <w:rFonts w:ascii="仿宋_GB2312" w:hAnsi="黑体" w:eastAsia="仿宋_GB2312" w:cs="黑体"/>
                <w:color w:val="000000" w:themeColor="text1"/>
                <w:sz w:val="18"/>
                <w:szCs w:val="18"/>
              </w:rPr>
            </w:pPr>
          </w:p>
        </w:tc>
        <w:tc>
          <w:tcPr>
            <w:tcW w:w="1406" w:type="dxa"/>
            <w:vAlign w:val="center"/>
          </w:tcPr>
          <w:p w14:paraId="7FAD83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16FD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FDFB382">
            <w:pPr>
              <w:rPr>
                <w:color w:val="000000" w:themeColor="text1"/>
              </w:rPr>
            </w:pPr>
          </w:p>
        </w:tc>
        <w:tc>
          <w:tcPr>
            <w:tcW w:w="1110" w:type="dxa"/>
            <w:vAlign w:val="center"/>
          </w:tcPr>
          <w:p w14:paraId="482EF9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7E85F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92A9506">
            <w:pPr>
              <w:jc w:val="center"/>
              <w:rPr>
                <w:rFonts w:ascii="仿宋_GB2312" w:hAnsi="黑体" w:eastAsia="仿宋_GB2312" w:cs="黑体"/>
                <w:color w:val="000000" w:themeColor="text1"/>
                <w:sz w:val="18"/>
                <w:szCs w:val="18"/>
              </w:rPr>
            </w:pPr>
          </w:p>
        </w:tc>
        <w:tc>
          <w:tcPr>
            <w:tcW w:w="1406" w:type="dxa"/>
            <w:vAlign w:val="center"/>
          </w:tcPr>
          <w:p w14:paraId="2C2DA2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93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50" w:hRule="atLeast"/>
          <w:jc w:val="center"/>
        </w:trPr>
        <w:tc>
          <w:tcPr>
            <w:tcW w:w="943" w:type="dxa"/>
            <w:vAlign w:val="center"/>
          </w:tcPr>
          <w:p w14:paraId="7DDAD09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90619B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2517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E85694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60A0C0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351600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0E39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9039F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4847E5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AE8FE8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FAD2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92" w:hRule="atLeast"/>
          <w:jc w:val="center"/>
        </w:trPr>
        <w:tc>
          <w:tcPr>
            <w:tcW w:w="943" w:type="dxa"/>
            <w:vAlign w:val="center"/>
          </w:tcPr>
          <w:p w14:paraId="1FFC1C0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5ADA85F">
            <w:pPr>
              <w:widowControl/>
              <w:jc w:val="left"/>
              <w:textAlignment w:val="center"/>
              <w:rPr>
                <w:rFonts w:ascii="黑体" w:eastAsia="黑体" w:cs="黑体"/>
                <w:color w:val="000000" w:themeColor="text1"/>
                <w:kern w:val="0"/>
                <w:sz w:val="18"/>
                <w:szCs w:val="18"/>
              </w:rPr>
            </w:pPr>
          </w:p>
        </w:tc>
      </w:tr>
    </w:tbl>
    <w:p w14:paraId="3C84D3C2">
      <w:pPr>
        <w:rPr>
          <w:color w:val="000000" w:themeColor="text1"/>
        </w:rPr>
      </w:pPr>
    </w:p>
    <w:p w14:paraId="186062D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684B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462C5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82E2ED1">
            <w:pPr>
              <w:jc w:val="center"/>
              <w:rPr>
                <w:rFonts w:ascii="黑体" w:eastAsia="黑体" w:cs="黑体"/>
                <w:b/>
                <w:bCs/>
                <w:color w:val="000000" w:themeColor="text1"/>
                <w:szCs w:val="21"/>
              </w:rPr>
            </w:pPr>
            <w:r>
              <w:rPr>
                <w:rFonts w:ascii="黑体" w:eastAsia="黑体" w:cs="黑体"/>
                <w:b/>
                <w:bCs/>
                <w:color w:val="000000" w:themeColor="text1"/>
                <w:szCs w:val="21"/>
              </w:rPr>
              <w:t>35</w:t>
            </w:r>
          </w:p>
        </w:tc>
        <w:tc>
          <w:tcPr>
            <w:tcW w:w="1691" w:type="dxa"/>
            <w:vAlign w:val="center"/>
          </w:tcPr>
          <w:p w14:paraId="3D35D39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B67E49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FFAAD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BE3D5D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FFA1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EF218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FCDBA5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网络平台未按规定发布信息、接入或使用不符合规定的班车客运经营者、车辆或者驾驶员开展定制客运行为的行政处罚</w:t>
            </w:r>
          </w:p>
        </w:tc>
      </w:tr>
      <w:tr w14:paraId="397B9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A10B0B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9EC5CB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D928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DD3FC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D9C1F2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18</w:t>
            </w:r>
            <w:r>
              <w:rPr>
                <w:rFonts w:hint="eastAsia" w:ascii="仿宋_GB2312" w:eastAsia="仿宋_GB2312" w:cs="仿宋_GB2312"/>
                <w:color w:val="000000" w:themeColor="text1"/>
                <w:kern w:val="0"/>
                <w:sz w:val="18"/>
                <w:szCs w:val="18"/>
              </w:rPr>
              <w:t>号）第一百零三条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违反本规定，网络平台有下列情形之一的，由交通运输主管部门责令改正，处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一）发布的提供服务班车客运经营者与实际提供服务班车客运经营者不一致的；（二）发布的提供服务车辆与实际提供服务车辆不一致的；（三）发布的提供服务驾驶员与实际提供服务驾驶员不一致的；（四）超出班车客运经营者许可范围开展定制客运的。网络平台接入或者使用不符合规定的班车客运经营者、车辆或者驾驶员开展定制客运的，由交通运输主管部门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57B55F2D">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407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D05F6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116AE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06E54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D5810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85AB03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E41A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5" w:hRule="atLeast"/>
          <w:jc w:val="center"/>
        </w:trPr>
        <w:tc>
          <w:tcPr>
            <w:tcW w:w="943" w:type="dxa"/>
            <w:vMerge w:val="continue"/>
            <w:vAlign w:val="center"/>
          </w:tcPr>
          <w:p w14:paraId="6A1CF082">
            <w:pPr>
              <w:rPr>
                <w:color w:val="000000" w:themeColor="text1"/>
              </w:rPr>
            </w:pPr>
          </w:p>
        </w:tc>
        <w:tc>
          <w:tcPr>
            <w:tcW w:w="1110" w:type="dxa"/>
            <w:vAlign w:val="center"/>
          </w:tcPr>
          <w:p w14:paraId="59EB33F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F1ADDD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046226A">
            <w:pPr>
              <w:jc w:val="center"/>
              <w:rPr>
                <w:rFonts w:ascii="仿宋_GB2312" w:hAnsi="黑体" w:eastAsia="仿宋_GB2312" w:cs="黑体"/>
                <w:color w:val="000000" w:themeColor="text1"/>
                <w:sz w:val="18"/>
                <w:szCs w:val="18"/>
              </w:rPr>
            </w:pPr>
          </w:p>
        </w:tc>
        <w:tc>
          <w:tcPr>
            <w:tcW w:w="1406" w:type="dxa"/>
            <w:vAlign w:val="center"/>
          </w:tcPr>
          <w:p w14:paraId="09EFB7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CD3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928BC3E">
            <w:pPr>
              <w:rPr>
                <w:color w:val="000000" w:themeColor="text1"/>
              </w:rPr>
            </w:pPr>
          </w:p>
        </w:tc>
        <w:tc>
          <w:tcPr>
            <w:tcW w:w="1110" w:type="dxa"/>
            <w:vAlign w:val="center"/>
          </w:tcPr>
          <w:p w14:paraId="4C45D3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BE3BCA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48DE200">
            <w:pPr>
              <w:jc w:val="center"/>
              <w:rPr>
                <w:rFonts w:ascii="仿宋_GB2312" w:hAnsi="黑体" w:eastAsia="仿宋_GB2312" w:cs="黑体"/>
                <w:color w:val="000000" w:themeColor="text1"/>
                <w:sz w:val="18"/>
                <w:szCs w:val="18"/>
              </w:rPr>
            </w:pPr>
          </w:p>
        </w:tc>
        <w:tc>
          <w:tcPr>
            <w:tcW w:w="1406" w:type="dxa"/>
            <w:vAlign w:val="center"/>
          </w:tcPr>
          <w:p w14:paraId="536F3D1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724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9B5410A">
            <w:pPr>
              <w:rPr>
                <w:color w:val="000000" w:themeColor="text1"/>
              </w:rPr>
            </w:pPr>
          </w:p>
        </w:tc>
        <w:tc>
          <w:tcPr>
            <w:tcW w:w="1110" w:type="dxa"/>
            <w:vAlign w:val="center"/>
          </w:tcPr>
          <w:p w14:paraId="55A261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35748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754FD86">
            <w:pPr>
              <w:jc w:val="center"/>
              <w:rPr>
                <w:rFonts w:ascii="仿宋_GB2312" w:hAnsi="黑体" w:eastAsia="仿宋_GB2312" w:cs="黑体"/>
                <w:color w:val="000000" w:themeColor="text1"/>
                <w:sz w:val="18"/>
                <w:szCs w:val="18"/>
              </w:rPr>
            </w:pPr>
          </w:p>
        </w:tc>
        <w:tc>
          <w:tcPr>
            <w:tcW w:w="1406" w:type="dxa"/>
            <w:vAlign w:val="center"/>
          </w:tcPr>
          <w:p w14:paraId="6918D2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A892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56F1FD6">
            <w:pPr>
              <w:rPr>
                <w:color w:val="000000" w:themeColor="text1"/>
              </w:rPr>
            </w:pPr>
          </w:p>
        </w:tc>
        <w:tc>
          <w:tcPr>
            <w:tcW w:w="1110" w:type="dxa"/>
            <w:vAlign w:val="center"/>
          </w:tcPr>
          <w:p w14:paraId="706AF9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99546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4F45AC1">
            <w:pPr>
              <w:jc w:val="center"/>
              <w:rPr>
                <w:rFonts w:ascii="仿宋_GB2312" w:hAnsi="黑体" w:eastAsia="仿宋_GB2312" w:cs="黑体"/>
                <w:color w:val="000000" w:themeColor="text1"/>
                <w:sz w:val="18"/>
                <w:szCs w:val="18"/>
              </w:rPr>
            </w:pPr>
          </w:p>
        </w:tc>
        <w:tc>
          <w:tcPr>
            <w:tcW w:w="1406" w:type="dxa"/>
            <w:vAlign w:val="center"/>
          </w:tcPr>
          <w:p w14:paraId="5871F0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185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9" w:hRule="atLeast"/>
          <w:jc w:val="center"/>
        </w:trPr>
        <w:tc>
          <w:tcPr>
            <w:tcW w:w="943" w:type="dxa"/>
            <w:vMerge w:val="continue"/>
            <w:vAlign w:val="center"/>
          </w:tcPr>
          <w:p w14:paraId="76C327C1">
            <w:pPr>
              <w:rPr>
                <w:color w:val="000000" w:themeColor="text1"/>
              </w:rPr>
            </w:pPr>
          </w:p>
        </w:tc>
        <w:tc>
          <w:tcPr>
            <w:tcW w:w="1110" w:type="dxa"/>
            <w:vAlign w:val="center"/>
          </w:tcPr>
          <w:p w14:paraId="00A88F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B3825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9BB71A2">
            <w:pPr>
              <w:jc w:val="center"/>
              <w:rPr>
                <w:rFonts w:ascii="仿宋_GB2312" w:hAnsi="黑体" w:eastAsia="仿宋_GB2312" w:cs="黑体"/>
                <w:color w:val="000000" w:themeColor="text1"/>
                <w:sz w:val="18"/>
                <w:szCs w:val="18"/>
              </w:rPr>
            </w:pPr>
          </w:p>
        </w:tc>
        <w:tc>
          <w:tcPr>
            <w:tcW w:w="1406" w:type="dxa"/>
            <w:vAlign w:val="center"/>
          </w:tcPr>
          <w:p w14:paraId="2C7CDE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E62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614703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064ED8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CDA9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D8AC0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B9FFC8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645B4A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11F0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FC009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CB9BAA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4C3C6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7806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91102F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435460B">
            <w:pPr>
              <w:widowControl/>
              <w:jc w:val="left"/>
              <w:textAlignment w:val="center"/>
              <w:rPr>
                <w:rFonts w:ascii="黑体" w:eastAsia="黑体" w:cs="黑体"/>
                <w:color w:val="000000" w:themeColor="text1"/>
                <w:kern w:val="0"/>
                <w:sz w:val="18"/>
                <w:szCs w:val="18"/>
              </w:rPr>
            </w:pPr>
          </w:p>
        </w:tc>
      </w:tr>
    </w:tbl>
    <w:p w14:paraId="38DB476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D970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CF099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0A7D0BD">
            <w:pPr>
              <w:jc w:val="center"/>
              <w:rPr>
                <w:rFonts w:ascii="黑体" w:eastAsia="黑体" w:cs="黑体"/>
                <w:b/>
                <w:bCs/>
                <w:color w:val="000000" w:themeColor="text1"/>
                <w:szCs w:val="21"/>
              </w:rPr>
            </w:pPr>
            <w:r>
              <w:rPr>
                <w:rFonts w:ascii="黑体" w:eastAsia="黑体" w:cs="黑体"/>
                <w:b/>
                <w:bCs/>
                <w:color w:val="000000" w:themeColor="text1"/>
                <w:szCs w:val="21"/>
              </w:rPr>
              <w:t>36</w:t>
            </w:r>
          </w:p>
        </w:tc>
        <w:tc>
          <w:tcPr>
            <w:tcW w:w="1691" w:type="dxa"/>
            <w:vAlign w:val="center"/>
          </w:tcPr>
          <w:p w14:paraId="1B8A05B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66BA90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00BAA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35ECC6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3BC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F21B8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1D1626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对擅自从事道路货物运输经营等行为的行政处罚</w:t>
            </w:r>
          </w:p>
        </w:tc>
      </w:tr>
      <w:tr w14:paraId="31DFA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038BCA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15832F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F22D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45FFA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4BB4A11">
            <w:pPr>
              <w:spacing w:line="24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号）第六十三条第（一）项“违反本条例的规定，有下列情形之一的，由县级以上地方人民政府交通运输主管部门责令停止经营</w:t>
            </w:r>
            <w:r>
              <w:rPr>
                <w:rFonts w:hint="eastAsia" w:ascii="仿宋" w:hAnsi="仿宋" w:eastAsia="仿宋" w:cs="仿宋_GB2312"/>
                <w:color w:val="000000" w:themeColor="text1"/>
                <w:kern w:val="0"/>
                <w:sz w:val="18"/>
                <w:szCs w:val="18"/>
              </w:rPr>
              <w:t>，并处罚款；构成犯罪的，依法追究刑事责任：（一）未取得道路运输经营许可，擅自从事道路普通货物运输经营，违法所得超过</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万元的，没收违法所得，处违法所得</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倍以上</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倍以下的罚款；没有违法所得或者违法所得不足</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万元的，处</w:t>
            </w:r>
            <w:r>
              <w:rPr>
                <w:rFonts w:ascii="仿宋" w:hAnsi="仿宋" w:eastAsia="仿宋" w:cs="仿宋_GB2312"/>
                <w:color w:val="000000" w:themeColor="text1"/>
                <w:kern w:val="0"/>
                <w:sz w:val="18"/>
                <w:szCs w:val="18"/>
              </w:rPr>
              <w:t>3000</w:t>
            </w:r>
            <w:r>
              <w:rPr>
                <w:rFonts w:hint="eastAsia" w:ascii="仿宋" w:hAnsi="仿宋" w:eastAsia="仿宋" w:cs="仿宋_GB2312"/>
                <w:color w:val="000000" w:themeColor="text1"/>
                <w:kern w:val="0"/>
                <w:sz w:val="18"/>
                <w:szCs w:val="18"/>
              </w:rPr>
              <w:t>元以上</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万元以下的罚款，情节严重的，处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万元以下的罚款。</w:t>
            </w:r>
          </w:p>
          <w:p w14:paraId="34A24DFB">
            <w:pPr>
              <w:spacing w:line="24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《道路货物运输及站场管理规定》（中华人民共和国交通运输部令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12</w:t>
            </w:r>
            <w:r>
              <w:rPr>
                <w:rFonts w:hint="eastAsia" w:ascii="仿宋" w:hAnsi="仿宋" w:eastAsia="仿宋" w:cs="仿宋_GB2312"/>
                <w:color w:val="000000" w:themeColor="text1"/>
                <w:kern w:val="0"/>
                <w:sz w:val="18"/>
                <w:szCs w:val="18"/>
              </w:rPr>
              <w:t>号）</w:t>
            </w:r>
            <w:r>
              <w:rPr>
                <w:rStyle w:val="18"/>
                <w:rFonts w:hint="eastAsia" w:ascii="仿宋" w:hAnsi="仿宋" w:eastAsia="仿宋" w:cs="宋体"/>
                <w:color w:val="000000" w:themeColor="text1"/>
                <w:szCs w:val="18"/>
              </w:rPr>
              <w:t>第六十一条违反本规定，有下列行为之一的，由交通运输主管部门责令停止经营；</w:t>
            </w:r>
            <w:r>
              <w:rPr>
                <w:rFonts w:hint="eastAsia" w:ascii="仿宋" w:hAnsi="仿宋" w:eastAsia="仿宋"/>
                <w:color w:val="000000" w:themeColor="text1"/>
                <w:sz w:val="18"/>
                <w:szCs w:val="18"/>
                <w:shd w:val="clear" w:color="auto" w:fill="FFFFFF"/>
              </w:rPr>
              <w:t>违法所得超过</w:t>
            </w:r>
            <w:r>
              <w:rPr>
                <w:rFonts w:ascii="仿宋" w:hAnsi="仿宋" w:eastAsia="仿宋"/>
                <w:color w:val="000000" w:themeColor="text1"/>
                <w:sz w:val="18"/>
                <w:szCs w:val="18"/>
                <w:shd w:val="clear" w:color="auto" w:fill="FFFFFF"/>
              </w:rPr>
              <w:t>1</w:t>
            </w:r>
            <w:r>
              <w:rPr>
                <w:rFonts w:hint="eastAsia" w:ascii="仿宋" w:hAnsi="仿宋" w:eastAsia="仿宋"/>
                <w:color w:val="000000" w:themeColor="text1"/>
                <w:sz w:val="18"/>
                <w:szCs w:val="18"/>
                <w:shd w:val="clear" w:color="auto" w:fill="FFFFFF"/>
              </w:rPr>
              <w:t>万元的</w:t>
            </w:r>
            <w:r>
              <w:rPr>
                <w:rStyle w:val="18"/>
                <w:rFonts w:hint="eastAsia" w:ascii="仿宋" w:hAnsi="仿宋" w:eastAsia="仿宋" w:cs="宋体"/>
                <w:color w:val="000000" w:themeColor="text1"/>
                <w:szCs w:val="18"/>
              </w:rPr>
              <w:t>，没收违法所得，处违法所得</w:t>
            </w:r>
            <w:r>
              <w:rPr>
                <w:rStyle w:val="18"/>
                <w:rFonts w:ascii="仿宋" w:hAnsi="仿宋" w:eastAsia="仿宋" w:cs="宋体"/>
                <w:color w:val="000000" w:themeColor="text1"/>
                <w:szCs w:val="18"/>
              </w:rPr>
              <w:t>1</w:t>
            </w:r>
            <w:r>
              <w:rPr>
                <w:rStyle w:val="18"/>
                <w:rFonts w:hint="eastAsia" w:ascii="仿宋" w:hAnsi="仿宋" w:eastAsia="仿宋" w:cs="宋体"/>
                <w:color w:val="000000" w:themeColor="text1"/>
                <w:szCs w:val="18"/>
              </w:rPr>
              <w:t>倍以上</w:t>
            </w:r>
            <w:r>
              <w:rPr>
                <w:rStyle w:val="18"/>
                <w:rFonts w:ascii="仿宋" w:hAnsi="仿宋" w:eastAsia="仿宋" w:cs="宋体"/>
                <w:color w:val="000000" w:themeColor="text1"/>
                <w:szCs w:val="18"/>
              </w:rPr>
              <w:t>5</w:t>
            </w:r>
            <w:r>
              <w:rPr>
                <w:rStyle w:val="18"/>
                <w:rFonts w:hint="eastAsia" w:ascii="仿宋" w:hAnsi="仿宋" w:eastAsia="仿宋" w:cs="宋体"/>
                <w:color w:val="000000" w:themeColor="text1"/>
                <w:szCs w:val="18"/>
              </w:rPr>
              <w:t>倍以下的罚款；没有违法所得或者违法所得不足</w:t>
            </w:r>
            <w:r>
              <w:rPr>
                <w:rStyle w:val="18"/>
                <w:rFonts w:ascii="仿宋" w:hAnsi="仿宋" w:eastAsia="仿宋" w:cs="宋体"/>
                <w:color w:val="000000" w:themeColor="text1"/>
                <w:szCs w:val="18"/>
              </w:rPr>
              <w:t>1</w:t>
            </w:r>
            <w:r>
              <w:rPr>
                <w:rStyle w:val="18"/>
                <w:rFonts w:hint="eastAsia" w:ascii="仿宋" w:hAnsi="仿宋" w:eastAsia="仿宋" w:cs="宋体"/>
                <w:color w:val="000000" w:themeColor="text1"/>
                <w:szCs w:val="18"/>
              </w:rPr>
              <w:t>万元的，处</w:t>
            </w:r>
            <w:r>
              <w:rPr>
                <w:rStyle w:val="18"/>
                <w:rFonts w:ascii="仿宋" w:hAnsi="仿宋" w:eastAsia="仿宋" w:cs="宋体"/>
                <w:color w:val="000000" w:themeColor="text1"/>
                <w:szCs w:val="18"/>
              </w:rPr>
              <w:t>3000</w:t>
            </w:r>
            <w:r>
              <w:rPr>
                <w:rStyle w:val="18"/>
                <w:rFonts w:hint="eastAsia" w:ascii="仿宋" w:hAnsi="仿宋" w:eastAsia="仿宋" w:cs="宋体"/>
                <w:color w:val="000000" w:themeColor="text1"/>
                <w:szCs w:val="18"/>
              </w:rPr>
              <w:t>元以上</w:t>
            </w:r>
            <w:r>
              <w:rPr>
                <w:rStyle w:val="18"/>
                <w:rFonts w:ascii="仿宋" w:hAnsi="仿宋" w:eastAsia="仿宋" w:cs="宋体"/>
                <w:color w:val="000000" w:themeColor="text1"/>
                <w:szCs w:val="18"/>
              </w:rPr>
              <w:t>1</w:t>
            </w:r>
            <w:r>
              <w:rPr>
                <w:rStyle w:val="18"/>
                <w:rFonts w:hint="eastAsia" w:ascii="仿宋" w:hAnsi="仿宋" w:eastAsia="仿宋" w:cs="宋体"/>
                <w:color w:val="000000" w:themeColor="text1"/>
                <w:szCs w:val="18"/>
              </w:rPr>
              <w:t>万元以下的罚款；</w:t>
            </w:r>
            <w:r>
              <w:rPr>
                <w:rFonts w:hint="eastAsia" w:ascii="仿宋" w:hAnsi="仿宋" w:eastAsia="仿宋"/>
                <w:color w:val="000000" w:themeColor="text1"/>
                <w:sz w:val="18"/>
                <w:szCs w:val="18"/>
                <w:shd w:val="clear" w:color="auto" w:fill="FFFFFF"/>
              </w:rPr>
              <w:t>情节严重的，处</w:t>
            </w:r>
            <w:r>
              <w:rPr>
                <w:rFonts w:ascii="仿宋" w:hAnsi="仿宋" w:eastAsia="仿宋"/>
                <w:color w:val="000000" w:themeColor="text1"/>
                <w:sz w:val="18"/>
                <w:szCs w:val="18"/>
                <w:shd w:val="clear" w:color="auto" w:fill="FFFFFF"/>
              </w:rPr>
              <w:t>1</w:t>
            </w:r>
            <w:r>
              <w:rPr>
                <w:rFonts w:hint="eastAsia" w:ascii="仿宋" w:hAnsi="仿宋" w:eastAsia="仿宋"/>
                <w:color w:val="000000" w:themeColor="text1"/>
                <w:sz w:val="18"/>
                <w:szCs w:val="18"/>
                <w:shd w:val="clear" w:color="auto" w:fill="FFFFFF"/>
              </w:rPr>
              <w:t>万元以上</w:t>
            </w:r>
            <w:r>
              <w:rPr>
                <w:rFonts w:ascii="仿宋" w:hAnsi="仿宋" w:eastAsia="仿宋"/>
                <w:color w:val="000000" w:themeColor="text1"/>
                <w:sz w:val="18"/>
                <w:szCs w:val="18"/>
                <w:shd w:val="clear" w:color="auto" w:fill="FFFFFF"/>
              </w:rPr>
              <w:t>5</w:t>
            </w:r>
            <w:r>
              <w:rPr>
                <w:rFonts w:hint="eastAsia" w:ascii="仿宋" w:hAnsi="仿宋" w:eastAsia="仿宋"/>
                <w:color w:val="000000" w:themeColor="text1"/>
                <w:sz w:val="18"/>
                <w:szCs w:val="18"/>
                <w:shd w:val="clear" w:color="auto" w:fill="FFFFFF"/>
              </w:rPr>
              <w:t>万元以下的罚款；</w:t>
            </w:r>
            <w:r>
              <w:rPr>
                <w:rStyle w:val="18"/>
                <w:rFonts w:hint="eastAsia" w:ascii="仿宋" w:hAnsi="仿宋" w:eastAsia="仿宋" w:cs="宋体"/>
                <w:color w:val="000000" w:themeColor="text1"/>
                <w:szCs w:val="18"/>
              </w:rPr>
              <w:t>构成犯罪的，依法追究刑事责任：（一）未按规定取得道路货物运输经营许可，擅自从事道路货物运输经营的；（二）使用失效、伪造、变造、被注销等无效的道路运输经营许可证件从事道路货物运输经营的；（三）超越许可的事项，从事道路货物运输经营的。</w:t>
            </w:r>
          </w:p>
          <w:p w14:paraId="67E5588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8CB2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98FE6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5ABFE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19C02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8AE26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27404A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6ACA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5" w:hRule="atLeast"/>
          <w:jc w:val="center"/>
        </w:trPr>
        <w:tc>
          <w:tcPr>
            <w:tcW w:w="943" w:type="dxa"/>
            <w:vMerge w:val="continue"/>
            <w:vAlign w:val="center"/>
          </w:tcPr>
          <w:p w14:paraId="54D1F57F">
            <w:pPr>
              <w:rPr>
                <w:color w:val="000000" w:themeColor="text1"/>
              </w:rPr>
            </w:pPr>
          </w:p>
        </w:tc>
        <w:tc>
          <w:tcPr>
            <w:tcW w:w="1110" w:type="dxa"/>
            <w:vAlign w:val="center"/>
          </w:tcPr>
          <w:p w14:paraId="05FDC7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597BE7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0F9BE29">
            <w:pPr>
              <w:jc w:val="center"/>
              <w:rPr>
                <w:rFonts w:ascii="仿宋_GB2312" w:hAnsi="黑体" w:eastAsia="仿宋_GB2312" w:cs="黑体"/>
                <w:color w:val="000000" w:themeColor="text1"/>
                <w:sz w:val="18"/>
                <w:szCs w:val="18"/>
              </w:rPr>
            </w:pPr>
          </w:p>
        </w:tc>
        <w:tc>
          <w:tcPr>
            <w:tcW w:w="1406" w:type="dxa"/>
            <w:vAlign w:val="center"/>
          </w:tcPr>
          <w:p w14:paraId="0509DA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393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7BF8D59">
            <w:pPr>
              <w:rPr>
                <w:color w:val="000000" w:themeColor="text1"/>
              </w:rPr>
            </w:pPr>
          </w:p>
        </w:tc>
        <w:tc>
          <w:tcPr>
            <w:tcW w:w="1110" w:type="dxa"/>
            <w:vAlign w:val="center"/>
          </w:tcPr>
          <w:p w14:paraId="575F46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76BB79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E3626B8">
            <w:pPr>
              <w:jc w:val="center"/>
              <w:rPr>
                <w:rFonts w:ascii="仿宋_GB2312" w:hAnsi="黑体" w:eastAsia="仿宋_GB2312" w:cs="黑体"/>
                <w:color w:val="000000" w:themeColor="text1"/>
                <w:sz w:val="18"/>
                <w:szCs w:val="18"/>
              </w:rPr>
            </w:pPr>
          </w:p>
        </w:tc>
        <w:tc>
          <w:tcPr>
            <w:tcW w:w="1406" w:type="dxa"/>
            <w:vAlign w:val="center"/>
          </w:tcPr>
          <w:p w14:paraId="31E9CA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090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5EF950F">
            <w:pPr>
              <w:rPr>
                <w:color w:val="000000" w:themeColor="text1"/>
              </w:rPr>
            </w:pPr>
          </w:p>
        </w:tc>
        <w:tc>
          <w:tcPr>
            <w:tcW w:w="1110" w:type="dxa"/>
            <w:vAlign w:val="center"/>
          </w:tcPr>
          <w:p w14:paraId="032F43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FD4FB0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70BC25F">
            <w:pPr>
              <w:jc w:val="center"/>
              <w:rPr>
                <w:rFonts w:ascii="仿宋_GB2312" w:hAnsi="黑体" w:eastAsia="仿宋_GB2312" w:cs="黑体"/>
                <w:color w:val="000000" w:themeColor="text1"/>
                <w:sz w:val="18"/>
                <w:szCs w:val="18"/>
              </w:rPr>
            </w:pPr>
          </w:p>
        </w:tc>
        <w:tc>
          <w:tcPr>
            <w:tcW w:w="1406" w:type="dxa"/>
            <w:vAlign w:val="center"/>
          </w:tcPr>
          <w:p w14:paraId="42F02D7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DFE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FB1DD3D">
            <w:pPr>
              <w:rPr>
                <w:color w:val="000000" w:themeColor="text1"/>
              </w:rPr>
            </w:pPr>
          </w:p>
        </w:tc>
        <w:tc>
          <w:tcPr>
            <w:tcW w:w="1110" w:type="dxa"/>
            <w:vAlign w:val="center"/>
          </w:tcPr>
          <w:p w14:paraId="2E05F9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F7109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D3BD49E">
            <w:pPr>
              <w:jc w:val="center"/>
              <w:rPr>
                <w:rFonts w:ascii="仿宋_GB2312" w:hAnsi="黑体" w:eastAsia="仿宋_GB2312" w:cs="黑体"/>
                <w:color w:val="000000" w:themeColor="text1"/>
                <w:sz w:val="18"/>
                <w:szCs w:val="18"/>
              </w:rPr>
            </w:pPr>
          </w:p>
        </w:tc>
        <w:tc>
          <w:tcPr>
            <w:tcW w:w="1406" w:type="dxa"/>
            <w:vAlign w:val="center"/>
          </w:tcPr>
          <w:p w14:paraId="6A7132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2A8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9" w:hRule="atLeast"/>
          <w:jc w:val="center"/>
        </w:trPr>
        <w:tc>
          <w:tcPr>
            <w:tcW w:w="943" w:type="dxa"/>
            <w:vMerge w:val="continue"/>
            <w:vAlign w:val="center"/>
          </w:tcPr>
          <w:p w14:paraId="7FBB3C10">
            <w:pPr>
              <w:rPr>
                <w:color w:val="000000" w:themeColor="text1"/>
              </w:rPr>
            </w:pPr>
          </w:p>
        </w:tc>
        <w:tc>
          <w:tcPr>
            <w:tcW w:w="1110" w:type="dxa"/>
            <w:vAlign w:val="center"/>
          </w:tcPr>
          <w:p w14:paraId="497377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062ED8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AFFF025">
            <w:pPr>
              <w:jc w:val="center"/>
              <w:rPr>
                <w:rFonts w:ascii="仿宋_GB2312" w:hAnsi="黑体" w:eastAsia="仿宋_GB2312" w:cs="黑体"/>
                <w:color w:val="000000" w:themeColor="text1"/>
                <w:sz w:val="18"/>
                <w:szCs w:val="18"/>
              </w:rPr>
            </w:pPr>
          </w:p>
        </w:tc>
        <w:tc>
          <w:tcPr>
            <w:tcW w:w="1406" w:type="dxa"/>
            <w:vAlign w:val="center"/>
          </w:tcPr>
          <w:p w14:paraId="657BBA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1851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356FDC7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ADA45D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D25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FA8C4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3F5619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E465DF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0F94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62E5A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4D4646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5EF47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5CB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2" w:hRule="atLeast"/>
          <w:jc w:val="center"/>
        </w:trPr>
        <w:tc>
          <w:tcPr>
            <w:tcW w:w="943" w:type="dxa"/>
            <w:vAlign w:val="center"/>
          </w:tcPr>
          <w:p w14:paraId="2A57A57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1EF4405">
            <w:pPr>
              <w:widowControl/>
              <w:jc w:val="left"/>
              <w:textAlignment w:val="center"/>
              <w:rPr>
                <w:rFonts w:ascii="黑体" w:eastAsia="黑体" w:cs="黑体"/>
                <w:color w:val="000000" w:themeColor="text1"/>
                <w:kern w:val="0"/>
                <w:sz w:val="18"/>
                <w:szCs w:val="18"/>
              </w:rPr>
            </w:pPr>
          </w:p>
        </w:tc>
      </w:tr>
    </w:tbl>
    <w:p w14:paraId="6EBE72C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F3CA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34982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0E0884E">
            <w:pPr>
              <w:jc w:val="center"/>
              <w:rPr>
                <w:rFonts w:ascii="黑体" w:eastAsia="黑体" w:cs="黑体"/>
                <w:b/>
                <w:bCs/>
                <w:color w:val="000000" w:themeColor="text1"/>
                <w:szCs w:val="21"/>
              </w:rPr>
            </w:pPr>
            <w:r>
              <w:rPr>
                <w:rFonts w:ascii="黑体" w:eastAsia="黑体" w:cs="黑体"/>
                <w:b/>
                <w:bCs/>
                <w:color w:val="000000" w:themeColor="text1"/>
                <w:szCs w:val="21"/>
              </w:rPr>
              <w:t>37</w:t>
            </w:r>
          </w:p>
        </w:tc>
        <w:tc>
          <w:tcPr>
            <w:tcW w:w="1691" w:type="dxa"/>
            <w:vAlign w:val="center"/>
          </w:tcPr>
          <w:p w14:paraId="375FB6A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C5746D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1EE6A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E1E64C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CDD5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93B62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264ED1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对道路货物运输经营者强行招揽货物等行为的行政处罚</w:t>
            </w:r>
          </w:p>
        </w:tc>
      </w:tr>
      <w:tr w14:paraId="72663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3D3C1D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5BF44B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3F64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15FAE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D49853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《中华人民共和国道路运输条例》（</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日中华人民共和国国务院令第</w:t>
            </w:r>
            <w:r>
              <w:rPr>
                <w:rFonts w:ascii="仿宋_GB2312" w:eastAsia="仿宋_GB2312" w:cs="仿宋_GB2312"/>
                <w:color w:val="000000" w:themeColor="text1"/>
                <w:kern w:val="0"/>
                <w:sz w:val="18"/>
                <w:szCs w:val="18"/>
              </w:rPr>
              <w:t>764</w:t>
            </w:r>
            <w:r>
              <w:rPr>
                <w:rFonts w:hint="eastAsia" w:ascii="仿宋_GB2312" w:eastAsia="仿宋_GB2312" w:cs="仿宋_GB2312"/>
                <w:color w:val="000000" w:themeColor="text1"/>
                <w:kern w:val="0"/>
                <w:sz w:val="18"/>
                <w:szCs w:val="18"/>
              </w:rPr>
              <w:t>号）第六十八条　第二款客运经营者强行招揽旅客，货运经营者强行招揽货物或者没有采取必要措施防止货物脱落、扬撒等的，由县级以上地方人民政府交通运输主管部门责令改正，处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元以下的罚款；情节严重的，由原许可机关吊销道路运输经营许可证。</w:t>
            </w:r>
          </w:p>
          <w:p w14:paraId="60D7530A">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《道路货物运输及站场管理规定》（中华人民共和国交通运输部令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号）第六十四条　违反本规定，道路货物运输经营者有下列情形之一的，由交通运输主管部门责令改正，处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元以下的罚款；情节严重的，由原许可机关吊销道路运输经营许可证或者吊销其相应的经营范围：（一）强行招揽货物的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（二）没有采取必要措施防止货物脱落、扬撒的。</w:t>
            </w:r>
          </w:p>
          <w:p w14:paraId="38C3EBCA">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80AC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A72E5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7E6E5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25B0C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CB654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653C7E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AD1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1688BD9">
            <w:pPr>
              <w:rPr>
                <w:color w:val="000000" w:themeColor="text1"/>
              </w:rPr>
            </w:pPr>
          </w:p>
        </w:tc>
        <w:tc>
          <w:tcPr>
            <w:tcW w:w="1110" w:type="dxa"/>
            <w:vAlign w:val="center"/>
          </w:tcPr>
          <w:p w14:paraId="463E44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E6A018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2A455A5">
            <w:pPr>
              <w:jc w:val="center"/>
              <w:rPr>
                <w:rFonts w:ascii="仿宋_GB2312" w:hAnsi="黑体" w:eastAsia="仿宋_GB2312" w:cs="黑体"/>
                <w:color w:val="000000" w:themeColor="text1"/>
                <w:sz w:val="18"/>
                <w:szCs w:val="18"/>
              </w:rPr>
            </w:pPr>
          </w:p>
        </w:tc>
        <w:tc>
          <w:tcPr>
            <w:tcW w:w="1406" w:type="dxa"/>
            <w:vAlign w:val="center"/>
          </w:tcPr>
          <w:p w14:paraId="1BE1F58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D97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F60460D">
            <w:pPr>
              <w:rPr>
                <w:color w:val="000000" w:themeColor="text1"/>
              </w:rPr>
            </w:pPr>
          </w:p>
        </w:tc>
        <w:tc>
          <w:tcPr>
            <w:tcW w:w="1110" w:type="dxa"/>
            <w:vAlign w:val="center"/>
          </w:tcPr>
          <w:p w14:paraId="582CA8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CDF60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9929DED">
            <w:pPr>
              <w:jc w:val="center"/>
              <w:rPr>
                <w:rFonts w:ascii="仿宋_GB2312" w:hAnsi="黑体" w:eastAsia="仿宋_GB2312" w:cs="黑体"/>
                <w:color w:val="000000" w:themeColor="text1"/>
                <w:sz w:val="18"/>
                <w:szCs w:val="18"/>
              </w:rPr>
            </w:pPr>
          </w:p>
        </w:tc>
        <w:tc>
          <w:tcPr>
            <w:tcW w:w="1406" w:type="dxa"/>
            <w:vAlign w:val="center"/>
          </w:tcPr>
          <w:p w14:paraId="096915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AA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35BC11D">
            <w:pPr>
              <w:rPr>
                <w:color w:val="000000" w:themeColor="text1"/>
              </w:rPr>
            </w:pPr>
          </w:p>
        </w:tc>
        <w:tc>
          <w:tcPr>
            <w:tcW w:w="1110" w:type="dxa"/>
            <w:vAlign w:val="center"/>
          </w:tcPr>
          <w:p w14:paraId="4491912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6C560D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F3AD2AA">
            <w:pPr>
              <w:jc w:val="center"/>
              <w:rPr>
                <w:rFonts w:ascii="仿宋_GB2312" w:hAnsi="黑体" w:eastAsia="仿宋_GB2312" w:cs="黑体"/>
                <w:color w:val="000000" w:themeColor="text1"/>
                <w:sz w:val="18"/>
                <w:szCs w:val="18"/>
              </w:rPr>
            </w:pPr>
          </w:p>
        </w:tc>
        <w:tc>
          <w:tcPr>
            <w:tcW w:w="1406" w:type="dxa"/>
            <w:vAlign w:val="center"/>
          </w:tcPr>
          <w:p w14:paraId="455EEC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77A8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626345D">
            <w:pPr>
              <w:rPr>
                <w:color w:val="000000" w:themeColor="text1"/>
              </w:rPr>
            </w:pPr>
          </w:p>
        </w:tc>
        <w:tc>
          <w:tcPr>
            <w:tcW w:w="1110" w:type="dxa"/>
            <w:vAlign w:val="center"/>
          </w:tcPr>
          <w:p w14:paraId="781C1C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D4D255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EBC80A9">
            <w:pPr>
              <w:jc w:val="center"/>
              <w:rPr>
                <w:rFonts w:ascii="仿宋_GB2312" w:hAnsi="黑体" w:eastAsia="仿宋_GB2312" w:cs="黑体"/>
                <w:color w:val="000000" w:themeColor="text1"/>
                <w:sz w:val="18"/>
                <w:szCs w:val="18"/>
              </w:rPr>
            </w:pPr>
          </w:p>
        </w:tc>
        <w:tc>
          <w:tcPr>
            <w:tcW w:w="1406" w:type="dxa"/>
            <w:vAlign w:val="center"/>
          </w:tcPr>
          <w:p w14:paraId="157BE5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078E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146CF50">
            <w:pPr>
              <w:rPr>
                <w:color w:val="000000" w:themeColor="text1"/>
              </w:rPr>
            </w:pPr>
          </w:p>
        </w:tc>
        <w:tc>
          <w:tcPr>
            <w:tcW w:w="1110" w:type="dxa"/>
            <w:vAlign w:val="center"/>
          </w:tcPr>
          <w:p w14:paraId="6712AD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6FF8F7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74E7E2A">
            <w:pPr>
              <w:jc w:val="center"/>
              <w:rPr>
                <w:rFonts w:ascii="仿宋_GB2312" w:hAnsi="黑体" w:eastAsia="仿宋_GB2312" w:cs="黑体"/>
                <w:color w:val="000000" w:themeColor="text1"/>
                <w:sz w:val="18"/>
                <w:szCs w:val="18"/>
              </w:rPr>
            </w:pPr>
          </w:p>
        </w:tc>
        <w:tc>
          <w:tcPr>
            <w:tcW w:w="1406" w:type="dxa"/>
            <w:vAlign w:val="center"/>
          </w:tcPr>
          <w:p w14:paraId="34FCA2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4C5A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D96FCB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3ED820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4892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AC189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0293DF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8B769B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F871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E6510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EAB822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3F124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49CB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22C043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BE553B9">
            <w:pPr>
              <w:widowControl/>
              <w:jc w:val="left"/>
              <w:textAlignment w:val="center"/>
              <w:rPr>
                <w:rFonts w:ascii="黑体" w:eastAsia="黑体" w:cs="黑体"/>
                <w:color w:val="000000" w:themeColor="text1"/>
                <w:kern w:val="0"/>
                <w:sz w:val="18"/>
                <w:szCs w:val="18"/>
              </w:rPr>
            </w:pPr>
          </w:p>
        </w:tc>
      </w:tr>
    </w:tbl>
    <w:p w14:paraId="67C95EE1">
      <w:pPr>
        <w:rPr>
          <w:color w:val="000000" w:themeColor="text1"/>
          <w:sz w:val="24"/>
        </w:rPr>
      </w:pPr>
    </w:p>
    <w:p w14:paraId="6D5E4DB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517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C1410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3A5C937">
            <w:pPr>
              <w:jc w:val="center"/>
              <w:rPr>
                <w:rFonts w:ascii="黑体" w:eastAsia="黑体" w:cs="黑体"/>
                <w:b/>
                <w:bCs/>
                <w:color w:val="000000" w:themeColor="text1"/>
                <w:szCs w:val="21"/>
              </w:rPr>
            </w:pPr>
            <w:r>
              <w:rPr>
                <w:rFonts w:ascii="黑体" w:eastAsia="黑体" w:cs="黑体"/>
                <w:b/>
                <w:bCs/>
                <w:color w:val="000000" w:themeColor="text1"/>
                <w:szCs w:val="21"/>
              </w:rPr>
              <w:t>38</w:t>
            </w:r>
          </w:p>
        </w:tc>
        <w:tc>
          <w:tcPr>
            <w:tcW w:w="1691" w:type="dxa"/>
            <w:vAlign w:val="center"/>
          </w:tcPr>
          <w:p w14:paraId="209BE5D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B35058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9AE8A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77527F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区交通运输局</w:t>
            </w:r>
          </w:p>
        </w:tc>
      </w:tr>
      <w:tr w14:paraId="08F16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C0371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00A8C4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对货运经营者聘用无从业资格证的货运车辆驾驶员的行政处罚</w:t>
            </w:r>
          </w:p>
        </w:tc>
      </w:tr>
      <w:tr w14:paraId="608C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741458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52CBA1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2BB4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2201C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0F89B7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bookmarkStart w:id="0" w:name="OLE_LINK1"/>
            <w:bookmarkStart w:id="1" w:name="OLE_LINK2"/>
            <w:r>
              <w:rPr>
                <w:rFonts w:hint="eastAsia" w:ascii="仿宋_GB2312" w:eastAsia="仿宋_GB2312" w:cs="仿宋_GB2312"/>
                <w:color w:val="000000" w:themeColor="text1"/>
                <w:kern w:val="0"/>
                <w:sz w:val="18"/>
                <w:szCs w:val="18"/>
              </w:rPr>
              <w:t>河北省治理货运车辆超限超载规定</w:t>
            </w:r>
            <w:bookmarkEnd w:id="0"/>
            <w:bookmarkEnd w:id="1"/>
            <w:r>
              <w:rPr>
                <w:rFonts w:hint="eastAsia" w:ascii="仿宋_GB2312" w:eastAsia="仿宋_GB2312" w:cs="仿宋_GB2312"/>
                <w:color w:val="000000" w:themeColor="text1"/>
                <w:kern w:val="0"/>
                <w:sz w:val="18"/>
                <w:szCs w:val="18"/>
              </w:rPr>
              <w:t>》（</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日河北省人民政府令〔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〕第</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号第四次修正）第二十三条　货运经营者应当加强从业人员车辆安全知识和依法装载、配载的培训学习，确保道路运输安全。货运经营者不得聘用无从业资格证的货运车辆驾驶员。第三十二条　违反本规定第二十三条第二款规定的，由道路运输管理机构责令改正，并处每人次五百元的罚款。</w:t>
            </w:r>
          </w:p>
          <w:p w14:paraId="0545F02E">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36659A0E">
            <w:pPr>
              <w:spacing w:line="240" w:lineRule="exact"/>
              <w:rPr>
                <w:rFonts w:ascii="仿宋_GB2312" w:eastAsia="仿宋_GB2312" w:cs="黑体"/>
                <w:b/>
                <w:bCs/>
                <w:color w:val="000000" w:themeColor="text1"/>
                <w:szCs w:val="21"/>
              </w:rPr>
            </w:pPr>
          </w:p>
        </w:tc>
      </w:tr>
      <w:tr w14:paraId="513BB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E1176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CC713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BD42B1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A0E6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8B72CD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8297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22F408B">
            <w:pPr>
              <w:rPr>
                <w:color w:val="000000" w:themeColor="text1"/>
              </w:rPr>
            </w:pPr>
          </w:p>
        </w:tc>
        <w:tc>
          <w:tcPr>
            <w:tcW w:w="1110" w:type="dxa"/>
            <w:vAlign w:val="center"/>
          </w:tcPr>
          <w:p w14:paraId="608A41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D8FE6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84A71EC">
            <w:pPr>
              <w:jc w:val="center"/>
              <w:rPr>
                <w:rFonts w:ascii="仿宋_GB2312" w:hAnsi="黑体" w:eastAsia="仿宋_GB2312" w:cs="黑体"/>
                <w:color w:val="000000" w:themeColor="text1"/>
                <w:sz w:val="18"/>
                <w:szCs w:val="18"/>
              </w:rPr>
            </w:pPr>
          </w:p>
        </w:tc>
        <w:tc>
          <w:tcPr>
            <w:tcW w:w="1406" w:type="dxa"/>
            <w:vAlign w:val="center"/>
          </w:tcPr>
          <w:p w14:paraId="2F2012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6E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0356E90">
            <w:pPr>
              <w:rPr>
                <w:color w:val="000000" w:themeColor="text1"/>
              </w:rPr>
            </w:pPr>
          </w:p>
        </w:tc>
        <w:tc>
          <w:tcPr>
            <w:tcW w:w="1110" w:type="dxa"/>
            <w:vAlign w:val="center"/>
          </w:tcPr>
          <w:p w14:paraId="6CABC8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A756D3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794B02A">
            <w:pPr>
              <w:jc w:val="center"/>
              <w:rPr>
                <w:rFonts w:ascii="仿宋_GB2312" w:hAnsi="黑体" w:eastAsia="仿宋_GB2312" w:cs="黑体"/>
                <w:color w:val="000000" w:themeColor="text1"/>
                <w:sz w:val="18"/>
                <w:szCs w:val="18"/>
              </w:rPr>
            </w:pPr>
          </w:p>
        </w:tc>
        <w:tc>
          <w:tcPr>
            <w:tcW w:w="1406" w:type="dxa"/>
            <w:vAlign w:val="center"/>
          </w:tcPr>
          <w:p w14:paraId="778485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F75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3A055D8">
            <w:pPr>
              <w:rPr>
                <w:color w:val="000000" w:themeColor="text1"/>
              </w:rPr>
            </w:pPr>
          </w:p>
        </w:tc>
        <w:tc>
          <w:tcPr>
            <w:tcW w:w="1110" w:type="dxa"/>
            <w:vAlign w:val="center"/>
          </w:tcPr>
          <w:p w14:paraId="3916BC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F2116E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7B1D764">
            <w:pPr>
              <w:jc w:val="center"/>
              <w:rPr>
                <w:rFonts w:ascii="仿宋_GB2312" w:hAnsi="黑体" w:eastAsia="仿宋_GB2312" w:cs="黑体"/>
                <w:color w:val="000000" w:themeColor="text1"/>
                <w:sz w:val="18"/>
                <w:szCs w:val="18"/>
              </w:rPr>
            </w:pPr>
          </w:p>
        </w:tc>
        <w:tc>
          <w:tcPr>
            <w:tcW w:w="1406" w:type="dxa"/>
            <w:vAlign w:val="center"/>
          </w:tcPr>
          <w:p w14:paraId="1D777F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987A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D8B3A5A">
            <w:pPr>
              <w:rPr>
                <w:color w:val="000000" w:themeColor="text1"/>
              </w:rPr>
            </w:pPr>
          </w:p>
        </w:tc>
        <w:tc>
          <w:tcPr>
            <w:tcW w:w="1110" w:type="dxa"/>
            <w:vAlign w:val="center"/>
          </w:tcPr>
          <w:p w14:paraId="260F6D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6E599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656376B">
            <w:pPr>
              <w:jc w:val="center"/>
              <w:rPr>
                <w:rFonts w:ascii="仿宋_GB2312" w:hAnsi="黑体" w:eastAsia="仿宋_GB2312" w:cs="黑体"/>
                <w:color w:val="000000" w:themeColor="text1"/>
                <w:sz w:val="18"/>
                <w:szCs w:val="18"/>
              </w:rPr>
            </w:pPr>
          </w:p>
        </w:tc>
        <w:tc>
          <w:tcPr>
            <w:tcW w:w="1406" w:type="dxa"/>
            <w:vAlign w:val="center"/>
          </w:tcPr>
          <w:p w14:paraId="45A463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FD8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30D7D56">
            <w:pPr>
              <w:rPr>
                <w:color w:val="000000" w:themeColor="text1"/>
              </w:rPr>
            </w:pPr>
          </w:p>
        </w:tc>
        <w:tc>
          <w:tcPr>
            <w:tcW w:w="1110" w:type="dxa"/>
            <w:vAlign w:val="center"/>
          </w:tcPr>
          <w:p w14:paraId="405E3C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C61FFE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EC7FE2C">
            <w:pPr>
              <w:jc w:val="center"/>
              <w:rPr>
                <w:rFonts w:ascii="仿宋_GB2312" w:hAnsi="黑体" w:eastAsia="仿宋_GB2312" w:cs="黑体"/>
                <w:color w:val="000000" w:themeColor="text1"/>
                <w:sz w:val="18"/>
                <w:szCs w:val="18"/>
              </w:rPr>
            </w:pPr>
          </w:p>
        </w:tc>
        <w:tc>
          <w:tcPr>
            <w:tcW w:w="1406" w:type="dxa"/>
            <w:vAlign w:val="center"/>
          </w:tcPr>
          <w:p w14:paraId="06139D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D50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99EEDA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0C9BE9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1CC4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0209E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3CF83C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FF6F13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9B7B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35982B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0A26D6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7DF1AB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065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8FAAE5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1B3AD64">
            <w:pPr>
              <w:widowControl/>
              <w:jc w:val="left"/>
              <w:textAlignment w:val="center"/>
              <w:rPr>
                <w:rFonts w:ascii="黑体" w:eastAsia="黑体" w:cs="黑体"/>
                <w:color w:val="000000" w:themeColor="text1"/>
                <w:kern w:val="0"/>
                <w:sz w:val="18"/>
                <w:szCs w:val="18"/>
              </w:rPr>
            </w:pPr>
          </w:p>
        </w:tc>
      </w:tr>
    </w:tbl>
    <w:p w14:paraId="2AD45EC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4C918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25126C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1A72CC50">
            <w:pPr>
              <w:jc w:val="center"/>
              <w:rPr>
                <w:rFonts w:ascii="黑体" w:eastAsia="黑体" w:cs="黑体"/>
                <w:b/>
                <w:bCs/>
                <w:color w:val="000000" w:themeColor="text1"/>
                <w:szCs w:val="21"/>
              </w:rPr>
            </w:pPr>
            <w:r>
              <w:rPr>
                <w:rFonts w:ascii="黑体" w:eastAsia="黑体" w:cs="黑体"/>
                <w:b/>
                <w:bCs/>
                <w:color w:val="000000" w:themeColor="text1"/>
                <w:szCs w:val="21"/>
              </w:rPr>
              <w:t>39</w:t>
            </w:r>
          </w:p>
        </w:tc>
        <w:tc>
          <w:tcPr>
            <w:tcW w:w="1691" w:type="dxa"/>
            <w:tcMar>
              <w:top w:w="15" w:type="dxa"/>
              <w:left w:w="15" w:type="dxa"/>
              <w:bottom w:w="15" w:type="dxa"/>
              <w:right w:w="15" w:type="dxa"/>
            </w:tcMar>
            <w:vAlign w:val="center"/>
          </w:tcPr>
          <w:p w14:paraId="7CA6A7E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02455BA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4E72BA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CFE371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D68C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3E0486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21905A68">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对道路货运经营者未按照规定查验或者承运野生动物及其制品行为的行政处罚</w:t>
            </w:r>
          </w:p>
        </w:tc>
      </w:tr>
      <w:tr w14:paraId="6F780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8961DA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59EEF0E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7F37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2F2308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230C38AC">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《中华人民共和国野生动物保护法》</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第三十五条第二款</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市场监督管理、海关、铁路、道路、水运、民航、邮政等部门应当按照职责分工对野生动物及其制品交易、利用、运输、携带、寄递等活动进行监督检查。</w:t>
            </w:r>
          </w:p>
          <w:p w14:paraId="464EE028">
            <w:pPr>
              <w:spacing w:line="240" w:lineRule="exact"/>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第五十二条第三款</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违反本法第三十四条第四款规定，铁路、道路、水运、民航、邮政、快递等企业未按照规定查验或者承运、寄递野生动物及其制品的，由交通运输、铁路监督管理、民用航空、邮政管理等相关主管部门按照职责分工没收违法所得，并处违法所得一倍以上五倍以下罚款；情节严重的，吊销经营许可证。</w:t>
            </w:r>
          </w:p>
          <w:p w14:paraId="2E8E5F1D">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号第五条承担全区道路运输市场监管责任。执行道路运输有关政策、技术标准和运营规范并监督实施。</w:t>
            </w:r>
          </w:p>
          <w:p w14:paraId="3C8CED5D">
            <w:pPr>
              <w:spacing w:line="240" w:lineRule="exact"/>
              <w:rPr>
                <w:rFonts w:ascii="仿宋_GB2312" w:eastAsia="仿宋_GB2312" w:cs="黑体"/>
                <w:b/>
                <w:bCs/>
                <w:color w:val="000000" w:themeColor="text1"/>
                <w:szCs w:val="21"/>
              </w:rPr>
            </w:pPr>
          </w:p>
        </w:tc>
      </w:tr>
      <w:tr w14:paraId="56130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3DBC9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01501B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43394E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59B5F7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284EC68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8467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45F7DDA3">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938256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642A262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2CC34DB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3BF59A0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DB6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5D319DA4">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3A6DC8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2268204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54AA200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2312ED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2924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23A252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E07D10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A1FB73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7B4E836E">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D479D7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6157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F789D7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C1BE81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1A62530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1D12800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0D4156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06DF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CB1EB9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32C1EC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7CEEF2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4CC3824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CB81E6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F97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23FD39A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08ED06F6">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5B43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69BC1C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60E7C1B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7B4E04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F063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5DCE32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7248C7D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D56C16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8A0A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2A84AC2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0B52E487">
            <w:pPr>
              <w:widowControl/>
              <w:jc w:val="left"/>
              <w:textAlignment w:val="center"/>
              <w:rPr>
                <w:rFonts w:ascii="黑体" w:eastAsia="黑体" w:cs="黑体"/>
                <w:color w:val="000000" w:themeColor="text1"/>
                <w:kern w:val="0"/>
                <w:sz w:val="18"/>
                <w:szCs w:val="18"/>
              </w:rPr>
            </w:pPr>
          </w:p>
        </w:tc>
      </w:tr>
    </w:tbl>
    <w:p w14:paraId="53D92333">
      <w:pPr>
        <w:rPr>
          <w:color w:val="000000" w:themeColor="text1"/>
        </w:rPr>
      </w:pPr>
    </w:p>
    <w:p w14:paraId="5A58DBEA">
      <w:pPr>
        <w:rPr>
          <w:color w:val="000000" w:themeColor="text1"/>
        </w:rPr>
      </w:pPr>
    </w:p>
    <w:p w14:paraId="5F704F31">
      <w:pPr>
        <w:rPr>
          <w:color w:val="000000" w:themeColor="text1"/>
          <w:sz w:val="24"/>
        </w:rPr>
      </w:pPr>
    </w:p>
    <w:p w14:paraId="6D1C97F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438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46184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4AF94EE">
            <w:pPr>
              <w:jc w:val="center"/>
              <w:rPr>
                <w:rFonts w:ascii="黑体" w:eastAsia="黑体" w:cs="黑体"/>
                <w:b/>
                <w:bCs/>
                <w:color w:val="000000" w:themeColor="text1"/>
                <w:szCs w:val="21"/>
              </w:rPr>
            </w:pPr>
            <w:r>
              <w:rPr>
                <w:rFonts w:ascii="黑体" w:eastAsia="黑体" w:cs="黑体"/>
                <w:b/>
                <w:bCs/>
                <w:color w:val="000000" w:themeColor="text1"/>
                <w:szCs w:val="21"/>
              </w:rPr>
              <w:t>40</w:t>
            </w:r>
          </w:p>
        </w:tc>
        <w:tc>
          <w:tcPr>
            <w:tcW w:w="1691" w:type="dxa"/>
            <w:vAlign w:val="center"/>
          </w:tcPr>
          <w:p w14:paraId="2686184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2445E9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7B6A3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8630A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63EF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64D49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E93701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对擅自从事道路危险货物运输等行为的行政处罚</w:t>
            </w:r>
          </w:p>
        </w:tc>
      </w:tr>
      <w:tr w14:paraId="2D9E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A00EBD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17CB93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6E61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EC42D0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5A26DB6">
            <w:pPr>
              <w:pStyle w:val="8"/>
              <w:shd w:val="clear" w:color="auto" w:fill="FFFFFF"/>
              <w:snapToGrid w:val="0"/>
              <w:spacing w:before="0" w:beforeAutospacing="0" w:after="0" w:afterAutospacing="0" w:line="240" w:lineRule="atLeast"/>
              <w:jc w:val="both"/>
              <w:rPr>
                <w:rFonts w:ascii="仿宋_GB2312" w:eastAsia="仿宋_GB2312" w:cs="仿宋_GB2312"/>
                <w:color w:val="000000" w:themeColor="text1"/>
                <w:sz w:val="13"/>
                <w:szCs w:val="13"/>
              </w:rPr>
            </w:pPr>
            <w:r>
              <w:rPr>
                <w:rFonts w:hint="eastAsia" w:ascii="仿宋_GB2312" w:eastAsia="仿宋_GB2312" w:cs="仿宋_GB2312"/>
                <w:color w:val="000000" w:themeColor="text1"/>
                <w:sz w:val="13"/>
                <w:szCs w:val="13"/>
              </w:rPr>
              <w:t>【法律法规】</w:t>
            </w:r>
            <w:r>
              <w:rPr>
                <w:rFonts w:ascii="仿宋_GB2312" w:eastAsia="仿宋_GB2312" w:cs="仿宋_GB2312"/>
                <w:color w:val="000000" w:themeColor="text1"/>
                <w:sz w:val="13"/>
                <w:szCs w:val="13"/>
              </w:rPr>
              <w:t>1.</w:t>
            </w:r>
            <w:r>
              <w:rPr>
                <w:rFonts w:hint="eastAsia" w:ascii="仿宋_GB2312" w:eastAsia="仿宋_GB2312" w:cs="仿宋_GB2312"/>
                <w:color w:val="000000" w:themeColor="text1"/>
                <w:sz w:val="13"/>
                <w:szCs w:val="13"/>
              </w:rPr>
              <w:t>《中华人民共和国道路运输条例》（</w:t>
            </w:r>
            <w:r>
              <w:rPr>
                <w:rFonts w:ascii="仿宋_GB2312" w:eastAsia="仿宋_GB2312" w:cs="仿宋_GB2312"/>
                <w:color w:val="000000" w:themeColor="text1"/>
                <w:sz w:val="13"/>
                <w:szCs w:val="13"/>
              </w:rPr>
              <w:t>2023</w:t>
            </w:r>
            <w:r>
              <w:rPr>
                <w:rFonts w:hint="eastAsia" w:ascii="仿宋_GB2312" w:eastAsia="仿宋_GB2312" w:cs="仿宋_GB2312"/>
                <w:color w:val="000000" w:themeColor="text1"/>
                <w:sz w:val="13"/>
                <w:szCs w:val="13"/>
              </w:rPr>
              <w:t>年</w:t>
            </w:r>
            <w:r>
              <w:rPr>
                <w:rFonts w:ascii="仿宋_GB2312" w:eastAsia="仿宋_GB2312" w:cs="仿宋_GB2312"/>
                <w:color w:val="000000" w:themeColor="text1"/>
                <w:sz w:val="13"/>
                <w:szCs w:val="13"/>
              </w:rPr>
              <w:t>7</w:t>
            </w:r>
            <w:r>
              <w:rPr>
                <w:rFonts w:hint="eastAsia" w:ascii="仿宋_GB2312" w:eastAsia="仿宋_GB2312" w:cs="仿宋_GB2312"/>
                <w:color w:val="000000" w:themeColor="text1"/>
                <w:sz w:val="13"/>
                <w:szCs w:val="13"/>
              </w:rPr>
              <w:t>月</w:t>
            </w:r>
            <w:r>
              <w:rPr>
                <w:rFonts w:ascii="仿宋_GB2312" w:eastAsia="仿宋_GB2312" w:cs="仿宋_GB2312"/>
                <w:color w:val="000000" w:themeColor="text1"/>
                <w:sz w:val="13"/>
                <w:szCs w:val="13"/>
              </w:rPr>
              <w:t>20</w:t>
            </w:r>
            <w:r>
              <w:rPr>
                <w:rFonts w:hint="eastAsia" w:ascii="仿宋_GB2312" w:eastAsia="仿宋_GB2312" w:cs="仿宋_GB2312"/>
                <w:color w:val="000000" w:themeColor="text1"/>
                <w:sz w:val="13"/>
                <w:szCs w:val="13"/>
              </w:rPr>
              <w:t>日中华人民共和国国务院令第</w:t>
            </w:r>
            <w:r>
              <w:rPr>
                <w:rFonts w:ascii="仿宋_GB2312" w:eastAsia="仿宋_GB2312" w:cs="仿宋_GB2312"/>
                <w:color w:val="000000" w:themeColor="text1"/>
                <w:sz w:val="13"/>
                <w:szCs w:val="13"/>
              </w:rPr>
              <w:t>764</w:t>
            </w:r>
            <w:r>
              <w:rPr>
                <w:rFonts w:hint="eastAsia" w:ascii="仿宋_GB2312" w:eastAsia="仿宋_GB2312" w:cs="仿宋_GB2312"/>
                <w:color w:val="000000" w:themeColor="text1"/>
                <w:sz w:val="13"/>
                <w:szCs w:val="13"/>
              </w:rPr>
              <w:t>号）第六十三条第（三）项“违反本条例的规定，有下列情形之一的，由县级以上地方人民政府交通运输主管部门责令停止经营，并处罚款；构成犯罪的，依法追究刑事责任：（三）未取得道路运输经营许可，擅自从事道路危险货物运输经营，违法所得超过</w:t>
            </w:r>
            <w:r>
              <w:rPr>
                <w:rFonts w:ascii="仿宋_GB2312" w:eastAsia="仿宋_GB2312" w:cs="仿宋_GB2312"/>
                <w:color w:val="000000" w:themeColor="text1"/>
                <w:sz w:val="13"/>
                <w:szCs w:val="13"/>
              </w:rPr>
              <w:t>2</w:t>
            </w:r>
            <w:r>
              <w:rPr>
                <w:rFonts w:hint="eastAsia" w:ascii="仿宋_GB2312" w:eastAsia="仿宋_GB2312" w:cs="仿宋_GB2312"/>
                <w:color w:val="000000" w:themeColor="text1"/>
                <w:sz w:val="13"/>
                <w:szCs w:val="13"/>
              </w:rPr>
              <w:t>万元的，没收违法所得，处违法所得</w:t>
            </w:r>
            <w:r>
              <w:rPr>
                <w:rFonts w:ascii="仿宋_GB2312" w:eastAsia="仿宋_GB2312" w:cs="仿宋_GB2312"/>
                <w:color w:val="000000" w:themeColor="text1"/>
                <w:sz w:val="13"/>
                <w:szCs w:val="13"/>
              </w:rPr>
              <w:t>2</w:t>
            </w:r>
            <w:r>
              <w:rPr>
                <w:rFonts w:hint="eastAsia" w:ascii="仿宋_GB2312" w:eastAsia="仿宋_GB2312" w:cs="仿宋_GB2312"/>
                <w:color w:val="000000" w:themeColor="text1"/>
                <w:sz w:val="13"/>
                <w:szCs w:val="13"/>
              </w:rPr>
              <w:t>倍以上</w:t>
            </w:r>
            <w:r>
              <w:rPr>
                <w:rFonts w:ascii="仿宋_GB2312" w:eastAsia="仿宋_GB2312" w:cs="仿宋_GB2312"/>
                <w:color w:val="000000" w:themeColor="text1"/>
                <w:sz w:val="13"/>
                <w:szCs w:val="13"/>
              </w:rPr>
              <w:t>10</w:t>
            </w:r>
            <w:r>
              <w:rPr>
                <w:rFonts w:hint="eastAsia" w:ascii="仿宋_GB2312" w:eastAsia="仿宋_GB2312" w:cs="仿宋_GB2312"/>
                <w:color w:val="000000" w:themeColor="text1"/>
                <w:sz w:val="13"/>
                <w:szCs w:val="13"/>
              </w:rPr>
              <w:t>倍以下的罚款；没有违法所得或者违法所得不足</w:t>
            </w:r>
            <w:r>
              <w:rPr>
                <w:rFonts w:ascii="仿宋_GB2312" w:eastAsia="仿宋_GB2312" w:cs="仿宋_GB2312"/>
                <w:color w:val="000000" w:themeColor="text1"/>
                <w:sz w:val="13"/>
                <w:szCs w:val="13"/>
              </w:rPr>
              <w:t>2</w:t>
            </w:r>
            <w:r>
              <w:rPr>
                <w:rFonts w:hint="eastAsia" w:ascii="仿宋_GB2312" w:eastAsia="仿宋_GB2312" w:cs="仿宋_GB2312"/>
                <w:color w:val="000000" w:themeColor="text1"/>
                <w:sz w:val="13"/>
                <w:szCs w:val="13"/>
              </w:rPr>
              <w:t>万元的，处</w:t>
            </w:r>
            <w:r>
              <w:rPr>
                <w:rFonts w:ascii="仿宋_GB2312" w:eastAsia="仿宋_GB2312" w:cs="仿宋_GB2312"/>
                <w:color w:val="000000" w:themeColor="text1"/>
                <w:sz w:val="13"/>
                <w:szCs w:val="13"/>
              </w:rPr>
              <w:t>3</w:t>
            </w:r>
            <w:r>
              <w:rPr>
                <w:rFonts w:hint="eastAsia" w:ascii="仿宋_GB2312" w:eastAsia="仿宋_GB2312" w:cs="仿宋_GB2312"/>
                <w:color w:val="000000" w:themeColor="text1"/>
                <w:sz w:val="13"/>
                <w:szCs w:val="13"/>
              </w:rPr>
              <w:t>万元以上</w:t>
            </w:r>
            <w:r>
              <w:rPr>
                <w:rFonts w:ascii="仿宋_GB2312" w:eastAsia="仿宋_GB2312" w:cs="仿宋_GB2312"/>
                <w:color w:val="000000" w:themeColor="text1"/>
                <w:sz w:val="13"/>
                <w:szCs w:val="13"/>
              </w:rPr>
              <w:t>10</w:t>
            </w:r>
            <w:r>
              <w:rPr>
                <w:rFonts w:hint="eastAsia" w:ascii="仿宋_GB2312" w:eastAsia="仿宋_GB2312" w:cs="仿宋_GB2312"/>
                <w:color w:val="000000" w:themeColor="text1"/>
                <w:sz w:val="13"/>
                <w:szCs w:val="13"/>
              </w:rPr>
              <w:t>万元以下的罚款。”</w:t>
            </w:r>
            <w:r>
              <w:rPr>
                <w:rFonts w:ascii="仿宋_GB2312" w:eastAsia="仿宋_GB2312" w:cs="仿宋_GB2312"/>
                <w:color w:val="000000" w:themeColor="text1"/>
                <w:sz w:val="13"/>
                <w:szCs w:val="13"/>
              </w:rPr>
              <w:t>2.</w:t>
            </w:r>
            <w:r>
              <w:rPr>
                <w:rStyle w:val="18"/>
                <w:rFonts w:hint="eastAsia" w:ascii="仿宋" w:hAnsi="仿宋" w:eastAsia="仿宋"/>
                <w:color w:val="000000" w:themeColor="text1"/>
                <w:sz w:val="13"/>
                <w:szCs w:val="13"/>
              </w:rPr>
              <w:t>《放射性物品道路运输管理规定》</w:t>
            </w:r>
            <w:r>
              <w:rPr>
                <w:rFonts w:hint="eastAsia" w:ascii="仿宋_GB2312" w:eastAsia="仿宋_GB2312" w:cs="仿宋_GB2312"/>
                <w:color w:val="000000" w:themeColor="text1"/>
                <w:sz w:val="13"/>
                <w:szCs w:val="13"/>
              </w:rPr>
              <w:t>（</w:t>
            </w:r>
            <w:r>
              <w:rPr>
                <w:rFonts w:hint="eastAsia" w:ascii="仿宋_GB2312" w:eastAsia="仿宋_GB2312" w:cs="仿宋_GB2312"/>
                <w:color w:val="000000" w:themeColor="text1"/>
                <w:sz w:val="13"/>
                <w:szCs w:val="13"/>
                <w:lang w:eastAsia="zh-CN"/>
              </w:rPr>
              <w:t>中华人民共和国</w:t>
            </w:r>
            <w:r>
              <w:rPr>
                <w:rFonts w:hint="eastAsia" w:ascii="微软雅黑" w:hAnsi="微软雅黑" w:eastAsia="微软雅黑"/>
                <w:color w:val="000000" w:themeColor="text1"/>
                <w:sz w:val="13"/>
                <w:szCs w:val="13"/>
                <w:shd w:val="clear" w:color="auto" w:fill="FFFFFF"/>
              </w:rPr>
              <w:t>交通运输部令</w:t>
            </w:r>
            <w:r>
              <w:rPr>
                <w:rFonts w:ascii="微软雅黑" w:hAnsi="微软雅黑" w:eastAsia="微软雅黑"/>
                <w:color w:val="000000" w:themeColor="text1"/>
                <w:sz w:val="13"/>
                <w:szCs w:val="13"/>
                <w:shd w:val="clear" w:color="auto" w:fill="FFFFFF"/>
              </w:rPr>
              <w:t>2023</w:t>
            </w:r>
            <w:r>
              <w:rPr>
                <w:rFonts w:hint="eastAsia" w:ascii="微软雅黑" w:hAnsi="微软雅黑" w:eastAsia="微软雅黑"/>
                <w:color w:val="000000" w:themeColor="text1"/>
                <w:sz w:val="13"/>
                <w:szCs w:val="13"/>
                <w:shd w:val="clear" w:color="auto" w:fill="FFFFFF"/>
              </w:rPr>
              <w:t>年第</w:t>
            </w:r>
            <w:r>
              <w:rPr>
                <w:rFonts w:ascii="微软雅黑" w:hAnsi="微软雅黑" w:eastAsia="微软雅黑"/>
                <w:color w:val="000000" w:themeColor="text1"/>
                <w:sz w:val="13"/>
                <w:szCs w:val="13"/>
                <w:shd w:val="clear" w:color="auto" w:fill="FFFFFF"/>
              </w:rPr>
              <w:t>17</w:t>
            </w:r>
            <w:r>
              <w:rPr>
                <w:rFonts w:hint="eastAsia" w:ascii="微软雅黑" w:hAnsi="微软雅黑" w:eastAsia="微软雅黑"/>
                <w:color w:val="000000" w:themeColor="text1"/>
                <w:sz w:val="13"/>
                <w:szCs w:val="13"/>
                <w:shd w:val="clear" w:color="auto" w:fill="FFFFFF"/>
              </w:rPr>
              <w:t>号</w:t>
            </w:r>
            <w:r>
              <w:rPr>
                <w:rFonts w:hint="eastAsia" w:ascii="仿宋_GB2312" w:eastAsia="仿宋_GB2312" w:cs="仿宋_GB2312"/>
                <w:color w:val="000000" w:themeColor="text1"/>
                <w:sz w:val="13"/>
                <w:szCs w:val="13"/>
              </w:rPr>
              <w:t>）</w:t>
            </w:r>
            <w:r>
              <w:rPr>
                <w:rStyle w:val="18"/>
                <w:rFonts w:hint="eastAsia" w:ascii="仿宋" w:hAnsi="仿宋" w:eastAsia="仿宋"/>
                <w:color w:val="000000" w:themeColor="text1"/>
                <w:sz w:val="13"/>
                <w:szCs w:val="13"/>
              </w:rPr>
              <w:t>第三十八条违反本规定，未取得有关放射性物品道路运输资质许可，有下列情形之一的，由交通运输主管部门责令停止运输，</w:t>
            </w:r>
            <w:r>
              <w:rPr>
                <w:rFonts w:hint="eastAsia" w:ascii="微软雅黑" w:hAnsi="微软雅黑" w:eastAsia="微软雅黑"/>
                <w:color w:val="000000" w:themeColor="text1"/>
                <w:sz w:val="13"/>
                <w:szCs w:val="13"/>
                <w:shd w:val="clear" w:color="auto" w:fill="FFFFFF"/>
              </w:rPr>
              <w:t>违法所得超过</w:t>
            </w:r>
            <w:r>
              <w:rPr>
                <w:rFonts w:ascii="微软雅黑" w:hAnsi="微软雅黑" w:eastAsia="微软雅黑"/>
                <w:color w:val="000000" w:themeColor="text1"/>
                <w:sz w:val="13"/>
                <w:szCs w:val="13"/>
                <w:shd w:val="clear" w:color="auto" w:fill="FFFFFF"/>
              </w:rPr>
              <w:t>2</w:t>
            </w:r>
            <w:r>
              <w:rPr>
                <w:rFonts w:hint="eastAsia" w:ascii="微软雅黑" w:hAnsi="微软雅黑" w:eastAsia="微软雅黑"/>
                <w:color w:val="000000" w:themeColor="text1"/>
                <w:sz w:val="13"/>
                <w:szCs w:val="13"/>
                <w:shd w:val="clear" w:color="auto" w:fill="FFFFFF"/>
              </w:rPr>
              <w:t>万元的</w:t>
            </w:r>
            <w:r>
              <w:rPr>
                <w:rStyle w:val="18"/>
                <w:rFonts w:hint="eastAsia" w:ascii="仿宋" w:hAnsi="仿宋" w:eastAsia="仿宋"/>
                <w:color w:val="000000" w:themeColor="text1"/>
                <w:sz w:val="13"/>
                <w:szCs w:val="13"/>
              </w:rPr>
              <w:t>，没收违法所得，处违法所得</w:t>
            </w:r>
            <w:r>
              <w:rPr>
                <w:rStyle w:val="18"/>
                <w:rFonts w:ascii="仿宋" w:hAnsi="仿宋" w:eastAsia="仿宋"/>
                <w:color w:val="000000" w:themeColor="text1"/>
                <w:sz w:val="13"/>
                <w:szCs w:val="13"/>
              </w:rPr>
              <w:t>2</w:t>
            </w:r>
            <w:r>
              <w:rPr>
                <w:rStyle w:val="18"/>
                <w:rFonts w:hint="eastAsia" w:ascii="仿宋" w:hAnsi="仿宋" w:eastAsia="仿宋"/>
                <w:color w:val="000000" w:themeColor="text1"/>
                <w:sz w:val="13"/>
                <w:szCs w:val="13"/>
              </w:rPr>
              <w:t>倍以上</w:t>
            </w:r>
            <w:r>
              <w:rPr>
                <w:rStyle w:val="18"/>
                <w:rFonts w:ascii="仿宋" w:hAnsi="仿宋" w:eastAsia="仿宋"/>
                <w:color w:val="000000" w:themeColor="text1"/>
                <w:sz w:val="13"/>
                <w:szCs w:val="13"/>
              </w:rPr>
              <w:t>10</w:t>
            </w:r>
            <w:r>
              <w:rPr>
                <w:rStyle w:val="18"/>
                <w:rFonts w:hint="eastAsia" w:ascii="仿宋" w:hAnsi="仿宋" w:eastAsia="仿宋"/>
                <w:color w:val="000000" w:themeColor="text1"/>
                <w:sz w:val="13"/>
                <w:szCs w:val="13"/>
              </w:rPr>
              <w:t>倍以下的罚款；没有违法所得或者违法所得不足</w:t>
            </w:r>
            <w:r>
              <w:rPr>
                <w:rStyle w:val="18"/>
                <w:rFonts w:ascii="仿宋" w:hAnsi="仿宋" w:eastAsia="仿宋"/>
                <w:color w:val="000000" w:themeColor="text1"/>
                <w:sz w:val="13"/>
                <w:szCs w:val="13"/>
              </w:rPr>
              <w:t>2</w:t>
            </w:r>
            <w:r>
              <w:rPr>
                <w:rStyle w:val="18"/>
                <w:rFonts w:hint="eastAsia" w:ascii="仿宋" w:hAnsi="仿宋" w:eastAsia="仿宋"/>
                <w:color w:val="000000" w:themeColor="text1"/>
                <w:sz w:val="13"/>
                <w:szCs w:val="13"/>
              </w:rPr>
              <w:t>万元的，处</w:t>
            </w:r>
            <w:r>
              <w:rPr>
                <w:rStyle w:val="18"/>
                <w:rFonts w:ascii="仿宋" w:hAnsi="仿宋" w:eastAsia="仿宋"/>
                <w:color w:val="000000" w:themeColor="text1"/>
                <w:sz w:val="13"/>
                <w:szCs w:val="13"/>
              </w:rPr>
              <w:t>3</w:t>
            </w:r>
            <w:r>
              <w:rPr>
                <w:rStyle w:val="18"/>
                <w:rFonts w:hint="eastAsia" w:ascii="仿宋" w:hAnsi="仿宋" w:eastAsia="仿宋"/>
                <w:color w:val="000000" w:themeColor="text1"/>
                <w:sz w:val="13"/>
                <w:szCs w:val="13"/>
              </w:rPr>
              <w:t>万元以上</w:t>
            </w:r>
            <w:r>
              <w:rPr>
                <w:rStyle w:val="18"/>
                <w:rFonts w:ascii="仿宋" w:hAnsi="仿宋" w:eastAsia="仿宋"/>
                <w:color w:val="000000" w:themeColor="text1"/>
                <w:sz w:val="13"/>
                <w:szCs w:val="13"/>
              </w:rPr>
              <w:t>10</w:t>
            </w:r>
            <w:r>
              <w:rPr>
                <w:rStyle w:val="18"/>
                <w:rFonts w:hint="eastAsia" w:ascii="仿宋" w:hAnsi="仿宋" w:eastAsia="仿宋"/>
                <w:color w:val="000000" w:themeColor="text1"/>
                <w:sz w:val="13"/>
                <w:szCs w:val="13"/>
              </w:rPr>
              <w:t>万元以下的罚款。构成犯罪的，依法追究刑事责任：（一）无资质许可擅自从事放射性物品道路运输的；（二）使用失效、伪造、变造、被注销等无效放射性物品道路运输许可证件从事放射性物品道路运输的；（三）超越资质许可事项，从事放射性物品道路运输的；（四）非经营性放射性物品道路运输单位从事放射性物品道路运输经营的。</w:t>
            </w:r>
            <w:r>
              <w:rPr>
                <w:rFonts w:ascii="仿宋_GB2312" w:eastAsia="仿宋_GB2312" w:cs="仿宋_GB2312"/>
                <w:color w:val="000000" w:themeColor="text1"/>
                <w:sz w:val="13"/>
                <w:szCs w:val="13"/>
              </w:rPr>
              <w:t>3</w:t>
            </w:r>
            <w:r>
              <w:rPr>
                <w:rFonts w:hint="eastAsia" w:ascii="仿宋_GB2312" w:eastAsia="仿宋_GB2312" w:cs="仿宋_GB2312"/>
                <w:color w:val="000000" w:themeColor="text1"/>
                <w:sz w:val="13"/>
                <w:szCs w:val="13"/>
              </w:rPr>
              <w:t>、</w:t>
            </w:r>
            <w:r>
              <w:rPr>
                <w:rStyle w:val="18"/>
                <w:rFonts w:hint="eastAsia" w:ascii="仿宋" w:hAnsi="仿宋" w:eastAsia="仿宋"/>
                <w:color w:val="000000" w:themeColor="text1"/>
                <w:sz w:val="13"/>
                <w:szCs w:val="13"/>
              </w:rPr>
              <w:t>《道路危险货物运输管理规定》</w:t>
            </w:r>
            <w:r>
              <w:rPr>
                <w:rFonts w:hint="eastAsia"/>
                <w:color w:val="000000" w:themeColor="text1"/>
                <w:sz w:val="13"/>
                <w:szCs w:val="13"/>
                <w:shd w:val="clear" w:color="auto" w:fill="FFFFFF"/>
              </w:rPr>
              <w:t>（</w:t>
            </w:r>
            <w:r>
              <w:rPr>
                <w:rFonts w:hint="eastAsia"/>
                <w:color w:val="000000" w:themeColor="text1"/>
                <w:sz w:val="13"/>
                <w:szCs w:val="13"/>
                <w:shd w:val="clear" w:color="auto" w:fill="FFFFFF"/>
                <w:lang w:eastAsia="zh-CN"/>
              </w:rPr>
              <w:t>中华人民共和国</w:t>
            </w:r>
            <w:r>
              <w:rPr>
                <w:rFonts w:hint="eastAsia"/>
                <w:color w:val="000000" w:themeColor="text1"/>
                <w:sz w:val="13"/>
                <w:szCs w:val="13"/>
                <w:shd w:val="clear" w:color="auto" w:fill="FFFFFF"/>
              </w:rPr>
              <w:t>交通运输部令</w:t>
            </w:r>
            <w:r>
              <w:rPr>
                <w:color w:val="000000" w:themeColor="text1"/>
                <w:sz w:val="13"/>
                <w:szCs w:val="13"/>
                <w:shd w:val="clear" w:color="auto" w:fill="FFFFFF"/>
              </w:rPr>
              <w:t>2023</w:t>
            </w:r>
            <w:r>
              <w:rPr>
                <w:rFonts w:hint="eastAsia"/>
                <w:color w:val="000000" w:themeColor="text1"/>
                <w:sz w:val="13"/>
                <w:szCs w:val="13"/>
                <w:shd w:val="clear" w:color="auto" w:fill="FFFFFF"/>
              </w:rPr>
              <w:t>年第</w:t>
            </w:r>
            <w:r>
              <w:rPr>
                <w:color w:val="000000" w:themeColor="text1"/>
                <w:sz w:val="13"/>
                <w:szCs w:val="13"/>
                <w:shd w:val="clear" w:color="auto" w:fill="FFFFFF"/>
              </w:rPr>
              <w:t>13</w:t>
            </w:r>
            <w:r>
              <w:rPr>
                <w:rFonts w:hint="eastAsia"/>
                <w:color w:val="000000" w:themeColor="text1"/>
                <w:sz w:val="13"/>
                <w:szCs w:val="13"/>
                <w:shd w:val="clear" w:color="auto" w:fill="FFFFFF"/>
              </w:rPr>
              <w:t>号）</w:t>
            </w:r>
            <w:r>
              <w:rPr>
                <w:rFonts w:hint="eastAsia" w:ascii="黑体" w:hAnsi="黑体" w:eastAsia="黑体"/>
                <w:color w:val="000000" w:themeColor="text1"/>
                <w:sz w:val="13"/>
                <w:szCs w:val="13"/>
              </w:rPr>
              <w:t>第五十五条</w:t>
            </w:r>
            <w:r>
              <w:rPr>
                <w:rFonts w:hint="eastAsia" w:ascii="仿宋" w:hAnsi="仿宋" w:eastAsia="仿宋"/>
                <w:color w:val="000000" w:themeColor="text1"/>
                <w:sz w:val="13"/>
                <w:szCs w:val="13"/>
              </w:rPr>
              <w:t>　违反本规定，有下列情形之一的，由交通运输主管部门责令停止运输经营，违法所得超过</w:t>
            </w:r>
            <w:r>
              <w:rPr>
                <w:rFonts w:ascii="仿宋" w:hAnsi="仿宋" w:eastAsia="仿宋"/>
                <w:color w:val="000000" w:themeColor="text1"/>
                <w:sz w:val="13"/>
                <w:szCs w:val="13"/>
              </w:rPr>
              <w:t>2</w:t>
            </w:r>
            <w:r>
              <w:rPr>
                <w:rFonts w:hint="eastAsia" w:ascii="仿宋" w:hAnsi="仿宋" w:eastAsia="仿宋"/>
                <w:color w:val="000000" w:themeColor="text1"/>
                <w:sz w:val="13"/>
                <w:szCs w:val="13"/>
              </w:rPr>
              <w:t>万元的，没收违法所得，处违法所得</w:t>
            </w:r>
            <w:r>
              <w:rPr>
                <w:rFonts w:ascii="仿宋" w:hAnsi="仿宋" w:eastAsia="仿宋"/>
                <w:color w:val="000000" w:themeColor="text1"/>
                <w:sz w:val="13"/>
                <w:szCs w:val="13"/>
              </w:rPr>
              <w:t>2</w:t>
            </w:r>
            <w:r>
              <w:rPr>
                <w:rFonts w:hint="eastAsia" w:ascii="仿宋" w:hAnsi="仿宋" w:eastAsia="仿宋"/>
                <w:color w:val="000000" w:themeColor="text1"/>
                <w:sz w:val="13"/>
                <w:szCs w:val="13"/>
              </w:rPr>
              <w:t>倍以上</w:t>
            </w:r>
            <w:r>
              <w:rPr>
                <w:rFonts w:ascii="仿宋" w:hAnsi="仿宋" w:eastAsia="仿宋"/>
                <w:color w:val="000000" w:themeColor="text1"/>
                <w:sz w:val="13"/>
                <w:szCs w:val="13"/>
              </w:rPr>
              <w:t>10</w:t>
            </w:r>
            <w:r>
              <w:rPr>
                <w:rFonts w:hint="eastAsia" w:ascii="仿宋" w:hAnsi="仿宋" w:eastAsia="仿宋"/>
                <w:color w:val="000000" w:themeColor="text1"/>
                <w:sz w:val="13"/>
                <w:szCs w:val="13"/>
              </w:rPr>
              <w:t>倍以下的罚款；没有违法所得或者违法所得不足</w:t>
            </w:r>
            <w:r>
              <w:rPr>
                <w:rFonts w:ascii="仿宋" w:hAnsi="仿宋" w:eastAsia="仿宋"/>
                <w:color w:val="000000" w:themeColor="text1"/>
                <w:sz w:val="13"/>
                <w:szCs w:val="13"/>
              </w:rPr>
              <w:t>2</w:t>
            </w:r>
            <w:r>
              <w:rPr>
                <w:rFonts w:hint="eastAsia" w:ascii="仿宋" w:hAnsi="仿宋" w:eastAsia="仿宋"/>
                <w:color w:val="000000" w:themeColor="text1"/>
                <w:sz w:val="13"/>
                <w:szCs w:val="13"/>
              </w:rPr>
              <w:t>万元的，处</w:t>
            </w:r>
            <w:r>
              <w:rPr>
                <w:rFonts w:ascii="仿宋" w:hAnsi="仿宋" w:eastAsia="仿宋"/>
                <w:color w:val="000000" w:themeColor="text1"/>
                <w:sz w:val="13"/>
                <w:szCs w:val="13"/>
              </w:rPr>
              <w:t>3</w:t>
            </w:r>
            <w:r>
              <w:rPr>
                <w:rFonts w:hint="eastAsia" w:ascii="仿宋" w:hAnsi="仿宋" w:eastAsia="仿宋"/>
                <w:color w:val="000000" w:themeColor="text1"/>
                <w:sz w:val="13"/>
                <w:szCs w:val="13"/>
              </w:rPr>
              <w:t>万元以上</w:t>
            </w:r>
            <w:r>
              <w:rPr>
                <w:rFonts w:ascii="仿宋" w:hAnsi="仿宋" w:eastAsia="仿宋"/>
                <w:color w:val="000000" w:themeColor="text1"/>
                <w:sz w:val="13"/>
                <w:szCs w:val="13"/>
              </w:rPr>
              <w:t>10</w:t>
            </w:r>
            <w:r>
              <w:rPr>
                <w:rFonts w:hint="eastAsia" w:ascii="仿宋" w:hAnsi="仿宋" w:eastAsia="仿宋"/>
                <w:color w:val="000000" w:themeColor="text1"/>
                <w:sz w:val="13"/>
                <w:szCs w:val="13"/>
              </w:rPr>
              <w:t>万元以下的罚款；构成犯罪的，依法追究刑事责任：（一）未取得道路危险货物运输许可，擅自从事道路危险货物运输的；（二）使用失效、伪造、变造、被注销等无效道路危险货物运输许可证件从事道路危险货物运输的；（三）超越许可事项，从事道路危险货物运输的；（四）非经营性道路危险货物运输单位从事道路危险货物运输经营的。</w:t>
            </w:r>
          </w:p>
          <w:p w14:paraId="59A5BAD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2564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961144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93F8B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A0EFA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9F89946">
            <w:pPr>
              <w:widowControl/>
              <w:jc w:val="center"/>
              <w:textAlignment w:val="center"/>
              <w:rPr>
                <w:rFonts w:ascii="黑体" w:eastAsia="黑体" w:cs="黑体"/>
                <w:b/>
                <w:bCs/>
                <w:color w:val="000000" w:themeColor="text1"/>
                <w:sz w:val="10"/>
                <w:szCs w:val="10"/>
              </w:rPr>
            </w:pPr>
            <w:r>
              <w:rPr>
                <w:rFonts w:hint="eastAsia" w:ascii="黑体" w:eastAsia="黑体" w:cs="黑体"/>
                <w:b/>
                <w:bCs/>
                <w:color w:val="000000" w:themeColor="text1"/>
                <w:sz w:val="10"/>
                <w:szCs w:val="10"/>
              </w:rPr>
              <w:t>办理时限</w:t>
            </w:r>
          </w:p>
        </w:tc>
        <w:tc>
          <w:tcPr>
            <w:tcW w:w="1406" w:type="dxa"/>
            <w:vAlign w:val="center"/>
          </w:tcPr>
          <w:p w14:paraId="1E1604E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5C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20" w:hRule="atLeast"/>
          <w:jc w:val="center"/>
        </w:trPr>
        <w:tc>
          <w:tcPr>
            <w:tcW w:w="943" w:type="dxa"/>
            <w:vMerge w:val="continue"/>
            <w:vAlign w:val="center"/>
          </w:tcPr>
          <w:p w14:paraId="58A26973">
            <w:pPr>
              <w:rPr>
                <w:color w:val="000000" w:themeColor="text1"/>
              </w:rPr>
            </w:pPr>
          </w:p>
        </w:tc>
        <w:tc>
          <w:tcPr>
            <w:tcW w:w="1110" w:type="dxa"/>
            <w:vAlign w:val="center"/>
          </w:tcPr>
          <w:p w14:paraId="4BABA0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E419A7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350C2A1">
            <w:pPr>
              <w:jc w:val="center"/>
              <w:rPr>
                <w:rFonts w:ascii="仿宋_GB2312" w:hAnsi="黑体" w:eastAsia="仿宋_GB2312" w:cs="黑体"/>
                <w:color w:val="000000" w:themeColor="text1"/>
                <w:sz w:val="18"/>
                <w:szCs w:val="18"/>
              </w:rPr>
            </w:pPr>
          </w:p>
        </w:tc>
        <w:tc>
          <w:tcPr>
            <w:tcW w:w="1406" w:type="dxa"/>
            <w:vAlign w:val="center"/>
          </w:tcPr>
          <w:p w14:paraId="04CF34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24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76C8F89">
            <w:pPr>
              <w:rPr>
                <w:color w:val="000000" w:themeColor="text1"/>
              </w:rPr>
            </w:pPr>
          </w:p>
        </w:tc>
        <w:tc>
          <w:tcPr>
            <w:tcW w:w="1110" w:type="dxa"/>
            <w:vAlign w:val="center"/>
          </w:tcPr>
          <w:p w14:paraId="5D9055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94360D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B1EA5B7">
            <w:pPr>
              <w:jc w:val="center"/>
              <w:rPr>
                <w:rFonts w:ascii="仿宋_GB2312" w:hAnsi="黑体" w:eastAsia="仿宋_GB2312" w:cs="黑体"/>
                <w:color w:val="000000" w:themeColor="text1"/>
                <w:sz w:val="18"/>
                <w:szCs w:val="18"/>
              </w:rPr>
            </w:pPr>
          </w:p>
        </w:tc>
        <w:tc>
          <w:tcPr>
            <w:tcW w:w="1406" w:type="dxa"/>
            <w:vAlign w:val="center"/>
          </w:tcPr>
          <w:p w14:paraId="3B4FF4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75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5" w:hRule="atLeast"/>
          <w:jc w:val="center"/>
        </w:trPr>
        <w:tc>
          <w:tcPr>
            <w:tcW w:w="943" w:type="dxa"/>
            <w:vMerge w:val="continue"/>
            <w:vAlign w:val="center"/>
          </w:tcPr>
          <w:p w14:paraId="62E62E5F">
            <w:pPr>
              <w:rPr>
                <w:color w:val="000000" w:themeColor="text1"/>
              </w:rPr>
            </w:pPr>
          </w:p>
        </w:tc>
        <w:tc>
          <w:tcPr>
            <w:tcW w:w="1110" w:type="dxa"/>
            <w:vAlign w:val="center"/>
          </w:tcPr>
          <w:p w14:paraId="25EE32F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89F60F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3191839">
            <w:pPr>
              <w:jc w:val="center"/>
              <w:rPr>
                <w:rFonts w:ascii="仿宋_GB2312" w:hAnsi="黑体" w:eastAsia="仿宋_GB2312" w:cs="黑体"/>
                <w:color w:val="000000" w:themeColor="text1"/>
                <w:sz w:val="18"/>
                <w:szCs w:val="18"/>
              </w:rPr>
            </w:pPr>
          </w:p>
        </w:tc>
        <w:tc>
          <w:tcPr>
            <w:tcW w:w="1406" w:type="dxa"/>
            <w:vAlign w:val="center"/>
          </w:tcPr>
          <w:p w14:paraId="285B4B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4A6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9" w:hRule="atLeast"/>
          <w:jc w:val="center"/>
        </w:trPr>
        <w:tc>
          <w:tcPr>
            <w:tcW w:w="943" w:type="dxa"/>
            <w:vMerge w:val="continue"/>
            <w:vAlign w:val="center"/>
          </w:tcPr>
          <w:p w14:paraId="26EEECE9">
            <w:pPr>
              <w:rPr>
                <w:color w:val="000000" w:themeColor="text1"/>
              </w:rPr>
            </w:pPr>
          </w:p>
        </w:tc>
        <w:tc>
          <w:tcPr>
            <w:tcW w:w="1110" w:type="dxa"/>
            <w:vAlign w:val="center"/>
          </w:tcPr>
          <w:p w14:paraId="3F5D12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FF4AC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713F5DD">
            <w:pPr>
              <w:jc w:val="center"/>
              <w:rPr>
                <w:rFonts w:ascii="仿宋_GB2312" w:hAnsi="黑体" w:eastAsia="仿宋_GB2312" w:cs="黑体"/>
                <w:color w:val="000000" w:themeColor="text1"/>
                <w:sz w:val="18"/>
                <w:szCs w:val="18"/>
              </w:rPr>
            </w:pPr>
          </w:p>
        </w:tc>
        <w:tc>
          <w:tcPr>
            <w:tcW w:w="1406" w:type="dxa"/>
            <w:vAlign w:val="center"/>
          </w:tcPr>
          <w:p w14:paraId="648372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DCB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9" w:hRule="atLeast"/>
          <w:jc w:val="center"/>
        </w:trPr>
        <w:tc>
          <w:tcPr>
            <w:tcW w:w="943" w:type="dxa"/>
            <w:vMerge w:val="continue"/>
            <w:vAlign w:val="center"/>
          </w:tcPr>
          <w:p w14:paraId="088D0679">
            <w:pPr>
              <w:rPr>
                <w:color w:val="000000" w:themeColor="text1"/>
              </w:rPr>
            </w:pPr>
          </w:p>
        </w:tc>
        <w:tc>
          <w:tcPr>
            <w:tcW w:w="1110" w:type="dxa"/>
            <w:vAlign w:val="center"/>
          </w:tcPr>
          <w:p w14:paraId="116987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CB6DA3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A55F10C">
            <w:pPr>
              <w:jc w:val="center"/>
              <w:rPr>
                <w:rFonts w:ascii="仿宋_GB2312" w:hAnsi="黑体" w:eastAsia="仿宋_GB2312" w:cs="黑体"/>
                <w:color w:val="000000" w:themeColor="text1"/>
                <w:sz w:val="18"/>
                <w:szCs w:val="18"/>
              </w:rPr>
            </w:pPr>
          </w:p>
        </w:tc>
        <w:tc>
          <w:tcPr>
            <w:tcW w:w="1406" w:type="dxa"/>
            <w:vAlign w:val="center"/>
          </w:tcPr>
          <w:p w14:paraId="30F712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8265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60" w:hRule="atLeast"/>
          <w:jc w:val="center"/>
        </w:trPr>
        <w:tc>
          <w:tcPr>
            <w:tcW w:w="943" w:type="dxa"/>
            <w:vAlign w:val="center"/>
          </w:tcPr>
          <w:p w14:paraId="7AA05D3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DAE58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C560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2808A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CB6B10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03069B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38E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58FC6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9BC020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6499E4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77BE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17" w:hRule="atLeast"/>
          <w:jc w:val="center"/>
        </w:trPr>
        <w:tc>
          <w:tcPr>
            <w:tcW w:w="943" w:type="dxa"/>
            <w:vAlign w:val="center"/>
          </w:tcPr>
          <w:p w14:paraId="0DEDE44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7168A4E">
            <w:pPr>
              <w:widowControl/>
              <w:jc w:val="left"/>
              <w:textAlignment w:val="center"/>
              <w:rPr>
                <w:rFonts w:ascii="黑体" w:eastAsia="黑体" w:cs="黑体"/>
                <w:color w:val="000000" w:themeColor="text1"/>
                <w:kern w:val="0"/>
                <w:sz w:val="18"/>
                <w:szCs w:val="18"/>
              </w:rPr>
            </w:pPr>
          </w:p>
        </w:tc>
      </w:tr>
    </w:tbl>
    <w:p w14:paraId="68036D83">
      <w:pPr>
        <w:rPr>
          <w:color w:val="000000" w:themeColor="text1"/>
          <w:sz w:val="24"/>
        </w:rPr>
      </w:pPr>
    </w:p>
    <w:p w14:paraId="2B29EA8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FBB2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FEB4C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A6F152C">
            <w:pPr>
              <w:jc w:val="center"/>
              <w:rPr>
                <w:rFonts w:ascii="黑体" w:eastAsia="黑体" w:cs="黑体"/>
                <w:b/>
                <w:bCs/>
                <w:color w:val="000000" w:themeColor="text1"/>
                <w:szCs w:val="21"/>
              </w:rPr>
            </w:pPr>
            <w:r>
              <w:rPr>
                <w:rFonts w:ascii="黑体" w:eastAsia="黑体" w:cs="黑体"/>
                <w:b/>
                <w:bCs/>
                <w:color w:val="000000" w:themeColor="text1"/>
                <w:szCs w:val="21"/>
              </w:rPr>
              <w:t>41</w:t>
            </w:r>
          </w:p>
        </w:tc>
        <w:tc>
          <w:tcPr>
            <w:tcW w:w="1691" w:type="dxa"/>
            <w:vAlign w:val="center"/>
          </w:tcPr>
          <w:p w14:paraId="0DD08F2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26ED92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73CF4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B0951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4BD2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21524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DAF87D7">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对委托未依法取得危险货物道路运输许可的企业承运危险化学品等行为的行政处罚</w:t>
            </w:r>
          </w:p>
        </w:tc>
      </w:tr>
      <w:tr w14:paraId="54966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3E6527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604087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F093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348564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BE17E1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bookmarkStart w:id="2" w:name="OLE_LINK4"/>
            <w:bookmarkStart w:id="3" w:name="OLE_LINK3"/>
            <w:r>
              <w:rPr>
                <w:rFonts w:hint="eastAsia" w:ascii="仿宋_GB2312" w:eastAsia="仿宋_GB2312" w:cs="仿宋_GB2312"/>
                <w:color w:val="000000" w:themeColor="text1"/>
                <w:kern w:val="0"/>
                <w:sz w:val="18"/>
                <w:szCs w:val="18"/>
              </w:rPr>
              <w:t>《危险化学品安全管理条例》</w:t>
            </w:r>
            <w:bookmarkEnd w:id="2"/>
            <w:bookmarkEnd w:id="3"/>
            <w:r>
              <w:rPr>
                <w:rFonts w:hint="eastAsia" w:ascii="仿宋_GB2312" w:eastAsia="仿宋_GB2312" w:cs="仿宋_GB2312"/>
                <w:color w:val="000000" w:themeColor="text1"/>
                <w:kern w:val="0"/>
                <w:sz w:val="18"/>
                <w:szCs w:val="18"/>
              </w:rPr>
              <w:t>（</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日修订</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）第八十七条第一款有下列情形之一的，由交通运输主管部门责令改正，处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下的罚款，有违法所得的，没收违法所得；拒不改正的，责令停产停业整顿；构成犯罪的，依法追究刑事责任：（一）委托未依法取得危险货物道路运输许可、危险货物水路运输许可的企业承运危险化学品的；（二）通过内河封闭水域运输剧毒化学品以及国家规定禁止通过内河运输的其他危险化学品的；（三）通过内河运输国家规定禁止通过内河运输的剧毒化学品以及其他危险化学品的；（四）在托运的普通货物中夹带危险化学品，或者将危险化学品谎报或者匿报为普通货物托运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《道路危险货物运输管理规定》（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13</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《道路危险货物运输管理规定》第六十条　违反本规定，道路危险化学品运输托运人有下列行为之一的，由交通运输主管部门责令改正，处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下的罚款，有违法所得的，没收违法所得；拒不改正的，责令停产停业整顿；构成犯罪的，依法追究刑事责任：（一）委托未依法取得危险货物道路运输许可的企业承运危险化学品的；（二）在托运的普通货物中夹带危险化学品，或者将危险化学品谎报或者匿报为普通货物托运的。</w:t>
            </w:r>
          </w:p>
          <w:p w14:paraId="31AA254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3586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331D3C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B8A8AB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976604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62A646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8F2518F">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F291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3" w:hRule="atLeast"/>
          <w:jc w:val="center"/>
        </w:trPr>
        <w:tc>
          <w:tcPr>
            <w:tcW w:w="943" w:type="dxa"/>
            <w:vMerge w:val="continue"/>
            <w:vAlign w:val="center"/>
          </w:tcPr>
          <w:p w14:paraId="6A10061A">
            <w:pPr>
              <w:spacing w:line="200" w:lineRule="exact"/>
              <w:rPr>
                <w:color w:val="000000" w:themeColor="text1"/>
              </w:rPr>
            </w:pPr>
          </w:p>
        </w:tc>
        <w:tc>
          <w:tcPr>
            <w:tcW w:w="1110" w:type="dxa"/>
            <w:vAlign w:val="center"/>
          </w:tcPr>
          <w:p w14:paraId="76EE17D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E621EAC">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0E1AB92">
            <w:pPr>
              <w:spacing w:line="200" w:lineRule="exact"/>
              <w:jc w:val="center"/>
              <w:rPr>
                <w:rFonts w:ascii="仿宋_GB2312" w:hAnsi="黑体" w:eastAsia="仿宋_GB2312" w:cs="黑体"/>
                <w:color w:val="000000" w:themeColor="text1"/>
                <w:sz w:val="18"/>
                <w:szCs w:val="18"/>
              </w:rPr>
            </w:pPr>
          </w:p>
        </w:tc>
        <w:tc>
          <w:tcPr>
            <w:tcW w:w="1406" w:type="dxa"/>
            <w:vAlign w:val="center"/>
          </w:tcPr>
          <w:p w14:paraId="729923E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2FE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8" w:hRule="atLeast"/>
          <w:jc w:val="center"/>
        </w:trPr>
        <w:tc>
          <w:tcPr>
            <w:tcW w:w="943" w:type="dxa"/>
            <w:vMerge w:val="continue"/>
            <w:vAlign w:val="center"/>
          </w:tcPr>
          <w:p w14:paraId="57FDABE3">
            <w:pPr>
              <w:spacing w:line="200" w:lineRule="exact"/>
              <w:rPr>
                <w:color w:val="000000" w:themeColor="text1"/>
              </w:rPr>
            </w:pPr>
          </w:p>
        </w:tc>
        <w:tc>
          <w:tcPr>
            <w:tcW w:w="1110" w:type="dxa"/>
            <w:vAlign w:val="center"/>
          </w:tcPr>
          <w:p w14:paraId="7E9A965D">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12D2DAE">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222F98F">
            <w:pPr>
              <w:spacing w:line="200" w:lineRule="exact"/>
              <w:jc w:val="center"/>
              <w:rPr>
                <w:rFonts w:ascii="仿宋_GB2312" w:hAnsi="黑体" w:eastAsia="仿宋_GB2312" w:cs="黑体"/>
                <w:color w:val="000000" w:themeColor="text1"/>
                <w:sz w:val="18"/>
                <w:szCs w:val="18"/>
              </w:rPr>
            </w:pPr>
          </w:p>
        </w:tc>
        <w:tc>
          <w:tcPr>
            <w:tcW w:w="1406" w:type="dxa"/>
            <w:vAlign w:val="center"/>
          </w:tcPr>
          <w:p w14:paraId="20EA22D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5B4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0" w:hRule="atLeast"/>
          <w:jc w:val="center"/>
        </w:trPr>
        <w:tc>
          <w:tcPr>
            <w:tcW w:w="943" w:type="dxa"/>
            <w:vMerge w:val="continue"/>
            <w:vAlign w:val="center"/>
          </w:tcPr>
          <w:p w14:paraId="18DACD5B">
            <w:pPr>
              <w:spacing w:line="200" w:lineRule="exact"/>
              <w:rPr>
                <w:color w:val="000000" w:themeColor="text1"/>
              </w:rPr>
            </w:pPr>
          </w:p>
        </w:tc>
        <w:tc>
          <w:tcPr>
            <w:tcW w:w="1110" w:type="dxa"/>
            <w:vAlign w:val="center"/>
          </w:tcPr>
          <w:p w14:paraId="7434372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068C7E2">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62A91A5">
            <w:pPr>
              <w:spacing w:line="200" w:lineRule="exact"/>
              <w:jc w:val="center"/>
              <w:rPr>
                <w:rFonts w:ascii="仿宋_GB2312" w:hAnsi="黑体" w:eastAsia="仿宋_GB2312" w:cs="黑体"/>
                <w:color w:val="000000" w:themeColor="text1"/>
                <w:sz w:val="18"/>
                <w:szCs w:val="18"/>
              </w:rPr>
            </w:pPr>
          </w:p>
        </w:tc>
        <w:tc>
          <w:tcPr>
            <w:tcW w:w="1406" w:type="dxa"/>
            <w:vAlign w:val="center"/>
          </w:tcPr>
          <w:p w14:paraId="0096B6ED">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059C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CC855BD">
            <w:pPr>
              <w:spacing w:line="200" w:lineRule="exact"/>
              <w:rPr>
                <w:color w:val="000000" w:themeColor="text1"/>
              </w:rPr>
            </w:pPr>
          </w:p>
        </w:tc>
        <w:tc>
          <w:tcPr>
            <w:tcW w:w="1110" w:type="dxa"/>
            <w:vAlign w:val="center"/>
          </w:tcPr>
          <w:p w14:paraId="36AD2E0D">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15F37FA">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A91F792">
            <w:pPr>
              <w:spacing w:line="200" w:lineRule="exact"/>
              <w:jc w:val="center"/>
              <w:rPr>
                <w:rFonts w:ascii="仿宋_GB2312" w:hAnsi="黑体" w:eastAsia="仿宋_GB2312" w:cs="黑体"/>
                <w:color w:val="000000" w:themeColor="text1"/>
                <w:sz w:val="18"/>
                <w:szCs w:val="18"/>
              </w:rPr>
            </w:pPr>
          </w:p>
        </w:tc>
        <w:tc>
          <w:tcPr>
            <w:tcW w:w="1406" w:type="dxa"/>
            <w:vAlign w:val="center"/>
          </w:tcPr>
          <w:p w14:paraId="470A30D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75D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45" w:hRule="atLeast"/>
          <w:jc w:val="center"/>
        </w:trPr>
        <w:tc>
          <w:tcPr>
            <w:tcW w:w="943" w:type="dxa"/>
            <w:vMerge w:val="continue"/>
            <w:vAlign w:val="center"/>
          </w:tcPr>
          <w:p w14:paraId="1B1DF4B2">
            <w:pPr>
              <w:spacing w:line="200" w:lineRule="exact"/>
              <w:rPr>
                <w:color w:val="000000" w:themeColor="text1"/>
              </w:rPr>
            </w:pPr>
          </w:p>
        </w:tc>
        <w:tc>
          <w:tcPr>
            <w:tcW w:w="1110" w:type="dxa"/>
            <w:vAlign w:val="center"/>
          </w:tcPr>
          <w:p w14:paraId="385A021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EB5542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2869C55">
            <w:pPr>
              <w:spacing w:line="200" w:lineRule="exact"/>
              <w:jc w:val="center"/>
              <w:rPr>
                <w:rFonts w:ascii="仿宋_GB2312" w:hAnsi="黑体" w:eastAsia="仿宋_GB2312" w:cs="黑体"/>
                <w:color w:val="000000" w:themeColor="text1"/>
                <w:sz w:val="18"/>
                <w:szCs w:val="18"/>
              </w:rPr>
            </w:pPr>
          </w:p>
        </w:tc>
        <w:tc>
          <w:tcPr>
            <w:tcW w:w="1406" w:type="dxa"/>
            <w:vAlign w:val="center"/>
          </w:tcPr>
          <w:p w14:paraId="7DCEB28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0F7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75" w:hRule="atLeast"/>
          <w:jc w:val="center"/>
        </w:trPr>
        <w:tc>
          <w:tcPr>
            <w:tcW w:w="943" w:type="dxa"/>
            <w:vAlign w:val="center"/>
          </w:tcPr>
          <w:p w14:paraId="0B70EFC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912A2A5">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9AA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B60658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5E6A8AB">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71CE74F">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6528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80" w:hRule="atLeast"/>
          <w:jc w:val="center"/>
        </w:trPr>
        <w:tc>
          <w:tcPr>
            <w:tcW w:w="943" w:type="dxa"/>
            <w:vAlign w:val="center"/>
          </w:tcPr>
          <w:p w14:paraId="3DBA019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487AD89">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956DEAF">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088C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5" w:hRule="atLeast"/>
          <w:jc w:val="center"/>
        </w:trPr>
        <w:tc>
          <w:tcPr>
            <w:tcW w:w="943" w:type="dxa"/>
            <w:vAlign w:val="center"/>
          </w:tcPr>
          <w:p w14:paraId="546309D9">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B03F137">
            <w:pPr>
              <w:widowControl/>
              <w:spacing w:line="200" w:lineRule="exact"/>
              <w:jc w:val="left"/>
              <w:textAlignment w:val="center"/>
              <w:rPr>
                <w:rFonts w:ascii="黑体" w:eastAsia="黑体" w:cs="黑体"/>
                <w:color w:val="000000" w:themeColor="text1"/>
                <w:kern w:val="0"/>
                <w:sz w:val="18"/>
                <w:szCs w:val="18"/>
              </w:rPr>
            </w:pPr>
          </w:p>
        </w:tc>
      </w:tr>
    </w:tbl>
    <w:p w14:paraId="78EAF9B8">
      <w:pPr>
        <w:rPr>
          <w:color w:val="000000" w:themeColor="text1"/>
          <w:sz w:val="24"/>
        </w:rPr>
      </w:pPr>
    </w:p>
    <w:p w14:paraId="4191C3C6">
      <w:pPr>
        <w:widowControl/>
        <w:jc w:val="center"/>
        <w:textAlignment w:val="center"/>
        <w:rPr>
          <w:rFonts w:ascii="方正小标宋简体" w:eastAsia="方正小标宋简体" w:cs="方正小标宋简体"/>
          <w:color w:val="000000" w:themeColor="text1"/>
          <w:kern w:val="0"/>
          <w:sz w:val="44"/>
          <w:szCs w:val="44"/>
        </w:rPr>
      </w:pPr>
    </w:p>
    <w:p w14:paraId="496B69F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3C7D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12E68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5B467E1">
            <w:pPr>
              <w:jc w:val="center"/>
              <w:rPr>
                <w:rFonts w:ascii="黑体" w:eastAsia="黑体" w:cs="黑体"/>
                <w:b/>
                <w:bCs/>
                <w:color w:val="000000" w:themeColor="text1"/>
                <w:szCs w:val="21"/>
              </w:rPr>
            </w:pPr>
            <w:r>
              <w:rPr>
                <w:rFonts w:ascii="黑体" w:eastAsia="黑体" w:cs="黑体"/>
                <w:b/>
                <w:bCs/>
                <w:color w:val="000000" w:themeColor="text1"/>
                <w:szCs w:val="21"/>
              </w:rPr>
              <w:t>42</w:t>
            </w:r>
          </w:p>
        </w:tc>
        <w:tc>
          <w:tcPr>
            <w:tcW w:w="1691" w:type="dxa"/>
            <w:vAlign w:val="center"/>
          </w:tcPr>
          <w:p w14:paraId="52D2A2E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0F7B73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09E27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2B6E6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2BC4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ED815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F498EC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对危险货物道路运输承运人未按照规定对从业人员进行安全教育和培训的行政处罚</w:t>
            </w:r>
          </w:p>
        </w:tc>
      </w:tr>
      <w:tr w14:paraId="7B5D6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FF19BB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96E6B4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BBF4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1A46B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4F070F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七条托运人、承运人、装货人应当制定危险货物道路运输作业查验、记录制度，以及人员安全教育培训、设备管理和岗位操作规程等安全生产管理制度。托运人、承运人、装货人应当按照相关法律法规和《危险货物道路运输规则》（</w:t>
            </w:r>
            <w:r>
              <w:rPr>
                <w:rFonts w:ascii="仿宋_GB2312" w:eastAsia="仿宋_GB2312" w:cs="仿宋_GB2312"/>
                <w:color w:val="000000" w:themeColor="text1"/>
                <w:kern w:val="0"/>
                <w:sz w:val="18"/>
                <w:szCs w:val="18"/>
              </w:rPr>
              <w:t>JT/T 617</w:t>
            </w:r>
            <w:r>
              <w:rPr>
                <w:rFonts w:hint="eastAsia" w:ascii="仿宋_GB2312" w:eastAsia="仿宋_GB2312" w:cs="仿宋_GB2312"/>
                <w:color w:val="000000" w:themeColor="text1"/>
                <w:kern w:val="0"/>
                <w:sz w:val="18"/>
                <w:szCs w:val="18"/>
              </w:rPr>
              <w:t>）要求，对本单位相关从业人员进行岗前安全教育培训和定期安全教育。未经岗前安全教育培训考核合格的人员，不得上岗作业。托运人、承运人、装货人应当妥善保存安全教育培训及考核记录。岗前安全教育培训及考核记录保存至相关从业人员离职后</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个月；定期安全教育记录保存期限不得少于</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个月。第五十六条交通运输主管部门对危险货物承运人违反本办法第七条，未对从业人员进行安全教育和培训的，应当责令限期改正，可以处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万元以下的罚款，逾期未改正的，责令停产停业整顿，并处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万元以下的罚款，对其直接负责的主管人员和其他直接责任人员处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万元以下的罚款。</w:t>
            </w:r>
          </w:p>
          <w:p w14:paraId="55EDA328">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A0DB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506D9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25874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93425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B4F9E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CB918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31A1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D1AA719">
            <w:pPr>
              <w:rPr>
                <w:color w:val="000000" w:themeColor="text1"/>
              </w:rPr>
            </w:pPr>
          </w:p>
        </w:tc>
        <w:tc>
          <w:tcPr>
            <w:tcW w:w="1110" w:type="dxa"/>
            <w:vAlign w:val="center"/>
          </w:tcPr>
          <w:p w14:paraId="5F7099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B020A6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22FE4FD">
            <w:pPr>
              <w:jc w:val="center"/>
              <w:rPr>
                <w:rFonts w:ascii="仿宋_GB2312" w:hAnsi="黑体" w:eastAsia="仿宋_GB2312" w:cs="黑体"/>
                <w:color w:val="000000" w:themeColor="text1"/>
                <w:sz w:val="18"/>
                <w:szCs w:val="18"/>
              </w:rPr>
            </w:pPr>
          </w:p>
        </w:tc>
        <w:tc>
          <w:tcPr>
            <w:tcW w:w="1406" w:type="dxa"/>
            <w:vAlign w:val="center"/>
          </w:tcPr>
          <w:p w14:paraId="08D630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F31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11C20D0">
            <w:pPr>
              <w:rPr>
                <w:color w:val="000000" w:themeColor="text1"/>
              </w:rPr>
            </w:pPr>
          </w:p>
        </w:tc>
        <w:tc>
          <w:tcPr>
            <w:tcW w:w="1110" w:type="dxa"/>
            <w:vAlign w:val="center"/>
          </w:tcPr>
          <w:p w14:paraId="186FD3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062B3D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B7A83E7">
            <w:pPr>
              <w:jc w:val="center"/>
              <w:rPr>
                <w:rFonts w:ascii="仿宋_GB2312" w:hAnsi="黑体" w:eastAsia="仿宋_GB2312" w:cs="黑体"/>
                <w:color w:val="000000" w:themeColor="text1"/>
                <w:sz w:val="18"/>
                <w:szCs w:val="18"/>
              </w:rPr>
            </w:pPr>
          </w:p>
        </w:tc>
        <w:tc>
          <w:tcPr>
            <w:tcW w:w="1406" w:type="dxa"/>
            <w:vAlign w:val="center"/>
          </w:tcPr>
          <w:p w14:paraId="6F31E0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F4F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5241C14">
            <w:pPr>
              <w:rPr>
                <w:color w:val="000000" w:themeColor="text1"/>
              </w:rPr>
            </w:pPr>
          </w:p>
        </w:tc>
        <w:tc>
          <w:tcPr>
            <w:tcW w:w="1110" w:type="dxa"/>
            <w:vAlign w:val="center"/>
          </w:tcPr>
          <w:p w14:paraId="5873B9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742086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0C67CFF">
            <w:pPr>
              <w:jc w:val="center"/>
              <w:rPr>
                <w:rFonts w:ascii="仿宋_GB2312" w:hAnsi="黑体" w:eastAsia="仿宋_GB2312" w:cs="黑体"/>
                <w:color w:val="000000" w:themeColor="text1"/>
                <w:sz w:val="18"/>
                <w:szCs w:val="18"/>
              </w:rPr>
            </w:pPr>
          </w:p>
        </w:tc>
        <w:tc>
          <w:tcPr>
            <w:tcW w:w="1406" w:type="dxa"/>
            <w:vAlign w:val="center"/>
          </w:tcPr>
          <w:p w14:paraId="57A93E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B68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624985C">
            <w:pPr>
              <w:rPr>
                <w:color w:val="000000" w:themeColor="text1"/>
              </w:rPr>
            </w:pPr>
          </w:p>
        </w:tc>
        <w:tc>
          <w:tcPr>
            <w:tcW w:w="1110" w:type="dxa"/>
            <w:vAlign w:val="center"/>
          </w:tcPr>
          <w:p w14:paraId="435E47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528F4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0A64F86">
            <w:pPr>
              <w:jc w:val="center"/>
              <w:rPr>
                <w:rFonts w:ascii="仿宋_GB2312" w:hAnsi="黑体" w:eastAsia="仿宋_GB2312" w:cs="黑体"/>
                <w:color w:val="000000" w:themeColor="text1"/>
                <w:sz w:val="18"/>
                <w:szCs w:val="18"/>
              </w:rPr>
            </w:pPr>
          </w:p>
        </w:tc>
        <w:tc>
          <w:tcPr>
            <w:tcW w:w="1406" w:type="dxa"/>
            <w:vAlign w:val="center"/>
          </w:tcPr>
          <w:p w14:paraId="099F51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4AB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0878A4A">
            <w:pPr>
              <w:rPr>
                <w:color w:val="000000" w:themeColor="text1"/>
              </w:rPr>
            </w:pPr>
          </w:p>
        </w:tc>
        <w:tc>
          <w:tcPr>
            <w:tcW w:w="1110" w:type="dxa"/>
            <w:vAlign w:val="center"/>
          </w:tcPr>
          <w:p w14:paraId="672A9F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71272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A67C3B4">
            <w:pPr>
              <w:jc w:val="center"/>
              <w:rPr>
                <w:rFonts w:ascii="仿宋_GB2312" w:hAnsi="黑体" w:eastAsia="仿宋_GB2312" w:cs="黑体"/>
                <w:color w:val="000000" w:themeColor="text1"/>
                <w:sz w:val="18"/>
                <w:szCs w:val="18"/>
              </w:rPr>
            </w:pPr>
          </w:p>
        </w:tc>
        <w:tc>
          <w:tcPr>
            <w:tcW w:w="1406" w:type="dxa"/>
            <w:vAlign w:val="center"/>
          </w:tcPr>
          <w:p w14:paraId="3757FE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2F92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50" w:hRule="atLeast"/>
          <w:jc w:val="center"/>
        </w:trPr>
        <w:tc>
          <w:tcPr>
            <w:tcW w:w="943" w:type="dxa"/>
            <w:vAlign w:val="center"/>
          </w:tcPr>
          <w:p w14:paraId="04ABFBF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054FF9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8495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F27DD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F3780F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46D23B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D3C3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7962D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FBFBF5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58B64E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F2B9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470EDF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BE7EB88">
            <w:pPr>
              <w:widowControl/>
              <w:jc w:val="left"/>
              <w:textAlignment w:val="center"/>
              <w:rPr>
                <w:rFonts w:ascii="黑体" w:eastAsia="黑体" w:cs="黑体"/>
                <w:color w:val="000000" w:themeColor="text1"/>
                <w:kern w:val="0"/>
                <w:sz w:val="18"/>
                <w:szCs w:val="18"/>
              </w:rPr>
            </w:pPr>
          </w:p>
        </w:tc>
      </w:tr>
    </w:tbl>
    <w:p w14:paraId="5D356283">
      <w:pPr>
        <w:rPr>
          <w:color w:val="000000" w:themeColor="text1"/>
          <w:sz w:val="24"/>
        </w:rPr>
      </w:pPr>
    </w:p>
    <w:p w14:paraId="463D2CA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0F96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4C2C0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6E52CAB">
            <w:pPr>
              <w:jc w:val="center"/>
              <w:rPr>
                <w:rFonts w:ascii="黑体" w:eastAsia="黑体" w:cs="黑体"/>
                <w:b/>
                <w:bCs/>
                <w:color w:val="000000" w:themeColor="text1"/>
                <w:szCs w:val="21"/>
              </w:rPr>
            </w:pPr>
            <w:r>
              <w:rPr>
                <w:rFonts w:ascii="黑体" w:eastAsia="黑体" w:cs="黑体"/>
                <w:b/>
                <w:bCs/>
                <w:color w:val="000000" w:themeColor="text1"/>
                <w:szCs w:val="21"/>
              </w:rPr>
              <w:t>43</w:t>
            </w:r>
          </w:p>
        </w:tc>
        <w:tc>
          <w:tcPr>
            <w:tcW w:w="1691" w:type="dxa"/>
            <w:vAlign w:val="center"/>
          </w:tcPr>
          <w:p w14:paraId="3F36D46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B54DDF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2DDFB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0ACCC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2DB1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8F84F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9FF13A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对危险货物道路运输托运人未按照相关标准要求确定危险货物类别、项别、品名、编号的行政处罚</w:t>
            </w:r>
          </w:p>
        </w:tc>
      </w:tr>
      <w:tr w14:paraId="097C2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6871CD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FA45C7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FEC8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D562B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8A2FC1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号）第十条托运人应当按照《危险货物道路运输规则》（</w:t>
            </w:r>
            <w:r>
              <w:rPr>
                <w:rFonts w:ascii="仿宋_GB2312" w:eastAsia="仿宋_GB2312" w:cs="仿宋_GB2312"/>
                <w:color w:val="000000" w:themeColor="text1"/>
                <w:kern w:val="0"/>
                <w:sz w:val="18"/>
                <w:szCs w:val="18"/>
              </w:rPr>
              <w:t>JT/T 617</w:t>
            </w:r>
            <w:r>
              <w:rPr>
                <w:rFonts w:hint="eastAsia" w:ascii="仿宋_GB2312" w:eastAsia="仿宋_GB2312" w:cs="仿宋_GB2312"/>
                <w:color w:val="000000" w:themeColor="text1"/>
                <w:kern w:val="0"/>
                <w:sz w:val="18"/>
                <w:szCs w:val="18"/>
              </w:rPr>
              <w:t>）确定危险货物的类别、项别、品名、编号，遵守相关特殊规定要求。需要添加抑制剂或者稳定剂的，托运人应当按照规定添加，并将有关情况告知承运人。第五十八条交通运输主管部门对危险货物托运人违反本办法第十条，危险货物的类别、项别、品名、编号不符合相关标准要求的，应当责令改正，属于非经营性的，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元以下的罚款；属于经营性的，处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752E2159">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AAA8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210B5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D4453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4D8F1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17762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62F7C0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26D1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269EBE8">
            <w:pPr>
              <w:rPr>
                <w:color w:val="000000" w:themeColor="text1"/>
              </w:rPr>
            </w:pPr>
          </w:p>
        </w:tc>
        <w:tc>
          <w:tcPr>
            <w:tcW w:w="1110" w:type="dxa"/>
            <w:vAlign w:val="center"/>
          </w:tcPr>
          <w:p w14:paraId="3D0B9E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FC861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B706135">
            <w:pPr>
              <w:jc w:val="center"/>
              <w:rPr>
                <w:rFonts w:ascii="仿宋_GB2312" w:hAnsi="黑体" w:eastAsia="仿宋_GB2312" w:cs="黑体"/>
                <w:color w:val="000000" w:themeColor="text1"/>
                <w:sz w:val="18"/>
                <w:szCs w:val="18"/>
              </w:rPr>
            </w:pPr>
          </w:p>
        </w:tc>
        <w:tc>
          <w:tcPr>
            <w:tcW w:w="1406" w:type="dxa"/>
            <w:vAlign w:val="center"/>
          </w:tcPr>
          <w:p w14:paraId="213CF9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FBC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CE794EE">
            <w:pPr>
              <w:rPr>
                <w:color w:val="000000" w:themeColor="text1"/>
              </w:rPr>
            </w:pPr>
          </w:p>
        </w:tc>
        <w:tc>
          <w:tcPr>
            <w:tcW w:w="1110" w:type="dxa"/>
            <w:vAlign w:val="center"/>
          </w:tcPr>
          <w:p w14:paraId="61EA89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40290C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D20C73C">
            <w:pPr>
              <w:jc w:val="center"/>
              <w:rPr>
                <w:rFonts w:ascii="仿宋_GB2312" w:hAnsi="黑体" w:eastAsia="仿宋_GB2312" w:cs="黑体"/>
                <w:color w:val="000000" w:themeColor="text1"/>
                <w:sz w:val="18"/>
                <w:szCs w:val="18"/>
              </w:rPr>
            </w:pPr>
          </w:p>
        </w:tc>
        <w:tc>
          <w:tcPr>
            <w:tcW w:w="1406" w:type="dxa"/>
            <w:vAlign w:val="center"/>
          </w:tcPr>
          <w:p w14:paraId="58CF09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8BF2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21D8B25">
            <w:pPr>
              <w:rPr>
                <w:color w:val="000000" w:themeColor="text1"/>
              </w:rPr>
            </w:pPr>
          </w:p>
        </w:tc>
        <w:tc>
          <w:tcPr>
            <w:tcW w:w="1110" w:type="dxa"/>
            <w:vAlign w:val="center"/>
          </w:tcPr>
          <w:p w14:paraId="58916F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5BE52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30BF24B">
            <w:pPr>
              <w:jc w:val="center"/>
              <w:rPr>
                <w:rFonts w:ascii="仿宋_GB2312" w:hAnsi="黑体" w:eastAsia="仿宋_GB2312" w:cs="黑体"/>
                <w:color w:val="000000" w:themeColor="text1"/>
                <w:sz w:val="18"/>
                <w:szCs w:val="18"/>
              </w:rPr>
            </w:pPr>
          </w:p>
        </w:tc>
        <w:tc>
          <w:tcPr>
            <w:tcW w:w="1406" w:type="dxa"/>
            <w:vAlign w:val="center"/>
          </w:tcPr>
          <w:p w14:paraId="57BC97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37BF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4B21E92">
            <w:pPr>
              <w:rPr>
                <w:color w:val="000000" w:themeColor="text1"/>
              </w:rPr>
            </w:pPr>
          </w:p>
        </w:tc>
        <w:tc>
          <w:tcPr>
            <w:tcW w:w="1110" w:type="dxa"/>
            <w:vAlign w:val="center"/>
          </w:tcPr>
          <w:p w14:paraId="008086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9DDFE5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D23E0CB">
            <w:pPr>
              <w:jc w:val="center"/>
              <w:rPr>
                <w:rFonts w:ascii="仿宋_GB2312" w:hAnsi="黑体" w:eastAsia="仿宋_GB2312" w:cs="黑体"/>
                <w:color w:val="000000" w:themeColor="text1"/>
                <w:sz w:val="18"/>
                <w:szCs w:val="18"/>
              </w:rPr>
            </w:pPr>
          </w:p>
        </w:tc>
        <w:tc>
          <w:tcPr>
            <w:tcW w:w="1406" w:type="dxa"/>
            <w:vAlign w:val="center"/>
          </w:tcPr>
          <w:p w14:paraId="22E41D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FE7F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51C20C5">
            <w:pPr>
              <w:rPr>
                <w:color w:val="000000" w:themeColor="text1"/>
              </w:rPr>
            </w:pPr>
          </w:p>
        </w:tc>
        <w:tc>
          <w:tcPr>
            <w:tcW w:w="1110" w:type="dxa"/>
            <w:vAlign w:val="center"/>
          </w:tcPr>
          <w:p w14:paraId="4B2683A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89ABC6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4509F80">
            <w:pPr>
              <w:jc w:val="center"/>
              <w:rPr>
                <w:rFonts w:ascii="仿宋_GB2312" w:hAnsi="黑体" w:eastAsia="仿宋_GB2312" w:cs="黑体"/>
                <w:color w:val="000000" w:themeColor="text1"/>
                <w:sz w:val="18"/>
                <w:szCs w:val="18"/>
              </w:rPr>
            </w:pPr>
          </w:p>
        </w:tc>
        <w:tc>
          <w:tcPr>
            <w:tcW w:w="1406" w:type="dxa"/>
            <w:vAlign w:val="center"/>
          </w:tcPr>
          <w:p w14:paraId="77580E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A32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134D7D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340502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8B50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EF6CA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EA1EA1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7774E5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B10C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6967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CBCCE5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AE2C23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3CA0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780A98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62C6FAA">
            <w:pPr>
              <w:widowControl/>
              <w:jc w:val="left"/>
              <w:textAlignment w:val="center"/>
              <w:rPr>
                <w:rFonts w:ascii="黑体" w:eastAsia="黑体" w:cs="黑体"/>
                <w:color w:val="000000" w:themeColor="text1"/>
                <w:kern w:val="0"/>
                <w:sz w:val="18"/>
                <w:szCs w:val="18"/>
              </w:rPr>
            </w:pPr>
          </w:p>
        </w:tc>
      </w:tr>
    </w:tbl>
    <w:p w14:paraId="70ECCFFB">
      <w:pPr>
        <w:snapToGrid w:val="0"/>
        <w:spacing w:line="240" w:lineRule="atLeast"/>
        <w:rPr>
          <w:color w:val="000000" w:themeColor="text1"/>
        </w:rPr>
      </w:pPr>
    </w:p>
    <w:p w14:paraId="37BF6BD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873C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A8C32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B5B4967">
            <w:pPr>
              <w:jc w:val="center"/>
              <w:rPr>
                <w:rFonts w:ascii="黑体" w:eastAsia="黑体" w:cs="黑体"/>
                <w:b/>
                <w:bCs/>
                <w:color w:val="000000" w:themeColor="text1"/>
                <w:szCs w:val="21"/>
              </w:rPr>
            </w:pPr>
            <w:r>
              <w:rPr>
                <w:rFonts w:ascii="黑体" w:eastAsia="黑体" w:cs="黑体"/>
                <w:b/>
                <w:bCs/>
                <w:color w:val="000000" w:themeColor="text1"/>
                <w:szCs w:val="21"/>
              </w:rPr>
              <w:t>44</w:t>
            </w:r>
          </w:p>
        </w:tc>
        <w:tc>
          <w:tcPr>
            <w:tcW w:w="1691" w:type="dxa"/>
            <w:vAlign w:val="center"/>
          </w:tcPr>
          <w:p w14:paraId="046CAAB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E9B1EA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3F0AF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489850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E2C9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56935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11FC28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对危险化学品道路运输托运人未按照规定添加抑制剂或者稳定剂，或者未将有关情况告知承运人的行政处罚</w:t>
            </w:r>
          </w:p>
        </w:tc>
      </w:tr>
      <w:tr w14:paraId="74D8B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F196A1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A53C23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DCF9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329EEE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152C4FE">
            <w:pPr>
              <w:widowControl/>
              <w:spacing w:line="200" w:lineRule="exact"/>
              <w:jc w:val="left"/>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《危险化学品安全管理条例》（</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日修订</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）第八十六条第（七）项有下列情形之一的，由交通运输主管部门责令改正，处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万元以下的罚款；拒不改正的，责令停产停业整顿；构成犯罪的，依法追究刑事责任：（七）运输危险化学品需要添加抑制剂或者稳定剂，托运人未添加或者未将有关情况告知承运人的。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号）第十条托运人应当按照《危险货物道路运输规则》（</w:t>
            </w:r>
            <w:r>
              <w:rPr>
                <w:rFonts w:ascii="仿宋_GB2312" w:eastAsia="仿宋_GB2312" w:cs="仿宋_GB2312"/>
                <w:color w:val="000000" w:themeColor="text1"/>
                <w:kern w:val="0"/>
                <w:sz w:val="18"/>
                <w:szCs w:val="18"/>
              </w:rPr>
              <w:t>JT/T 617</w:t>
            </w:r>
            <w:r>
              <w:rPr>
                <w:rFonts w:hint="eastAsia" w:ascii="仿宋_GB2312" w:eastAsia="仿宋_GB2312" w:cs="仿宋_GB2312"/>
                <w:color w:val="000000" w:themeColor="text1"/>
                <w:kern w:val="0"/>
                <w:sz w:val="18"/>
                <w:szCs w:val="18"/>
              </w:rPr>
              <w:t>）确定危险货物的类别、项别、品名、编号，遵守相关特殊规定要求。需要添加抑制剂或者稳定剂的，托运人应当按照规定添加，并将有关情况告知承运人。第五十九条第（一）项交通运输主管部门对危险化学品托运人有下列情形之一的，应当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万元以下的罚款；拒不改正的，责令停产停业整顿：（一）违反本办法第十条，运输危险化学品需要添加抑制剂或者稳定剂，托运人未添加或者未将有关情况告知承运人的。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《道路危险货物运输管理规定》（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13</w:t>
            </w:r>
            <w:r>
              <w:rPr>
                <w:rFonts w:hint="eastAsia" w:ascii="仿宋_GB2312" w:eastAsia="仿宋_GB2312" w:cs="仿宋_GB2312"/>
                <w:color w:val="000000" w:themeColor="text1"/>
                <w:kern w:val="0"/>
                <w:sz w:val="18"/>
                <w:szCs w:val="18"/>
              </w:rPr>
              <w:t>号）第五十八条第（四）项违反本规定，道路危险货物运输企业或者单位以及托运人有下列情形之一的，由交通运输主管部门责令改正，并处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四</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运输危险化学品需要添加抑制剂或者稳定剂，托运人未添加或者未将有关情况告知承运人的。</w:t>
            </w:r>
          </w:p>
          <w:p w14:paraId="33D42B1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A7A9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63DC8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5F5E3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90E6C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333E2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5BA2D9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448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0FC5514">
            <w:pPr>
              <w:rPr>
                <w:color w:val="000000" w:themeColor="text1"/>
              </w:rPr>
            </w:pPr>
          </w:p>
        </w:tc>
        <w:tc>
          <w:tcPr>
            <w:tcW w:w="1110" w:type="dxa"/>
            <w:vAlign w:val="center"/>
          </w:tcPr>
          <w:p w14:paraId="2FB19B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277E6C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598F3FC">
            <w:pPr>
              <w:jc w:val="center"/>
              <w:rPr>
                <w:rFonts w:ascii="仿宋_GB2312" w:hAnsi="黑体" w:eastAsia="仿宋_GB2312" w:cs="黑体"/>
                <w:color w:val="000000" w:themeColor="text1"/>
                <w:sz w:val="18"/>
                <w:szCs w:val="18"/>
              </w:rPr>
            </w:pPr>
          </w:p>
        </w:tc>
        <w:tc>
          <w:tcPr>
            <w:tcW w:w="1406" w:type="dxa"/>
            <w:vAlign w:val="center"/>
          </w:tcPr>
          <w:p w14:paraId="022191B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7C2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B3778DE">
            <w:pPr>
              <w:rPr>
                <w:color w:val="000000" w:themeColor="text1"/>
              </w:rPr>
            </w:pPr>
          </w:p>
        </w:tc>
        <w:tc>
          <w:tcPr>
            <w:tcW w:w="1110" w:type="dxa"/>
            <w:vAlign w:val="center"/>
          </w:tcPr>
          <w:p w14:paraId="6002E6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26E4A7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51FA74D">
            <w:pPr>
              <w:jc w:val="center"/>
              <w:rPr>
                <w:rFonts w:ascii="仿宋_GB2312" w:hAnsi="黑体" w:eastAsia="仿宋_GB2312" w:cs="黑体"/>
                <w:color w:val="000000" w:themeColor="text1"/>
                <w:sz w:val="18"/>
                <w:szCs w:val="18"/>
              </w:rPr>
            </w:pPr>
          </w:p>
        </w:tc>
        <w:tc>
          <w:tcPr>
            <w:tcW w:w="1406" w:type="dxa"/>
            <w:vAlign w:val="center"/>
          </w:tcPr>
          <w:p w14:paraId="508930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64B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97D370D">
            <w:pPr>
              <w:rPr>
                <w:color w:val="000000" w:themeColor="text1"/>
              </w:rPr>
            </w:pPr>
          </w:p>
        </w:tc>
        <w:tc>
          <w:tcPr>
            <w:tcW w:w="1110" w:type="dxa"/>
            <w:vAlign w:val="center"/>
          </w:tcPr>
          <w:p w14:paraId="1E62D9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A7EA2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E598DDF">
            <w:pPr>
              <w:jc w:val="center"/>
              <w:rPr>
                <w:rFonts w:ascii="仿宋_GB2312" w:hAnsi="黑体" w:eastAsia="仿宋_GB2312" w:cs="黑体"/>
                <w:color w:val="000000" w:themeColor="text1"/>
                <w:sz w:val="18"/>
                <w:szCs w:val="18"/>
              </w:rPr>
            </w:pPr>
          </w:p>
        </w:tc>
        <w:tc>
          <w:tcPr>
            <w:tcW w:w="1406" w:type="dxa"/>
            <w:vAlign w:val="center"/>
          </w:tcPr>
          <w:p w14:paraId="2230F2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44E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7055424">
            <w:pPr>
              <w:rPr>
                <w:color w:val="000000" w:themeColor="text1"/>
              </w:rPr>
            </w:pPr>
          </w:p>
        </w:tc>
        <w:tc>
          <w:tcPr>
            <w:tcW w:w="1110" w:type="dxa"/>
            <w:vAlign w:val="center"/>
          </w:tcPr>
          <w:p w14:paraId="7F1716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ED514B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BDD109E">
            <w:pPr>
              <w:jc w:val="center"/>
              <w:rPr>
                <w:rFonts w:ascii="仿宋_GB2312" w:hAnsi="黑体" w:eastAsia="仿宋_GB2312" w:cs="黑体"/>
                <w:color w:val="000000" w:themeColor="text1"/>
                <w:sz w:val="18"/>
                <w:szCs w:val="18"/>
              </w:rPr>
            </w:pPr>
          </w:p>
        </w:tc>
        <w:tc>
          <w:tcPr>
            <w:tcW w:w="1406" w:type="dxa"/>
            <w:vAlign w:val="center"/>
          </w:tcPr>
          <w:p w14:paraId="5F72062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E52F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BF95553">
            <w:pPr>
              <w:rPr>
                <w:color w:val="000000" w:themeColor="text1"/>
              </w:rPr>
            </w:pPr>
          </w:p>
        </w:tc>
        <w:tc>
          <w:tcPr>
            <w:tcW w:w="1110" w:type="dxa"/>
            <w:vAlign w:val="center"/>
          </w:tcPr>
          <w:p w14:paraId="08EADF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B3B346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57D2B87">
            <w:pPr>
              <w:jc w:val="center"/>
              <w:rPr>
                <w:rFonts w:ascii="仿宋_GB2312" w:hAnsi="黑体" w:eastAsia="仿宋_GB2312" w:cs="黑体"/>
                <w:color w:val="000000" w:themeColor="text1"/>
                <w:sz w:val="18"/>
                <w:szCs w:val="18"/>
              </w:rPr>
            </w:pPr>
          </w:p>
        </w:tc>
        <w:tc>
          <w:tcPr>
            <w:tcW w:w="1406" w:type="dxa"/>
            <w:vAlign w:val="center"/>
          </w:tcPr>
          <w:p w14:paraId="66C9F6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D599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10" w:hRule="atLeast"/>
          <w:jc w:val="center"/>
        </w:trPr>
        <w:tc>
          <w:tcPr>
            <w:tcW w:w="943" w:type="dxa"/>
            <w:vAlign w:val="center"/>
          </w:tcPr>
          <w:p w14:paraId="22A7F57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7E0F2E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C1E4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E0E81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34C37E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15169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5DF8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45A69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542070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92E771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6CD8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943" w:type="dxa"/>
            <w:vAlign w:val="center"/>
          </w:tcPr>
          <w:p w14:paraId="72D7E8A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6D9BCFA">
            <w:pPr>
              <w:widowControl/>
              <w:jc w:val="left"/>
              <w:textAlignment w:val="center"/>
              <w:rPr>
                <w:rFonts w:ascii="黑体" w:eastAsia="黑体" w:cs="黑体"/>
                <w:color w:val="000000" w:themeColor="text1"/>
                <w:kern w:val="0"/>
                <w:sz w:val="18"/>
                <w:szCs w:val="18"/>
              </w:rPr>
            </w:pPr>
          </w:p>
        </w:tc>
      </w:tr>
    </w:tbl>
    <w:p w14:paraId="5EDC596D">
      <w:pPr>
        <w:snapToGrid w:val="0"/>
        <w:spacing w:line="240" w:lineRule="atLeast"/>
        <w:rPr>
          <w:color w:val="000000" w:themeColor="text1"/>
        </w:rPr>
      </w:pPr>
    </w:p>
    <w:p w14:paraId="438BFED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5EBE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C6D16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7BD3041">
            <w:pPr>
              <w:jc w:val="center"/>
              <w:rPr>
                <w:rFonts w:ascii="黑体" w:eastAsia="黑体" w:cs="黑体"/>
                <w:b/>
                <w:bCs/>
                <w:color w:val="000000" w:themeColor="text1"/>
                <w:szCs w:val="21"/>
              </w:rPr>
            </w:pPr>
            <w:r>
              <w:rPr>
                <w:rFonts w:ascii="黑体" w:eastAsia="黑体" w:cs="黑体"/>
                <w:b/>
                <w:bCs/>
                <w:color w:val="000000" w:themeColor="text1"/>
                <w:szCs w:val="21"/>
              </w:rPr>
              <w:t>45</w:t>
            </w:r>
          </w:p>
        </w:tc>
        <w:tc>
          <w:tcPr>
            <w:tcW w:w="1691" w:type="dxa"/>
            <w:vAlign w:val="center"/>
          </w:tcPr>
          <w:p w14:paraId="13B48BE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647A6D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CC904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919EC5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D630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C80FB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C8F183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对危险化学品道路运输企业或单位未根据危险化学品的危险特性采取相应安全防护措施或配备必要防护用品和应急救援器材的行政处罚</w:t>
            </w:r>
          </w:p>
        </w:tc>
      </w:tr>
      <w:tr w14:paraId="3731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4DF2A5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384EC1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2E7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75DDE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C8D43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《危险化学品安全管理条例》（</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日修订</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）第八十六条有下列情形之一的，由交通运输主管部门责令改正，处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二）运输危险化学品，未根据危险化学品的危险特性采取相应的安全防护措施，或者未配备必要的防护用品和应急救援器材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《道路危险货物运输管理规定》（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13</w:t>
            </w:r>
            <w:r>
              <w:rPr>
                <w:rFonts w:hint="eastAsia" w:ascii="仿宋_GB2312" w:eastAsia="仿宋_GB2312" w:cs="仿宋_GB2312"/>
                <w:color w:val="000000" w:themeColor="text1"/>
                <w:kern w:val="0"/>
                <w:sz w:val="18"/>
                <w:szCs w:val="18"/>
              </w:rPr>
              <w:t>号）第五十八条第三项　违反本规定，道路危险货物运输企业或者单位以及托运人有下列情形之一的，由交通运输主管部门责令改正，并处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万元以下的罚款，拒不改正的，责令停产停业整顿；构成犯罪的，依法追究刑事责任：（三）未根据危险化学品的危险特性采取相应的安全防护措施，或者未配备必要的防护用品和应急救援器材的。</w:t>
            </w:r>
          </w:p>
          <w:p w14:paraId="713AA8AE">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A8D1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9C87D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CC064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7837B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FE500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2741CE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35FE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ECCF03A">
            <w:pPr>
              <w:rPr>
                <w:color w:val="000000" w:themeColor="text1"/>
              </w:rPr>
            </w:pPr>
          </w:p>
        </w:tc>
        <w:tc>
          <w:tcPr>
            <w:tcW w:w="1110" w:type="dxa"/>
            <w:vAlign w:val="center"/>
          </w:tcPr>
          <w:p w14:paraId="26521A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192982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526C10C">
            <w:pPr>
              <w:jc w:val="center"/>
              <w:rPr>
                <w:rFonts w:ascii="仿宋_GB2312" w:hAnsi="黑体" w:eastAsia="仿宋_GB2312" w:cs="黑体"/>
                <w:color w:val="000000" w:themeColor="text1"/>
                <w:sz w:val="18"/>
                <w:szCs w:val="18"/>
              </w:rPr>
            </w:pPr>
          </w:p>
        </w:tc>
        <w:tc>
          <w:tcPr>
            <w:tcW w:w="1406" w:type="dxa"/>
            <w:vAlign w:val="center"/>
          </w:tcPr>
          <w:p w14:paraId="7B1A93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FD5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799762E">
            <w:pPr>
              <w:rPr>
                <w:color w:val="000000" w:themeColor="text1"/>
              </w:rPr>
            </w:pPr>
          </w:p>
        </w:tc>
        <w:tc>
          <w:tcPr>
            <w:tcW w:w="1110" w:type="dxa"/>
            <w:vAlign w:val="center"/>
          </w:tcPr>
          <w:p w14:paraId="7D4411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05DD9B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135F072">
            <w:pPr>
              <w:jc w:val="center"/>
              <w:rPr>
                <w:rFonts w:ascii="仿宋_GB2312" w:hAnsi="黑体" w:eastAsia="仿宋_GB2312" w:cs="黑体"/>
                <w:color w:val="000000" w:themeColor="text1"/>
                <w:sz w:val="18"/>
                <w:szCs w:val="18"/>
              </w:rPr>
            </w:pPr>
          </w:p>
        </w:tc>
        <w:tc>
          <w:tcPr>
            <w:tcW w:w="1406" w:type="dxa"/>
            <w:vAlign w:val="center"/>
          </w:tcPr>
          <w:p w14:paraId="0248CB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2F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B9C2A0C">
            <w:pPr>
              <w:rPr>
                <w:color w:val="000000" w:themeColor="text1"/>
              </w:rPr>
            </w:pPr>
          </w:p>
        </w:tc>
        <w:tc>
          <w:tcPr>
            <w:tcW w:w="1110" w:type="dxa"/>
            <w:vAlign w:val="center"/>
          </w:tcPr>
          <w:p w14:paraId="3C25F4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6BB58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4E88490">
            <w:pPr>
              <w:jc w:val="center"/>
              <w:rPr>
                <w:rFonts w:ascii="仿宋_GB2312" w:hAnsi="黑体" w:eastAsia="仿宋_GB2312" w:cs="黑体"/>
                <w:color w:val="000000" w:themeColor="text1"/>
                <w:sz w:val="18"/>
                <w:szCs w:val="18"/>
              </w:rPr>
            </w:pPr>
          </w:p>
        </w:tc>
        <w:tc>
          <w:tcPr>
            <w:tcW w:w="1406" w:type="dxa"/>
            <w:vAlign w:val="center"/>
          </w:tcPr>
          <w:p w14:paraId="020D7E8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94CA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145A703">
            <w:pPr>
              <w:rPr>
                <w:color w:val="000000" w:themeColor="text1"/>
              </w:rPr>
            </w:pPr>
          </w:p>
        </w:tc>
        <w:tc>
          <w:tcPr>
            <w:tcW w:w="1110" w:type="dxa"/>
            <w:vAlign w:val="center"/>
          </w:tcPr>
          <w:p w14:paraId="642838E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30AFCF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9DDD534">
            <w:pPr>
              <w:jc w:val="center"/>
              <w:rPr>
                <w:rFonts w:ascii="仿宋_GB2312" w:hAnsi="黑体" w:eastAsia="仿宋_GB2312" w:cs="黑体"/>
                <w:color w:val="000000" w:themeColor="text1"/>
                <w:sz w:val="18"/>
                <w:szCs w:val="18"/>
              </w:rPr>
            </w:pPr>
          </w:p>
        </w:tc>
        <w:tc>
          <w:tcPr>
            <w:tcW w:w="1406" w:type="dxa"/>
            <w:vAlign w:val="center"/>
          </w:tcPr>
          <w:p w14:paraId="2C6A79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7FD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4" w:hRule="atLeast"/>
          <w:jc w:val="center"/>
        </w:trPr>
        <w:tc>
          <w:tcPr>
            <w:tcW w:w="943" w:type="dxa"/>
            <w:vMerge w:val="continue"/>
            <w:vAlign w:val="center"/>
          </w:tcPr>
          <w:p w14:paraId="2B5F5552">
            <w:pPr>
              <w:rPr>
                <w:color w:val="000000" w:themeColor="text1"/>
              </w:rPr>
            </w:pPr>
          </w:p>
        </w:tc>
        <w:tc>
          <w:tcPr>
            <w:tcW w:w="1110" w:type="dxa"/>
            <w:vAlign w:val="center"/>
          </w:tcPr>
          <w:p w14:paraId="3A5724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8A4D16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9F4F5FE">
            <w:pPr>
              <w:jc w:val="center"/>
              <w:rPr>
                <w:rFonts w:ascii="仿宋_GB2312" w:hAnsi="黑体" w:eastAsia="仿宋_GB2312" w:cs="黑体"/>
                <w:color w:val="000000" w:themeColor="text1"/>
                <w:sz w:val="18"/>
                <w:szCs w:val="18"/>
              </w:rPr>
            </w:pPr>
          </w:p>
        </w:tc>
        <w:tc>
          <w:tcPr>
            <w:tcW w:w="1406" w:type="dxa"/>
            <w:vAlign w:val="center"/>
          </w:tcPr>
          <w:p w14:paraId="3630CA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0C0C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563AED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25F75B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2978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46846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AC146F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A95289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85C5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09B7E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413A78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B5550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E4DF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D1A486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E6A6E3F">
            <w:pPr>
              <w:widowControl/>
              <w:jc w:val="left"/>
              <w:textAlignment w:val="center"/>
              <w:rPr>
                <w:rFonts w:ascii="黑体" w:eastAsia="黑体" w:cs="黑体"/>
                <w:color w:val="000000" w:themeColor="text1"/>
                <w:kern w:val="0"/>
                <w:sz w:val="18"/>
                <w:szCs w:val="18"/>
              </w:rPr>
            </w:pPr>
          </w:p>
        </w:tc>
      </w:tr>
    </w:tbl>
    <w:p w14:paraId="28BFA8D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BB3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2BAEF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09AE426">
            <w:pPr>
              <w:jc w:val="center"/>
              <w:rPr>
                <w:rFonts w:ascii="黑体" w:eastAsia="黑体" w:cs="黑体"/>
                <w:b/>
                <w:bCs/>
                <w:color w:val="000000" w:themeColor="text1"/>
                <w:szCs w:val="21"/>
              </w:rPr>
            </w:pPr>
            <w:r>
              <w:rPr>
                <w:rFonts w:ascii="黑体" w:eastAsia="黑体" w:cs="黑体"/>
                <w:b/>
                <w:bCs/>
                <w:color w:val="000000" w:themeColor="text1"/>
                <w:szCs w:val="21"/>
              </w:rPr>
              <w:t>46</w:t>
            </w:r>
          </w:p>
        </w:tc>
        <w:tc>
          <w:tcPr>
            <w:tcW w:w="1691" w:type="dxa"/>
            <w:vAlign w:val="center"/>
          </w:tcPr>
          <w:p w14:paraId="7F1B86D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2483B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65031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5B2E09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B50D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3781A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89A6A8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对危险化学品道路运输托运人未按照规定包装危险化学品并在外包装设置相应标志的行政处罚</w:t>
            </w:r>
          </w:p>
        </w:tc>
      </w:tr>
      <w:tr w14:paraId="56EB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0CBE7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3C3BCF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6D23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DF4E189">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D0CF2DB">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《危险化学品安全管理条例》（</w:t>
            </w:r>
            <w:r>
              <w:rPr>
                <w:rFonts w:ascii="仿宋_GB2312" w:eastAsia="仿宋_GB2312" w:cs="仿宋_GB2312"/>
                <w:color w:val="000000" w:themeColor="text1"/>
                <w:kern w:val="0"/>
                <w:sz w:val="18"/>
                <w:szCs w:val="18"/>
              </w:rPr>
              <w:t>2013</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日修订</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）第八十六条第（六）项有下列情形之一的，由交通运输主管部门责令改正，处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六）托运人不向承运人说明所托运的危险化学品的种类、数量、危险特性以及发生危险情况的应急处置措施，或者未按照国家有关规定对所托运的危险化学品妥善包装并在外包装上设置相应标志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号）第十二条托运人应当按照《危险货物道路运输规则》（</w:t>
            </w:r>
            <w:r>
              <w:rPr>
                <w:rFonts w:ascii="仿宋_GB2312" w:eastAsia="仿宋_GB2312" w:cs="仿宋_GB2312"/>
                <w:color w:val="000000" w:themeColor="text1"/>
                <w:kern w:val="0"/>
                <w:sz w:val="18"/>
                <w:szCs w:val="18"/>
              </w:rPr>
              <w:t>JT/T 617</w:t>
            </w:r>
            <w:r>
              <w:rPr>
                <w:rFonts w:hint="eastAsia" w:ascii="仿宋_GB2312" w:eastAsia="仿宋_GB2312" w:cs="仿宋_GB2312"/>
                <w:color w:val="000000" w:themeColor="text1"/>
                <w:kern w:val="0"/>
                <w:sz w:val="18"/>
                <w:szCs w:val="18"/>
              </w:rPr>
              <w:t>）妥善包装危险货物，并在外包装设置相应的危险货物标志。第五十九条第（二）项交通运输主管部门对危险化学品托运人有下列情形之一的，应当责令改正，处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万元以下的罚款；拒不改正的，责令停产停业整顿：（二）违反本办法第十二条，未按照要求对所托运的危险化学品妥善包装并在外包装设置相应标志的。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《道路危险货物运输管理规定》（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13</w:t>
            </w:r>
            <w:r>
              <w:rPr>
                <w:rFonts w:hint="eastAsia" w:ascii="仿宋_GB2312" w:eastAsia="仿宋_GB2312" w:cs="仿宋_GB2312"/>
                <w:color w:val="000000" w:themeColor="text1"/>
                <w:kern w:val="0"/>
                <w:sz w:val="18"/>
                <w:szCs w:val="18"/>
              </w:rPr>
              <w:t>号）第五十八条第二项违反本规定，道路危险货物运输企业或者单位以及托运人有下列情形之一的，由交通运输主管部门责令改正，并处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拒不改正的，责令停产停业整顿；构成犯罪的，依法追究刑事责任：（二）托运人不向承运人说明所托运的危险化学品的种类、数量、危险特性以及发生危险情况的应急处置措施，或者未按照国家有关规定对所托运的危险化学品妥善包装并在外包装上设置相应标志的。</w:t>
            </w:r>
          </w:p>
          <w:p w14:paraId="254EEB5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0CA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53565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1B22F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10F8C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B6605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AC61F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0B3A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75" w:hRule="atLeast"/>
          <w:jc w:val="center"/>
        </w:trPr>
        <w:tc>
          <w:tcPr>
            <w:tcW w:w="943" w:type="dxa"/>
            <w:vMerge w:val="continue"/>
            <w:vAlign w:val="center"/>
          </w:tcPr>
          <w:p w14:paraId="4800765A">
            <w:pPr>
              <w:rPr>
                <w:color w:val="000000" w:themeColor="text1"/>
              </w:rPr>
            </w:pPr>
          </w:p>
        </w:tc>
        <w:tc>
          <w:tcPr>
            <w:tcW w:w="1110" w:type="dxa"/>
            <w:vAlign w:val="center"/>
          </w:tcPr>
          <w:p w14:paraId="75C49A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E8910F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4C40EB5">
            <w:pPr>
              <w:jc w:val="center"/>
              <w:rPr>
                <w:rFonts w:ascii="仿宋_GB2312" w:hAnsi="黑体" w:eastAsia="仿宋_GB2312" w:cs="黑体"/>
                <w:color w:val="000000" w:themeColor="text1"/>
                <w:sz w:val="18"/>
                <w:szCs w:val="18"/>
              </w:rPr>
            </w:pPr>
          </w:p>
        </w:tc>
        <w:tc>
          <w:tcPr>
            <w:tcW w:w="1406" w:type="dxa"/>
            <w:vAlign w:val="center"/>
          </w:tcPr>
          <w:p w14:paraId="4E1924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121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C582F64">
            <w:pPr>
              <w:rPr>
                <w:color w:val="000000" w:themeColor="text1"/>
              </w:rPr>
            </w:pPr>
          </w:p>
        </w:tc>
        <w:tc>
          <w:tcPr>
            <w:tcW w:w="1110" w:type="dxa"/>
            <w:vAlign w:val="center"/>
          </w:tcPr>
          <w:p w14:paraId="0C6BAE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D9687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9C51E82">
            <w:pPr>
              <w:jc w:val="center"/>
              <w:rPr>
                <w:rFonts w:ascii="仿宋_GB2312" w:hAnsi="黑体" w:eastAsia="仿宋_GB2312" w:cs="黑体"/>
                <w:color w:val="000000" w:themeColor="text1"/>
                <w:sz w:val="18"/>
                <w:szCs w:val="18"/>
              </w:rPr>
            </w:pPr>
          </w:p>
        </w:tc>
        <w:tc>
          <w:tcPr>
            <w:tcW w:w="1406" w:type="dxa"/>
            <w:vAlign w:val="center"/>
          </w:tcPr>
          <w:p w14:paraId="0193DC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02A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F8762A2">
            <w:pPr>
              <w:rPr>
                <w:color w:val="000000" w:themeColor="text1"/>
              </w:rPr>
            </w:pPr>
          </w:p>
        </w:tc>
        <w:tc>
          <w:tcPr>
            <w:tcW w:w="1110" w:type="dxa"/>
            <w:vAlign w:val="center"/>
          </w:tcPr>
          <w:p w14:paraId="20606F0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ADF9EB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DF55B5D">
            <w:pPr>
              <w:jc w:val="center"/>
              <w:rPr>
                <w:rFonts w:ascii="仿宋_GB2312" w:hAnsi="黑体" w:eastAsia="仿宋_GB2312" w:cs="黑体"/>
                <w:color w:val="000000" w:themeColor="text1"/>
                <w:sz w:val="18"/>
                <w:szCs w:val="18"/>
              </w:rPr>
            </w:pPr>
          </w:p>
        </w:tc>
        <w:tc>
          <w:tcPr>
            <w:tcW w:w="1406" w:type="dxa"/>
            <w:vAlign w:val="center"/>
          </w:tcPr>
          <w:p w14:paraId="3ECBA9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F79B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8A2ADF4">
            <w:pPr>
              <w:rPr>
                <w:color w:val="000000" w:themeColor="text1"/>
              </w:rPr>
            </w:pPr>
          </w:p>
        </w:tc>
        <w:tc>
          <w:tcPr>
            <w:tcW w:w="1110" w:type="dxa"/>
            <w:vAlign w:val="center"/>
          </w:tcPr>
          <w:p w14:paraId="4ACFA5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3A38EA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210CB70">
            <w:pPr>
              <w:jc w:val="center"/>
              <w:rPr>
                <w:rFonts w:ascii="仿宋_GB2312" w:hAnsi="黑体" w:eastAsia="仿宋_GB2312" w:cs="黑体"/>
                <w:color w:val="000000" w:themeColor="text1"/>
                <w:sz w:val="18"/>
                <w:szCs w:val="18"/>
              </w:rPr>
            </w:pPr>
          </w:p>
        </w:tc>
        <w:tc>
          <w:tcPr>
            <w:tcW w:w="1406" w:type="dxa"/>
            <w:vAlign w:val="center"/>
          </w:tcPr>
          <w:p w14:paraId="44AC93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FBF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4" w:hRule="atLeast"/>
          <w:jc w:val="center"/>
        </w:trPr>
        <w:tc>
          <w:tcPr>
            <w:tcW w:w="943" w:type="dxa"/>
            <w:vMerge w:val="continue"/>
            <w:vAlign w:val="center"/>
          </w:tcPr>
          <w:p w14:paraId="64EAB14E">
            <w:pPr>
              <w:rPr>
                <w:color w:val="000000" w:themeColor="text1"/>
              </w:rPr>
            </w:pPr>
          </w:p>
        </w:tc>
        <w:tc>
          <w:tcPr>
            <w:tcW w:w="1110" w:type="dxa"/>
            <w:vAlign w:val="center"/>
          </w:tcPr>
          <w:p w14:paraId="7AACFD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57AE28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7F0076C">
            <w:pPr>
              <w:jc w:val="center"/>
              <w:rPr>
                <w:rFonts w:ascii="仿宋_GB2312" w:hAnsi="黑体" w:eastAsia="仿宋_GB2312" w:cs="黑体"/>
                <w:color w:val="000000" w:themeColor="text1"/>
                <w:sz w:val="18"/>
                <w:szCs w:val="18"/>
              </w:rPr>
            </w:pPr>
          </w:p>
        </w:tc>
        <w:tc>
          <w:tcPr>
            <w:tcW w:w="1406" w:type="dxa"/>
            <w:vAlign w:val="center"/>
          </w:tcPr>
          <w:p w14:paraId="027D5B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607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45" w:hRule="atLeast"/>
          <w:jc w:val="center"/>
        </w:trPr>
        <w:tc>
          <w:tcPr>
            <w:tcW w:w="943" w:type="dxa"/>
            <w:vAlign w:val="center"/>
          </w:tcPr>
          <w:p w14:paraId="3CB3CA8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73934C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486A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ECF16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A91011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C9B462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1E4C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19FD5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AD0353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46F786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CCE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7" w:hRule="atLeast"/>
          <w:jc w:val="center"/>
        </w:trPr>
        <w:tc>
          <w:tcPr>
            <w:tcW w:w="943" w:type="dxa"/>
            <w:vAlign w:val="center"/>
          </w:tcPr>
          <w:p w14:paraId="70FE536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4C03CDF">
            <w:pPr>
              <w:widowControl/>
              <w:jc w:val="left"/>
              <w:textAlignment w:val="center"/>
              <w:rPr>
                <w:rFonts w:ascii="黑体" w:eastAsia="黑体" w:cs="黑体"/>
                <w:color w:val="000000" w:themeColor="text1"/>
                <w:kern w:val="0"/>
                <w:sz w:val="18"/>
                <w:szCs w:val="18"/>
              </w:rPr>
            </w:pPr>
          </w:p>
        </w:tc>
      </w:tr>
    </w:tbl>
    <w:p w14:paraId="52D1C7D5">
      <w:pPr>
        <w:rPr>
          <w:color w:val="000000" w:themeColor="text1"/>
          <w:sz w:val="24"/>
        </w:rPr>
      </w:pPr>
    </w:p>
    <w:p w14:paraId="5BD3DD7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64F6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C7E09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C2F0821">
            <w:pPr>
              <w:jc w:val="center"/>
              <w:rPr>
                <w:rFonts w:ascii="黑体" w:eastAsia="黑体" w:cs="黑体"/>
                <w:b/>
                <w:bCs/>
                <w:color w:val="000000" w:themeColor="text1"/>
                <w:szCs w:val="21"/>
              </w:rPr>
            </w:pPr>
            <w:r>
              <w:rPr>
                <w:rFonts w:ascii="黑体" w:eastAsia="黑体" w:cs="黑体"/>
                <w:b/>
                <w:bCs/>
                <w:color w:val="000000" w:themeColor="text1"/>
                <w:szCs w:val="21"/>
              </w:rPr>
              <w:t>47</w:t>
            </w:r>
          </w:p>
        </w:tc>
        <w:tc>
          <w:tcPr>
            <w:tcW w:w="1691" w:type="dxa"/>
            <w:vAlign w:val="center"/>
          </w:tcPr>
          <w:p w14:paraId="035910B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288E74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0296D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B5F6A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D0B7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CED89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3ED991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对危险货物道路运输承运人未按照规定范围承运危险货物行为的行政处罚</w:t>
            </w:r>
          </w:p>
        </w:tc>
      </w:tr>
      <w:tr w14:paraId="0D2FF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A84321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55F10A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3BC2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6BE5E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CDFA42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二十三条危险货物承运人应当使用安全技术条件符合国家标准要求且与承运危险货物性质、重量相匹配的车辆、设备进行运输。危险货物承运人使用常压液体危险货物罐式车辆运输危险货物的，应当在罐式车辆罐体的适装介质列表范围内承运；使用移动式压力容器运输危险货物的，应当按照移动式压力容器使用登记证上限定的介质承运。危险货物承运人应当按照运输车辆的核定载质量装载危险货物，不得超载。第六十条第（一）项交通运输主管部门对危险货物承运人有下列情形之一的，应当责令改正，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元以下的罚款：（一）违反本办法第二十三条，未在罐式车辆罐体的适装介质列表范围内或者移动式压力容器使用登记证上限定的介质承运危险货物的。</w:t>
            </w:r>
          </w:p>
          <w:p w14:paraId="6DE3711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BD87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82BF3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73DB1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60051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DDD8B4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3F6859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DAF0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06A2C9C">
            <w:pPr>
              <w:rPr>
                <w:color w:val="000000" w:themeColor="text1"/>
              </w:rPr>
            </w:pPr>
          </w:p>
        </w:tc>
        <w:tc>
          <w:tcPr>
            <w:tcW w:w="1110" w:type="dxa"/>
            <w:vAlign w:val="center"/>
          </w:tcPr>
          <w:p w14:paraId="1A5100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22C87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04C109A">
            <w:pPr>
              <w:jc w:val="center"/>
              <w:rPr>
                <w:rFonts w:ascii="仿宋_GB2312" w:hAnsi="黑体" w:eastAsia="仿宋_GB2312" w:cs="黑体"/>
                <w:color w:val="000000" w:themeColor="text1"/>
                <w:sz w:val="18"/>
                <w:szCs w:val="18"/>
              </w:rPr>
            </w:pPr>
          </w:p>
        </w:tc>
        <w:tc>
          <w:tcPr>
            <w:tcW w:w="1406" w:type="dxa"/>
            <w:vAlign w:val="center"/>
          </w:tcPr>
          <w:p w14:paraId="12CFF6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9BF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7FF7FE4">
            <w:pPr>
              <w:rPr>
                <w:color w:val="000000" w:themeColor="text1"/>
              </w:rPr>
            </w:pPr>
          </w:p>
        </w:tc>
        <w:tc>
          <w:tcPr>
            <w:tcW w:w="1110" w:type="dxa"/>
            <w:vAlign w:val="center"/>
          </w:tcPr>
          <w:p w14:paraId="659AE8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EED5AD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0F515BE">
            <w:pPr>
              <w:jc w:val="center"/>
              <w:rPr>
                <w:rFonts w:ascii="仿宋_GB2312" w:hAnsi="黑体" w:eastAsia="仿宋_GB2312" w:cs="黑体"/>
                <w:color w:val="000000" w:themeColor="text1"/>
                <w:sz w:val="18"/>
                <w:szCs w:val="18"/>
              </w:rPr>
            </w:pPr>
          </w:p>
        </w:tc>
        <w:tc>
          <w:tcPr>
            <w:tcW w:w="1406" w:type="dxa"/>
            <w:vAlign w:val="center"/>
          </w:tcPr>
          <w:p w14:paraId="2DD63A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C3C1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D8601D9">
            <w:pPr>
              <w:rPr>
                <w:color w:val="000000" w:themeColor="text1"/>
              </w:rPr>
            </w:pPr>
          </w:p>
        </w:tc>
        <w:tc>
          <w:tcPr>
            <w:tcW w:w="1110" w:type="dxa"/>
            <w:vAlign w:val="center"/>
          </w:tcPr>
          <w:p w14:paraId="7E768EC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8F11BD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3823185">
            <w:pPr>
              <w:jc w:val="center"/>
              <w:rPr>
                <w:rFonts w:ascii="仿宋_GB2312" w:hAnsi="黑体" w:eastAsia="仿宋_GB2312" w:cs="黑体"/>
                <w:color w:val="000000" w:themeColor="text1"/>
                <w:sz w:val="18"/>
                <w:szCs w:val="18"/>
              </w:rPr>
            </w:pPr>
          </w:p>
        </w:tc>
        <w:tc>
          <w:tcPr>
            <w:tcW w:w="1406" w:type="dxa"/>
            <w:vAlign w:val="center"/>
          </w:tcPr>
          <w:p w14:paraId="0744DF3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0D00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EAFACEA">
            <w:pPr>
              <w:rPr>
                <w:color w:val="000000" w:themeColor="text1"/>
              </w:rPr>
            </w:pPr>
          </w:p>
        </w:tc>
        <w:tc>
          <w:tcPr>
            <w:tcW w:w="1110" w:type="dxa"/>
            <w:vAlign w:val="center"/>
          </w:tcPr>
          <w:p w14:paraId="6945C0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332F3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EA90839">
            <w:pPr>
              <w:jc w:val="center"/>
              <w:rPr>
                <w:rFonts w:ascii="仿宋_GB2312" w:hAnsi="黑体" w:eastAsia="仿宋_GB2312" w:cs="黑体"/>
                <w:color w:val="000000" w:themeColor="text1"/>
                <w:sz w:val="18"/>
                <w:szCs w:val="18"/>
              </w:rPr>
            </w:pPr>
          </w:p>
        </w:tc>
        <w:tc>
          <w:tcPr>
            <w:tcW w:w="1406" w:type="dxa"/>
            <w:vAlign w:val="center"/>
          </w:tcPr>
          <w:p w14:paraId="53B929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35A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A5500BD">
            <w:pPr>
              <w:rPr>
                <w:color w:val="000000" w:themeColor="text1"/>
              </w:rPr>
            </w:pPr>
          </w:p>
        </w:tc>
        <w:tc>
          <w:tcPr>
            <w:tcW w:w="1110" w:type="dxa"/>
            <w:vAlign w:val="center"/>
          </w:tcPr>
          <w:p w14:paraId="14B212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64015C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B8DC660">
            <w:pPr>
              <w:jc w:val="center"/>
              <w:rPr>
                <w:rFonts w:ascii="仿宋_GB2312" w:hAnsi="黑体" w:eastAsia="仿宋_GB2312" w:cs="黑体"/>
                <w:color w:val="000000" w:themeColor="text1"/>
                <w:sz w:val="18"/>
                <w:szCs w:val="18"/>
              </w:rPr>
            </w:pPr>
          </w:p>
        </w:tc>
        <w:tc>
          <w:tcPr>
            <w:tcW w:w="1406" w:type="dxa"/>
            <w:vAlign w:val="center"/>
          </w:tcPr>
          <w:p w14:paraId="3A44038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D1D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65" w:hRule="atLeast"/>
          <w:jc w:val="center"/>
        </w:trPr>
        <w:tc>
          <w:tcPr>
            <w:tcW w:w="943" w:type="dxa"/>
            <w:vAlign w:val="center"/>
          </w:tcPr>
          <w:p w14:paraId="05F4591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C1E646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CE3D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139E1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B44F14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C85B06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96D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5796A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7DBCB5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455160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9E09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692EA8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3F630AB">
            <w:pPr>
              <w:widowControl/>
              <w:jc w:val="left"/>
              <w:textAlignment w:val="center"/>
              <w:rPr>
                <w:rFonts w:ascii="黑体" w:eastAsia="黑体" w:cs="黑体"/>
                <w:color w:val="000000" w:themeColor="text1"/>
                <w:kern w:val="0"/>
                <w:sz w:val="18"/>
                <w:szCs w:val="18"/>
              </w:rPr>
            </w:pPr>
          </w:p>
        </w:tc>
      </w:tr>
    </w:tbl>
    <w:p w14:paraId="11C38F66">
      <w:pPr>
        <w:snapToGrid w:val="0"/>
        <w:spacing w:line="240" w:lineRule="atLeast"/>
        <w:rPr>
          <w:color w:val="000000" w:themeColor="text1"/>
        </w:rPr>
      </w:pPr>
    </w:p>
    <w:p w14:paraId="4352A13A">
      <w:pPr>
        <w:snapToGrid w:val="0"/>
        <w:spacing w:line="240" w:lineRule="atLeast"/>
        <w:rPr>
          <w:color w:val="000000" w:themeColor="text1"/>
        </w:rPr>
      </w:pPr>
    </w:p>
    <w:p w14:paraId="7BCCFBF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F9F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9EB62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ABEB7AA">
            <w:pPr>
              <w:jc w:val="center"/>
              <w:rPr>
                <w:rFonts w:ascii="黑体" w:eastAsia="黑体" w:cs="黑体"/>
                <w:b/>
                <w:bCs/>
                <w:color w:val="000000" w:themeColor="text1"/>
                <w:szCs w:val="21"/>
              </w:rPr>
            </w:pPr>
            <w:r>
              <w:rPr>
                <w:rFonts w:ascii="黑体" w:eastAsia="黑体" w:cs="黑体"/>
                <w:b/>
                <w:bCs/>
                <w:color w:val="000000" w:themeColor="text1"/>
                <w:szCs w:val="21"/>
              </w:rPr>
              <w:t>48</w:t>
            </w:r>
          </w:p>
        </w:tc>
        <w:tc>
          <w:tcPr>
            <w:tcW w:w="1691" w:type="dxa"/>
            <w:vAlign w:val="center"/>
          </w:tcPr>
          <w:p w14:paraId="259EAEB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9BE2F4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C274F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1AE7D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1AC0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98717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D36FDB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对危险货物道路运输承运人未按照规定制作和保存危险货物运单的行政处罚</w:t>
            </w:r>
          </w:p>
        </w:tc>
      </w:tr>
      <w:tr w14:paraId="03DB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80BA3B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86A0C0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3FBB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6942D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675E5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号）第二十四条危险货物承运人应当制作危险货物运单，并交由驾驶人随车携带。危险货物运单应当妥善保存，保存期限不得少于</w:t>
            </w:r>
            <w:r>
              <w:rPr>
                <w:rFonts w:ascii="仿宋_GB2312" w:eastAsia="仿宋_GB2312" w:cs="仿宋_GB2312"/>
                <w:color w:val="000000" w:themeColor="text1"/>
                <w:kern w:val="0"/>
                <w:sz w:val="18"/>
                <w:szCs w:val="18"/>
              </w:rPr>
              <w:t>12</w:t>
            </w:r>
            <w:r>
              <w:rPr>
                <w:rFonts w:hint="eastAsia" w:ascii="仿宋_GB2312" w:eastAsia="仿宋_GB2312" w:cs="仿宋_GB2312"/>
                <w:color w:val="000000" w:themeColor="text1"/>
                <w:kern w:val="0"/>
                <w:sz w:val="18"/>
                <w:szCs w:val="18"/>
              </w:rPr>
              <w:t>个月。危险货物运单格式由国务院交通运输主管部门统一制定。危险货物运单可以是电子或者纸质形式。运输危险废物的企业还应当填写并随车携带电子或者纸质形式的危险废物转移联单。第六十条第（二）项交通运输主管部门对危险货物承运人有下列情形之一的，应当责令改正，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元以下的罚款：（二）违反本办法第二十四条，未按照规定制作危险货物运单或者保存期限不符合要求的。</w:t>
            </w:r>
          </w:p>
          <w:p w14:paraId="5C3D499B">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58D6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6A3AD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4B0E7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BAB32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75DDB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14AD05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A90A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25" w:hRule="atLeast"/>
          <w:jc w:val="center"/>
        </w:trPr>
        <w:tc>
          <w:tcPr>
            <w:tcW w:w="943" w:type="dxa"/>
            <w:vMerge w:val="continue"/>
            <w:vAlign w:val="center"/>
          </w:tcPr>
          <w:p w14:paraId="6D7D2F3B">
            <w:pPr>
              <w:rPr>
                <w:color w:val="000000" w:themeColor="text1"/>
              </w:rPr>
            </w:pPr>
          </w:p>
        </w:tc>
        <w:tc>
          <w:tcPr>
            <w:tcW w:w="1110" w:type="dxa"/>
            <w:vAlign w:val="center"/>
          </w:tcPr>
          <w:p w14:paraId="1747CC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A5EB8D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B74402B">
            <w:pPr>
              <w:jc w:val="center"/>
              <w:rPr>
                <w:rFonts w:ascii="仿宋_GB2312" w:hAnsi="黑体" w:eastAsia="仿宋_GB2312" w:cs="黑体"/>
                <w:color w:val="000000" w:themeColor="text1"/>
                <w:sz w:val="18"/>
                <w:szCs w:val="18"/>
              </w:rPr>
            </w:pPr>
          </w:p>
        </w:tc>
        <w:tc>
          <w:tcPr>
            <w:tcW w:w="1406" w:type="dxa"/>
            <w:vAlign w:val="center"/>
          </w:tcPr>
          <w:p w14:paraId="045B92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30C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22AE3D1">
            <w:pPr>
              <w:rPr>
                <w:color w:val="000000" w:themeColor="text1"/>
              </w:rPr>
            </w:pPr>
          </w:p>
        </w:tc>
        <w:tc>
          <w:tcPr>
            <w:tcW w:w="1110" w:type="dxa"/>
            <w:vAlign w:val="center"/>
          </w:tcPr>
          <w:p w14:paraId="3038D27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F37BF6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EF06DE5">
            <w:pPr>
              <w:jc w:val="center"/>
              <w:rPr>
                <w:rFonts w:ascii="仿宋_GB2312" w:hAnsi="黑体" w:eastAsia="仿宋_GB2312" w:cs="黑体"/>
                <w:color w:val="000000" w:themeColor="text1"/>
                <w:sz w:val="18"/>
                <w:szCs w:val="18"/>
              </w:rPr>
            </w:pPr>
          </w:p>
        </w:tc>
        <w:tc>
          <w:tcPr>
            <w:tcW w:w="1406" w:type="dxa"/>
            <w:vAlign w:val="center"/>
          </w:tcPr>
          <w:p w14:paraId="7A6953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565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F6C2A19">
            <w:pPr>
              <w:rPr>
                <w:color w:val="000000" w:themeColor="text1"/>
              </w:rPr>
            </w:pPr>
          </w:p>
        </w:tc>
        <w:tc>
          <w:tcPr>
            <w:tcW w:w="1110" w:type="dxa"/>
            <w:vAlign w:val="center"/>
          </w:tcPr>
          <w:p w14:paraId="11AFF72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DEC0E9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BE8C9C2">
            <w:pPr>
              <w:jc w:val="center"/>
              <w:rPr>
                <w:rFonts w:ascii="仿宋_GB2312" w:hAnsi="黑体" w:eastAsia="仿宋_GB2312" w:cs="黑体"/>
                <w:color w:val="000000" w:themeColor="text1"/>
                <w:sz w:val="18"/>
                <w:szCs w:val="18"/>
              </w:rPr>
            </w:pPr>
          </w:p>
        </w:tc>
        <w:tc>
          <w:tcPr>
            <w:tcW w:w="1406" w:type="dxa"/>
            <w:vAlign w:val="center"/>
          </w:tcPr>
          <w:p w14:paraId="2A2783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8ABF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7A91CD6">
            <w:pPr>
              <w:rPr>
                <w:color w:val="000000" w:themeColor="text1"/>
              </w:rPr>
            </w:pPr>
          </w:p>
        </w:tc>
        <w:tc>
          <w:tcPr>
            <w:tcW w:w="1110" w:type="dxa"/>
            <w:vAlign w:val="center"/>
          </w:tcPr>
          <w:p w14:paraId="4CC27E2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3A563C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301B6F2">
            <w:pPr>
              <w:jc w:val="center"/>
              <w:rPr>
                <w:rFonts w:ascii="仿宋_GB2312" w:hAnsi="黑体" w:eastAsia="仿宋_GB2312" w:cs="黑体"/>
                <w:color w:val="000000" w:themeColor="text1"/>
                <w:sz w:val="18"/>
                <w:szCs w:val="18"/>
              </w:rPr>
            </w:pPr>
          </w:p>
        </w:tc>
        <w:tc>
          <w:tcPr>
            <w:tcW w:w="1406" w:type="dxa"/>
            <w:vAlign w:val="center"/>
          </w:tcPr>
          <w:p w14:paraId="0FB1C7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B9A8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79EB53C">
            <w:pPr>
              <w:rPr>
                <w:color w:val="000000" w:themeColor="text1"/>
              </w:rPr>
            </w:pPr>
          </w:p>
        </w:tc>
        <w:tc>
          <w:tcPr>
            <w:tcW w:w="1110" w:type="dxa"/>
            <w:vAlign w:val="center"/>
          </w:tcPr>
          <w:p w14:paraId="4BE348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F0243D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761E092">
            <w:pPr>
              <w:jc w:val="center"/>
              <w:rPr>
                <w:rFonts w:ascii="仿宋_GB2312" w:hAnsi="黑体" w:eastAsia="仿宋_GB2312" w:cs="黑体"/>
                <w:color w:val="000000" w:themeColor="text1"/>
                <w:sz w:val="18"/>
                <w:szCs w:val="18"/>
              </w:rPr>
            </w:pPr>
          </w:p>
        </w:tc>
        <w:tc>
          <w:tcPr>
            <w:tcW w:w="1406" w:type="dxa"/>
            <w:vAlign w:val="center"/>
          </w:tcPr>
          <w:p w14:paraId="53BBB2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CBF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852906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A7FD0D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162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14AFC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C48908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A677E7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9AA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9B1D8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1BE407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0725FE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7BF6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76ED73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5B667EF">
            <w:pPr>
              <w:widowControl/>
              <w:jc w:val="left"/>
              <w:textAlignment w:val="center"/>
              <w:rPr>
                <w:rFonts w:ascii="黑体" w:eastAsia="黑体" w:cs="黑体"/>
                <w:color w:val="000000" w:themeColor="text1"/>
                <w:kern w:val="0"/>
                <w:sz w:val="18"/>
                <w:szCs w:val="18"/>
              </w:rPr>
            </w:pPr>
          </w:p>
        </w:tc>
      </w:tr>
    </w:tbl>
    <w:p w14:paraId="36410024">
      <w:pPr>
        <w:snapToGrid w:val="0"/>
        <w:spacing w:line="240" w:lineRule="atLeast"/>
        <w:rPr>
          <w:color w:val="000000" w:themeColor="text1"/>
        </w:rPr>
      </w:pPr>
    </w:p>
    <w:p w14:paraId="4DEB466A">
      <w:pPr>
        <w:snapToGrid w:val="0"/>
        <w:spacing w:line="240" w:lineRule="atLeast"/>
        <w:rPr>
          <w:color w:val="000000" w:themeColor="text1"/>
        </w:rPr>
      </w:pPr>
    </w:p>
    <w:p w14:paraId="286B815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D4A2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EC91B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5AC66BF">
            <w:pPr>
              <w:jc w:val="center"/>
              <w:rPr>
                <w:rFonts w:ascii="黑体" w:eastAsia="黑体" w:cs="黑体"/>
                <w:b/>
                <w:bCs/>
                <w:color w:val="000000" w:themeColor="text1"/>
                <w:szCs w:val="21"/>
              </w:rPr>
            </w:pPr>
            <w:r>
              <w:rPr>
                <w:rFonts w:ascii="黑体" w:eastAsia="黑体" w:cs="黑体"/>
                <w:b/>
                <w:bCs/>
                <w:color w:val="000000" w:themeColor="text1"/>
                <w:szCs w:val="21"/>
              </w:rPr>
              <w:t>49</w:t>
            </w:r>
          </w:p>
        </w:tc>
        <w:tc>
          <w:tcPr>
            <w:tcW w:w="1691" w:type="dxa"/>
            <w:vAlign w:val="center"/>
          </w:tcPr>
          <w:p w14:paraId="003D8BC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E25F5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AAD30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91EA1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D8ED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A851E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0EAD49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对危险货物承运人未按照规定对运输车辆、罐式车辆罐体、可移动罐柜、罐箱及设备进行检查和记录的行政处罚</w:t>
            </w:r>
          </w:p>
        </w:tc>
      </w:tr>
      <w:tr w14:paraId="11156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6FF261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D08AA8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029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062AD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C4C2B3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二十五条危险货物承运人在运输前，应当对运输车辆、罐式车辆罐体、可移动罐柜、罐式集装箱（以下简称罐箱）及相关设备的技术状况，以及卫星定位装置进行检查并做好记录，对驾驶人、押运人员进行运输安全告知。第六十条第（三）项交通运输主管部门对危险货物承运人有下列情形之一的，应当责令改正，处</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元以下的罚款：（三）违反本办法第二十五条，未按照要求对运输车辆、罐式车辆罐体、可移动罐柜、罐箱及设备进行检查和记录的。</w:t>
            </w:r>
          </w:p>
          <w:p w14:paraId="734AF24A">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4EC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746CF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21A85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427D3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536DA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1DC864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3A1A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4A325C7">
            <w:pPr>
              <w:rPr>
                <w:color w:val="000000" w:themeColor="text1"/>
              </w:rPr>
            </w:pPr>
          </w:p>
        </w:tc>
        <w:tc>
          <w:tcPr>
            <w:tcW w:w="1110" w:type="dxa"/>
            <w:vAlign w:val="center"/>
          </w:tcPr>
          <w:p w14:paraId="7DF917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194533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0B2E5E5">
            <w:pPr>
              <w:jc w:val="center"/>
              <w:rPr>
                <w:rFonts w:ascii="仿宋_GB2312" w:hAnsi="黑体" w:eastAsia="仿宋_GB2312" w:cs="黑体"/>
                <w:color w:val="000000" w:themeColor="text1"/>
                <w:sz w:val="18"/>
                <w:szCs w:val="18"/>
              </w:rPr>
            </w:pPr>
          </w:p>
        </w:tc>
        <w:tc>
          <w:tcPr>
            <w:tcW w:w="1406" w:type="dxa"/>
            <w:vAlign w:val="center"/>
          </w:tcPr>
          <w:p w14:paraId="6CCBEE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003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566DE61">
            <w:pPr>
              <w:rPr>
                <w:color w:val="000000" w:themeColor="text1"/>
              </w:rPr>
            </w:pPr>
          </w:p>
        </w:tc>
        <w:tc>
          <w:tcPr>
            <w:tcW w:w="1110" w:type="dxa"/>
            <w:vAlign w:val="center"/>
          </w:tcPr>
          <w:p w14:paraId="2EDE6E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D385A5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055E577">
            <w:pPr>
              <w:jc w:val="center"/>
              <w:rPr>
                <w:rFonts w:ascii="仿宋_GB2312" w:hAnsi="黑体" w:eastAsia="仿宋_GB2312" w:cs="黑体"/>
                <w:color w:val="000000" w:themeColor="text1"/>
                <w:sz w:val="18"/>
                <w:szCs w:val="18"/>
              </w:rPr>
            </w:pPr>
          </w:p>
        </w:tc>
        <w:tc>
          <w:tcPr>
            <w:tcW w:w="1406" w:type="dxa"/>
            <w:vAlign w:val="center"/>
          </w:tcPr>
          <w:p w14:paraId="5AA188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CD69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2169C1B">
            <w:pPr>
              <w:rPr>
                <w:color w:val="000000" w:themeColor="text1"/>
              </w:rPr>
            </w:pPr>
          </w:p>
        </w:tc>
        <w:tc>
          <w:tcPr>
            <w:tcW w:w="1110" w:type="dxa"/>
            <w:vAlign w:val="center"/>
          </w:tcPr>
          <w:p w14:paraId="4EBC0B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B1116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5C82BE4">
            <w:pPr>
              <w:jc w:val="center"/>
              <w:rPr>
                <w:rFonts w:ascii="仿宋_GB2312" w:hAnsi="黑体" w:eastAsia="仿宋_GB2312" w:cs="黑体"/>
                <w:color w:val="000000" w:themeColor="text1"/>
                <w:sz w:val="18"/>
                <w:szCs w:val="18"/>
              </w:rPr>
            </w:pPr>
          </w:p>
        </w:tc>
        <w:tc>
          <w:tcPr>
            <w:tcW w:w="1406" w:type="dxa"/>
            <w:vAlign w:val="center"/>
          </w:tcPr>
          <w:p w14:paraId="6881E90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3692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0BEEF57">
            <w:pPr>
              <w:rPr>
                <w:color w:val="000000" w:themeColor="text1"/>
              </w:rPr>
            </w:pPr>
          </w:p>
        </w:tc>
        <w:tc>
          <w:tcPr>
            <w:tcW w:w="1110" w:type="dxa"/>
            <w:vAlign w:val="center"/>
          </w:tcPr>
          <w:p w14:paraId="621E8D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AA060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3FACB32">
            <w:pPr>
              <w:jc w:val="center"/>
              <w:rPr>
                <w:rFonts w:ascii="仿宋_GB2312" w:hAnsi="黑体" w:eastAsia="仿宋_GB2312" w:cs="黑体"/>
                <w:color w:val="000000" w:themeColor="text1"/>
                <w:sz w:val="18"/>
                <w:szCs w:val="18"/>
              </w:rPr>
            </w:pPr>
          </w:p>
        </w:tc>
        <w:tc>
          <w:tcPr>
            <w:tcW w:w="1406" w:type="dxa"/>
            <w:vAlign w:val="center"/>
          </w:tcPr>
          <w:p w14:paraId="207FCB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AE7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0ADDC4D">
            <w:pPr>
              <w:rPr>
                <w:color w:val="000000" w:themeColor="text1"/>
              </w:rPr>
            </w:pPr>
          </w:p>
        </w:tc>
        <w:tc>
          <w:tcPr>
            <w:tcW w:w="1110" w:type="dxa"/>
            <w:vAlign w:val="center"/>
          </w:tcPr>
          <w:p w14:paraId="555709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37C7E4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4A2EA53">
            <w:pPr>
              <w:jc w:val="center"/>
              <w:rPr>
                <w:rFonts w:ascii="仿宋_GB2312" w:hAnsi="黑体" w:eastAsia="仿宋_GB2312" w:cs="黑体"/>
                <w:color w:val="000000" w:themeColor="text1"/>
                <w:sz w:val="18"/>
                <w:szCs w:val="18"/>
              </w:rPr>
            </w:pPr>
          </w:p>
        </w:tc>
        <w:tc>
          <w:tcPr>
            <w:tcW w:w="1406" w:type="dxa"/>
            <w:vAlign w:val="center"/>
          </w:tcPr>
          <w:p w14:paraId="3EAAEB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27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F4861E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C64919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21AD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EF58C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58585E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C50515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25EF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61552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E17225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0356DF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A67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65FCE3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EA1717F">
            <w:pPr>
              <w:widowControl/>
              <w:jc w:val="left"/>
              <w:textAlignment w:val="center"/>
              <w:rPr>
                <w:rFonts w:ascii="黑体" w:eastAsia="黑体" w:cs="黑体"/>
                <w:color w:val="000000" w:themeColor="text1"/>
                <w:kern w:val="0"/>
                <w:sz w:val="18"/>
                <w:szCs w:val="18"/>
              </w:rPr>
            </w:pPr>
          </w:p>
        </w:tc>
      </w:tr>
    </w:tbl>
    <w:p w14:paraId="64881F2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8528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F1CFB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3199002">
            <w:pPr>
              <w:jc w:val="center"/>
              <w:rPr>
                <w:rFonts w:ascii="黑体" w:eastAsia="黑体" w:cs="黑体"/>
                <w:b/>
                <w:bCs/>
                <w:color w:val="000000" w:themeColor="text1"/>
                <w:szCs w:val="21"/>
              </w:rPr>
            </w:pPr>
            <w:r>
              <w:rPr>
                <w:rFonts w:ascii="黑体" w:eastAsia="黑体" w:cs="黑体"/>
                <w:b/>
                <w:bCs/>
                <w:color w:val="000000" w:themeColor="text1"/>
                <w:szCs w:val="21"/>
              </w:rPr>
              <w:t>50</w:t>
            </w:r>
          </w:p>
        </w:tc>
        <w:tc>
          <w:tcPr>
            <w:tcW w:w="1691" w:type="dxa"/>
            <w:vAlign w:val="center"/>
          </w:tcPr>
          <w:p w14:paraId="21B4A34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B82827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B337B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DE95AD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1580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2E6D3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B31E88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对未按照规定随车携带危险货物运单、安全卡等行为的行政处罚</w:t>
            </w:r>
          </w:p>
        </w:tc>
      </w:tr>
      <w:tr w14:paraId="0A0ED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45DCAD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240193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5C40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99B69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0AC3E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号）第二十二条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危险货物承运人应当按照交通运输主管部门许可的经营范围承运危险货物。第二十四条第三款运输危险废物的企业还应当填写并随车携带电子或者纸质形式的危险废物转移联单。第四十七条驾驶人应当确保罐式车辆罐体、可移动罐柜、罐箱的关闭装置在运输过程中处于关闭状态。第六十一条</w:t>
            </w:r>
            <w:r>
              <w:rPr>
                <w:rFonts w:ascii="仿宋_GB2312" w:eastAsia="仿宋_GB2312" w:cs="仿宋_GB2312"/>
                <w:color w:val="000000" w:themeColor="text1"/>
                <w:kern w:val="0"/>
                <w:sz w:val="18"/>
                <w:szCs w:val="18"/>
              </w:rPr>
              <w:t>  </w:t>
            </w:r>
            <w:r>
              <w:rPr>
                <w:rFonts w:hint="eastAsia" w:ascii="仿宋_GB2312" w:eastAsia="仿宋_GB2312" w:cs="仿宋_GB2312"/>
                <w:color w:val="000000" w:themeColor="text1"/>
                <w:kern w:val="0"/>
                <w:sz w:val="18"/>
                <w:szCs w:val="18"/>
              </w:rPr>
              <w:t>交通运输主管部门对危险货物道路运输车辆驾驶人具有下列情形之一的，应当责令改正，处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一）违反本办法第二十四条、第四十四条，未按照规定随车携带危险货物运单、安全卡的；（二）违反本办法第四十七条，罐式车辆罐体、可移动罐柜、罐箱的关闭装置在运输过程中未处于关闭状态的。</w:t>
            </w:r>
          </w:p>
          <w:p w14:paraId="32D9BA4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533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F8430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7482E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274FE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0D525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AA77C4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7C71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6C3C3A3">
            <w:pPr>
              <w:rPr>
                <w:color w:val="000000" w:themeColor="text1"/>
              </w:rPr>
            </w:pPr>
          </w:p>
        </w:tc>
        <w:tc>
          <w:tcPr>
            <w:tcW w:w="1110" w:type="dxa"/>
            <w:vAlign w:val="center"/>
          </w:tcPr>
          <w:p w14:paraId="4EBF21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BB300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5636FCA">
            <w:pPr>
              <w:jc w:val="center"/>
              <w:rPr>
                <w:rFonts w:ascii="仿宋_GB2312" w:hAnsi="黑体" w:eastAsia="仿宋_GB2312" w:cs="黑体"/>
                <w:color w:val="000000" w:themeColor="text1"/>
                <w:sz w:val="18"/>
                <w:szCs w:val="18"/>
              </w:rPr>
            </w:pPr>
          </w:p>
        </w:tc>
        <w:tc>
          <w:tcPr>
            <w:tcW w:w="1406" w:type="dxa"/>
            <w:vAlign w:val="center"/>
          </w:tcPr>
          <w:p w14:paraId="77D189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086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BC0EB3F">
            <w:pPr>
              <w:rPr>
                <w:color w:val="000000" w:themeColor="text1"/>
              </w:rPr>
            </w:pPr>
          </w:p>
        </w:tc>
        <w:tc>
          <w:tcPr>
            <w:tcW w:w="1110" w:type="dxa"/>
            <w:vAlign w:val="center"/>
          </w:tcPr>
          <w:p w14:paraId="601468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BA6D76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64C63C6">
            <w:pPr>
              <w:jc w:val="center"/>
              <w:rPr>
                <w:rFonts w:ascii="仿宋_GB2312" w:hAnsi="黑体" w:eastAsia="仿宋_GB2312" w:cs="黑体"/>
                <w:color w:val="000000" w:themeColor="text1"/>
                <w:sz w:val="18"/>
                <w:szCs w:val="18"/>
              </w:rPr>
            </w:pPr>
          </w:p>
        </w:tc>
        <w:tc>
          <w:tcPr>
            <w:tcW w:w="1406" w:type="dxa"/>
            <w:vAlign w:val="center"/>
          </w:tcPr>
          <w:p w14:paraId="3198EB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417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D96BD92">
            <w:pPr>
              <w:rPr>
                <w:color w:val="000000" w:themeColor="text1"/>
              </w:rPr>
            </w:pPr>
          </w:p>
        </w:tc>
        <w:tc>
          <w:tcPr>
            <w:tcW w:w="1110" w:type="dxa"/>
            <w:vAlign w:val="center"/>
          </w:tcPr>
          <w:p w14:paraId="2E511D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AB6E22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AFDBAF7">
            <w:pPr>
              <w:jc w:val="center"/>
              <w:rPr>
                <w:rFonts w:ascii="仿宋_GB2312" w:hAnsi="黑体" w:eastAsia="仿宋_GB2312" w:cs="黑体"/>
                <w:color w:val="000000" w:themeColor="text1"/>
                <w:sz w:val="18"/>
                <w:szCs w:val="18"/>
              </w:rPr>
            </w:pPr>
          </w:p>
        </w:tc>
        <w:tc>
          <w:tcPr>
            <w:tcW w:w="1406" w:type="dxa"/>
            <w:vAlign w:val="center"/>
          </w:tcPr>
          <w:p w14:paraId="1BF311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6107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78F33BC">
            <w:pPr>
              <w:rPr>
                <w:color w:val="000000" w:themeColor="text1"/>
              </w:rPr>
            </w:pPr>
          </w:p>
        </w:tc>
        <w:tc>
          <w:tcPr>
            <w:tcW w:w="1110" w:type="dxa"/>
            <w:vAlign w:val="center"/>
          </w:tcPr>
          <w:p w14:paraId="0878E9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E09AF9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3E2AC79">
            <w:pPr>
              <w:jc w:val="center"/>
              <w:rPr>
                <w:rFonts w:ascii="仿宋_GB2312" w:hAnsi="黑体" w:eastAsia="仿宋_GB2312" w:cs="黑体"/>
                <w:color w:val="000000" w:themeColor="text1"/>
                <w:sz w:val="18"/>
                <w:szCs w:val="18"/>
              </w:rPr>
            </w:pPr>
          </w:p>
        </w:tc>
        <w:tc>
          <w:tcPr>
            <w:tcW w:w="1406" w:type="dxa"/>
            <w:vAlign w:val="center"/>
          </w:tcPr>
          <w:p w14:paraId="2E7962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F6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0C6F84F">
            <w:pPr>
              <w:rPr>
                <w:color w:val="000000" w:themeColor="text1"/>
              </w:rPr>
            </w:pPr>
          </w:p>
        </w:tc>
        <w:tc>
          <w:tcPr>
            <w:tcW w:w="1110" w:type="dxa"/>
            <w:vAlign w:val="center"/>
          </w:tcPr>
          <w:p w14:paraId="036EC5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95E221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707855F">
            <w:pPr>
              <w:jc w:val="center"/>
              <w:rPr>
                <w:rFonts w:ascii="仿宋_GB2312" w:hAnsi="黑体" w:eastAsia="仿宋_GB2312" w:cs="黑体"/>
                <w:color w:val="000000" w:themeColor="text1"/>
                <w:sz w:val="18"/>
                <w:szCs w:val="18"/>
              </w:rPr>
            </w:pPr>
          </w:p>
        </w:tc>
        <w:tc>
          <w:tcPr>
            <w:tcW w:w="1406" w:type="dxa"/>
            <w:vAlign w:val="center"/>
          </w:tcPr>
          <w:p w14:paraId="6E0A71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EC4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75" w:hRule="atLeast"/>
          <w:jc w:val="center"/>
        </w:trPr>
        <w:tc>
          <w:tcPr>
            <w:tcW w:w="943" w:type="dxa"/>
            <w:vAlign w:val="center"/>
          </w:tcPr>
          <w:p w14:paraId="741FD90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3737BC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9C2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A9280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497E86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682452</w:t>
            </w:r>
          </w:p>
          <w:p w14:paraId="5ECB4AB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D40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BC922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310D57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ECAEA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79F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92" w:hRule="atLeast"/>
          <w:jc w:val="center"/>
        </w:trPr>
        <w:tc>
          <w:tcPr>
            <w:tcW w:w="943" w:type="dxa"/>
            <w:vAlign w:val="center"/>
          </w:tcPr>
          <w:p w14:paraId="370C1DA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8F4B8F3">
            <w:pPr>
              <w:widowControl/>
              <w:jc w:val="left"/>
              <w:textAlignment w:val="center"/>
              <w:rPr>
                <w:rFonts w:ascii="黑体" w:eastAsia="黑体" w:cs="黑体"/>
                <w:color w:val="000000" w:themeColor="text1"/>
                <w:kern w:val="0"/>
                <w:sz w:val="18"/>
                <w:szCs w:val="18"/>
              </w:rPr>
            </w:pPr>
          </w:p>
        </w:tc>
      </w:tr>
    </w:tbl>
    <w:p w14:paraId="1FD36DC5">
      <w:pPr>
        <w:widowControl/>
        <w:jc w:val="center"/>
        <w:textAlignment w:val="center"/>
        <w:rPr>
          <w:rFonts w:ascii="方正小标宋简体" w:eastAsia="方正小标宋简体" w:cs="方正小标宋简体"/>
          <w:color w:val="000000" w:themeColor="text1"/>
          <w:kern w:val="0"/>
          <w:sz w:val="44"/>
          <w:szCs w:val="44"/>
        </w:rPr>
      </w:pPr>
    </w:p>
    <w:p w14:paraId="170E41A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B58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3779D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DB6E4F6">
            <w:pPr>
              <w:jc w:val="center"/>
              <w:rPr>
                <w:rFonts w:ascii="黑体" w:eastAsia="黑体" w:cs="黑体"/>
                <w:b/>
                <w:bCs/>
                <w:color w:val="000000" w:themeColor="text1"/>
                <w:szCs w:val="21"/>
              </w:rPr>
            </w:pPr>
            <w:r>
              <w:rPr>
                <w:rFonts w:ascii="黑体" w:eastAsia="黑体" w:cs="黑体"/>
                <w:b/>
                <w:bCs/>
                <w:color w:val="000000" w:themeColor="text1"/>
                <w:szCs w:val="21"/>
              </w:rPr>
              <w:t>51</w:t>
            </w:r>
          </w:p>
        </w:tc>
        <w:tc>
          <w:tcPr>
            <w:tcW w:w="1691" w:type="dxa"/>
            <w:vAlign w:val="center"/>
          </w:tcPr>
          <w:p w14:paraId="2FFF560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FC8910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E92F3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EC39D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C58A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DB1A7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DBD1DF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对道路运输企业未按照规定建立健全并严格执行危险货物充装或者装载查验、记录制度的行政处罚</w:t>
            </w:r>
          </w:p>
        </w:tc>
      </w:tr>
      <w:tr w14:paraId="457E7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B3689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0C2B60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C56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A3F8A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A329DC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号）第三十二条充装或者装载危险化学品的生产、储存、运输、使用和经营企业，应当按照本办法要求建立健全并严格执行充装或者装载查验、记录制度。</w:t>
            </w:r>
          </w:p>
          <w:p w14:paraId="70B2821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六十五条交通运输主管部门、应急管理部门和其他负有安全监督管理职责的部门对危险化学品生产、储存、运输、使用和经营企业违反本办法第三十二条，未建立健全并严格执行充装或者装载查验、记录制度的，应当按照职责分工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5CD551C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ED53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42BCF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888BF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7BD57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054BA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4BC57B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E6CD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44FD222">
            <w:pPr>
              <w:rPr>
                <w:color w:val="000000" w:themeColor="text1"/>
              </w:rPr>
            </w:pPr>
          </w:p>
        </w:tc>
        <w:tc>
          <w:tcPr>
            <w:tcW w:w="1110" w:type="dxa"/>
            <w:vAlign w:val="center"/>
          </w:tcPr>
          <w:p w14:paraId="22A6AF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152AA4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D7C3E4E">
            <w:pPr>
              <w:jc w:val="center"/>
              <w:rPr>
                <w:rFonts w:ascii="仿宋_GB2312" w:hAnsi="黑体" w:eastAsia="仿宋_GB2312" w:cs="黑体"/>
                <w:color w:val="000000" w:themeColor="text1"/>
                <w:sz w:val="18"/>
                <w:szCs w:val="18"/>
              </w:rPr>
            </w:pPr>
          </w:p>
        </w:tc>
        <w:tc>
          <w:tcPr>
            <w:tcW w:w="1406" w:type="dxa"/>
            <w:vAlign w:val="center"/>
          </w:tcPr>
          <w:p w14:paraId="04DE6C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7730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AFAA947">
            <w:pPr>
              <w:rPr>
                <w:color w:val="000000" w:themeColor="text1"/>
              </w:rPr>
            </w:pPr>
          </w:p>
        </w:tc>
        <w:tc>
          <w:tcPr>
            <w:tcW w:w="1110" w:type="dxa"/>
            <w:vAlign w:val="center"/>
          </w:tcPr>
          <w:p w14:paraId="2FC4BB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E318C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DB3E99B">
            <w:pPr>
              <w:jc w:val="center"/>
              <w:rPr>
                <w:rFonts w:ascii="仿宋_GB2312" w:hAnsi="黑体" w:eastAsia="仿宋_GB2312" w:cs="黑体"/>
                <w:color w:val="000000" w:themeColor="text1"/>
                <w:sz w:val="18"/>
                <w:szCs w:val="18"/>
              </w:rPr>
            </w:pPr>
          </w:p>
        </w:tc>
        <w:tc>
          <w:tcPr>
            <w:tcW w:w="1406" w:type="dxa"/>
            <w:vAlign w:val="center"/>
          </w:tcPr>
          <w:p w14:paraId="3808D4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DA1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51707E1">
            <w:pPr>
              <w:rPr>
                <w:color w:val="000000" w:themeColor="text1"/>
              </w:rPr>
            </w:pPr>
          </w:p>
        </w:tc>
        <w:tc>
          <w:tcPr>
            <w:tcW w:w="1110" w:type="dxa"/>
            <w:vAlign w:val="center"/>
          </w:tcPr>
          <w:p w14:paraId="7D86D0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093232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FB46877">
            <w:pPr>
              <w:jc w:val="center"/>
              <w:rPr>
                <w:rFonts w:ascii="仿宋_GB2312" w:hAnsi="黑体" w:eastAsia="仿宋_GB2312" w:cs="黑体"/>
                <w:color w:val="000000" w:themeColor="text1"/>
                <w:sz w:val="18"/>
                <w:szCs w:val="18"/>
              </w:rPr>
            </w:pPr>
          </w:p>
        </w:tc>
        <w:tc>
          <w:tcPr>
            <w:tcW w:w="1406" w:type="dxa"/>
            <w:vAlign w:val="center"/>
          </w:tcPr>
          <w:p w14:paraId="33EF095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686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EADAE9A">
            <w:pPr>
              <w:rPr>
                <w:color w:val="000000" w:themeColor="text1"/>
              </w:rPr>
            </w:pPr>
          </w:p>
        </w:tc>
        <w:tc>
          <w:tcPr>
            <w:tcW w:w="1110" w:type="dxa"/>
            <w:vAlign w:val="center"/>
          </w:tcPr>
          <w:p w14:paraId="6D1411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5977CC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C4DB2CF">
            <w:pPr>
              <w:jc w:val="center"/>
              <w:rPr>
                <w:rFonts w:ascii="仿宋_GB2312" w:hAnsi="黑体" w:eastAsia="仿宋_GB2312" w:cs="黑体"/>
                <w:color w:val="000000" w:themeColor="text1"/>
                <w:sz w:val="18"/>
                <w:szCs w:val="18"/>
              </w:rPr>
            </w:pPr>
          </w:p>
        </w:tc>
        <w:tc>
          <w:tcPr>
            <w:tcW w:w="1406" w:type="dxa"/>
            <w:vAlign w:val="center"/>
          </w:tcPr>
          <w:p w14:paraId="532651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202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B3C4BB3">
            <w:pPr>
              <w:rPr>
                <w:color w:val="000000" w:themeColor="text1"/>
              </w:rPr>
            </w:pPr>
          </w:p>
        </w:tc>
        <w:tc>
          <w:tcPr>
            <w:tcW w:w="1110" w:type="dxa"/>
            <w:vAlign w:val="center"/>
          </w:tcPr>
          <w:p w14:paraId="2E7816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1DA1B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E644447">
            <w:pPr>
              <w:jc w:val="center"/>
              <w:rPr>
                <w:rFonts w:ascii="仿宋_GB2312" w:hAnsi="黑体" w:eastAsia="仿宋_GB2312" w:cs="黑体"/>
                <w:color w:val="000000" w:themeColor="text1"/>
                <w:sz w:val="18"/>
                <w:szCs w:val="18"/>
              </w:rPr>
            </w:pPr>
          </w:p>
        </w:tc>
        <w:tc>
          <w:tcPr>
            <w:tcW w:w="1406" w:type="dxa"/>
            <w:vAlign w:val="center"/>
          </w:tcPr>
          <w:p w14:paraId="6BF3C2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8F5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EE71E6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62E3C1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693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57E0C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E54639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EC2BB0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6E58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B87F6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E5B62F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2FB874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AFE8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18F675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D72C4E3">
            <w:pPr>
              <w:widowControl/>
              <w:jc w:val="left"/>
              <w:textAlignment w:val="center"/>
              <w:rPr>
                <w:rFonts w:ascii="黑体" w:eastAsia="黑体" w:cs="黑体"/>
                <w:color w:val="000000" w:themeColor="text1"/>
                <w:kern w:val="0"/>
                <w:sz w:val="18"/>
                <w:szCs w:val="18"/>
              </w:rPr>
            </w:pPr>
          </w:p>
        </w:tc>
      </w:tr>
    </w:tbl>
    <w:p w14:paraId="15AFAC1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78B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9" w:hRule="atLeast"/>
          <w:jc w:val="center"/>
        </w:trPr>
        <w:tc>
          <w:tcPr>
            <w:tcW w:w="943" w:type="dxa"/>
            <w:vAlign w:val="center"/>
          </w:tcPr>
          <w:p w14:paraId="6AC8E31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502F5BF">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52</w:t>
            </w:r>
          </w:p>
        </w:tc>
        <w:tc>
          <w:tcPr>
            <w:tcW w:w="1691" w:type="dxa"/>
            <w:vAlign w:val="center"/>
          </w:tcPr>
          <w:p w14:paraId="74F9D5E7">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D88F035">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9977BC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6FCA6A6">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FF9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FAF826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3CD7A98">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对违反国际道路运输管理规定行为的行政处罚</w:t>
            </w:r>
          </w:p>
        </w:tc>
      </w:tr>
      <w:tr w14:paraId="3178B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473B3F8">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D1112BA">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E918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8AE8C5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tcPr>
          <w:p w14:paraId="549A1BB7">
            <w:pPr>
              <w:pStyle w:val="8"/>
              <w:shd w:val="clear" w:color="auto" w:fill="FFFFFF"/>
              <w:snapToGrid w:val="0"/>
              <w:spacing w:before="0" w:beforeAutospacing="0" w:after="0" w:afterAutospacing="0" w:line="240" w:lineRule="atLeast"/>
              <w:jc w:val="both"/>
              <w:rPr>
                <w:rFonts w:ascii="仿宋" w:hAnsi="仿宋" w:eastAsia="仿宋"/>
                <w:color w:val="000000" w:themeColor="text1"/>
                <w:sz w:val="11"/>
                <w:szCs w:val="11"/>
              </w:rPr>
            </w:pPr>
            <w:r>
              <w:rPr>
                <w:rFonts w:hint="eastAsia" w:ascii="仿宋" w:hAnsi="仿宋" w:eastAsia="仿宋" w:cs="仿宋_GB2312"/>
                <w:color w:val="000000" w:themeColor="text1"/>
                <w:sz w:val="11"/>
                <w:szCs w:val="11"/>
              </w:rPr>
              <w:t>【法律法规】</w:t>
            </w:r>
            <w:r>
              <w:rPr>
                <w:rFonts w:ascii="仿宋" w:hAnsi="仿宋" w:eastAsia="仿宋"/>
                <w:color w:val="000000" w:themeColor="text1"/>
                <w:sz w:val="11"/>
                <w:szCs w:val="11"/>
              </w:rPr>
              <w:t>1.</w:t>
            </w:r>
            <w:r>
              <w:rPr>
                <w:rFonts w:hint="eastAsia" w:ascii="仿宋" w:hAnsi="仿宋" w:eastAsia="仿宋"/>
                <w:color w:val="000000" w:themeColor="text1"/>
                <w:sz w:val="11"/>
                <w:szCs w:val="11"/>
              </w:rPr>
              <w:t>《中华人民共和国道路运输条例》</w:t>
            </w:r>
            <w:r>
              <w:rPr>
                <w:rStyle w:val="19"/>
                <w:rFonts w:hint="eastAsia" w:ascii="仿宋" w:hAnsi="仿宋" w:eastAsia="仿宋"/>
                <w:color w:val="000000" w:themeColor="text1"/>
                <w:sz w:val="11"/>
                <w:szCs w:val="11"/>
              </w:rPr>
              <w:t>第七十四条第三款从事国际道路货物运输经营，未按规定进行备案的，由省、自治区、直辖市人民政府交通运输主管部门责令改正；拒不改正的，处</w:t>
            </w:r>
            <w:r>
              <w:rPr>
                <w:rStyle w:val="19"/>
                <w:rFonts w:ascii="仿宋" w:hAnsi="仿宋" w:eastAsia="仿宋"/>
                <w:color w:val="000000" w:themeColor="text1"/>
                <w:sz w:val="11"/>
                <w:szCs w:val="11"/>
              </w:rPr>
              <w:t>5000</w:t>
            </w:r>
            <w:r>
              <w:rPr>
                <w:rStyle w:val="19"/>
                <w:rFonts w:hint="eastAsia" w:ascii="仿宋" w:hAnsi="仿宋" w:eastAsia="仿宋"/>
                <w:color w:val="000000" w:themeColor="text1"/>
                <w:sz w:val="11"/>
                <w:szCs w:val="11"/>
              </w:rPr>
              <w:t>元以上</w:t>
            </w:r>
            <w:r>
              <w:rPr>
                <w:rStyle w:val="19"/>
                <w:rFonts w:ascii="仿宋" w:hAnsi="仿宋" w:eastAsia="仿宋"/>
                <w:color w:val="000000" w:themeColor="text1"/>
                <w:sz w:val="11"/>
                <w:szCs w:val="11"/>
              </w:rPr>
              <w:t>2</w:t>
            </w:r>
            <w:r>
              <w:rPr>
                <w:rStyle w:val="19"/>
                <w:rFonts w:hint="eastAsia" w:ascii="仿宋" w:hAnsi="仿宋" w:eastAsia="仿宋"/>
                <w:color w:val="000000" w:themeColor="text1"/>
                <w:sz w:val="11"/>
                <w:szCs w:val="11"/>
              </w:rPr>
              <w:t>万元以下的罚款。</w:t>
            </w:r>
            <w:r>
              <w:rPr>
                <w:rStyle w:val="19"/>
                <w:rFonts w:ascii="仿宋" w:hAnsi="仿宋" w:eastAsia="仿宋"/>
                <w:color w:val="000000" w:themeColor="text1"/>
                <w:sz w:val="11"/>
                <w:szCs w:val="11"/>
              </w:rPr>
              <w:t>2.</w:t>
            </w:r>
            <w:r>
              <w:rPr>
                <w:rFonts w:hint="eastAsia" w:ascii="仿宋" w:hAnsi="仿宋" w:eastAsia="仿宋" w:cs="仿宋_GB2312"/>
                <w:color w:val="000000" w:themeColor="text1"/>
                <w:sz w:val="11"/>
                <w:szCs w:val="11"/>
              </w:rPr>
              <w:t>《国际道路运输管理规定》（中华人民共和国交通运输部令</w:t>
            </w:r>
            <w:r>
              <w:rPr>
                <w:rFonts w:ascii="仿宋" w:hAnsi="仿宋" w:eastAsia="仿宋" w:cs="仿宋_GB2312"/>
                <w:color w:val="000000" w:themeColor="text1"/>
                <w:sz w:val="11"/>
                <w:szCs w:val="11"/>
              </w:rPr>
              <w:t>2023</w:t>
            </w:r>
            <w:r>
              <w:rPr>
                <w:rFonts w:hint="eastAsia" w:ascii="仿宋" w:hAnsi="仿宋" w:eastAsia="仿宋" w:cs="仿宋_GB2312"/>
                <w:color w:val="000000" w:themeColor="text1"/>
                <w:sz w:val="11"/>
                <w:szCs w:val="11"/>
              </w:rPr>
              <w:t>年第</w:t>
            </w:r>
            <w:r>
              <w:rPr>
                <w:rFonts w:ascii="仿宋" w:hAnsi="仿宋" w:eastAsia="仿宋" w:cs="仿宋_GB2312"/>
                <w:color w:val="000000" w:themeColor="text1"/>
                <w:sz w:val="11"/>
                <w:szCs w:val="11"/>
              </w:rPr>
              <w:t>15</w:t>
            </w:r>
            <w:r>
              <w:rPr>
                <w:rFonts w:hint="eastAsia" w:ascii="仿宋" w:hAnsi="仿宋" w:eastAsia="仿宋" w:cs="仿宋_GB2312"/>
                <w:color w:val="000000" w:themeColor="text1"/>
                <w:sz w:val="11"/>
                <w:szCs w:val="11"/>
              </w:rPr>
              <w:t>号）</w:t>
            </w:r>
            <w:r>
              <w:rPr>
                <w:rFonts w:hint="eastAsia" w:ascii="仿宋" w:hAnsi="仿宋" w:eastAsia="仿宋"/>
                <w:b/>
                <w:bCs/>
                <w:color w:val="000000" w:themeColor="text1"/>
                <w:sz w:val="11"/>
                <w:szCs w:val="11"/>
              </w:rPr>
              <w:t>第三十八条</w:t>
            </w:r>
            <w:r>
              <w:rPr>
                <w:rFonts w:hint="eastAsia" w:ascii="仿宋" w:hAnsi="仿宋" w:eastAsia="仿宋"/>
                <w:color w:val="000000" w:themeColor="text1"/>
                <w:sz w:val="11"/>
                <w:szCs w:val="11"/>
              </w:rPr>
              <w:t>　从事国际道路货物运输经营，未按规定进行备案的，由省级人民政府交通运输主管部门责令改正；拒不改正的，处</w:t>
            </w:r>
            <w:r>
              <w:rPr>
                <w:rFonts w:ascii="仿宋" w:hAnsi="仿宋" w:eastAsia="仿宋"/>
                <w:color w:val="000000" w:themeColor="text1"/>
                <w:sz w:val="11"/>
                <w:szCs w:val="11"/>
              </w:rPr>
              <w:t>5000</w:t>
            </w:r>
            <w:r>
              <w:rPr>
                <w:rFonts w:hint="eastAsia" w:ascii="仿宋" w:hAnsi="仿宋" w:eastAsia="仿宋"/>
                <w:color w:val="000000" w:themeColor="text1"/>
                <w:sz w:val="11"/>
                <w:szCs w:val="11"/>
              </w:rPr>
              <w:t>元以上</w:t>
            </w:r>
            <w:r>
              <w:rPr>
                <w:rFonts w:ascii="仿宋" w:hAnsi="仿宋" w:eastAsia="仿宋"/>
                <w:color w:val="000000" w:themeColor="text1"/>
                <w:sz w:val="11"/>
                <w:szCs w:val="11"/>
              </w:rPr>
              <w:t>2</w:t>
            </w:r>
            <w:r>
              <w:rPr>
                <w:rFonts w:hint="eastAsia" w:ascii="仿宋" w:hAnsi="仿宋" w:eastAsia="仿宋"/>
                <w:color w:val="000000" w:themeColor="text1"/>
                <w:sz w:val="11"/>
                <w:szCs w:val="11"/>
              </w:rPr>
              <w:t>万元以下的罚款。</w:t>
            </w:r>
            <w:r>
              <w:rPr>
                <w:rFonts w:hint="eastAsia" w:ascii="仿宋" w:hAnsi="仿宋" w:eastAsia="仿宋"/>
                <w:b/>
                <w:bCs/>
                <w:color w:val="000000" w:themeColor="text1"/>
                <w:sz w:val="11"/>
                <w:szCs w:val="11"/>
              </w:rPr>
              <w:t>第四十条</w:t>
            </w:r>
            <w:r>
              <w:rPr>
                <w:rFonts w:hint="eastAsia" w:ascii="仿宋" w:hAnsi="仿宋" w:eastAsia="仿宋"/>
                <w:color w:val="000000" w:themeColor="text1"/>
                <w:sz w:val="11"/>
                <w:szCs w:val="11"/>
              </w:rPr>
              <w:t>　违反本规定，非法转让、出租、伪造《国际汽车运输行车许可证》、《国际汽车运输特别行车许可证》、《国际道路运输国籍识别标志》的，由县级以上地方人民政府交通运输主管部门或者口岸国际道路运输管理机构责令停止违法行为，收缴有关证件，处</w:t>
            </w:r>
            <w:r>
              <w:rPr>
                <w:rFonts w:ascii="仿宋" w:hAnsi="仿宋" w:eastAsia="仿宋"/>
                <w:color w:val="000000" w:themeColor="text1"/>
                <w:sz w:val="11"/>
                <w:szCs w:val="11"/>
              </w:rPr>
              <w:t>500</w:t>
            </w:r>
            <w:r>
              <w:rPr>
                <w:rFonts w:hint="eastAsia" w:ascii="仿宋" w:hAnsi="仿宋" w:eastAsia="仿宋"/>
                <w:color w:val="000000" w:themeColor="text1"/>
                <w:sz w:val="11"/>
                <w:szCs w:val="11"/>
              </w:rPr>
              <w:t>元以上</w:t>
            </w:r>
            <w:r>
              <w:rPr>
                <w:rFonts w:ascii="仿宋" w:hAnsi="仿宋" w:eastAsia="仿宋"/>
                <w:color w:val="000000" w:themeColor="text1"/>
                <w:sz w:val="11"/>
                <w:szCs w:val="11"/>
              </w:rPr>
              <w:t>1000</w:t>
            </w:r>
            <w:r>
              <w:rPr>
                <w:rFonts w:hint="eastAsia" w:ascii="仿宋" w:hAnsi="仿宋" w:eastAsia="仿宋"/>
                <w:color w:val="000000" w:themeColor="text1"/>
                <w:sz w:val="11"/>
                <w:szCs w:val="11"/>
              </w:rPr>
              <w:t>元以下的罚款；有违法所得的，没收违法所得。</w:t>
            </w:r>
            <w:r>
              <w:rPr>
                <w:rFonts w:hint="eastAsia" w:ascii="仿宋" w:hAnsi="仿宋" w:eastAsia="仿宋"/>
                <w:b/>
                <w:bCs/>
                <w:color w:val="000000" w:themeColor="text1"/>
                <w:sz w:val="11"/>
                <w:szCs w:val="11"/>
              </w:rPr>
              <w:t>第四十三条</w:t>
            </w:r>
            <w:r>
              <w:rPr>
                <w:rFonts w:hint="eastAsia" w:ascii="仿宋" w:hAnsi="仿宋" w:eastAsia="仿宋"/>
                <w:color w:val="000000" w:themeColor="text1"/>
                <w:sz w:val="11"/>
                <w:szCs w:val="11"/>
              </w:rPr>
              <w:t>　外国国际道路运输经营者有下列行为之一，由省级人民政府交通运输主管部门或者口岸国际道路运输管理机构责令改正；拒不改正的，责令停止运输，有违法所得的，没收违法所得，处违法所得</w:t>
            </w:r>
            <w:r>
              <w:rPr>
                <w:rFonts w:ascii="仿宋" w:hAnsi="仿宋" w:eastAsia="仿宋"/>
                <w:color w:val="000000" w:themeColor="text1"/>
                <w:sz w:val="11"/>
                <w:szCs w:val="11"/>
              </w:rPr>
              <w:t>2</w:t>
            </w:r>
            <w:r>
              <w:rPr>
                <w:rFonts w:hint="eastAsia" w:ascii="仿宋" w:hAnsi="仿宋" w:eastAsia="仿宋"/>
                <w:color w:val="000000" w:themeColor="text1"/>
                <w:sz w:val="11"/>
                <w:szCs w:val="11"/>
              </w:rPr>
              <w:t>倍以上</w:t>
            </w:r>
            <w:r>
              <w:rPr>
                <w:rFonts w:ascii="仿宋" w:hAnsi="仿宋" w:eastAsia="仿宋"/>
                <w:color w:val="000000" w:themeColor="text1"/>
                <w:sz w:val="11"/>
                <w:szCs w:val="11"/>
              </w:rPr>
              <w:t>10</w:t>
            </w:r>
            <w:r>
              <w:rPr>
                <w:rFonts w:hint="eastAsia" w:ascii="仿宋" w:hAnsi="仿宋" w:eastAsia="仿宋"/>
                <w:color w:val="000000" w:themeColor="text1"/>
                <w:sz w:val="11"/>
                <w:szCs w:val="11"/>
              </w:rPr>
              <w:t>倍以下的罚款，没有违法所得或者违法所得不足</w:t>
            </w:r>
            <w:r>
              <w:rPr>
                <w:rFonts w:ascii="仿宋" w:hAnsi="仿宋" w:eastAsia="仿宋"/>
                <w:color w:val="000000" w:themeColor="text1"/>
                <w:sz w:val="11"/>
                <w:szCs w:val="11"/>
              </w:rPr>
              <w:t>1</w:t>
            </w:r>
            <w:r>
              <w:rPr>
                <w:rFonts w:hint="eastAsia" w:ascii="仿宋" w:hAnsi="仿宋" w:eastAsia="仿宋"/>
                <w:color w:val="000000" w:themeColor="text1"/>
                <w:sz w:val="11"/>
                <w:szCs w:val="11"/>
              </w:rPr>
              <w:t>万元的，处</w:t>
            </w:r>
            <w:r>
              <w:rPr>
                <w:rFonts w:ascii="仿宋" w:hAnsi="仿宋" w:eastAsia="仿宋"/>
                <w:color w:val="000000" w:themeColor="text1"/>
                <w:sz w:val="11"/>
                <w:szCs w:val="11"/>
              </w:rPr>
              <w:t>3</w:t>
            </w:r>
            <w:r>
              <w:rPr>
                <w:rFonts w:hint="eastAsia" w:ascii="仿宋" w:hAnsi="仿宋" w:eastAsia="仿宋"/>
                <w:color w:val="000000" w:themeColor="text1"/>
                <w:sz w:val="11"/>
                <w:szCs w:val="11"/>
              </w:rPr>
              <w:t>万元以上</w:t>
            </w:r>
            <w:r>
              <w:rPr>
                <w:rFonts w:ascii="仿宋" w:hAnsi="仿宋" w:eastAsia="仿宋"/>
                <w:color w:val="000000" w:themeColor="text1"/>
                <w:sz w:val="11"/>
                <w:szCs w:val="11"/>
              </w:rPr>
              <w:t>6</w:t>
            </w:r>
            <w:r>
              <w:rPr>
                <w:rFonts w:hint="eastAsia" w:ascii="仿宋" w:hAnsi="仿宋" w:eastAsia="仿宋"/>
                <w:color w:val="000000" w:themeColor="text1"/>
                <w:sz w:val="11"/>
                <w:szCs w:val="11"/>
              </w:rPr>
              <w:t>万元以下的罚款：（一）未取得我国有效的《国际汽车运输行车许可证》或者《国际汽车运输特别行车许可证》，擅自进入我国境内从事国际道路运输经营或者运输危险货物的；（二）从事我国国内道路旅客或货物运输的；（三）在我国境内自行承揽货源或招揽旅客的；（四）未按规定的运输线路、站点、班次、停靠站（场）运行的。外国国际道路运输经营者未按照规定标明国籍识别标志的，由省级人民政府交通运输主管部门或者口岸国际道路运输管理机构责令停止运输，处</w:t>
            </w:r>
            <w:r>
              <w:rPr>
                <w:rFonts w:ascii="仿宋" w:hAnsi="仿宋" w:eastAsia="仿宋"/>
                <w:color w:val="000000" w:themeColor="text1"/>
                <w:sz w:val="11"/>
                <w:szCs w:val="11"/>
              </w:rPr>
              <w:t>200</w:t>
            </w:r>
            <w:r>
              <w:rPr>
                <w:rFonts w:hint="eastAsia" w:ascii="仿宋" w:hAnsi="仿宋" w:eastAsia="仿宋"/>
                <w:color w:val="000000" w:themeColor="text1"/>
                <w:sz w:val="11"/>
                <w:szCs w:val="11"/>
              </w:rPr>
              <w:t>元以上</w:t>
            </w:r>
            <w:r>
              <w:rPr>
                <w:rFonts w:ascii="仿宋" w:hAnsi="仿宋" w:eastAsia="仿宋"/>
                <w:color w:val="000000" w:themeColor="text1"/>
                <w:sz w:val="11"/>
                <w:szCs w:val="11"/>
              </w:rPr>
              <w:t>2000</w:t>
            </w:r>
            <w:r>
              <w:rPr>
                <w:rFonts w:hint="eastAsia" w:ascii="仿宋" w:hAnsi="仿宋" w:eastAsia="仿宋"/>
                <w:color w:val="000000" w:themeColor="text1"/>
                <w:sz w:val="11"/>
                <w:szCs w:val="11"/>
              </w:rPr>
              <w:t>元以下的罚款。</w:t>
            </w:r>
          </w:p>
          <w:p w14:paraId="0109564A">
            <w:pPr>
              <w:pStyle w:val="8"/>
              <w:snapToGrid w:val="0"/>
              <w:spacing w:before="0" w:beforeAutospacing="0" w:after="0" w:afterAutospacing="0" w:line="240" w:lineRule="atLeast"/>
              <w:jc w:val="both"/>
              <w:rPr>
                <w:color w:val="000000" w:themeColor="text1"/>
                <w:sz w:val="11"/>
                <w:szCs w:val="11"/>
              </w:rPr>
            </w:pPr>
            <w:r>
              <w:rPr>
                <w:rFonts w:hint="eastAsia"/>
                <w:color w:val="000000" w:themeColor="text1"/>
                <w:sz w:val="11"/>
                <w:szCs w:val="11"/>
              </w:rPr>
              <w:t>【三定规定】抚办字【</w:t>
            </w:r>
            <w:r>
              <w:rPr>
                <w:color w:val="000000" w:themeColor="text1"/>
                <w:sz w:val="11"/>
                <w:szCs w:val="11"/>
              </w:rPr>
              <w:t>2019</w:t>
            </w:r>
            <w:r>
              <w:rPr>
                <w:rFonts w:hint="eastAsia"/>
                <w:color w:val="000000" w:themeColor="text1"/>
                <w:sz w:val="11"/>
                <w:szCs w:val="11"/>
              </w:rPr>
              <w:t>】</w:t>
            </w:r>
            <w:r>
              <w:rPr>
                <w:color w:val="000000" w:themeColor="text1"/>
                <w:sz w:val="11"/>
                <w:szCs w:val="11"/>
              </w:rPr>
              <w:t>11</w:t>
            </w:r>
            <w:r>
              <w:rPr>
                <w:rFonts w:hint="eastAsia"/>
                <w:color w:val="000000" w:themeColor="text1"/>
                <w:sz w:val="11"/>
                <w:szCs w:val="11"/>
              </w:rPr>
              <w:t>号第三条第五款承担全区道路运输市场监管责任。执行道路运输有关政策、技术标准和运营规范并监督实施。负责城乡客运及有关设施规划和管理，推动城乡客运一体化建设。第三条第十二款负责全区交通运输行业涉外事宜</w:t>
            </w:r>
            <w:r>
              <w:rPr>
                <w:color w:val="000000" w:themeColor="text1"/>
                <w:sz w:val="11"/>
                <w:szCs w:val="11"/>
              </w:rPr>
              <w:t>,</w:t>
            </w:r>
            <w:r>
              <w:rPr>
                <w:rFonts w:hint="eastAsia"/>
                <w:color w:val="000000" w:themeColor="text1"/>
                <w:sz w:val="11"/>
                <w:szCs w:val="11"/>
              </w:rPr>
              <w:t>开展与国际和港澳台地区交通运输经济技术合作与交流</w:t>
            </w:r>
            <w:r>
              <w:rPr>
                <w:color w:val="000000" w:themeColor="text1"/>
                <w:sz w:val="11"/>
                <w:szCs w:val="11"/>
              </w:rPr>
              <w:t>.</w:t>
            </w:r>
          </w:p>
        </w:tc>
      </w:tr>
      <w:tr w14:paraId="06670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Merge w:val="restart"/>
            <w:vAlign w:val="center"/>
          </w:tcPr>
          <w:p w14:paraId="5D16501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540B91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6EE4DF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ADA37D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92B4303">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5BF8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1B609ED">
            <w:pPr>
              <w:spacing w:line="200" w:lineRule="exact"/>
              <w:rPr>
                <w:color w:val="000000" w:themeColor="text1"/>
              </w:rPr>
            </w:pPr>
          </w:p>
        </w:tc>
        <w:tc>
          <w:tcPr>
            <w:tcW w:w="1110" w:type="dxa"/>
            <w:vAlign w:val="center"/>
          </w:tcPr>
          <w:p w14:paraId="37A5F0A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E8FFC0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A898584">
            <w:pPr>
              <w:spacing w:line="200" w:lineRule="exact"/>
              <w:jc w:val="center"/>
              <w:rPr>
                <w:rFonts w:ascii="仿宋_GB2312" w:hAnsi="黑体" w:eastAsia="仿宋_GB2312" w:cs="黑体"/>
                <w:color w:val="000000" w:themeColor="text1"/>
                <w:sz w:val="18"/>
                <w:szCs w:val="18"/>
              </w:rPr>
            </w:pPr>
          </w:p>
        </w:tc>
        <w:tc>
          <w:tcPr>
            <w:tcW w:w="1406" w:type="dxa"/>
            <w:vAlign w:val="center"/>
          </w:tcPr>
          <w:p w14:paraId="4A15A61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A9C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0" w:hRule="atLeast"/>
          <w:jc w:val="center"/>
        </w:trPr>
        <w:tc>
          <w:tcPr>
            <w:tcW w:w="943" w:type="dxa"/>
            <w:vMerge w:val="continue"/>
            <w:vAlign w:val="center"/>
          </w:tcPr>
          <w:p w14:paraId="34CFB306">
            <w:pPr>
              <w:spacing w:line="200" w:lineRule="exact"/>
              <w:rPr>
                <w:color w:val="000000" w:themeColor="text1"/>
              </w:rPr>
            </w:pPr>
          </w:p>
        </w:tc>
        <w:tc>
          <w:tcPr>
            <w:tcW w:w="1110" w:type="dxa"/>
            <w:vAlign w:val="center"/>
          </w:tcPr>
          <w:p w14:paraId="3CE5A0E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0232708">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94D3069">
            <w:pPr>
              <w:spacing w:line="200" w:lineRule="exact"/>
              <w:jc w:val="center"/>
              <w:rPr>
                <w:rFonts w:ascii="仿宋_GB2312" w:hAnsi="黑体" w:eastAsia="仿宋_GB2312" w:cs="黑体"/>
                <w:color w:val="000000" w:themeColor="text1"/>
                <w:sz w:val="18"/>
                <w:szCs w:val="18"/>
              </w:rPr>
            </w:pPr>
          </w:p>
        </w:tc>
        <w:tc>
          <w:tcPr>
            <w:tcW w:w="1406" w:type="dxa"/>
            <w:vAlign w:val="center"/>
          </w:tcPr>
          <w:p w14:paraId="529EB57D">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FDD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5" w:hRule="atLeast"/>
          <w:jc w:val="center"/>
        </w:trPr>
        <w:tc>
          <w:tcPr>
            <w:tcW w:w="943" w:type="dxa"/>
            <w:vMerge w:val="continue"/>
            <w:vAlign w:val="center"/>
          </w:tcPr>
          <w:p w14:paraId="3E861FC2">
            <w:pPr>
              <w:spacing w:line="200" w:lineRule="exact"/>
              <w:rPr>
                <w:color w:val="000000" w:themeColor="text1"/>
              </w:rPr>
            </w:pPr>
          </w:p>
        </w:tc>
        <w:tc>
          <w:tcPr>
            <w:tcW w:w="1110" w:type="dxa"/>
            <w:vAlign w:val="center"/>
          </w:tcPr>
          <w:p w14:paraId="2509C4B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5D5C667">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67A21AB">
            <w:pPr>
              <w:spacing w:line="200" w:lineRule="exact"/>
              <w:jc w:val="center"/>
              <w:rPr>
                <w:rFonts w:ascii="仿宋_GB2312" w:hAnsi="黑体" w:eastAsia="仿宋_GB2312" w:cs="黑体"/>
                <w:color w:val="000000" w:themeColor="text1"/>
                <w:sz w:val="18"/>
                <w:szCs w:val="18"/>
              </w:rPr>
            </w:pPr>
          </w:p>
        </w:tc>
        <w:tc>
          <w:tcPr>
            <w:tcW w:w="1406" w:type="dxa"/>
            <w:vAlign w:val="center"/>
          </w:tcPr>
          <w:p w14:paraId="02B0C95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AF6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74" w:hRule="atLeast"/>
          <w:jc w:val="center"/>
        </w:trPr>
        <w:tc>
          <w:tcPr>
            <w:tcW w:w="943" w:type="dxa"/>
            <w:vMerge w:val="continue"/>
            <w:vAlign w:val="center"/>
          </w:tcPr>
          <w:p w14:paraId="75142282">
            <w:pPr>
              <w:spacing w:line="200" w:lineRule="exact"/>
              <w:rPr>
                <w:color w:val="000000" w:themeColor="text1"/>
              </w:rPr>
            </w:pPr>
          </w:p>
        </w:tc>
        <w:tc>
          <w:tcPr>
            <w:tcW w:w="1110" w:type="dxa"/>
            <w:vAlign w:val="center"/>
          </w:tcPr>
          <w:p w14:paraId="7BE4418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E456CA5">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50479B1">
            <w:pPr>
              <w:spacing w:line="200" w:lineRule="exact"/>
              <w:jc w:val="center"/>
              <w:rPr>
                <w:rFonts w:ascii="仿宋_GB2312" w:hAnsi="黑体" w:eastAsia="仿宋_GB2312" w:cs="黑体"/>
                <w:color w:val="000000" w:themeColor="text1"/>
                <w:sz w:val="18"/>
                <w:szCs w:val="18"/>
              </w:rPr>
            </w:pPr>
          </w:p>
        </w:tc>
        <w:tc>
          <w:tcPr>
            <w:tcW w:w="1406" w:type="dxa"/>
            <w:vAlign w:val="center"/>
          </w:tcPr>
          <w:p w14:paraId="4180A37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2A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9" w:hRule="atLeast"/>
          <w:jc w:val="center"/>
        </w:trPr>
        <w:tc>
          <w:tcPr>
            <w:tcW w:w="943" w:type="dxa"/>
            <w:vMerge w:val="continue"/>
            <w:vAlign w:val="center"/>
          </w:tcPr>
          <w:p w14:paraId="697C3034">
            <w:pPr>
              <w:spacing w:line="200" w:lineRule="exact"/>
              <w:rPr>
                <w:color w:val="000000" w:themeColor="text1"/>
              </w:rPr>
            </w:pPr>
          </w:p>
        </w:tc>
        <w:tc>
          <w:tcPr>
            <w:tcW w:w="1110" w:type="dxa"/>
            <w:vAlign w:val="center"/>
          </w:tcPr>
          <w:p w14:paraId="04410BC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812D03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8B55703">
            <w:pPr>
              <w:spacing w:line="200" w:lineRule="exact"/>
              <w:jc w:val="center"/>
              <w:rPr>
                <w:rFonts w:ascii="仿宋_GB2312" w:hAnsi="黑体" w:eastAsia="仿宋_GB2312" w:cs="黑体"/>
                <w:color w:val="000000" w:themeColor="text1"/>
                <w:sz w:val="18"/>
                <w:szCs w:val="18"/>
              </w:rPr>
            </w:pPr>
          </w:p>
        </w:tc>
        <w:tc>
          <w:tcPr>
            <w:tcW w:w="1406" w:type="dxa"/>
            <w:vAlign w:val="center"/>
          </w:tcPr>
          <w:p w14:paraId="68F7F33C">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1CD5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87" w:hRule="atLeast"/>
          <w:jc w:val="center"/>
        </w:trPr>
        <w:tc>
          <w:tcPr>
            <w:tcW w:w="943" w:type="dxa"/>
            <w:vAlign w:val="center"/>
          </w:tcPr>
          <w:p w14:paraId="0E1FA6B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A2ADB02">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58FE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71" w:hRule="atLeast"/>
          <w:jc w:val="center"/>
        </w:trPr>
        <w:tc>
          <w:tcPr>
            <w:tcW w:w="943" w:type="dxa"/>
            <w:vAlign w:val="center"/>
          </w:tcPr>
          <w:p w14:paraId="42FF695F">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94698F2">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FDD75EA">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D35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68EEDC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8BF806A">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BCE7F00">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3439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44BA8E0C">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D3471CA">
            <w:pPr>
              <w:widowControl/>
              <w:spacing w:line="200" w:lineRule="exact"/>
              <w:jc w:val="left"/>
              <w:textAlignment w:val="center"/>
              <w:rPr>
                <w:rFonts w:ascii="黑体" w:eastAsia="黑体" w:cs="黑体"/>
                <w:color w:val="000000" w:themeColor="text1"/>
                <w:kern w:val="0"/>
                <w:sz w:val="18"/>
                <w:szCs w:val="18"/>
              </w:rPr>
            </w:pPr>
          </w:p>
        </w:tc>
      </w:tr>
    </w:tbl>
    <w:p w14:paraId="426B5399">
      <w:pPr>
        <w:widowControl/>
        <w:jc w:val="center"/>
        <w:textAlignment w:val="center"/>
        <w:rPr>
          <w:rFonts w:ascii="方正小标宋简体" w:eastAsia="方正小标宋简体" w:cs="方正小标宋简体"/>
          <w:color w:val="000000" w:themeColor="text1"/>
          <w:kern w:val="0"/>
          <w:sz w:val="44"/>
          <w:szCs w:val="44"/>
        </w:rPr>
      </w:pPr>
    </w:p>
    <w:p w14:paraId="6E4F80A4">
      <w:pPr>
        <w:widowControl/>
        <w:jc w:val="center"/>
        <w:textAlignment w:val="center"/>
        <w:rPr>
          <w:rFonts w:ascii="方正小标宋简体" w:eastAsia="方正小标宋简体" w:cs="方正小标宋简体"/>
          <w:color w:val="000000" w:themeColor="text1"/>
          <w:kern w:val="0"/>
          <w:sz w:val="44"/>
          <w:szCs w:val="44"/>
        </w:rPr>
      </w:pPr>
    </w:p>
    <w:p w14:paraId="5F840594">
      <w:pPr>
        <w:widowControl/>
        <w:jc w:val="center"/>
        <w:textAlignment w:val="center"/>
        <w:rPr>
          <w:rFonts w:ascii="方正小标宋简体" w:eastAsia="方正小标宋简体" w:cs="方正小标宋简体"/>
          <w:color w:val="000000" w:themeColor="text1"/>
          <w:kern w:val="0"/>
          <w:sz w:val="44"/>
          <w:szCs w:val="44"/>
        </w:rPr>
      </w:pPr>
    </w:p>
    <w:p w14:paraId="3C0DE40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EABB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E5025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5731B63">
            <w:pPr>
              <w:jc w:val="center"/>
              <w:rPr>
                <w:rFonts w:ascii="黑体" w:eastAsia="黑体" w:cs="黑体"/>
                <w:b/>
                <w:bCs/>
                <w:color w:val="000000" w:themeColor="text1"/>
                <w:szCs w:val="21"/>
              </w:rPr>
            </w:pPr>
            <w:r>
              <w:rPr>
                <w:rFonts w:ascii="黑体" w:eastAsia="黑体" w:cs="黑体"/>
                <w:b/>
                <w:bCs/>
                <w:color w:val="000000" w:themeColor="text1"/>
                <w:szCs w:val="21"/>
              </w:rPr>
              <w:t>53</w:t>
            </w:r>
          </w:p>
        </w:tc>
        <w:tc>
          <w:tcPr>
            <w:tcW w:w="1691" w:type="dxa"/>
            <w:vAlign w:val="center"/>
          </w:tcPr>
          <w:p w14:paraId="7DD41E1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2567B1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7436B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4B4BE1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EB8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9795A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BFF9CC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对拒绝、阻碍道路运输管理机构依法履行放射性物品运输安全监督检查，或者在接受监督检查时弄虚作假行为的行政处罚</w:t>
            </w:r>
          </w:p>
        </w:tc>
      </w:tr>
      <w:tr w14:paraId="7F197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696242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DF1783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598A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E33B0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911E48D">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07D56EDA">
            <w:pPr>
              <w:spacing w:line="240" w:lineRule="exact"/>
              <w:rPr>
                <w:rFonts w:ascii="仿宋_GB2312" w:eastAsia="仿宋_GB2312" w:cs="仿宋_GB2312"/>
                <w:color w:val="000000" w:themeColor="text1"/>
                <w:kern w:val="0"/>
                <w:sz w:val="18"/>
                <w:szCs w:val="18"/>
              </w:rPr>
            </w:pP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中华人民共和国道路运输条例》第六十条第一款县级以上人民政府交通运输主管部门的工作人员实施监督检查时，可以向有关单位和个人了解情况，查阅、复制有关资料。但是，应当保守被调查单位和个人的商业秘密。</w:t>
            </w:r>
          </w:p>
          <w:p w14:paraId="526B29A9">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放射性物品运输安全管理条例》第六十六条拒绝、阻碍国务院核安全监督部门或者其他依法履行放射性物品运输安全监督管理职责的部门进行监督检查，或者在接受监督检查时弄虚作假的，由监督检查部门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万元以下的罚款，构成违反治安管理行为的，由公安机关依法给予治安管理处罚，构成犯罪的，依法追究刑事责任。</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w:t>
            </w:r>
            <w:bookmarkStart w:id="4" w:name="OLE_LINK8"/>
            <w:r>
              <w:rPr>
                <w:rFonts w:hint="eastAsia" w:ascii="仿宋_GB2312" w:eastAsia="仿宋_GB2312" w:cs="仿宋_GB2312"/>
                <w:color w:val="000000" w:themeColor="text1"/>
                <w:kern w:val="0"/>
                <w:sz w:val="18"/>
                <w:szCs w:val="18"/>
              </w:rPr>
              <w:t>放射性物品道路运输管理规定</w:t>
            </w:r>
            <w:bookmarkEnd w:id="4"/>
            <w:r>
              <w:rPr>
                <w:rFonts w:hint="eastAsia"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17</w:t>
            </w:r>
            <w:r>
              <w:rPr>
                <w:rFonts w:hint="eastAsia" w:ascii="仿宋_GB2312" w:eastAsia="仿宋_GB2312" w:cs="仿宋_GB2312"/>
                <w:color w:val="000000" w:themeColor="text1"/>
                <w:kern w:val="0"/>
                <w:sz w:val="18"/>
                <w:szCs w:val="18"/>
              </w:rPr>
              <w:t>号）</w:t>
            </w:r>
            <w:r>
              <w:rPr>
                <w:rFonts w:hint="eastAsia" w:ascii="仿宋" w:hAnsi="仿宋" w:eastAsia="仿宋" w:cs="宋体"/>
                <w:color w:val="000000" w:themeColor="text1"/>
                <w:kern w:val="0"/>
                <w:sz w:val="18"/>
                <w:szCs w:val="18"/>
              </w:rPr>
              <w:t>第三十七条拒绝、阻碍</w:t>
            </w:r>
            <w:r>
              <w:rPr>
                <w:rFonts w:hint="eastAsia" w:ascii="微软雅黑" w:hAnsi="微软雅黑" w:eastAsia="微软雅黑"/>
                <w:color w:val="000000" w:themeColor="text1"/>
                <w:sz w:val="18"/>
                <w:szCs w:val="18"/>
                <w:shd w:val="clear" w:color="auto" w:fill="FFFFFF"/>
              </w:rPr>
              <w:t>交通运输主管部门</w:t>
            </w:r>
            <w:r>
              <w:rPr>
                <w:rFonts w:hint="eastAsia" w:ascii="仿宋" w:hAnsi="仿宋" w:eastAsia="仿宋" w:cs="宋体"/>
                <w:color w:val="000000" w:themeColor="text1"/>
                <w:kern w:val="0"/>
                <w:sz w:val="18"/>
                <w:szCs w:val="18"/>
              </w:rPr>
              <w:t>依法履行放射性物品运输安全监督检查，或者在接受监督检查时弄虚作假的，由</w:t>
            </w:r>
            <w:r>
              <w:rPr>
                <w:rFonts w:hint="eastAsia" w:ascii="微软雅黑" w:hAnsi="微软雅黑" w:eastAsia="微软雅黑"/>
                <w:color w:val="000000" w:themeColor="text1"/>
                <w:sz w:val="18"/>
                <w:szCs w:val="18"/>
                <w:shd w:val="clear" w:color="auto" w:fill="FFFFFF"/>
              </w:rPr>
              <w:t>交通运输主管部门</w:t>
            </w:r>
            <w:r>
              <w:rPr>
                <w:rFonts w:hint="eastAsia" w:ascii="仿宋" w:hAnsi="仿宋" w:eastAsia="仿宋" w:cs="宋体"/>
                <w:color w:val="000000" w:themeColor="text1"/>
                <w:kern w:val="0"/>
                <w:sz w:val="18"/>
                <w:szCs w:val="18"/>
              </w:rPr>
              <w:t>责令改正，处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万元以下的罚款；构成违反治安管理行为的，交由公安机关依法给予治安管理处罚；构成犯罪的，依法追究刑事责任。</w:t>
            </w:r>
          </w:p>
          <w:p w14:paraId="786C862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D5E1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0687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DAD5C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F153E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A9999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C90631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CDE0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B6F90D4">
            <w:pPr>
              <w:rPr>
                <w:color w:val="000000" w:themeColor="text1"/>
              </w:rPr>
            </w:pPr>
          </w:p>
        </w:tc>
        <w:tc>
          <w:tcPr>
            <w:tcW w:w="1110" w:type="dxa"/>
            <w:vAlign w:val="center"/>
          </w:tcPr>
          <w:p w14:paraId="6F9ABCF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5E0F2D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C165586">
            <w:pPr>
              <w:jc w:val="center"/>
              <w:rPr>
                <w:rFonts w:ascii="仿宋_GB2312" w:hAnsi="黑体" w:eastAsia="仿宋_GB2312" w:cs="黑体"/>
                <w:color w:val="000000" w:themeColor="text1"/>
                <w:sz w:val="18"/>
                <w:szCs w:val="18"/>
              </w:rPr>
            </w:pPr>
          </w:p>
        </w:tc>
        <w:tc>
          <w:tcPr>
            <w:tcW w:w="1406" w:type="dxa"/>
            <w:vAlign w:val="center"/>
          </w:tcPr>
          <w:p w14:paraId="21EC73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65F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C8066D5">
            <w:pPr>
              <w:rPr>
                <w:color w:val="000000" w:themeColor="text1"/>
              </w:rPr>
            </w:pPr>
          </w:p>
        </w:tc>
        <w:tc>
          <w:tcPr>
            <w:tcW w:w="1110" w:type="dxa"/>
            <w:vAlign w:val="center"/>
          </w:tcPr>
          <w:p w14:paraId="63ACEB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7937D4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8B35162">
            <w:pPr>
              <w:jc w:val="center"/>
              <w:rPr>
                <w:rFonts w:ascii="仿宋_GB2312" w:hAnsi="黑体" w:eastAsia="仿宋_GB2312" w:cs="黑体"/>
                <w:color w:val="000000" w:themeColor="text1"/>
                <w:sz w:val="18"/>
                <w:szCs w:val="18"/>
              </w:rPr>
            </w:pPr>
          </w:p>
        </w:tc>
        <w:tc>
          <w:tcPr>
            <w:tcW w:w="1406" w:type="dxa"/>
            <w:vAlign w:val="center"/>
          </w:tcPr>
          <w:p w14:paraId="6425FC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946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2F659DD">
            <w:pPr>
              <w:rPr>
                <w:color w:val="000000" w:themeColor="text1"/>
              </w:rPr>
            </w:pPr>
          </w:p>
        </w:tc>
        <w:tc>
          <w:tcPr>
            <w:tcW w:w="1110" w:type="dxa"/>
            <w:vAlign w:val="center"/>
          </w:tcPr>
          <w:p w14:paraId="12A45B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F5AFA9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0274AAD">
            <w:pPr>
              <w:jc w:val="center"/>
              <w:rPr>
                <w:rFonts w:ascii="仿宋_GB2312" w:hAnsi="黑体" w:eastAsia="仿宋_GB2312" w:cs="黑体"/>
                <w:color w:val="000000" w:themeColor="text1"/>
                <w:sz w:val="18"/>
                <w:szCs w:val="18"/>
              </w:rPr>
            </w:pPr>
          </w:p>
        </w:tc>
        <w:tc>
          <w:tcPr>
            <w:tcW w:w="1406" w:type="dxa"/>
            <w:vAlign w:val="center"/>
          </w:tcPr>
          <w:p w14:paraId="5695E4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8043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53AC79B">
            <w:pPr>
              <w:rPr>
                <w:color w:val="000000" w:themeColor="text1"/>
              </w:rPr>
            </w:pPr>
          </w:p>
        </w:tc>
        <w:tc>
          <w:tcPr>
            <w:tcW w:w="1110" w:type="dxa"/>
            <w:vAlign w:val="center"/>
          </w:tcPr>
          <w:p w14:paraId="6D7A0D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B239CA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B6E7603">
            <w:pPr>
              <w:jc w:val="center"/>
              <w:rPr>
                <w:rFonts w:ascii="仿宋_GB2312" w:hAnsi="黑体" w:eastAsia="仿宋_GB2312" w:cs="黑体"/>
                <w:color w:val="000000" w:themeColor="text1"/>
                <w:sz w:val="18"/>
                <w:szCs w:val="18"/>
              </w:rPr>
            </w:pPr>
          </w:p>
        </w:tc>
        <w:tc>
          <w:tcPr>
            <w:tcW w:w="1406" w:type="dxa"/>
            <w:vAlign w:val="center"/>
          </w:tcPr>
          <w:p w14:paraId="475293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4F4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4" w:hRule="atLeast"/>
          <w:jc w:val="center"/>
        </w:trPr>
        <w:tc>
          <w:tcPr>
            <w:tcW w:w="943" w:type="dxa"/>
            <w:vMerge w:val="continue"/>
            <w:vAlign w:val="center"/>
          </w:tcPr>
          <w:p w14:paraId="4E68E602">
            <w:pPr>
              <w:rPr>
                <w:color w:val="000000" w:themeColor="text1"/>
              </w:rPr>
            </w:pPr>
          </w:p>
        </w:tc>
        <w:tc>
          <w:tcPr>
            <w:tcW w:w="1110" w:type="dxa"/>
            <w:vAlign w:val="center"/>
          </w:tcPr>
          <w:p w14:paraId="4D8DEC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4826C9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04CD492">
            <w:pPr>
              <w:jc w:val="center"/>
              <w:rPr>
                <w:rFonts w:ascii="仿宋_GB2312" w:hAnsi="黑体" w:eastAsia="仿宋_GB2312" w:cs="黑体"/>
                <w:color w:val="000000" w:themeColor="text1"/>
                <w:sz w:val="18"/>
                <w:szCs w:val="18"/>
              </w:rPr>
            </w:pPr>
          </w:p>
        </w:tc>
        <w:tc>
          <w:tcPr>
            <w:tcW w:w="1406" w:type="dxa"/>
            <w:vAlign w:val="center"/>
          </w:tcPr>
          <w:p w14:paraId="121888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7C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50" w:hRule="atLeast"/>
          <w:jc w:val="center"/>
        </w:trPr>
        <w:tc>
          <w:tcPr>
            <w:tcW w:w="943" w:type="dxa"/>
            <w:vAlign w:val="center"/>
          </w:tcPr>
          <w:p w14:paraId="6F064B3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CA8ECB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153C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5F026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F5116F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AA3BE8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6181263</w:t>
            </w:r>
          </w:p>
        </w:tc>
      </w:tr>
      <w:tr w14:paraId="3A65C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40AA6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99E61F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82E5C4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5394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2" w:hRule="atLeast"/>
          <w:jc w:val="center"/>
        </w:trPr>
        <w:tc>
          <w:tcPr>
            <w:tcW w:w="943" w:type="dxa"/>
            <w:vAlign w:val="center"/>
          </w:tcPr>
          <w:p w14:paraId="0EAD282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1AB408E">
            <w:pPr>
              <w:widowControl/>
              <w:jc w:val="left"/>
              <w:textAlignment w:val="center"/>
              <w:rPr>
                <w:rFonts w:ascii="黑体" w:eastAsia="黑体" w:cs="黑体"/>
                <w:color w:val="000000" w:themeColor="text1"/>
                <w:kern w:val="0"/>
                <w:sz w:val="18"/>
                <w:szCs w:val="18"/>
              </w:rPr>
            </w:pPr>
          </w:p>
        </w:tc>
      </w:tr>
    </w:tbl>
    <w:p w14:paraId="421F7E0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EEEC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396C0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2AE2C13">
            <w:pPr>
              <w:jc w:val="center"/>
              <w:rPr>
                <w:rFonts w:ascii="黑体" w:eastAsia="黑体" w:cs="黑体"/>
                <w:b/>
                <w:bCs/>
                <w:color w:val="000000" w:themeColor="text1"/>
                <w:szCs w:val="21"/>
              </w:rPr>
            </w:pPr>
            <w:r>
              <w:rPr>
                <w:rFonts w:ascii="黑体" w:eastAsia="黑体" w:cs="黑体"/>
                <w:b/>
                <w:bCs/>
                <w:color w:val="000000" w:themeColor="text1"/>
                <w:szCs w:val="21"/>
              </w:rPr>
              <w:t>54</w:t>
            </w:r>
          </w:p>
        </w:tc>
        <w:tc>
          <w:tcPr>
            <w:tcW w:w="1691" w:type="dxa"/>
            <w:vAlign w:val="center"/>
          </w:tcPr>
          <w:p w14:paraId="39E14C7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27893F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55E04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126A19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779A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2272B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2B5B4C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对从事道路货物运输站（场）经营、机动车维修经营和机动车驾驶员培训业务未按规定进行备案或者不符合机动车维修经营业务标准等行为的行政处罚</w:t>
            </w:r>
          </w:p>
        </w:tc>
      </w:tr>
      <w:tr w14:paraId="42F05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6FC20F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C3432FA">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6968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0FDE20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908C696">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7130F4FE">
            <w:pPr>
              <w:spacing w:line="200" w:lineRule="exact"/>
              <w:jc w:val="left"/>
              <w:rPr>
                <w:rFonts w:ascii="仿宋" w:hAnsi="仿宋" w:eastAsia="仿宋"/>
                <w:color w:val="000000" w:themeColor="text1"/>
                <w:kern w:val="0"/>
                <w:sz w:val="13"/>
                <w:szCs w:val="13"/>
              </w:rPr>
            </w:pPr>
            <w:r>
              <w:rPr>
                <w:rFonts w:ascii="仿宋_GB2312" w:eastAsia="仿宋_GB2312" w:cs="仿宋_GB2312"/>
                <w:color w:val="000000" w:themeColor="text1"/>
                <w:kern w:val="0"/>
                <w:sz w:val="13"/>
                <w:szCs w:val="13"/>
              </w:rPr>
              <w:t>1.</w:t>
            </w:r>
            <w:r>
              <w:rPr>
                <w:rFonts w:hint="eastAsia" w:ascii="仿宋" w:hAnsi="仿宋" w:eastAsia="仿宋" w:cs="仿宋_GB2312"/>
                <w:color w:val="000000" w:themeColor="text1"/>
                <w:kern w:val="0"/>
                <w:sz w:val="13"/>
                <w:szCs w:val="13"/>
              </w:rPr>
              <w:t>《中华人民共和国道路运输条例》（</w:t>
            </w:r>
            <w:r>
              <w:rPr>
                <w:rFonts w:ascii="仿宋" w:hAnsi="仿宋" w:eastAsia="仿宋" w:cs="仿宋_GB2312"/>
                <w:color w:val="000000" w:themeColor="text1"/>
                <w:kern w:val="0"/>
                <w:sz w:val="13"/>
                <w:szCs w:val="13"/>
              </w:rPr>
              <w:t>2023</w:t>
            </w:r>
            <w:r>
              <w:rPr>
                <w:rFonts w:hint="eastAsia" w:ascii="仿宋" w:hAnsi="仿宋" w:eastAsia="仿宋" w:cs="仿宋_GB2312"/>
                <w:color w:val="000000" w:themeColor="text1"/>
                <w:kern w:val="0"/>
                <w:sz w:val="13"/>
                <w:szCs w:val="13"/>
              </w:rPr>
              <w:t>年</w:t>
            </w:r>
            <w:r>
              <w:rPr>
                <w:rFonts w:ascii="仿宋" w:hAnsi="仿宋" w:eastAsia="仿宋" w:cs="仿宋_GB2312"/>
                <w:color w:val="000000" w:themeColor="text1"/>
                <w:kern w:val="0"/>
                <w:sz w:val="13"/>
                <w:szCs w:val="13"/>
              </w:rPr>
              <w:t>7</w:t>
            </w:r>
            <w:r>
              <w:rPr>
                <w:rFonts w:hint="eastAsia" w:ascii="仿宋" w:hAnsi="仿宋" w:eastAsia="仿宋" w:cs="仿宋_GB2312"/>
                <w:color w:val="000000" w:themeColor="text1"/>
                <w:kern w:val="0"/>
                <w:sz w:val="13"/>
                <w:szCs w:val="13"/>
              </w:rPr>
              <w:t>月</w:t>
            </w:r>
            <w:r>
              <w:rPr>
                <w:rFonts w:ascii="仿宋" w:hAnsi="仿宋" w:eastAsia="仿宋" w:cs="仿宋_GB2312"/>
                <w:color w:val="000000" w:themeColor="text1"/>
                <w:kern w:val="0"/>
                <w:sz w:val="13"/>
                <w:szCs w:val="13"/>
              </w:rPr>
              <w:t>20</w:t>
            </w:r>
            <w:r>
              <w:rPr>
                <w:rFonts w:hint="eastAsia" w:ascii="仿宋" w:hAnsi="仿宋" w:eastAsia="仿宋" w:cs="仿宋_GB2312"/>
                <w:color w:val="000000" w:themeColor="text1"/>
                <w:kern w:val="0"/>
                <w:sz w:val="13"/>
                <w:szCs w:val="13"/>
              </w:rPr>
              <w:t>日中华人民共和国国务院令第</w:t>
            </w:r>
            <w:r>
              <w:rPr>
                <w:rFonts w:ascii="仿宋" w:hAnsi="仿宋" w:eastAsia="仿宋" w:cs="仿宋_GB2312"/>
                <w:color w:val="000000" w:themeColor="text1"/>
                <w:kern w:val="0"/>
                <w:sz w:val="13"/>
                <w:szCs w:val="13"/>
              </w:rPr>
              <w:t>764</w:t>
            </w:r>
            <w:r>
              <w:rPr>
                <w:rFonts w:hint="eastAsia" w:ascii="仿宋" w:hAnsi="仿宋" w:eastAsia="仿宋" w:cs="仿宋_GB2312"/>
                <w:color w:val="000000" w:themeColor="text1"/>
                <w:kern w:val="0"/>
                <w:sz w:val="13"/>
                <w:szCs w:val="13"/>
              </w:rPr>
              <w:t>号）</w:t>
            </w:r>
            <w:r>
              <w:rPr>
                <w:rFonts w:hint="eastAsia" w:ascii="仿宋" w:hAnsi="仿宋" w:eastAsia="仿宋"/>
                <w:color w:val="000000" w:themeColor="text1"/>
                <w:kern w:val="0"/>
                <w:sz w:val="13"/>
                <w:szCs w:val="13"/>
              </w:rPr>
              <w:t>第六十五条第二款从事机动车维修经营业务不符合国务院交通运输主管部门制定的机动车维修经营业务标准的，由县级以上地方人民政府交通运输主管部门责令改正；情节严重的，由县级以上地方人民政府交通运输主管部门责令停业整顿。第六十五条第四款从事机动车维修经营业务，未按规定进行备案的，由县级以上地方人民政府交通运输主管部门责令改正；拒不改正的，处</w:t>
            </w:r>
            <w:r>
              <w:rPr>
                <w:rFonts w:ascii="仿宋" w:hAnsi="仿宋" w:eastAsia="仿宋"/>
                <w:color w:val="000000" w:themeColor="text1"/>
                <w:kern w:val="0"/>
                <w:sz w:val="13"/>
                <w:szCs w:val="13"/>
              </w:rPr>
              <w:t>3000</w:t>
            </w:r>
            <w:r>
              <w:rPr>
                <w:rFonts w:hint="eastAsia" w:ascii="仿宋" w:hAnsi="仿宋" w:eastAsia="仿宋"/>
                <w:color w:val="000000" w:themeColor="text1"/>
                <w:kern w:val="0"/>
                <w:sz w:val="13"/>
                <w:szCs w:val="13"/>
              </w:rPr>
              <w:t>元以上</w:t>
            </w:r>
            <w:r>
              <w:rPr>
                <w:rFonts w:ascii="仿宋" w:hAnsi="仿宋" w:eastAsia="仿宋"/>
                <w:color w:val="000000" w:themeColor="text1"/>
                <w:kern w:val="0"/>
                <w:sz w:val="13"/>
                <w:szCs w:val="13"/>
              </w:rPr>
              <w:t>1</w:t>
            </w:r>
            <w:r>
              <w:rPr>
                <w:rFonts w:hint="eastAsia" w:ascii="仿宋" w:hAnsi="仿宋" w:eastAsia="仿宋"/>
                <w:color w:val="000000" w:themeColor="text1"/>
                <w:kern w:val="0"/>
                <w:sz w:val="13"/>
                <w:szCs w:val="13"/>
              </w:rPr>
              <w:t>万元以下的罚款。第六十五条第五款备案时提供虚假材料情节严重的，其直接负责的主管人员和其他直接责任人员</w:t>
            </w:r>
            <w:r>
              <w:rPr>
                <w:rFonts w:ascii="仿宋" w:hAnsi="仿宋" w:eastAsia="仿宋"/>
                <w:color w:val="000000" w:themeColor="text1"/>
                <w:kern w:val="0"/>
                <w:sz w:val="13"/>
                <w:szCs w:val="13"/>
              </w:rPr>
              <w:t>5</w:t>
            </w:r>
            <w:r>
              <w:rPr>
                <w:rFonts w:hint="eastAsia" w:ascii="仿宋" w:hAnsi="仿宋" w:eastAsia="仿宋"/>
                <w:color w:val="000000" w:themeColor="text1"/>
                <w:kern w:val="0"/>
                <w:sz w:val="13"/>
                <w:szCs w:val="13"/>
              </w:rPr>
              <w:t>年内不得从事原备案的业务</w:t>
            </w:r>
            <w:r>
              <w:rPr>
                <w:rFonts w:ascii="仿宋" w:hAnsi="仿宋" w:eastAsia="仿宋" w:cs="仿宋_GB2312"/>
                <w:color w:val="000000" w:themeColor="text1"/>
                <w:kern w:val="0"/>
                <w:sz w:val="13"/>
                <w:szCs w:val="13"/>
              </w:rPr>
              <w:t>2.</w:t>
            </w:r>
            <w:r>
              <w:rPr>
                <w:rFonts w:hint="eastAsia" w:ascii="仿宋" w:hAnsi="仿宋" w:eastAsia="仿宋" w:cs="仿宋_GB2312"/>
                <w:color w:val="000000" w:themeColor="text1"/>
                <w:kern w:val="0"/>
                <w:sz w:val="13"/>
                <w:szCs w:val="13"/>
              </w:rPr>
              <w:t>《机动车维修管理规定》（</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3"/>
                <w:szCs w:val="13"/>
              </w:rPr>
              <w:t>交通运输部令</w:t>
            </w:r>
            <w:r>
              <w:rPr>
                <w:rFonts w:ascii="仿宋" w:hAnsi="仿宋" w:eastAsia="仿宋" w:cs="仿宋_GB2312"/>
                <w:color w:val="000000" w:themeColor="text1"/>
                <w:kern w:val="0"/>
                <w:sz w:val="13"/>
                <w:szCs w:val="13"/>
              </w:rPr>
              <w:t>2023</w:t>
            </w:r>
            <w:r>
              <w:rPr>
                <w:rFonts w:hint="eastAsia" w:ascii="仿宋" w:hAnsi="仿宋" w:eastAsia="仿宋" w:cs="仿宋_GB2312"/>
                <w:color w:val="000000" w:themeColor="text1"/>
                <w:kern w:val="0"/>
                <w:sz w:val="13"/>
                <w:szCs w:val="13"/>
              </w:rPr>
              <w:t>年第</w:t>
            </w:r>
            <w:r>
              <w:rPr>
                <w:rFonts w:ascii="仿宋" w:hAnsi="仿宋" w:eastAsia="仿宋" w:cs="仿宋_GB2312"/>
                <w:color w:val="000000" w:themeColor="text1"/>
                <w:kern w:val="0"/>
                <w:sz w:val="13"/>
                <w:szCs w:val="13"/>
              </w:rPr>
              <w:t>14</w:t>
            </w:r>
            <w:r>
              <w:rPr>
                <w:rFonts w:hint="eastAsia" w:ascii="仿宋" w:hAnsi="仿宋" w:eastAsia="仿宋" w:cs="仿宋_GB2312"/>
                <w:color w:val="000000" w:themeColor="text1"/>
                <w:kern w:val="0"/>
                <w:sz w:val="13"/>
                <w:szCs w:val="13"/>
              </w:rPr>
              <w:t>号）第四十九条</w:t>
            </w:r>
            <w:r>
              <w:rPr>
                <w:rFonts w:ascii="仿宋" w:hAnsi="Times New Roman" w:eastAsia="仿宋" w:cs="Times New Roman"/>
                <w:color w:val="000000" w:themeColor="text1"/>
                <w:sz w:val="13"/>
                <w:szCs w:val="13"/>
              </w:rPr>
              <w:t> </w:t>
            </w:r>
            <w:r>
              <w:rPr>
                <w:rFonts w:hint="eastAsia" w:ascii="仿宋" w:hAnsi="仿宋" w:eastAsia="仿宋"/>
                <w:color w:val="000000" w:themeColor="text1"/>
                <w:sz w:val="13"/>
                <w:szCs w:val="13"/>
              </w:rPr>
              <w:t>违反本规定，从事机动车维修经营业务，未按规定进行备案的，由交通运输主管部门责令改正；拒不改正的，处</w:t>
            </w:r>
            <w:r>
              <w:rPr>
                <w:rFonts w:ascii="仿宋" w:hAnsi="仿宋" w:eastAsia="仿宋"/>
                <w:color w:val="000000" w:themeColor="text1"/>
                <w:sz w:val="13"/>
                <w:szCs w:val="13"/>
              </w:rPr>
              <w:t>3000</w:t>
            </w:r>
            <w:r>
              <w:rPr>
                <w:rFonts w:hint="eastAsia" w:ascii="仿宋" w:hAnsi="仿宋" w:eastAsia="仿宋"/>
                <w:color w:val="000000" w:themeColor="text1"/>
                <w:sz w:val="13"/>
                <w:szCs w:val="13"/>
              </w:rPr>
              <w:t>元以上</w:t>
            </w:r>
            <w:r>
              <w:rPr>
                <w:rFonts w:ascii="仿宋" w:hAnsi="仿宋" w:eastAsia="仿宋"/>
                <w:color w:val="000000" w:themeColor="text1"/>
                <w:sz w:val="13"/>
                <w:szCs w:val="13"/>
              </w:rPr>
              <w:t>1</w:t>
            </w:r>
            <w:r>
              <w:rPr>
                <w:rFonts w:hint="eastAsia" w:ascii="仿宋" w:hAnsi="仿宋" w:eastAsia="仿宋"/>
                <w:color w:val="000000" w:themeColor="text1"/>
                <w:sz w:val="13"/>
                <w:szCs w:val="13"/>
              </w:rPr>
              <w:t>万元以下的罚款。第五十条</w:t>
            </w:r>
            <w:r>
              <w:rPr>
                <w:rFonts w:ascii="仿宋" w:hAnsi="Times New Roman" w:eastAsia="仿宋" w:cs="Times New Roman"/>
                <w:color w:val="000000" w:themeColor="text1"/>
                <w:sz w:val="13"/>
                <w:szCs w:val="13"/>
              </w:rPr>
              <w:t> </w:t>
            </w:r>
            <w:r>
              <w:rPr>
                <w:rFonts w:hint="eastAsia" w:ascii="仿宋" w:hAnsi="仿宋" w:eastAsia="仿宋"/>
                <w:color w:val="000000" w:themeColor="text1"/>
                <w:sz w:val="13"/>
                <w:szCs w:val="13"/>
              </w:rPr>
              <w:t>违反本规定，从事机动车维修经营业务不符合国务院交通运输主管部门制定的机动车维修经营业务标准的，由交通运输主管部门责令改正；情节严重的，由交通运输主管部门责令停业整顿。</w:t>
            </w:r>
            <w:r>
              <w:rPr>
                <w:rStyle w:val="18"/>
                <w:rFonts w:ascii="仿宋" w:hAnsi="仿宋" w:eastAsia="仿宋" w:cs="宋体"/>
                <w:color w:val="000000" w:themeColor="text1"/>
                <w:sz w:val="13"/>
                <w:szCs w:val="13"/>
              </w:rPr>
              <w:t>3.</w:t>
            </w:r>
            <w:r>
              <w:rPr>
                <w:rStyle w:val="18"/>
                <w:rFonts w:hint="eastAsia" w:ascii="仿宋" w:hAnsi="仿宋" w:eastAsia="仿宋" w:cs="宋体"/>
                <w:color w:val="000000" w:themeColor="text1"/>
                <w:sz w:val="13"/>
                <w:szCs w:val="13"/>
              </w:rPr>
              <w:t>《道路货物运输及站场管理规定》</w:t>
            </w:r>
            <w:r>
              <w:rPr>
                <w:rFonts w:hint="eastAsia" w:ascii="仿宋" w:hAnsi="仿宋" w:eastAsia="仿宋"/>
                <w:color w:val="000000" w:themeColor="text1"/>
                <w:sz w:val="13"/>
                <w:szCs w:val="13"/>
              </w:rPr>
              <w:t>（中华人民共和国交通运输部令</w:t>
            </w:r>
            <w:r>
              <w:rPr>
                <w:rFonts w:ascii="仿宋" w:hAnsi="仿宋" w:eastAsia="仿宋"/>
                <w:color w:val="000000" w:themeColor="text1"/>
                <w:sz w:val="13"/>
                <w:szCs w:val="13"/>
              </w:rPr>
              <w:t>2023</w:t>
            </w:r>
            <w:r>
              <w:rPr>
                <w:rFonts w:hint="eastAsia" w:ascii="仿宋" w:hAnsi="仿宋" w:eastAsia="仿宋"/>
                <w:color w:val="000000" w:themeColor="text1"/>
                <w:sz w:val="13"/>
                <w:szCs w:val="13"/>
              </w:rPr>
              <w:t>年第</w:t>
            </w:r>
            <w:r>
              <w:rPr>
                <w:rFonts w:ascii="仿宋" w:hAnsi="仿宋" w:eastAsia="仿宋"/>
                <w:color w:val="000000" w:themeColor="text1"/>
                <w:sz w:val="13"/>
                <w:szCs w:val="13"/>
              </w:rPr>
              <w:t>12</w:t>
            </w:r>
            <w:r>
              <w:rPr>
                <w:rFonts w:hint="eastAsia" w:ascii="仿宋" w:hAnsi="仿宋" w:eastAsia="仿宋"/>
                <w:color w:val="000000" w:themeColor="text1"/>
                <w:sz w:val="13"/>
                <w:szCs w:val="13"/>
              </w:rPr>
              <w:t>号）第六十五条　从事货运站经营，未按规定进行备案的，由交通运输主管部门责令改正；拒不改正的，处</w:t>
            </w:r>
            <w:r>
              <w:rPr>
                <w:rFonts w:ascii="仿宋" w:hAnsi="仿宋" w:eastAsia="仿宋"/>
                <w:color w:val="000000" w:themeColor="text1"/>
                <w:sz w:val="13"/>
                <w:szCs w:val="13"/>
              </w:rPr>
              <w:t>5000</w:t>
            </w:r>
            <w:r>
              <w:rPr>
                <w:rFonts w:hint="eastAsia" w:ascii="仿宋" w:hAnsi="仿宋" w:eastAsia="仿宋"/>
                <w:color w:val="000000" w:themeColor="text1"/>
                <w:sz w:val="13"/>
                <w:szCs w:val="13"/>
              </w:rPr>
              <w:t>元以上</w:t>
            </w:r>
            <w:r>
              <w:rPr>
                <w:rFonts w:ascii="仿宋" w:hAnsi="仿宋" w:eastAsia="仿宋"/>
                <w:color w:val="000000" w:themeColor="text1"/>
                <w:sz w:val="13"/>
                <w:szCs w:val="13"/>
              </w:rPr>
              <w:t>2</w:t>
            </w:r>
            <w:r>
              <w:rPr>
                <w:rFonts w:hint="eastAsia" w:ascii="仿宋" w:hAnsi="仿宋" w:eastAsia="仿宋"/>
                <w:color w:val="000000" w:themeColor="text1"/>
                <w:sz w:val="13"/>
                <w:szCs w:val="13"/>
              </w:rPr>
              <w:t>万元以下的罚款。备案时提供虚假材料情节严重的，其直接负责的主管人员和其他直接责任人员</w:t>
            </w:r>
            <w:r>
              <w:rPr>
                <w:rFonts w:ascii="仿宋" w:hAnsi="仿宋" w:eastAsia="仿宋"/>
                <w:color w:val="000000" w:themeColor="text1"/>
                <w:sz w:val="13"/>
                <w:szCs w:val="13"/>
              </w:rPr>
              <w:t>5</w:t>
            </w:r>
            <w:r>
              <w:rPr>
                <w:rFonts w:hint="eastAsia" w:ascii="仿宋" w:hAnsi="仿宋" w:eastAsia="仿宋"/>
                <w:color w:val="000000" w:themeColor="text1"/>
                <w:sz w:val="13"/>
                <w:szCs w:val="13"/>
              </w:rPr>
              <w:t>年内不得从事原备案的业务。</w:t>
            </w:r>
            <w:r>
              <w:rPr>
                <w:rStyle w:val="18"/>
                <w:rFonts w:ascii="仿宋" w:hAnsi="仿宋" w:eastAsia="仿宋" w:cs="宋体"/>
                <w:color w:val="000000" w:themeColor="text1"/>
                <w:sz w:val="13"/>
                <w:szCs w:val="13"/>
              </w:rPr>
              <w:t xml:space="preserve">                                                                         4</w:t>
            </w:r>
            <w:r>
              <w:rPr>
                <w:rStyle w:val="18"/>
                <w:rFonts w:hint="eastAsia" w:ascii="仿宋" w:hAnsi="仿宋" w:eastAsia="仿宋" w:cs="宋体"/>
                <w:color w:val="000000" w:themeColor="text1"/>
                <w:sz w:val="13"/>
                <w:szCs w:val="13"/>
              </w:rPr>
              <w:t>、《机动车驾驶员培训管理规定》第四十八条违反本规定，从事机动车驾驶员培训业务，有下列情形之一的，由交通运输主管部门责令改正；拒不改正的，处</w:t>
            </w:r>
            <w:r>
              <w:rPr>
                <w:rStyle w:val="18"/>
                <w:rFonts w:ascii="仿宋" w:hAnsi="仿宋" w:eastAsia="仿宋" w:cs="宋体"/>
                <w:color w:val="000000" w:themeColor="text1"/>
                <w:sz w:val="13"/>
                <w:szCs w:val="13"/>
              </w:rPr>
              <w:t>5000</w:t>
            </w:r>
            <w:r>
              <w:rPr>
                <w:rStyle w:val="18"/>
                <w:rFonts w:hint="eastAsia" w:ascii="仿宋" w:hAnsi="仿宋" w:eastAsia="仿宋" w:cs="宋体"/>
                <w:color w:val="000000" w:themeColor="text1"/>
                <w:sz w:val="13"/>
                <w:szCs w:val="13"/>
              </w:rPr>
              <w:t>元以上</w:t>
            </w:r>
            <w:r>
              <w:rPr>
                <w:rStyle w:val="18"/>
                <w:rFonts w:ascii="仿宋" w:hAnsi="仿宋" w:eastAsia="仿宋" w:cs="宋体"/>
                <w:color w:val="000000" w:themeColor="text1"/>
                <w:sz w:val="13"/>
                <w:szCs w:val="13"/>
              </w:rPr>
              <w:t>2</w:t>
            </w:r>
            <w:r>
              <w:rPr>
                <w:rStyle w:val="18"/>
                <w:rFonts w:hint="eastAsia" w:ascii="仿宋" w:hAnsi="仿宋" w:eastAsia="仿宋" w:cs="宋体"/>
                <w:color w:val="000000" w:themeColor="text1"/>
                <w:sz w:val="13"/>
                <w:szCs w:val="13"/>
              </w:rPr>
              <w:t>万元以下的罚款：（一）从事机动车驾驶员培训业务未按规定办理备案的；（二）未按规定办理备案变更的；（三）提交虚假备案材料的。</w:t>
            </w:r>
            <w:r>
              <w:rPr>
                <w:rStyle w:val="18"/>
                <w:rFonts w:ascii="仿宋" w:hAnsi="仿宋" w:eastAsia="仿宋" w:cs="宋体"/>
                <w:color w:val="000000" w:themeColor="text1"/>
                <w:sz w:val="13"/>
                <w:szCs w:val="13"/>
              </w:rPr>
              <w:br w:type="textWrapping"/>
            </w:r>
            <w:r>
              <w:rPr>
                <w:rStyle w:val="18"/>
                <w:rFonts w:hint="eastAsia" w:ascii="仿宋" w:hAnsi="仿宋" w:eastAsia="仿宋" w:cs="宋体"/>
                <w:color w:val="000000" w:themeColor="text1"/>
                <w:sz w:val="13"/>
                <w:szCs w:val="13"/>
              </w:rPr>
              <w:t>有前款第三项行为且情节严重的，其直接负责的主管人员和其他直接责任人员</w:t>
            </w:r>
            <w:r>
              <w:rPr>
                <w:rStyle w:val="18"/>
                <w:rFonts w:ascii="仿宋" w:hAnsi="仿宋" w:eastAsia="仿宋" w:cs="宋体"/>
                <w:color w:val="000000" w:themeColor="text1"/>
                <w:sz w:val="13"/>
                <w:szCs w:val="13"/>
              </w:rPr>
              <w:t>5</w:t>
            </w:r>
            <w:r>
              <w:rPr>
                <w:rStyle w:val="18"/>
                <w:rFonts w:hint="eastAsia" w:ascii="仿宋" w:hAnsi="仿宋" w:eastAsia="仿宋" w:cs="宋体"/>
                <w:color w:val="000000" w:themeColor="text1"/>
                <w:sz w:val="13"/>
                <w:szCs w:val="13"/>
              </w:rPr>
              <w:t>年内不得从事原备案的机动车驾驶员培训业务。</w:t>
            </w:r>
          </w:p>
          <w:p w14:paraId="36A97D8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EB5C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765CC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BD77C4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D327F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C9E0F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AEC183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AAE9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0" w:hRule="atLeast"/>
          <w:jc w:val="center"/>
        </w:trPr>
        <w:tc>
          <w:tcPr>
            <w:tcW w:w="943" w:type="dxa"/>
            <w:vMerge w:val="continue"/>
            <w:vAlign w:val="center"/>
          </w:tcPr>
          <w:p w14:paraId="5BAFFD53">
            <w:pPr>
              <w:rPr>
                <w:color w:val="000000" w:themeColor="text1"/>
              </w:rPr>
            </w:pPr>
          </w:p>
        </w:tc>
        <w:tc>
          <w:tcPr>
            <w:tcW w:w="1110" w:type="dxa"/>
            <w:vAlign w:val="center"/>
          </w:tcPr>
          <w:p w14:paraId="293BC6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48802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1DD7019">
            <w:pPr>
              <w:jc w:val="center"/>
              <w:rPr>
                <w:rFonts w:ascii="仿宋_GB2312" w:hAnsi="黑体" w:eastAsia="仿宋_GB2312" w:cs="黑体"/>
                <w:color w:val="000000" w:themeColor="text1"/>
                <w:sz w:val="18"/>
                <w:szCs w:val="18"/>
              </w:rPr>
            </w:pPr>
          </w:p>
        </w:tc>
        <w:tc>
          <w:tcPr>
            <w:tcW w:w="1406" w:type="dxa"/>
            <w:vAlign w:val="center"/>
          </w:tcPr>
          <w:p w14:paraId="6212BD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6980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0" w:hRule="atLeast"/>
          <w:jc w:val="center"/>
        </w:trPr>
        <w:tc>
          <w:tcPr>
            <w:tcW w:w="943" w:type="dxa"/>
            <w:vMerge w:val="continue"/>
            <w:vAlign w:val="center"/>
          </w:tcPr>
          <w:p w14:paraId="51EFB630">
            <w:pPr>
              <w:rPr>
                <w:color w:val="000000" w:themeColor="text1"/>
              </w:rPr>
            </w:pPr>
          </w:p>
        </w:tc>
        <w:tc>
          <w:tcPr>
            <w:tcW w:w="1110" w:type="dxa"/>
            <w:vAlign w:val="center"/>
          </w:tcPr>
          <w:p w14:paraId="5E8F579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DD738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33C6528">
            <w:pPr>
              <w:jc w:val="center"/>
              <w:rPr>
                <w:rFonts w:ascii="仿宋_GB2312" w:hAnsi="黑体" w:eastAsia="仿宋_GB2312" w:cs="黑体"/>
                <w:color w:val="000000" w:themeColor="text1"/>
                <w:sz w:val="18"/>
                <w:szCs w:val="18"/>
              </w:rPr>
            </w:pPr>
          </w:p>
        </w:tc>
        <w:tc>
          <w:tcPr>
            <w:tcW w:w="1406" w:type="dxa"/>
            <w:vAlign w:val="center"/>
          </w:tcPr>
          <w:p w14:paraId="497D88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333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5" w:hRule="atLeast"/>
          <w:jc w:val="center"/>
        </w:trPr>
        <w:tc>
          <w:tcPr>
            <w:tcW w:w="943" w:type="dxa"/>
            <w:vMerge w:val="continue"/>
            <w:vAlign w:val="center"/>
          </w:tcPr>
          <w:p w14:paraId="41B6FD59">
            <w:pPr>
              <w:rPr>
                <w:color w:val="000000" w:themeColor="text1"/>
              </w:rPr>
            </w:pPr>
          </w:p>
        </w:tc>
        <w:tc>
          <w:tcPr>
            <w:tcW w:w="1110" w:type="dxa"/>
            <w:vAlign w:val="center"/>
          </w:tcPr>
          <w:p w14:paraId="30F6D18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1B53F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1DA9B42">
            <w:pPr>
              <w:jc w:val="center"/>
              <w:rPr>
                <w:rFonts w:ascii="仿宋_GB2312" w:hAnsi="黑体" w:eastAsia="仿宋_GB2312" w:cs="黑体"/>
                <w:color w:val="000000" w:themeColor="text1"/>
                <w:sz w:val="18"/>
                <w:szCs w:val="18"/>
              </w:rPr>
            </w:pPr>
          </w:p>
        </w:tc>
        <w:tc>
          <w:tcPr>
            <w:tcW w:w="1406" w:type="dxa"/>
            <w:vAlign w:val="center"/>
          </w:tcPr>
          <w:p w14:paraId="1F097F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F022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9" w:hRule="atLeast"/>
          <w:jc w:val="center"/>
        </w:trPr>
        <w:tc>
          <w:tcPr>
            <w:tcW w:w="943" w:type="dxa"/>
            <w:vMerge w:val="continue"/>
            <w:vAlign w:val="center"/>
          </w:tcPr>
          <w:p w14:paraId="69FE7FF1">
            <w:pPr>
              <w:rPr>
                <w:color w:val="000000" w:themeColor="text1"/>
              </w:rPr>
            </w:pPr>
          </w:p>
        </w:tc>
        <w:tc>
          <w:tcPr>
            <w:tcW w:w="1110" w:type="dxa"/>
            <w:vAlign w:val="center"/>
          </w:tcPr>
          <w:p w14:paraId="297B1A4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8B441D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28FC4DD">
            <w:pPr>
              <w:jc w:val="center"/>
              <w:rPr>
                <w:rFonts w:ascii="仿宋_GB2312" w:hAnsi="黑体" w:eastAsia="仿宋_GB2312" w:cs="黑体"/>
                <w:color w:val="000000" w:themeColor="text1"/>
                <w:sz w:val="18"/>
                <w:szCs w:val="18"/>
              </w:rPr>
            </w:pPr>
          </w:p>
        </w:tc>
        <w:tc>
          <w:tcPr>
            <w:tcW w:w="1406" w:type="dxa"/>
            <w:vAlign w:val="center"/>
          </w:tcPr>
          <w:p w14:paraId="43B153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087C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943" w:type="dxa"/>
            <w:vMerge w:val="continue"/>
            <w:vAlign w:val="center"/>
          </w:tcPr>
          <w:p w14:paraId="553C076F">
            <w:pPr>
              <w:rPr>
                <w:color w:val="000000" w:themeColor="text1"/>
              </w:rPr>
            </w:pPr>
          </w:p>
        </w:tc>
        <w:tc>
          <w:tcPr>
            <w:tcW w:w="1110" w:type="dxa"/>
            <w:vAlign w:val="center"/>
          </w:tcPr>
          <w:p w14:paraId="7A056B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F1A6EC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2033B32">
            <w:pPr>
              <w:jc w:val="center"/>
              <w:rPr>
                <w:rFonts w:ascii="仿宋_GB2312" w:hAnsi="黑体" w:eastAsia="仿宋_GB2312" w:cs="黑体"/>
                <w:color w:val="000000" w:themeColor="text1"/>
                <w:sz w:val="18"/>
                <w:szCs w:val="18"/>
              </w:rPr>
            </w:pPr>
          </w:p>
        </w:tc>
        <w:tc>
          <w:tcPr>
            <w:tcW w:w="1406" w:type="dxa"/>
            <w:vAlign w:val="center"/>
          </w:tcPr>
          <w:p w14:paraId="1156D86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D40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75" w:hRule="atLeast"/>
          <w:jc w:val="center"/>
        </w:trPr>
        <w:tc>
          <w:tcPr>
            <w:tcW w:w="943" w:type="dxa"/>
            <w:vAlign w:val="center"/>
          </w:tcPr>
          <w:p w14:paraId="72573FE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28609B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022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A4A5E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ECE393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8431D4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6181263</w:t>
            </w:r>
          </w:p>
        </w:tc>
      </w:tr>
      <w:tr w14:paraId="2B806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CBAC1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106082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6CF268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22B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523A7F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E2389E0">
            <w:pPr>
              <w:widowControl/>
              <w:jc w:val="left"/>
              <w:textAlignment w:val="center"/>
              <w:rPr>
                <w:rFonts w:ascii="黑体" w:eastAsia="黑体" w:cs="黑体"/>
                <w:color w:val="000000" w:themeColor="text1"/>
                <w:kern w:val="0"/>
                <w:sz w:val="18"/>
                <w:szCs w:val="18"/>
              </w:rPr>
            </w:pPr>
          </w:p>
        </w:tc>
      </w:tr>
    </w:tbl>
    <w:p w14:paraId="6B34864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BDA1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4E010F9">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E94596A">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55</w:t>
            </w:r>
          </w:p>
        </w:tc>
        <w:tc>
          <w:tcPr>
            <w:tcW w:w="1691" w:type="dxa"/>
            <w:vAlign w:val="center"/>
          </w:tcPr>
          <w:p w14:paraId="05C88335">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98735C2">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F588BD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2F0F137">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BCAD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B04731E">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745406E">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对道路运输经营者违反车辆技术管理规定等行为的行政处罚</w:t>
            </w:r>
          </w:p>
        </w:tc>
      </w:tr>
      <w:tr w14:paraId="749CD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7AD6201">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54CE75E">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E74A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E817C5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8CDEFD9">
            <w:pPr>
              <w:spacing w:line="200" w:lineRule="exact"/>
              <w:rPr>
                <w:rFonts w:ascii="仿宋_GB2312" w:eastAsia="仿宋_GB2312" w:cs="仿宋_GB2312"/>
                <w:color w:val="000000" w:themeColor="text1"/>
                <w:kern w:val="0"/>
                <w:sz w:val="15"/>
                <w:szCs w:val="15"/>
              </w:rPr>
            </w:pPr>
            <w:r>
              <w:rPr>
                <w:rFonts w:hint="eastAsia"/>
                <w:color w:val="000000" w:themeColor="text1"/>
                <w:kern w:val="0"/>
                <w:sz w:val="15"/>
                <w:szCs w:val="15"/>
              </w:rPr>
              <w:t>【法律法规】</w:t>
            </w:r>
            <w:r>
              <w:rPr>
                <w:color w:val="000000" w:themeColor="text1"/>
                <w:kern w:val="0"/>
                <w:sz w:val="15"/>
                <w:szCs w:val="15"/>
              </w:rPr>
              <w:t>1.</w:t>
            </w:r>
            <w:r>
              <w:rPr>
                <w:rFonts w:hint="eastAsia"/>
                <w:color w:val="000000" w:themeColor="text1"/>
                <w:kern w:val="0"/>
                <w:sz w:val="15"/>
                <w:szCs w:val="15"/>
              </w:rPr>
              <w:t>《中华人民共和国道路运输条例》（</w:t>
            </w:r>
            <w:r>
              <w:rPr>
                <w:color w:val="000000" w:themeColor="text1"/>
                <w:kern w:val="0"/>
                <w:sz w:val="15"/>
                <w:szCs w:val="15"/>
              </w:rPr>
              <w:t>2023</w:t>
            </w:r>
            <w:r>
              <w:rPr>
                <w:rFonts w:hint="eastAsia"/>
                <w:color w:val="000000" w:themeColor="text1"/>
                <w:kern w:val="0"/>
                <w:sz w:val="15"/>
                <w:szCs w:val="15"/>
              </w:rPr>
              <w:t>年</w:t>
            </w:r>
            <w:r>
              <w:rPr>
                <w:color w:val="000000" w:themeColor="text1"/>
                <w:kern w:val="0"/>
                <w:sz w:val="15"/>
                <w:szCs w:val="15"/>
              </w:rPr>
              <w:t>7</w:t>
            </w:r>
            <w:r>
              <w:rPr>
                <w:rFonts w:hint="eastAsia"/>
                <w:color w:val="000000" w:themeColor="text1"/>
                <w:kern w:val="0"/>
                <w:sz w:val="15"/>
                <w:szCs w:val="15"/>
              </w:rPr>
              <w:t>月</w:t>
            </w:r>
            <w:r>
              <w:rPr>
                <w:color w:val="000000" w:themeColor="text1"/>
                <w:kern w:val="0"/>
                <w:sz w:val="15"/>
                <w:szCs w:val="15"/>
              </w:rPr>
              <w:t>20</w:t>
            </w:r>
            <w:r>
              <w:rPr>
                <w:rFonts w:hint="eastAsia"/>
                <w:color w:val="000000" w:themeColor="text1"/>
                <w:kern w:val="0"/>
                <w:sz w:val="15"/>
                <w:szCs w:val="15"/>
              </w:rPr>
              <w:t>日中华人民共和国国务院令第</w:t>
            </w:r>
            <w:r>
              <w:rPr>
                <w:color w:val="000000" w:themeColor="text1"/>
                <w:kern w:val="0"/>
                <w:sz w:val="15"/>
                <w:szCs w:val="15"/>
              </w:rPr>
              <w:t>764</w:t>
            </w:r>
            <w:r>
              <w:rPr>
                <w:rFonts w:hint="eastAsia"/>
                <w:color w:val="000000" w:themeColor="text1"/>
                <w:kern w:val="0"/>
                <w:sz w:val="15"/>
                <w:szCs w:val="15"/>
              </w:rPr>
              <w:t>号）第六十九条</w:t>
            </w:r>
            <w:r>
              <w:rPr>
                <w:color w:val="000000" w:themeColor="text1"/>
                <w:kern w:val="0"/>
                <w:sz w:val="15"/>
                <w:szCs w:val="15"/>
              </w:rPr>
              <w:t xml:space="preserve"> </w:t>
            </w:r>
            <w:r>
              <w:rPr>
                <w:rFonts w:hint="eastAsia"/>
                <w:color w:val="000000" w:themeColor="text1"/>
                <w:kern w:val="0"/>
                <w:sz w:val="15"/>
                <w:szCs w:val="15"/>
              </w:rPr>
              <w:t>违反本条例的规定，客运经营者、货运经营者</w:t>
            </w:r>
            <w:bookmarkStart w:id="5" w:name="OLE_LINK9"/>
            <w:bookmarkStart w:id="6" w:name="OLE_LINK10"/>
            <w:r>
              <w:rPr>
                <w:rFonts w:hint="eastAsia"/>
                <w:color w:val="000000" w:themeColor="text1"/>
                <w:kern w:val="0"/>
                <w:sz w:val="15"/>
                <w:szCs w:val="15"/>
              </w:rPr>
              <w:t>不按规定维护和检测运输车辆的，由县级以上地方人民政府交通运输主管部</w:t>
            </w:r>
            <w:bookmarkEnd w:id="5"/>
            <w:bookmarkEnd w:id="6"/>
            <w:r>
              <w:rPr>
                <w:rFonts w:hint="eastAsia"/>
                <w:color w:val="000000" w:themeColor="text1"/>
                <w:kern w:val="0"/>
                <w:sz w:val="15"/>
                <w:szCs w:val="15"/>
              </w:rPr>
              <w:t>门责令改正，处</w:t>
            </w:r>
            <w:r>
              <w:rPr>
                <w:color w:val="000000" w:themeColor="text1"/>
                <w:kern w:val="0"/>
                <w:sz w:val="15"/>
                <w:szCs w:val="15"/>
              </w:rPr>
              <w:t>1000</w:t>
            </w:r>
            <w:r>
              <w:rPr>
                <w:rFonts w:hint="eastAsia"/>
                <w:color w:val="000000" w:themeColor="text1"/>
                <w:kern w:val="0"/>
                <w:sz w:val="15"/>
                <w:szCs w:val="15"/>
              </w:rPr>
              <w:t>元以上</w:t>
            </w:r>
            <w:r>
              <w:rPr>
                <w:color w:val="000000" w:themeColor="text1"/>
                <w:kern w:val="0"/>
                <w:sz w:val="15"/>
                <w:szCs w:val="15"/>
              </w:rPr>
              <w:t>5000</w:t>
            </w:r>
            <w:r>
              <w:rPr>
                <w:rFonts w:hint="eastAsia"/>
                <w:color w:val="000000" w:themeColor="text1"/>
                <w:kern w:val="0"/>
                <w:sz w:val="15"/>
                <w:szCs w:val="15"/>
              </w:rPr>
              <w:t>元以下的罚款。</w:t>
            </w:r>
            <w:r>
              <w:rPr>
                <w:color w:val="000000" w:themeColor="text1"/>
                <w:kern w:val="0"/>
                <w:sz w:val="15"/>
                <w:szCs w:val="15"/>
              </w:rPr>
              <w:t xml:space="preserve">  </w:t>
            </w:r>
            <w:r>
              <w:rPr>
                <w:rFonts w:hint="eastAsia"/>
                <w:color w:val="000000" w:themeColor="text1"/>
                <w:kern w:val="0"/>
                <w:sz w:val="15"/>
                <w:szCs w:val="15"/>
              </w:rPr>
              <w:t>违反本条例的规定，客运经营者、货运经营者擅自改装已取得车辆营运证的车辆的，由县级以上地方人民政府交通运输主管部门责令改正，处</w:t>
            </w:r>
            <w:r>
              <w:rPr>
                <w:color w:val="000000" w:themeColor="text1"/>
                <w:kern w:val="0"/>
                <w:sz w:val="15"/>
                <w:szCs w:val="15"/>
              </w:rPr>
              <w:t>5000</w:t>
            </w:r>
            <w:r>
              <w:rPr>
                <w:rFonts w:hint="eastAsia"/>
                <w:color w:val="000000" w:themeColor="text1"/>
                <w:kern w:val="0"/>
                <w:sz w:val="15"/>
                <w:szCs w:val="15"/>
              </w:rPr>
              <w:t>元以上</w:t>
            </w:r>
            <w:r>
              <w:rPr>
                <w:color w:val="000000" w:themeColor="text1"/>
                <w:kern w:val="0"/>
                <w:sz w:val="15"/>
                <w:szCs w:val="15"/>
              </w:rPr>
              <w:t>2</w:t>
            </w:r>
            <w:r>
              <w:rPr>
                <w:rFonts w:hint="eastAsia"/>
                <w:color w:val="000000" w:themeColor="text1"/>
                <w:kern w:val="0"/>
                <w:sz w:val="15"/>
                <w:szCs w:val="15"/>
              </w:rPr>
              <w:t>万元以下的罚款。</w:t>
            </w:r>
          </w:p>
          <w:p w14:paraId="4FF1F53A">
            <w:pPr>
              <w:spacing w:line="200" w:lineRule="exact"/>
              <w:rPr>
                <w:rFonts w:ascii="仿宋_GB2312" w:eastAsia="仿宋_GB2312" w:cs="仿宋_GB2312"/>
                <w:color w:val="000000" w:themeColor="text1"/>
                <w:kern w:val="0"/>
                <w:sz w:val="15"/>
                <w:szCs w:val="15"/>
              </w:rPr>
            </w:pP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《道路运输车辆技术管理规定》（（中华人民共和国交通运输部令</w:t>
            </w:r>
            <w:r>
              <w:rPr>
                <w:rFonts w:ascii="仿宋_GB2312" w:eastAsia="仿宋_GB2312" w:cs="仿宋_GB2312"/>
                <w:color w:val="000000" w:themeColor="text1"/>
                <w:kern w:val="0"/>
                <w:sz w:val="15"/>
                <w:szCs w:val="15"/>
              </w:rPr>
              <w:t>2023</w:t>
            </w:r>
            <w:r>
              <w:rPr>
                <w:rFonts w:hint="eastAsia" w:ascii="仿宋_GB2312" w:eastAsia="仿宋_GB2312" w:cs="仿宋_GB2312"/>
                <w:color w:val="000000" w:themeColor="text1"/>
                <w:kern w:val="0"/>
                <w:sz w:val="15"/>
                <w:szCs w:val="15"/>
              </w:rPr>
              <w:t>年第</w:t>
            </w:r>
            <w:r>
              <w:rPr>
                <w:rFonts w:ascii="仿宋_GB2312" w:eastAsia="仿宋_GB2312" w:cs="仿宋_GB2312"/>
                <w:color w:val="000000" w:themeColor="text1"/>
                <w:kern w:val="0"/>
                <w:sz w:val="15"/>
                <w:szCs w:val="15"/>
              </w:rPr>
              <w:t>3</w:t>
            </w:r>
            <w:r>
              <w:rPr>
                <w:rFonts w:hint="eastAsia" w:ascii="仿宋_GB2312" w:eastAsia="仿宋_GB2312" w:cs="仿宋_GB2312"/>
                <w:color w:val="000000" w:themeColor="text1"/>
                <w:kern w:val="0"/>
                <w:sz w:val="15"/>
                <w:szCs w:val="15"/>
              </w:rPr>
              <w:t>号）第三十一条违反本规定，道路运输经营者未按照规定的周期和频次进行车辆检验检测或者未按规定维护道路运输车辆的，交通运输主管部门应当责令改正，处</w:t>
            </w:r>
            <w:r>
              <w:rPr>
                <w:rFonts w:ascii="仿宋_GB2312" w:eastAsia="仿宋_GB2312" w:cs="仿宋_GB2312"/>
                <w:color w:val="000000" w:themeColor="text1"/>
                <w:kern w:val="0"/>
                <w:sz w:val="15"/>
                <w:szCs w:val="15"/>
              </w:rPr>
              <w:t>1000</w:t>
            </w:r>
            <w:r>
              <w:rPr>
                <w:rFonts w:hint="eastAsia" w:ascii="仿宋_GB2312" w:eastAsia="仿宋_GB2312" w:cs="仿宋_GB2312"/>
                <w:color w:val="000000" w:themeColor="text1"/>
                <w:kern w:val="0"/>
                <w:sz w:val="15"/>
                <w:szCs w:val="15"/>
              </w:rPr>
              <w:t>元以上</w:t>
            </w:r>
            <w:r>
              <w:rPr>
                <w:rFonts w:ascii="仿宋_GB2312" w:eastAsia="仿宋_GB2312" w:cs="仿宋_GB2312"/>
                <w:color w:val="000000" w:themeColor="text1"/>
                <w:kern w:val="0"/>
                <w:sz w:val="15"/>
                <w:szCs w:val="15"/>
              </w:rPr>
              <w:t>5000</w:t>
            </w:r>
            <w:r>
              <w:rPr>
                <w:rFonts w:hint="eastAsia" w:ascii="仿宋_GB2312" w:eastAsia="仿宋_GB2312" w:cs="仿宋_GB2312"/>
                <w:color w:val="000000" w:themeColor="text1"/>
                <w:kern w:val="0"/>
                <w:sz w:val="15"/>
                <w:szCs w:val="15"/>
              </w:rPr>
              <w:t>元以下罚款。</w:t>
            </w:r>
          </w:p>
          <w:p w14:paraId="76C33A32">
            <w:pPr>
              <w:spacing w:line="200" w:lineRule="exact"/>
              <w:rPr>
                <w:rStyle w:val="18"/>
                <w:rFonts w:ascii="仿宋" w:hAnsi="仿宋" w:eastAsia="仿宋" w:cs="宋体"/>
                <w:color w:val="000000" w:themeColor="text1"/>
                <w:sz w:val="15"/>
                <w:szCs w:val="15"/>
              </w:rPr>
            </w:pPr>
            <w:r>
              <w:rPr>
                <w:rFonts w:ascii="仿宋_GB2312" w:eastAsia="仿宋_GB2312" w:cs="仿宋_GB2312"/>
                <w:color w:val="000000" w:themeColor="text1"/>
                <w:kern w:val="0"/>
                <w:sz w:val="15"/>
                <w:szCs w:val="15"/>
              </w:rPr>
              <w:t>3.</w:t>
            </w:r>
            <w:r>
              <w:rPr>
                <w:rFonts w:hint="eastAsia" w:ascii="仿宋_GB2312" w:eastAsia="仿宋_GB2312" w:cs="仿宋_GB2312"/>
                <w:color w:val="000000" w:themeColor="text1"/>
                <w:kern w:val="0"/>
                <w:sz w:val="15"/>
                <w:szCs w:val="15"/>
              </w:rPr>
              <w:t>《河北省道路运输条例》</w:t>
            </w:r>
            <w:r>
              <w:rPr>
                <w:rFonts w:ascii="仿宋_GB2312" w:eastAsia="仿宋_GB2312" w:cs="仿宋_GB2312"/>
                <w:color w:val="000000" w:themeColor="text1"/>
                <w:kern w:val="0"/>
                <w:sz w:val="15"/>
                <w:szCs w:val="15"/>
              </w:rPr>
              <w:t>(2017</w:t>
            </w:r>
            <w:r>
              <w:rPr>
                <w:rFonts w:hint="eastAsia" w:ascii="仿宋_GB2312" w:eastAsia="仿宋_GB2312" w:cs="仿宋_GB2312"/>
                <w:color w:val="000000" w:themeColor="text1"/>
                <w:kern w:val="0"/>
                <w:sz w:val="15"/>
                <w:szCs w:val="15"/>
              </w:rPr>
              <w:t>年</w:t>
            </w:r>
            <w:r>
              <w:rPr>
                <w:rFonts w:ascii="仿宋_GB2312" w:eastAsia="仿宋_GB2312" w:cs="仿宋_GB2312"/>
                <w:color w:val="000000" w:themeColor="text1"/>
                <w:kern w:val="0"/>
                <w:sz w:val="15"/>
                <w:szCs w:val="15"/>
              </w:rPr>
              <w:t>7</w:t>
            </w:r>
            <w:r>
              <w:rPr>
                <w:rFonts w:hint="eastAsia" w:ascii="仿宋_GB2312" w:eastAsia="仿宋_GB2312" w:cs="仿宋_GB2312"/>
                <w:color w:val="000000" w:themeColor="text1"/>
                <w:kern w:val="0"/>
                <w:sz w:val="15"/>
                <w:szCs w:val="15"/>
              </w:rPr>
              <w:t>月</w:t>
            </w:r>
            <w:r>
              <w:rPr>
                <w:rFonts w:ascii="仿宋_GB2312" w:eastAsia="仿宋_GB2312" w:cs="仿宋_GB2312"/>
                <w:color w:val="000000" w:themeColor="text1"/>
                <w:kern w:val="0"/>
                <w:sz w:val="15"/>
                <w:szCs w:val="15"/>
              </w:rPr>
              <w:t>28</w:t>
            </w:r>
            <w:r>
              <w:rPr>
                <w:rFonts w:hint="eastAsia" w:ascii="仿宋_GB2312" w:eastAsia="仿宋_GB2312" w:cs="仿宋_GB2312"/>
                <w:color w:val="000000" w:themeColor="text1"/>
                <w:kern w:val="0"/>
                <w:sz w:val="15"/>
                <w:szCs w:val="15"/>
              </w:rPr>
              <w:t>日河北省第十二届人民代表大会常务委员会第三十一次会议通过</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第五十八条违反本条例规定，客运经营者、货运经营者不按照规定维护和检测运输车辆的，由县级以上道路运输管理机构责令改正，处一千元以上三千元以下的罚款；情节严重的，处三千元以上五千元以下的罚款。</w:t>
            </w:r>
            <w:r>
              <w:rPr>
                <w:rFonts w:ascii="仿宋_GB2312" w:eastAsia="仿宋_GB2312" w:cs="仿宋_GB2312"/>
                <w:color w:val="000000" w:themeColor="text1"/>
                <w:kern w:val="0"/>
                <w:sz w:val="15"/>
                <w:szCs w:val="15"/>
              </w:rPr>
              <w:t>4.</w:t>
            </w:r>
            <w:r>
              <w:rPr>
                <w:rFonts w:hint="eastAsia" w:ascii="仿宋_GB2312" w:eastAsia="仿宋_GB2312" w:cs="仿宋_GB2312"/>
                <w:color w:val="000000" w:themeColor="text1"/>
                <w:kern w:val="0"/>
                <w:sz w:val="15"/>
                <w:szCs w:val="15"/>
              </w:rPr>
              <w:t>《</w:t>
            </w:r>
            <w:bookmarkStart w:id="7" w:name="OLE_LINK11"/>
            <w:r>
              <w:rPr>
                <w:rFonts w:hint="eastAsia" w:ascii="仿宋_GB2312" w:eastAsia="仿宋_GB2312" w:cs="仿宋_GB2312"/>
                <w:color w:val="000000" w:themeColor="text1"/>
                <w:kern w:val="0"/>
                <w:sz w:val="15"/>
                <w:szCs w:val="15"/>
              </w:rPr>
              <w:t>河北省机动车和非道路移动机械排放污染防治条例</w:t>
            </w:r>
            <w:bookmarkEnd w:id="7"/>
            <w:r>
              <w:rPr>
                <w:rFonts w:hint="eastAsia" w:ascii="仿宋_GB2312" w:eastAsia="仿宋_GB2312" w:cs="仿宋_GB2312"/>
                <w:color w:val="000000" w:themeColor="text1"/>
                <w:kern w:val="0"/>
                <w:sz w:val="15"/>
                <w:szCs w:val="15"/>
              </w:rPr>
              <w:t>》</w:t>
            </w:r>
            <w:r>
              <w:rPr>
                <w:rStyle w:val="18"/>
                <w:rFonts w:hint="eastAsia" w:ascii="仿宋" w:hAnsi="仿宋" w:eastAsia="仿宋" w:cs="宋体"/>
                <w:color w:val="000000" w:themeColor="text1"/>
                <w:sz w:val="15"/>
                <w:szCs w:val="15"/>
              </w:rPr>
              <w:t>第四十一条违反本条例规定，客运经营者、货运经营者擅自改装已取得车辆营运证的车辆的，由县级以上道路运输管理机构责令改正，处五千元以上二万元以下的罚款。</w:t>
            </w:r>
          </w:p>
          <w:p w14:paraId="27AF15AD">
            <w:pPr>
              <w:spacing w:line="200" w:lineRule="exact"/>
              <w:rPr>
                <w:rFonts w:ascii="仿宋_GB2312" w:eastAsia="仿宋_GB2312" w:cs="仿宋_GB2312"/>
                <w:color w:val="000000" w:themeColor="text1"/>
                <w:kern w:val="0"/>
                <w:sz w:val="15"/>
                <w:szCs w:val="15"/>
              </w:rPr>
            </w:pPr>
            <w:r>
              <w:rPr>
                <w:rStyle w:val="18"/>
                <w:rFonts w:ascii="仿宋" w:hAnsi="仿宋" w:eastAsia="仿宋" w:cs="宋体"/>
                <w:color w:val="000000" w:themeColor="text1"/>
                <w:sz w:val="15"/>
                <w:szCs w:val="15"/>
              </w:rPr>
              <w:t>5.</w:t>
            </w:r>
            <w:r>
              <w:rPr>
                <w:rStyle w:val="18"/>
                <w:rFonts w:hint="eastAsia" w:ascii="仿宋" w:hAnsi="仿宋" w:eastAsia="仿宋" w:cs="宋体"/>
                <w:color w:val="000000" w:themeColor="text1"/>
                <w:sz w:val="15"/>
                <w:szCs w:val="15"/>
              </w:rPr>
              <w:t>《道路危险货物运输管理规定》</w:t>
            </w:r>
            <w:r>
              <w:rPr>
                <w:rFonts w:hint="eastAsia"/>
                <w:color w:val="000000" w:themeColor="text1"/>
                <w:sz w:val="15"/>
                <w:szCs w:val="15"/>
                <w:shd w:val="clear" w:color="auto" w:fill="FFFFFF"/>
              </w:rPr>
              <w:t>（中华人民共和国交通运输部令</w:t>
            </w:r>
            <w:r>
              <w:rPr>
                <w:color w:val="000000" w:themeColor="text1"/>
                <w:sz w:val="15"/>
                <w:szCs w:val="15"/>
                <w:shd w:val="clear" w:color="auto" w:fill="FFFFFF"/>
              </w:rPr>
              <w:t>2023</w:t>
            </w:r>
            <w:r>
              <w:rPr>
                <w:rFonts w:hint="eastAsia"/>
                <w:color w:val="000000" w:themeColor="text1"/>
                <w:sz w:val="15"/>
                <w:szCs w:val="15"/>
                <w:shd w:val="clear" w:color="auto" w:fill="FFFFFF"/>
              </w:rPr>
              <w:t>年第</w:t>
            </w:r>
            <w:r>
              <w:rPr>
                <w:color w:val="000000" w:themeColor="text1"/>
                <w:sz w:val="15"/>
                <w:szCs w:val="15"/>
                <w:shd w:val="clear" w:color="auto" w:fill="FFFFFF"/>
              </w:rPr>
              <w:t>13</w:t>
            </w:r>
            <w:r>
              <w:rPr>
                <w:rFonts w:hint="eastAsia"/>
                <w:color w:val="000000" w:themeColor="text1"/>
                <w:sz w:val="15"/>
                <w:szCs w:val="15"/>
                <w:shd w:val="clear" w:color="auto" w:fill="FFFFFF"/>
              </w:rPr>
              <w:t>号）</w:t>
            </w:r>
          </w:p>
          <w:p w14:paraId="61FD8B1D">
            <w:pPr>
              <w:spacing w:line="200" w:lineRule="exact"/>
              <w:rPr>
                <w:rFonts w:ascii="仿宋" w:hAnsi="仿宋" w:eastAsia="仿宋" w:cs="宋体"/>
                <w:color w:val="000000" w:themeColor="text1"/>
                <w:sz w:val="15"/>
                <w:szCs w:val="15"/>
              </w:rPr>
            </w:pPr>
            <w:r>
              <w:rPr>
                <w:rStyle w:val="18"/>
                <w:rFonts w:hint="eastAsia" w:ascii="仿宋" w:hAnsi="仿宋" w:eastAsia="仿宋" w:cs="宋体"/>
                <w:color w:val="000000" w:themeColor="text1"/>
                <w:sz w:val="15"/>
                <w:szCs w:val="15"/>
              </w:rPr>
              <w:t>第六十一条违反本规定，道路危险货物运输企业擅自改装已取得《道路运输证》的专用车辆及罐式专用车辆罐体的，由</w:t>
            </w:r>
            <w:r>
              <w:rPr>
                <w:rFonts w:hint="eastAsia" w:ascii="微软雅黑" w:hAnsi="微软雅黑" w:eastAsia="微软雅黑"/>
                <w:color w:val="000000" w:themeColor="text1"/>
                <w:sz w:val="15"/>
                <w:szCs w:val="15"/>
                <w:shd w:val="clear" w:color="auto" w:fill="FFFFFF"/>
              </w:rPr>
              <w:t>交通运输主管部门</w:t>
            </w:r>
            <w:r>
              <w:rPr>
                <w:rStyle w:val="18"/>
                <w:rFonts w:hint="eastAsia" w:ascii="仿宋" w:hAnsi="仿宋" w:eastAsia="仿宋" w:cs="宋体"/>
                <w:color w:val="000000" w:themeColor="text1"/>
                <w:sz w:val="15"/>
                <w:szCs w:val="15"/>
              </w:rPr>
              <w:t>责令改正，并处</w:t>
            </w:r>
            <w:r>
              <w:rPr>
                <w:rStyle w:val="18"/>
                <w:rFonts w:ascii="仿宋" w:hAnsi="仿宋" w:eastAsia="仿宋" w:cs="宋体"/>
                <w:color w:val="000000" w:themeColor="text1"/>
                <w:sz w:val="15"/>
                <w:szCs w:val="15"/>
              </w:rPr>
              <w:t>5000</w:t>
            </w:r>
            <w:r>
              <w:rPr>
                <w:rStyle w:val="18"/>
                <w:rFonts w:hint="eastAsia" w:ascii="仿宋" w:hAnsi="仿宋" w:eastAsia="仿宋" w:cs="宋体"/>
                <w:color w:val="000000" w:themeColor="text1"/>
                <w:sz w:val="15"/>
                <w:szCs w:val="15"/>
              </w:rPr>
              <w:t>元以上</w:t>
            </w:r>
            <w:r>
              <w:rPr>
                <w:rStyle w:val="18"/>
                <w:rFonts w:ascii="仿宋" w:hAnsi="仿宋" w:eastAsia="仿宋" w:cs="宋体"/>
                <w:color w:val="000000" w:themeColor="text1"/>
                <w:sz w:val="15"/>
                <w:szCs w:val="15"/>
              </w:rPr>
              <w:t>2</w:t>
            </w:r>
            <w:r>
              <w:rPr>
                <w:rStyle w:val="18"/>
                <w:rFonts w:hint="eastAsia" w:ascii="仿宋" w:hAnsi="仿宋" w:eastAsia="仿宋" w:cs="宋体"/>
                <w:color w:val="000000" w:themeColor="text1"/>
                <w:sz w:val="15"/>
                <w:szCs w:val="15"/>
              </w:rPr>
              <w:t>万元以下的罚款。</w:t>
            </w:r>
            <w:r>
              <w:rPr>
                <w:rStyle w:val="18"/>
                <w:rFonts w:ascii="仿宋" w:hAnsi="仿宋" w:eastAsia="仿宋" w:cs="宋体"/>
                <w:color w:val="000000" w:themeColor="text1"/>
                <w:sz w:val="15"/>
                <w:szCs w:val="15"/>
              </w:rPr>
              <w:br w:type="textWrapping"/>
            </w:r>
            <w:r>
              <w:rPr>
                <w:rStyle w:val="18"/>
                <w:rFonts w:ascii="仿宋" w:hAnsi="仿宋" w:eastAsia="仿宋" w:cs="宋体"/>
                <w:color w:val="000000" w:themeColor="text1"/>
                <w:sz w:val="15"/>
                <w:szCs w:val="15"/>
              </w:rPr>
              <w:t>6.</w:t>
            </w:r>
            <w:r>
              <w:rPr>
                <w:rStyle w:val="18"/>
                <w:rFonts w:hint="eastAsia" w:ascii="仿宋" w:hAnsi="仿宋" w:eastAsia="仿宋" w:cs="宋体"/>
                <w:color w:val="000000" w:themeColor="text1"/>
                <w:sz w:val="15"/>
                <w:szCs w:val="15"/>
              </w:rPr>
              <w:t>《放射性物品道路运输管理规定》</w:t>
            </w:r>
            <w:r>
              <w:rPr>
                <w:rFonts w:hint="eastAsia"/>
                <w:color w:val="000000" w:themeColor="text1"/>
                <w:sz w:val="15"/>
                <w:szCs w:val="15"/>
              </w:rPr>
              <w:t>（中华人民共和国交通运输部令</w:t>
            </w:r>
            <w:r>
              <w:rPr>
                <w:color w:val="000000" w:themeColor="text1"/>
                <w:sz w:val="15"/>
                <w:szCs w:val="15"/>
              </w:rPr>
              <w:t>2023</w:t>
            </w:r>
            <w:r>
              <w:rPr>
                <w:rFonts w:hint="eastAsia"/>
                <w:color w:val="000000" w:themeColor="text1"/>
                <w:sz w:val="15"/>
                <w:szCs w:val="15"/>
              </w:rPr>
              <w:t>年第</w:t>
            </w:r>
            <w:r>
              <w:rPr>
                <w:color w:val="000000" w:themeColor="text1"/>
                <w:sz w:val="15"/>
                <w:szCs w:val="15"/>
              </w:rPr>
              <w:t>17</w:t>
            </w:r>
            <w:r>
              <w:rPr>
                <w:rFonts w:hint="eastAsia"/>
                <w:color w:val="000000" w:themeColor="text1"/>
                <w:sz w:val="15"/>
                <w:szCs w:val="15"/>
              </w:rPr>
              <w:t>号）</w:t>
            </w:r>
            <w:r>
              <w:rPr>
                <w:rStyle w:val="18"/>
                <w:rFonts w:ascii="仿宋" w:hAnsi="仿宋" w:eastAsia="仿宋" w:cs="宋体"/>
                <w:color w:val="000000" w:themeColor="text1"/>
                <w:sz w:val="15"/>
                <w:szCs w:val="15"/>
              </w:rPr>
              <w:br w:type="textWrapping"/>
            </w:r>
            <w:r>
              <w:rPr>
                <w:rStyle w:val="18"/>
                <w:rFonts w:hint="eastAsia" w:ascii="仿宋" w:hAnsi="仿宋" w:eastAsia="仿宋" w:cs="宋体"/>
                <w:color w:val="000000" w:themeColor="text1"/>
                <w:sz w:val="15"/>
                <w:szCs w:val="15"/>
              </w:rPr>
              <w:t>第三十九条违反本规定，放射性物品道路运输企业或者单位擅自改装已取得《道路运输证》的专用车辆的，由</w:t>
            </w:r>
            <w:r>
              <w:rPr>
                <w:rFonts w:hint="eastAsia" w:ascii="微软雅黑" w:hAnsi="微软雅黑" w:eastAsia="微软雅黑"/>
                <w:color w:val="000000" w:themeColor="text1"/>
                <w:sz w:val="15"/>
                <w:szCs w:val="15"/>
                <w:shd w:val="clear" w:color="auto" w:fill="FFFFFF"/>
              </w:rPr>
              <w:t>交通运输主管部门</w:t>
            </w:r>
            <w:r>
              <w:rPr>
                <w:rStyle w:val="18"/>
                <w:rFonts w:hint="eastAsia" w:ascii="仿宋" w:hAnsi="仿宋" w:eastAsia="仿宋" w:cs="宋体"/>
                <w:color w:val="000000" w:themeColor="text1"/>
                <w:sz w:val="15"/>
                <w:szCs w:val="15"/>
              </w:rPr>
              <w:t>责令改正，处</w:t>
            </w:r>
            <w:r>
              <w:rPr>
                <w:rStyle w:val="18"/>
                <w:rFonts w:ascii="仿宋" w:hAnsi="仿宋" w:eastAsia="仿宋" w:cs="宋体"/>
                <w:color w:val="000000" w:themeColor="text1"/>
                <w:sz w:val="15"/>
                <w:szCs w:val="15"/>
              </w:rPr>
              <w:t>5000</w:t>
            </w:r>
            <w:r>
              <w:rPr>
                <w:rStyle w:val="18"/>
                <w:rFonts w:hint="eastAsia" w:ascii="仿宋" w:hAnsi="仿宋" w:eastAsia="仿宋" w:cs="宋体"/>
                <w:color w:val="000000" w:themeColor="text1"/>
                <w:sz w:val="15"/>
                <w:szCs w:val="15"/>
              </w:rPr>
              <w:t>元以上</w:t>
            </w:r>
            <w:r>
              <w:rPr>
                <w:rStyle w:val="18"/>
                <w:rFonts w:ascii="仿宋" w:hAnsi="仿宋" w:eastAsia="仿宋" w:cs="宋体"/>
                <w:color w:val="000000" w:themeColor="text1"/>
                <w:sz w:val="15"/>
                <w:szCs w:val="15"/>
              </w:rPr>
              <w:t>2</w:t>
            </w:r>
            <w:r>
              <w:rPr>
                <w:rStyle w:val="18"/>
                <w:rFonts w:hint="eastAsia" w:ascii="仿宋" w:hAnsi="仿宋" w:eastAsia="仿宋" w:cs="宋体"/>
                <w:color w:val="000000" w:themeColor="text1"/>
                <w:sz w:val="15"/>
                <w:szCs w:val="15"/>
              </w:rPr>
              <w:t>万元以下的罚款。</w:t>
            </w:r>
          </w:p>
          <w:p w14:paraId="2365CAC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ED13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D9F9C9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BA84F2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5968CAE">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3B6FD1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C8D3395">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D3FA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20" w:hRule="atLeast"/>
          <w:jc w:val="center"/>
        </w:trPr>
        <w:tc>
          <w:tcPr>
            <w:tcW w:w="943" w:type="dxa"/>
            <w:vMerge w:val="continue"/>
            <w:vAlign w:val="center"/>
          </w:tcPr>
          <w:p w14:paraId="6CBB1FAF">
            <w:pPr>
              <w:spacing w:line="200" w:lineRule="exact"/>
              <w:rPr>
                <w:color w:val="000000" w:themeColor="text1"/>
              </w:rPr>
            </w:pPr>
          </w:p>
        </w:tc>
        <w:tc>
          <w:tcPr>
            <w:tcW w:w="1110" w:type="dxa"/>
            <w:vAlign w:val="center"/>
          </w:tcPr>
          <w:p w14:paraId="3E68E80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FC189A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B9C0829">
            <w:pPr>
              <w:spacing w:line="200" w:lineRule="exact"/>
              <w:jc w:val="center"/>
              <w:rPr>
                <w:rFonts w:ascii="仿宋_GB2312" w:hAnsi="黑体" w:eastAsia="仿宋_GB2312" w:cs="黑体"/>
                <w:color w:val="000000" w:themeColor="text1"/>
                <w:sz w:val="18"/>
                <w:szCs w:val="18"/>
              </w:rPr>
            </w:pPr>
          </w:p>
        </w:tc>
        <w:tc>
          <w:tcPr>
            <w:tcW w:w="1406" w:type="dxa"/>
            <w:vAlign w:val="center"/>
          </w:tcPr>
          <w:p w14:paraId="1CA58E3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80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0" w:hRule="atLeast"/>
          <w:jc w:val="center"/>
        </w:trPr>
        <w:tc>
          <w:tcPr>
            <w:tcW w:w="943" w:type="dxa"/>
            <w:vMerge w:val="continue"/>
            <w:vAlign w:val="center"/>
          </w:tcPr>
          <w:p w14:paraId="08A5EFB9">
            <w:pPr>
              <w:spacing w:line="200" w:lineRule="exact"/>
              <w:rPr>
                <w:color w:val="000000" w:themeColor="text1"/>
              </w:rPr>
            </w:pPr>
          </w:p>
        </w:tc>
        <w:tc>
          <w:tcPr>
            <w:tcW w:w="1110" w:type="dxa"/>
            <w:vAlign w:val="center"/>
          </w:tcPr>
          <w:p w14:paraId="1E5D355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B6E4797">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C19D2A3">
            <w:pPr>
              <w:spacing w:line="200" w:lineRule="exact"/>
              <w:jc w:val="center"/>
              <w:rPr>
                <w:rFonts w:ascii="仿宋_GB2312" w:hAnsi="黑体" w:eastAsia="仿宋_GB2312" w:cs="黑体"/>
                <w:color w:val="000000" w:themeColor="text1"/>
                <w:sz w:val="18"/>
                <w:szCs w:val="18"/>
              </w:rPr>
            </w:pPr>
          </w:p>
        </w:tc>
        <w:tc>
          <w:tcPr>
            <w:tcW w:w="1406" w:type="dxa"/>
            <w:vAlign w:val="center"/>
          </w:tcPr>
          <w:p w14:paraId="3D429DC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68F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0" w:hRule="atLeast"/>
          <w:jc w:val="center"/>
        </w:trPr>
        <w:tc>
          <w:tcPr>
            <w:tcW w:w="943" w:type="dxa"/>
            <w:vMerge w:val="continue"/>
            <w:vAlign w:val="center"/>
          </w:tcPr>
          <w:p w14:paraId="6E8976E0">
            <w:pPr>
              <w:spacing w:line="200" w:lineRule="exact"/>
              <w:rPr>
                <w:color w:val="000000" w:themeColor="text1"/>
              </w:rPr>
            </w:pPr>
          </w:p>
        </w:tc>
        <w:tc>
          <w:tcPr>
            <w:tcW w:w="1110" w:type="dxa"/>
            <w:vAlign w:val="center"/>
          </w:tcPr>
          <w:p w14:paraId="5981267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91988D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33FEBC0">
            <w:pPr>
              <w:spacing w:line="200" w:lineRule="exact"/>
              <w:jc w:val="center"/>
              <w:rPr>
                <w:rFonts w:ascii="仿宋_GB2312" w:hAnsi="黑体" w:eastAsia="仿宋_GB2312" w:cs="黑体"/>
                <w:color w:val="000000" w:themeColor="text1"/>
                <w:sz w:val="18"/>
                <w:szCs w:val="18"/>
              </w:rPr>
            </w:pPr>
          </w:p>
        </w:tc>
        <w:tc>
          <w:tcPr>
            <w:tcW w:w="1406" w:type="dxa"/>
            <w:vAlign w:val="center"/>
          </w:tcPr>
          <w:p w14:paraId="201800D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738A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A09C9D5">
            <w:pPr>
              <w:spacing w:line="200" w:lineRule="exact"/>
              <w:rPr>
                <w:color w:val="000000" w:themeColor="text1"/>
              </w:rPr>
            </w:pPr>
          </w:p>
        </w:tc>
        <w:tc>
          <w:tcPr>
            <w:tcW w:w="1110" w:type="dxa"/>
            <w:vAlign w:val="center"/>
          </w:tcPr>
          <w:p w14:paraId="347AA38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0E7AEC2">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2BDFDAC">
            <w:pPr>
              <w:spacing w:line="200" w:lineRule="exact"/>
              <w:jc w:val="center"/>
              <w:rPr>
                <w:rFonts w:ascii="仿宋_GB2312" w:hAnsi="黑体" w:eastAsia="仿宋_GB2312" w:cs="黑体"/>
                <w:color w:val="000000" w:themeColor="text1"/>
                <w:sz w:val="18"/>
                <w:szCs w:val="18"/>
              </w:rPr>
            </w:pPr>
          </w:p>
        </w:tc>
        <w:tc>
          <w:tcPr>
            <w:tcW w:w="1406" w:type="dxa"/>
            <w:vAlign w:val="center"/>
          </w:tcPr>
          <w:p w14:paraId="4A0AA08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E5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4" w:hRule="atLeast"/>
          <w:jc w:val="center"/>
        </w:trPr>
        <w:tc>
          <w:tcPr>
            <w:tcW w:w="943" w:type="dxa"/>
            <w:vMerge w:val="continue"/>
            <w:vAlign w:val="center"/>
          </w:tcPr>
          <w:p w14:paraId="1D9882AD">
            <w:pPr>
              <w:spacing w:line="200" w:lineRule="exact"/>
              <w:rPr>
                <w:color w:val="000000" w:themeColor="text1"/>
              </w:rPr>
            </w:pPr>
          </w:p>
        </w:tc>
        <w:tc>
          <w:tcPr>
            <w:tcW w:w="1110" w:type="dxa"/>
            <w:vAlign w:val="center"/>
          </w:tcPr>
          <w:p w14:paraId="3FAB5DE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277996A">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65F4DFB">
            <w:pPr>
              <w:spacing w:line="200" w:lineRule="exact"/>
              <w:jc w:val="center"/>
              <w:rPr>
                <w:rFonts w:ascii="仿宋_GB2312" w:hAnsi="黑体" w:eastAsia="仿宋_GB2312" w:cs="黑体"/>
                <w:color w:val="000000" w:themeColor="text1"/>
                <w:sz w:val="18"/>
                <w:szCs w:val="18"/>
              </w:rPr>
            </w:pPr>
          </w:p>
        </w:tc>
        <w:tc>
          <w:tcPr>
            <w:tcW w:w="1406" w:type="dxa"/>
            <w:vAlign w:val="center"/>
          </w:tcPr>
          <w:p w14:paraId="123A7BE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9DC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10" w:hRule="atLeast"/>
          <w:jc w:val="center"/>
        </w:trPr>
        <w:tc>
          <w:tcPr>
            <w:tcW w:w="943" w:type="dxa"/>
            <w:vAlign w:val="center"/>
          </w:tcPr>
          <w:p w14:paraId="6B983BD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7505D52">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D53F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C9769B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0BBDE98">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682452</w:t>
            </w:r>
          </w:p>
          <w:p w14:paraId="5446A1D6">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4106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F548A1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9D994B3">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2788156">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8385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2" w:hRule="atLeast"/>
          <w:jc w:val="center"/>
        </w:trPr>
        <w:tc>
          <w:tcPr>
            <w:tcW w:w="943" w:type="dxa"/>
            <w:vAlign w:val="center"/>
          </w:tcPr>
          <w:p w14:paraId="30B5A9AE">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C2160B2">
            <w:pPr>
              <w:widowControl/>
              <w:spacing w:line="200" w:lineRule="exact"/>
              <w:jc w:val="left"/>
              <w:textAlignment w:val="center"/>
              <w:rPr>
                <w:rFonts w:ascii="黑体" w:eastAsia="黑体" w:cs="黑体"/>
                <w:color w:val="000000" w:themeColor="text1"/>
                <w:kern w:val="0"/>
                <w:sz w:val="18"/>
                <w:szCs w:val="18"/>
              </w:rPr>
            </w:pPr>
          </w:p>
        </w:tc>
      </w:tr>
    </w:tbl>
    <w:p w14:paraId="0CC5DF23">
      <w:pPr>
        <w:rPr>
          <w:color w:val="000000" w:themeColor="text1"/>
          <w:sz w:val="24"/>
        </w:rPr>
      </w:pPr>
    </w:p>
    <w:p w14:paraId="5F71D81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F292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57840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F001307">
            <w:pPr>
              <w:jc w:val="center"/>
              <w:rPr>
                <w:rFonts w:ascii="黑体" w:eastAsia="黑体" w:cs="黑体"/>
                <w:b/>
                <w:bCs/>
                <w:color w:val="000000" w:themeColor="text1"/>
                <w:szCs w:val="21"/>
              </w:rPr>
            </w:pPr>
            <w:r>
              <w:rPr>
                <w:rFonts w:ascii="黑体" w:eastAsia="黑体" w:cs="黑体"/>
                <w:b/>
                <w:bCs/>
                <w:color w:val="000000" w:themeColor="text1"/>
                <w:szCs w:val="21"/>
              </w:rPr>
              <w:t>56</w:t>
            </w:r>
          </w:p>
        </w:tc>
        <w:tc>
          <w:tcPr>
            <w:tcW w:w="1691" w:type="dxa"/>
            <w:vAlign w:val="center"/>
          </w:tcPr>
          <w:p w14:paraId="3790C6C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6E970D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F1622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08B15E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59C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63256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E5EA14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对机动车维修经营者使用假冒伪劣配件维修机动车等行为的行政处罚</w:t>
            </w:r>
          </w:p>
        </w:tc>
      </w:tr>
      <w:tr w14:paraId="5B18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780B54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38F9EB7">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C2F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0259F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74D105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《中华人民共和国道路运输条例》（</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20</w:t>
            </w:r>
            <w:r>
              <w:rPr>
                <w:rFonts w:hint="eastAsia" w:ascii="仿宋" w:hAnsi="仿宋" w:eastAsia="仿宋" w:cs="仿宋_GB2312"/>
                <w:color w:val="000000" w:themeColor="text1"/>
                <w:kern w:val="0"/>
                <w:sz w:val="18"/>
                <w:szCs w:val="18"/>
              </w:rPr>
              <w:t>日中华人民共和国国务院令第</w:t>
            </w:r>
            <w:r>
              <w:rPr>
                <w:rFonts w:ascii="仿宋" w:hAnsi="仿宋" w:eastAsia="仿宋" w:cs="仿宋_GB2312"/>
                <w:color w:val="000000" w:themeColor="text1"/>
                <w:kern w:val="0"/>
                <w:sz w:val="18"/>
                <w:szCs w:val="18"/>
              </w:rPr>
              <w:t>764</w:t>
            </w:r>
            <w:r>
              <w:rPr>
                <w:rFonts w:hint="eastAsia" w:ascii="仿宋" w:hAnsi="仿宋" w:eastAsia="仿宋" w:cs="仿宋_GB2312"/>
                <w:color w:val="000000" w:themeColor="text1"/>
                <w:kern w:val="0"/>
                <w:sz w:val="18"/>
                <w:szCs w:val="18"/>
              </w:rPr>
              <w:t>号）第七十一条违反本条例的规定，机动车维修经营者使用假冒伪劣配件维修机动车，承修已报废的机动车或者擅自改装机动车的，由县级以上地方人民政府交通运输主管部门责令改正；有违法所得的，没收违法所得，处违法所得</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倍以上</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倍以下的罚款；没有违法所得或者违法所得不足</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万元的，处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万元以上</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万元以下的罚款，没收假冒伪劣配件及报废车辆；情节严重的，由县级以上地方人民政府交通运输主管部门责令停业整顿；构成犯罪的，依法追究刑事责任。</w:t>
            </w:r>
          </w:p>
          <w:p w14:paraId="6A56E75F">
            <w:pPr>
              <w:spacing w:line="24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《机动车维修管理规定》（</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14</w:t>
            </w:r>
            <w:r>
              <w:rPr>
                <w:rFonts w:hint="eastAsia" w:ascii="仿宋" w:hAnsi="仿宋" w:eastAsia="仿宋" w:cs="仿宋_GB2312"/>
                <w:color w:val="000000" w:themeColor="text1"/>
                <w:kern w:val="0"/>
                <w:sz w:val="18"/>
                <w:szCs w:val="18"/>
              </w:rPr>
              <w:t>号）</w:t>
            </w:r>
            <w:r>
              <w:rPr>
                <w:rStyle w:val="18"/>
                <w:rFonts w:hint="eastAsia" w:ascii="仿宋" w:hAnsi="仿宋" w:eastAsia="仿宋" w:cs="宋体"/>
                <w:color w:val="000000" w:themeColor="text1"/>
                <w:szCs w:val="18"/>
              </w:rPr>
              <w:t>第五十一条违反本规定，机动车维修经营者使用假冒伪劣配件维修机动车，承修已报废的机动车或者擅自改装机动车的，由</w:t>
            </w:r>
            <w:r>
              <w:rPr>
                <w:rFonts w:hint="eastAsia" w:ascii="仿宋" w:hAnsi="仿宋" w:eastAsia="仿宋"/>
                <w:color w:val="000000" w:themeColor="text1"/>
                <w:sz w:val="18"/>
                <w:szCs w:val="18"/>
                <w:shd w:val="clear" w:color="auto" w:fill="FFFFFF"/>
              </w:rPr>
              <w:t>交通运输主管部门</w:t>
            </w:r>
            <w:r>
              <w:rPr>
                <w:rStyle w:val="18"/>
                <w:rFonts w:hint="eastAsia" w:ascii="仿宋" w:hAnsi="仿宋" w:eastAsia="仿宋" w:cs="宋体"/>
                <w:color w:val="000000" w:themeColor="text1"/>
                <w:szCs w:val="18"/>
              </w:rPr>
              <w:t>责令改正；有违法所得的，没收违法所得，处违法所得</w:t>
            </w:r>
            <w:r>
              <w:rPr>
                <w:rStyle w:val="18"/>
                <w:rFonts w:ascii="仿宋" w:hAnsi="仿宋" w:eastAsia="仿宋" w:cs="宋体"/>
                <w:color w:val="000000" w:themeColor="text1"/>
                <w:szCs w:val="18"/>
              </w:rPr>
              <w:t>2</w:t>
            </w:r>
            <w:r>
              <w:rPr>
                <w:rStyle w:val="18"/>
                <w:rFonts w:hint="eastAsia" w:ascii="仿宋" w:hAnsi="仿宋" w:eastAsia="仿宋" w:cs="宋体"/>
                <w:color w:val="000000" w:themeColor="text1"/>
                <w:szCs w:val="18"/>
              </w:rPr>
              <w:t>倍以上</w:t>
            </w:r>
            <w:r>
              <w:rPr>
                <w:rStyle w:val="18"/>
                <w:rFonts w:ascii="仿宋" w:hAnsi="仿宋" w:eastAsia="仿宋" w:cs="宋体"/>
                <w:color w:val="000000" w:themeColor="text1"/>
                <w:szCs w:val="18"/>
              </w:rPr>
              <w:t>10</w:t>
            </w:r>
            <w:r>
              <w:rPr>
                <w:rStyle w:val="18"/>
                <w:rFonts w:hint="eastAsia" w:ascii="仿宋" w:hAnsi="仿宋" w:eastAsia="仿宋" w:cs="宋体"/>
                <w:color w:val="000000" w:themeColor="text1"/>
                <w:szCs w:val="18"/>
              </w:rPr>
              <w:t>倍以下的罚款；没有违法所得或者违法所得不足</w:t>
            </w:r>
            <w:r>
              <w:rPr>
                <w:rStyle w:val="18"/>
                <w:rFonts w:ascii="仿宋" w:hAnsi="仿宋" w:eastAsia="仿宋" w:cs="宋体"/>
                <w:color w:val="000000" w:themeColor="text1"/>
                <w:szCs w:val="18"/>
              </w:rPr>
              <w:t>1</w:t>
            </w:r>
            <w:r>
              <w:rPr>
                <w:rStyle w:val="18"/>
                <w:rFonts w:hint="eastAsia" w:ascii="仿宋" w:hAnsi="仿宋" w:eastAsia="仿宋" w:cs="宋体"/>
                <w:color w:val="000000" w:themeColor="text1"/>
                <w:szCs w:val="18"/>
              </w:rPr>
              <w:t>万元的，处</w:t>
            </w:r>
            <w:r>
              <w:rPr>
                <w:rStyle w:val="18"/>
                <w:rFonts w:ascii="仿宋" w:hAnsi="仿宋" w:eastAsia="仿宋" w:cs="宋体"/>
                <w:color w:val="000000" w:themeColor="text1"/>
                <w:szCs w:val="18"/>
              </w:rPr>
              <w:t>2</w:t>
            </w:r>
            <w:r>
              <w:rPr>
                <w:rStyle w:val="18"/>
                <w:rFonts w:hint="eastAsia" w:ascii="仿宋" w:hAnsi="仿宋" w:eastAsia="仿宋" w:cs="宋体"/>
                <w:color w:val="000000" w:themeColor="text1"/>
                <w:szCs w:val="18"/>
              </w:rPr>
              <w:t>万元以上</w:t>
            </w:r>
            <w:r>
              <w:rPr>
                <w:rStyle w:val="18"/>
                <w:rFonts w:ascii="仿宋" w:hAnsi="仿宋" w:eastAsia="仿宋" w:cs="宋体"/>
                <w:color w:val="000000" w:themeColor="text1"/>
                <w:szCs w:val="18"/>
              </w:rPr>
              <w:t>5</w:t>
            </w:r>
            <w:r>
              <w:rPr>
                <w:rStyle w:val="18"/>
                <w:rFonts w:hint="eastAsia" w:ascii="仿宋" w:hAnsi="仿宋" w:eastAsia="仿宋" w:cs="宋体"/>
                <w:color w:val="000000" w:themeColor="text1"/>
                <w:szCs w:val="18"/>
              </w:rPr>
              <w:t>万元以下的罚款，没收假冒伪劣配件及报废车辆；情节严重的，由</w:t>
            </w:r>
            <w:r>
              <w:rPr>
                <w:rFonts w:hint="eastAsia" w:ascii="仿宋" w:hAnsi="仿宋" w:eastAsia="仿宋"/>
                <w:color w:val="000000" w:themeColor="text1"/>
                <w:sz w:val="18"/>
                <w:szCs w:val="18"/>
                <w:shd w:val="clear" w:color="auto" w:fill="FFFFFF"/>
              </w:rPr>
              <w:t>交通运输主管部门</w:t>
            </w:r>
            <w:r>
              <w:rPr>
                <w:rStyle w:val="18"/>
                <w:rFonts w:hint="eastAsia" w:ascii="仿宋" w:hAnsi="仿宋" w:eastAsia="仿宋" w:cs="宋体"/>
                <w:color w:val="000000" w:themeColor="text1"/>
                <w:szCs w:val="18"/>
              </w:rPr>
              <w:t>责令停业整顿；构成犯罪的，依法追究刑事责任。</w:t>
            </w:r>
          </w:p>
          <w:p w14:paraId="7A59FA46">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452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B5401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2C2EC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0DDBE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D3F00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C0739C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F97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80" w:hRule="atLeast"/>
          <w:jc w:val="center"/>
        </w:trPr>
        <w:tc>
          <w:tcPr>
            <w:tcW w:w="943" w:type="dxa"/>
            <w:vMerge w:val="continue"/>
            <w:vAlign w:val="center"/>
          </w:tcPr>
          <w:p w14:paraId="4D9D8BD5">
            <w:pPr>
              <w:rPr>
                <w:color w:val="000000" w:themeColor="text1"/>
              </w:rPr>
            </w:pPr>
          </w:p>
        </w:tc>
        <w:tc>
          <w:tcPr>
            <w:tcW w:w="1110" w:type="dxa"/>
            <w:vAlign w:val="center"/>
          </w:tcPr>
          <w:p w14:paraId="4EF51CB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187BF6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9DBC20B">
            <w:pPr>
              <w:jc w:val="center"/>
              <w:rPr>
                <w:rFonts w:ascii="仿宋_GB2312" w:hAnsi="黑体" w:eastAsia="仿宋_GB2312" w:cs="黑体"/>
                <w:color w:val="000000" w:themeColor="text1"/>
                <w:sz w:val="18"/>
                <w:szCs w:val="18"/>
              </w:rPr>
            </w:pPr>
          </w:p>
        </w:tc>
        <w:tc>
          <w:tcPr>
            <w:tcW w:w="1406" w:type="dxa"/>
            <w:vAlign w:val="center"/>
          </w:tcPr>
          <w:p w14:paraId="5DBB75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0EA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EC6C66B">
            <w:pPr>
              <w:rPr>
                <w:color w:val="000000" w:themeColor="text1"/>
              </w:rPr>
            </w:pPr>
          </w:p>
        </w:tc>
        <w:tc>
          <w:tcPr>
            <w:tcW w:w="1110" w:type="dxa"/>
            <w:vAlign w:val="center"/>
          </w:tcPr>
          <w:p w14:paraId="73BBDE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E48693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8AE8A8F">
            <w:pPr>
              <w:jc w:val="center"/>
              <w:rPr>
                <w:rFonts w:ascii="仿宋_GB2312" w:hAnsi="黑体" w:eastAsia="仿宋_GB2312" w:cs="黑体"/>
                <w:color w:val="000000" w:themeColor="text1"/>
                <w:sz w:val="18"/>
                <w:szCs w:val="18"/>
              </w:rPr>
            </w:pPr>
          </w:p>
        </w:tc>
        <w:tc>
          <w:tcPr>
            <w:tcW w:w="1406" w:type="dxa"/>
            <w:vAlign w:val="center"/>
          </w:tcPr>
          <w:p w14:paraId="48A7D2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1553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DE91B55">
            <w:pPr>
              <w:rPr>
                <w:color w:val="000000" w:themeColor="text1"/>
              </w:rPr>
            </w:pPr>
          </w:p>
        </w:tc>
        <w:tc>
          <w:tcPr>
            <w:tcW w:w="1110" w:type="dxa"/>
            <w:vAlign w:val="center"/>
          </w:tcPr>
          <w:p w14:paraId="58947B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33D350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F736325">
            <w:pPr>
              <w:jc w:val="center"/>
              <w:rPr>
                <w:rFonts w:ascii="仿宋_GB2312" w:hAnsi="黑体" w:eastAsia="仿宋_GB2312" w:cs="黑体"/>
                <w:color w:val="000000" w:themeColor="text1"/>
                <w:sz w:val="18"/>
                <w:szCs w:val="18"/>
              </w:rPr>
            </w:pPr>
          </w:p>
        </w:tc>
        <w:tc>
          <w:tcPr>
            <w:tcW w:w="1406" w:type="dxa"/>
            <w:vAlign w:val="center"/>
          </w:tcPr>
          <w:p w14:paraId="78300E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D6B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FC22A1C">
            <w:pPr>
              <w:rPr>
                <w:color w:val="000000" w:themeColor="text1"/>
              </w:rPr>
            </w:pPr>
          </w:p>
        </w:tc>
        <w:tc>
          <w:tcPr>
            <w:tcW w:w="1110" w:type="dxa"/>
            <w:vAlign w:val="center"/>
          </w:tcPr>
          <w:p w14:paraId="70BD2A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66852B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CAD1BC7">
            <w:pPr>
              <w:jc w:val="center"/>
              <w:rPr>
                <w:rFonts w:ascii="仿宋_GB2312" w:hAnsi="黑体" w:eastAsia="仿宋_GB2312" w:cs="黑体"/>
                <w:color w:val="000000" w:themeColor="text1"/>
                <w:sz w:val="18"/>
                <w:szCs w:val="18"/>
              </w:rPr>
            </w:pPr>
          </w:p>
        </w:tc>
        <w:tc>
          <w:tcPr>
            <w:tcW w:w="1406" w:type="dxa"/>
            <w:vAlign w:val="center"/>
          </w:tcPr>
          <w:p w14:paraId="03ECA2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6AB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9" w:hRule="atLeast"/>
          <w:jc w:val="center"/>
        </w:trPr>
        <w:tc>
          <w:tcPr>
            <w:tcW w:w="943" w:type="dxa"/>
            <w:vMerge w:val="continue"/>
            <w:vAlign w:val="center"/>
          </w:tcPr>
          <w:p w14:paraId="047677CD">
            <w:pPr>
              <w:rPr>
                <w:color w:val="000000" w:themeColor="text1"/>
              </w:rPr>
            </w:pPr>
          </w:p>
        </w:tc>
        <w:tc>
          <w:tcPr>
            <w:tcW w:w="1110" w:type="dxa"/>
            <w:vAlign w:val="center"/>
          </w:tcPr>
          <w:p w14:paraId="7E427D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15694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020C60B">
            <w:pPr>
              <w:jc w:val="center"/>
              <w:rPr>
                <w:rFonts w:ascii="仿宋_GB2312" w:hAnsi="黑体" w:eastAsia="仿宋_GB2312" w:cs="黑体"/>
                <w:color w:val="000000" w:themeColor="text1"/>
                <w:sz w:val="18"/>
                <w:szCs w:val="18"/>
              </w:rPr>
            </w:pPr>
          </w:p>
        </w:tc>
        <w:tc>
          <w:tcPr>
            <w:tcW w:w="1406" w:type="dxa"/>
            <w:vAlign w:val="center"/>
          </w:tcPr>
          <w:p w14:paraId="1694D4D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3D0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05" w:hRule="atLeast"/>
          <w:jc w:val="center"/>
        </w:trPr>
        <w:tc>
          <w:tcPr>
            <w:tcW w:w="943" w:type="dxa"/>
            <w:vAlign w:val="center"/>
          </w:tcPr>
          <w:p w14:paraId="5BA4FDF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853501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1C31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75243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324979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BE74CD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7D1A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8DB57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5481DC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5DFF96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6024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78B0E0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B56BCEB">
            <w:pPr>
              <w:widowControl/>
              <w:jc w:val="left"/>
              <w:textAlignment w:val="center"/>
              <w:rPr>
                <w:rFonts w:ascii="黑体" w:eastAsia="黑体" w:cs="黑体"/>
                <w:color w:val="000000" w:themeColor="text1"/>
                <w:kern w:val="0"/>
                <w:sz w:val="18"/>
                <w:szCs w:val="18"/>
              </w:rPr>
            </w:pPr>
          </w:p>
        </w:tc>
      </w:tr>
    </w:tbl>
    <w:p w14:paraId="51445368">
      <w:pPr>
        <w:rPr>
          <w:color w:val="000000" w:themeColor="text1"/>
          <w:sz w:val="24"/>
        </w:rPr>
      </w:pPr>
    </w:p>
    <w:p w14:paraId="549BE9B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CEA5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AF7E2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EBF4844">
            <w:pPr>
              <w:jc w:val="center"/>
              <w:rPr>
                <w:rFonts w:ascii="黑体" w:eastAsia="黑体" w:cs="黑体"/>
                <w:b/>
                <w:bCs/>
                <w:color w:val="000000" w:themeColor="text1"/>
                <w:szCs w:val="21"/>
              </w:rPr>
            </w:pPr>
            <w:r>
              <w:rPr>
                <w:rFonts w:ascii="黑体" w:eastAsia="黑体" w:cs="黑体"/>
                <w:b/>
                <w:bCs/>
                <w:color w:val="000000" w:themeColor="text1"/>
                <w:szCs w:val="21"/>
              </w:rPr>
              <w:t>57</w:t>
            </w:r>
          </w:p>
        </w:tc>
        <w:tc>
          <w:tcPr>
            <w:tcW w:w="1691" w:type="dxa"/>
            <w:vAlign w:val="center"/>
          </w:tcPr>
          <w:p w14:paraId="6EABF57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FF955D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3F210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34D7FE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0748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F6619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8301DE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对机动车维修经营者签发虚假机动车维修竣工出厂合格证的行政处罚</w:t>
            </w:r>
          </w:p>
        </w:tc>
      </w:tr>
      <w:tr w14:paraId="10B66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6FC944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F2AAD07">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0910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07173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4FF0EFA">
            <w:pPr>
              <w:pStyle w:val="8"/>
              <w:snapToGrid w:val="0"/>
              <w:spacing w:before="0" w:beforeAutospacing="0" w:after="0" w:afterAutospacing="0" w:line="240" w:lineRule="atLeast"/>
              <w:jc w:val="both"/>
              <w:rPr>
                <w:rFonts w:ascii="仿宋" w:hAnsi="仿宋" w:eastAsia="仿宋"/>
                <w:color w:val="000000" w:themeColor="text1"/>
                <w:sz w:val="18"/>
                <w:szCs w:val="18"/>
              </w:rPr>
            </w:pPr>
            <w:r>
              <w:rPr>
                <w:rFonts w:hint="eastAsia" w:ascii="仿宋" w:hAnsi="仿宋" w:eastAsia="仿宋"/>
                <w:color w:val="000000" w:themeColor="text1"/>
                <w:sz w:val="18"/>
                <w:szCs w:val="18"/>
              </w:rPr>
              <w:t>【法律法规】</w:t>
            </w:r>
            <w:r>
              <w:rPr>
                <w:rFonts w:ascii="仿宋" w:hAnsi="仿宋" w:eastAsia="仿宋"/>
                <w:color w:val="000000" w:themeColor="text1"/>
                <w:sz w:val="18"/>
                <w:szCs w:val="18"/>
              </w:rPr>
              <w:t>1.</w:t>
            </w:r>
            <w:r>
              <w:rPr>
                <w:rFonts w:hint="eastAsia" w:ascii="仿宋" w:hAnsi="仿宋" w:eastAsia="仿宋"/>
                <w:color w:val="000000" w:themeColor="text1"/>
                <w:sz w:val="18"/>
                <w:szCs w:val="18"/>
              </w:rPr>
              <w:t>《中华人民共和国道路运输条例》（</w:t>
            </w:r>
            <w:r>
              <w:rPr>
                <w:rFonts w:ascii="仿宋" w:hAnsi="仿宋" w:eastAsia="仿宋"/>
                <w:color w:val="000000" w:themeColor="text1"/>
                <w:sz w:val="18"/>
                <w:szCs w:val="18"/>
              </w:rPr>
              <w:t>2023</w:t>
            </w:r>
            <w:r>
              <w:rPr>
                <w:rFonts w:hint="eastAsia" w:ascii="仿宋" w:hAnsi="仿宋" w:eastAsia="仿宋"/>
                <w:color w:val="000000" w:themeColor="text1"/>
                <w:sz w:val="18"/>
                <w:szCs w:val="18"/>
              </w:rPr>
              <w:t>年</w:t>
            </w:r>
            <w:r>
              <w:rPr>
                <w:rFonts w:ascii="仿宋" w:hAnsi="仿宋" w:eastAsia="仿宋"/>
                <w:color w:val="000000" w:themeColor="text1"/>
                <w:sz w:val="18"/>
                <w:szCs w:val="18"/>
              </w:rPr>
              <w:t>7</w:t>
            </w:r>
            <w:r>
              <w:rPr>
                <w:rFonts w:hint="eastAsia" w:ascii="仿宋" w:hAnsi="仿宋" w:eastAsia="仿宋"/>
                <w:color w:val="000000" w:themeColor="text1"/>
                <w:sz w:val="18"/>
                <w:szCs w:val="18"/>
              </w:rPr>
              <w:t>月</w:t>
            </w:r>
            <w:r>
              <w:rPr>
                <w:rFonts w:ascii="仿宋" w:hAnsi="仿宋" w:eastAsia="仿宋"/>
                <w:color w:val="000000" w:themeColor="text1"/>
                <w:sz w:val="18"/>
                <w:szCs w:val="18"/>
              </w:rPr>
              <w:t>20</w:t>
            </w:r>
            <w:r>
              <w:rPr>
                <w:rFonts w:hint="eastAsia" w:ascii="仿宋" w:hAnsi="仿宋" w:eastAsia="仿宋"/>
                <w:color w:val="000000" w:themeColor="text1"/>
                <w:sz w:val="18"/>
                <w:szCs w:val="18"/>
              </w:rPr>
              <w:t>日中华人民共和国国务院令第</w:t>
            </w:r>
            <w:r>
              <w:rPr>
                <w:rFonts w:ascii="仿宋" w:hAnsi="仿宋" w:eastAsia="仿宋"/>
                <w:color w:val="000000" w:themeColor="text1"/>
                <w:sz w:val="18"/>
                <w:szCs w:val="18"/>
              </w:rPr>
              <w:t>764</w:t>
            </w:r>
            <w:r>
              <w:rPr>
                <w:rFonts w:hint="eastAsia" w:ascii="仿宋" w:hAnsi="仿宋" w:eastAsia="仿宋"/>
                <w:color w:val="000000" w:themeColor="text1"/>
                <w:sz w:val="18"/>
                <w:szCs w:val="18"/>
              </w:rPr>
              <w:t>号）第七十二条违反本条例的规定，机动车维修经营者签发虚假的机动车维修合格证，由县级以上地方人民政府交通运输主管部门责令改正；有违法所得的，没收违法所得，处违法所得</w:t>
            </w:r>
            <w:r>
              <w:rPr>
                <w:rFonts w:ascii="仿宋" w:hAnsi="仿宋" w:eastAsia="仿宋"/>
                <w:color w:val="000000" w:themeColor="text1"/>
                <w:sz w:val="18"/>
                <w:szCs w:val="18"/>
              </w:rPr>
              <w:t>2</w:t>
            </w:r>
            <w:r>
              <w:rPr>
                <w:rFonts w:hint="eastAsia" w:ascii="仿宋" w:hAnsi="仿宋" w:eastAsia="仿宋"/>
                <w:color w:val="000000" w:themeColor="text1"/>
                <w:sz w:val="18"/>
                <w:szCs w:val="18"/>
              </w:rPr>
              <w:t>倍以上</w:t>
            </w:r>
            <w:r>
              <w:rPr>
                <w:rFonts w:ascii="仿宋" w:hAnsi="仿宋" w:eastAsia="仿宋"/>
                <w:color w:val="000000" w:themeColor="text1"/>
                <w:sz w:val="18"/>
                <w:szCs w:val="18"/>
              </w:rPr>
              <w:t>10</w:t>
            </w:r>
            <w:r>
              <w:rPr>
                <w:rFonts w:hint="eastAsia" w:ascii="仿宋" w:hAnsi="仿宋" w:eastAsia="仿宋"/>
                <w:color w:val="000000" w:themeColor="text1"/>
                <w:sz w:val="18"/>
                <w:szCs w:val="18"/>
              </w:rPr>
              <w:t>倍以下的罚款；没有违法所得或者违法所得不足</w:t>
            </w:r>
            <w:r>
              <w:rPr>
                <w:rFonts w:ascii="仿宋" w:hAnsi="仿宋" w:eastAsia="仿宋"/>
                <w:color w:val="000000" w:themeColor="text1"/>
                <w:sz w:val="18"/>
                <w:szCs w:val="18"/>
              </w:rPr>
              <w:t>3000</w:t>
            </w:r>
            <w:r>
              <w:rPr>
                <w:rFonts w:hint="eastAsia" w:ascii="仿宋" w:hAnsi="仿宋" w:eastAsia="仿宋"/>
                <w:color w:val="000000" w:themeColor="text1"/>
                <w:sz w:val="18"/>
                <w:szCs w:val="18"/>
              </w:rPr>
              <w:t>元的，处</w:t>
            </w:r>
            <w:r>
              <w:rPr>
                <w:rFonts w:ascii="仿宋" w:hAnsi="仿宋" w:eastAsia="仿宋"/>
                <w:color w:val="000000" w:themeColor="text1"/>
                <w:sz w:val="18"/>
                <w:szCs w:val="18"/>
              </w:rPr>
              <w:t>5000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2</w:t>
            </w:r>
            <w:r>
              <w:rPr>
                <w:rFonts w:hint="eastAsia" w:ascii="仿宋" w:hAnsi="仿宋" w:eastAsia="仿宋"/>
                <w:color w:val="000000" w:themeColor="text1"/>
                <w:sz w:val="18"/>
                <w:szCs w:val="18"/>
              </w:rPr>
              <w:t>万元以下的罚款；情节严重的，由县级以上地方人民政府交通运输主管部门责令停业整顿；构成犯罪的，依法追究刑事责任。</w:t>
            </w:r>
            <w:r>
              <w:rPr>
                <w:rFonts w:ascii="仿宋" w:hAnsi="仿宋" w:eastAsia="仿宋"/>
                <w:color w:val="000000" w:themeColor="text1"/>
                <w:sz w:val="18"/>
                <w:szCs w:val="18"/>
              </w:rPr>
              <w:t>2.</w:t>
            </w:r>
            <w:r>
              <w:rPr>
                <w:rFonts w:hint="eastAsia" w:ascii="仿宋" w:hAnsi="仿宋" w:eastAsia="仿宋"/>
                <w:color w:val="000000" w:themeColor="text1"/>
                <w:sz w:val="18"/>
                <w:szCs w:val="18"/>
              </w:rPr>
              <w:t>《机动车维修管理规定》（中华人民共和国交通运输部令</w:t>
            </w:r>
            <w:r>
              <w:rPr>
                <w:rFonts w:ascii="仿宋" w:hAnsi="仿宋" w:eastAsia="仿宋"/>
                <w:color w:val="000000" w:themeColor="text1"/>
                <w:sz w:val="18"/>
                <w:szCs w:val="18"/>
              </w:rPr>
              <w:t>2023</w:t>
            </w:r>
            <w:r>
              <w:rPr>
                <w:rFonts w:hint="eastAsia" w:ascii="仿宋" w:hAnsi="仿宋" w:eastAsia="仿宋"/>
                <w:color w:val="000000" w:themeColor="text1"/>
                <w:sz w:val="18"/>
                <w:szCs w:val="18"/>
              </w:rPr>
              <w:t>年第</w:t>
            </w:r>
            <w:r>
              <w:rPr>
                <w:rFonts w:ascii="仿宋" w:hAnsi="仿宋" w:eastAsia="仿宋"/>
                <w:color w:val="000000" w:themeColor="text1"/>
                <w:sz w:val="18"/>
                <w:szCs w:val="18"/>
              </w:rPr>
              <w:t>14</w:t>
            </w:r>
            <w:r>
              <w:rPr>
                <w:rFonts w:hint="eastAsia" w:ascii="仿宋" w:hAnsi="仿宋" w:eastAsia="仿宋"/>
                <w:color w:val="000000" w:themeColor="text1"/>
                <w:sz w:val="18"/>
                <w:szCs w:val="18"/>
              </w:rPr>
              <w:t>号）第五十二条</w:t>
            </w:r>
            <w:r>
              <w:rPr>
                <w:rFonts w:ascii="仿宋" w:hAnsi="Times New Roman" w:eastAsia="仿宋" w:cs="Times New Roman"/>
                <w:color w:val="000000" w:themeColor="text1"/>
                <w:sz w:val="18"/>
                <w:szCs w:val="18"/>
              </w:rPr>
              <w:t> </w:t>
            </w:r>
            <w:r>
              <w:rPr>
                <w:rFonts w:hint="eastAsia" w:ascii="仿宋" w:hAnsi="仿宋" w:eastAsia="仿宋"/>
                <w:color w:val="000000" w:themeColor="text1"/>
                <w:sz w:val="18"/>
                <w:szCs w:val="18"/>
              </w:rPr>
              <w:t>违反本规定，机动车维修经营者签发虚假机动车维修竣工出厂合格证的，由交通运输主管部门责令改正；有违法所得的，没收违法所得，处违法所得</w:t>
            </w:r>
            <w:r>
              <w:rPr>
                <w:rFonts w:ascii="仿宋" w:hAnsi="仿宋" w:eastAsia="仿宋"/>
                <w:color w:val="000000" w:themeColor="text1"/>
                <w:sz w:val="18"/>
                <w:szCs w:val="18"/>
              </w:rPr>
              <w:t>2</w:t>
            </w:r>
            <w:r>
              <w:rPr>
                <w:rFonts w:hint="eastAsia" w:ascii="仿宋" w:hAnsi="仿宋" w:eastAsia="仿宋"/>
                <w:color w:val="000000" w:themeColor="text1"/>
                <w:sz w:val="18"/>
                <w:szCs w:val="18"/>
              </w:rPr>
              <w:t>倍以上</w:t>
            </w:r>
            <w:r>
              <w:rPr>
                <w:rFonts w:ascii="仿宋" w:hAnsi="仿宋" w:eastAsia="仿宋"/>
                <w:color w:val="000000" w:themeColor="text1"/>
                <w:sz w:val="18"/>
                <w:szCs w:val="18"/>
              </w:rPr>
              <w:t>10</w:t>
            </w:r>
            <w:r>
              <w:rPr>
                <w:rFonts w:hint="eastAsia" w:ascii="仿宋" w:hAnsi="仿宋" w:eastAsia="仿宋"/>
                <w:color w:val="000000" w:themeColor="text1"/>
                <w:sz w:val="18"/>
                <w:szCs w:val="18"/>
              </w:rPr>
              <w:t>倍以下的罚款；没有违法所得或者违法所得不足</w:t>
            </w:r>
            <w:r>
              <w:rPr>
                <w:rFonts w:ascii="仿宋" w:hAnsi="仿宋" w:eastAsia="仿宋"/>
                <w:color w:val="000000" w:themeColor="text1"/>
                <w:sz w:val="18"/>
                <w:szCs w:val="18"/>
              </w:rPr>
              <w:t>3000</w:t>
            </w:r>
            <w:r>
              <w:rPr>
                <w:rFonts w:hint="eastAsia" w:ascii="仿宋" w:hAnsi="仿宋" w:eastAsia="仿宋"/>
                <w:color w:val="000000" w:themeColor="text1"/>
                <w:sz w:val="18"/>
                <w:szCs w:val="18"/>
              </w:rPr>
              <w:t>元的，处</w:t>
            </w:r>
            <w:r>
              <w:rPr>
                <w:rFonts w:ascii="仿宋" w:hAnsi="仿宋" w:eastAsia="仿宋"/>
                <w:color w:val="000000" w:themeColor="text1"/>
                <w:sz w:val="18"/>
                <w:szCs w:val="18"/>
              </w:rPr>
              <w:t>5000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2</w:t>
            </w:r>
            <w:r>
              <w:rPr>
                <w:rFonts w:hint="eastAsia" w:ascii="仿宋" w:hAnsi="仿宋" w:eastAsia="仿宋"/>
                <w:color w:val="000000" w:themeColor="text1"/>
                <w:sz w:val="18"/>
                <w:szCs w:val="18"/>
              </w:rPr>
              <w:t>万元以下的罚款；情节严重的，由交通运输主管部门责令停业整顿；构成犯罪的，依法追究刑事责任。</w:t>
            </w:r>
          </w:p>
          <w:p w14:paraId="19795BD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5035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526C1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B3172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95CA3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A7F8E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928C40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58E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2E7A13F">
            <w:pPr>
              <w:rPr>
                <w:color w:val="000000" w:themeColor="text1"/>
              </w:rPr>
            </w:pPr>
          </w:p>
        </w:tc>
        <w:tc>
          <w:tcPr>
            <w:tcW w:w="1110" w:type="dxa"/>
            <w:vAlign w:val="center"/>
          </w:tcPr>
          <w:p w14:paraId="436349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217E79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0806526">
            <w:pPr>
              <w:jc w:val="center"/>
              <w:rPr>
                <w:rFonts w:ascii="仿宋_GB2312" w:hAnsi="黑体" w:eastAsia="仿宋_GB2312" w:cs="黑体"/>
                <w:color w:val="000000" w:themeColor="text1"/>
                <w:sz w:val="18"/>
                <w:szCs w:val="18"/>
              </w:rPr>
            </w:pPr>
          </w:p>
        </w:tc>
        <w:tc>
          <w:tcPr>
            <w:tcW w:w="1406" w:type="dxa"/>
            <w:vAlign w:val="center"/>
          </w:tcPr>
          <w:p w14:paraId="01000E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CDF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D03A2AB">
            <w:pPr>
              <w:rPr>
                <w:color w:val="000000" w:themeColor="text1"/>
              </w:rPr>
            </w:pPr>
          </w:p>
        </w:tc>
        <w:tc>
          <w:tcPr>
            <w:tcW w:w="1110" w:type="dxa"/>
            <w:vAlign w:val="center"/>
          </w:tcPr>
          <w:p w14:paraId="29A95E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07A8F5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E5961C4">
            <w:pPr>
              <w:jc w:val="center"/>
              <w:rPr>
                <w:rFonts w:ascii="仿宋_GB2312" w:hAnsi="黑体" w:eastAsia="仿宋_GB2312" w:cs="黑体"/>
                <w:color w:val="000000" w:themeColor="text1"/>
                <w:sz w:val="18"/>
                <w:szCs w:val="18"/>
              </w:rPr>
            </w:pPr>
          </w:p>
        </w:tc>
        <w:tc>
          <w:tcPr>
            <w:tcW w:w="1406" w:type="dxa"/>
            <w:vAlign w:val="center"/>
          </w:tcPr>
          <w:p w14:paraId="0C0AE7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23B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6FEF288">
            <w:pPr>
              <w:rPr>
                <w:color w:val="000000" w:themeColor="text1"/>
              </w:rPr>
            </w:pPr>
          </w:p>
        </w:tc>
        <w:tc>
          <w:tcPr>
            <w:tcW w:w="1110" w:type="dxa"/>
            <w:vAlign w:val="center"/>
          </w:tcPr>
          <w:p w14:paraId="5677A8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24C3E5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5BBAC96">
            <w:pPr>
              <w:jc w:val="center"/>
              <w:rPr>
                <w:rFonts w:ascii="仿宋_GB2312" w:hAnsi="黑体" w:eastAsia="仿宋_GB2312" w:cs="黑体"/>
                <w:color w:val="000000" w:themeColor="text1"/>
                <w:sz w:val="18"/>
                <w:szCs w:val="18"/>
              </w:rPr>
            </w:pPr>
          </w:p>
        </w:tc>
        <w:tc>
          <w:tcPr>
            <w:tcW w:w="1406" w:type="dxa"/>
            <w:vAlign w:val="center"/>
          </w:tcPr>
          <w:p w14:paraId="75493C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6831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F6C5AEB">
            <w:pPr>
              <w:rPr>
                <w:color w:val="000000" w:themeColor="text1"/>
              </w:rPr>
            </w:pPr>
          </w:p>
        </w:tc>
        <w:tc>
          <w:tcPr>
            <w:tcW w:w="1110" w:type="dxa"/>
            <w:vAlign w:val="center"/>
          </w:tcPr>
          <w:p w14:paraId="0A78F2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055F38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B41E181">
            <w:pPr>
              <w:jc w:val="center"/>
              <w:rPr>
                <w:rFonts w:ascii="仿宋_GB2312" w:hAnsi="黑体" w:eastAsia="仿宋_GB2312" w:cs="黑体"/>
                <w:color w:val="000000" w:themeColor="text1"/>
                <w:sz w:val="18"/>
                <w:szCs w:val="18"/>
              </w:rPr>
            </w:pPr>
          </w:p>
        </w:tc>
        <w:tc>
          <w:tcPr>
            <w:tcW w:w="1406" w:type="dxa"/>
            <w:vAlign w:val="center"/>
          </w:tcPr>
          <w:p w14:paraId="58C847C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92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849B033">
            <w:pPr>
              <w:rPr>
                <w:color w:val="000000" w:themeColor="text1"/>
              </w:rPr>
            </w:pPr>
          </w:p>
        </w:tc>
        <w:tc>
          <w:tcPr>
            <w:tcW w:w="1110" w:type="dxa"/>
            <w:vAlign w:val="center"/>
          </w:tcPr>
          <w:p w14:paraId="2F386C6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1D066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7F2FF34">
            <w:pPr>
              <w:jc w:val="center"/>
              <w:rPr>
                <w:rFonts w:ascii="仿宋_GB2312" w:hAnsi="黑体" w:eastAsia="仿宋_GB2312" w:cs="黑体"/>
                <w:color w:val="000000" w:themeColor="text1"/>
                <w:sz w:val="18"/>
                <w:szCs w:val="18"/>
              </w:rPr>
            </w:pPr>
          </w:p>
        </w:tc>
        <w:tc>
          <w:tcPr>
            <w:tcW w:w="1406" w:type="dxa"/>
            <w:vAlign w:val="center"/>
          </w:tcPr>
          <w:p w14:paraId="71A23F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00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211D97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83B277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00C3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E4116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7A77EC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378BFD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9156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EADA8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5D6C55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C6F6F5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110A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648F3D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0C031AE">
            <w:pPr>
              <w:widowControl/>
              <w:jc w:val="left"/>
              <w:textAlignment w:val="center"/>
              <w:rPr>
                <w:rFonts w:ascii="黑体" w:eastAsia="黑体" w:cs="黑体"/>
                <w:color w:val="000000" w:themeColor="text1"/>
                <w:kern w:val="0"/>
                <w:sz w:val="18"/>
                <w:szCs w:val="18"/>
              </w:rPr>
            </w:pPr>
          </w:p>
        </w:tc>
      </w:tr>
    </w:tbl>
    <w:p w14:paraId="261B82A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55D9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F5DCB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A5AB989">
            <w:pPr>
              <w:jc w:val="center"/>
              <w:rPr>
                <w:rFonts w:ascii="黑体" w:eastAsia="黑体" w:cs="黑体"/>
                <w:b/>
                <w:bCs/>
                <w:color w:val="000000" w:themeColor="text1"/>
                <w:szCs w:val="21"/>
              </w:rPr>
            </w:pPr>
            <w:r>
              <w:rPr>
                <w:rFonts w:ascii="黑体" w:eastAsia="黑体" w:cs="黑体"/>
                <w:b/>
                <w:bCs/>
                <w:color w:val="000000" w:themeColor="text1"/>
                <w:szCs w:val="21"/>
              </w:rPr>
              <w:t>58</w:t>
            </w:r>
          </w:p>
        </w:tc>
        <w:tc>
          <w:tcPr>
            <w:tcW w:w="1691" w:type="dxa"/>
            <w:vAlign w:val="center"/>
          </w:tcPr>
          <w:p w14:paraId="06F5B65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AB26E4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D5027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13F136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500E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97F5E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F7C798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对机动车维修单位未与交通运输主管部门联网的，或者未报送车辆排放维修治理信息逾期不改正的行政处罚</w:t>
            </w:r>
          </w:p>
        </w:tc>
      </w:tr>
      <w:tr w14:paraId="18DE2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43ADA1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790ACB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265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52776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A0B121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机动车和非道路移动机械排放污染防治条例》第四十七条违反本条例规定，机动车维修单位未与交通运输主管部门联网的，或者未报送车辆排放维修治理信息的，由交通运输主管部门责令限期改正；逾期不改正的，处一万元以上五万元以下的罚款。</w:t>
            </w:r>
          </w:p>
          <w:p w14:paraId="5A0204AF">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4AAC1A9C">
            <w:pPr>
              <w:spacing w:line="240" w:lineRule="exact"/>
              <w:rPr>
                <w:rFonts w:ascii="仿宋_GB2312" w:eastAsia="仿宋_GB2312" w:cs="黑体"/>
                <w:b/>
                <w:bCs/>
                <w:color w:val="000000" w:themeColor="text1"/>
                <w:szCs w:val="21"/>
              </w:rPr>
            </w:pPr>
          </w:p>
        </w:tc>
      </w:tr>
      <w:tr w14:paraId="2E91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A90E1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6082D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A65DB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58929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DB5E13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C804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574D0F1">
            <w:pPr>
              <w:rPr>
                <w:color w:val="000000" w:themeColor="text1"/>
              </w:rPr>
            </w:pPr>
          </w:p>
        </w:tc>
        <w:tc>
          <w:tcPr>
            <w:tcW w:w="1110" w:type="dxa"/>
            <w:vAlign w:val="center"/>
          </w:tcPr>
          <w:p w14:paraId="07F3CF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94099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241C013">
            <w:pPr>
              <w:jc w:val="center"/>
              <w:rPr>
                <w:rFonts w:ascii="仿宋_GB2312" w:hAnsi="黑体" w:eastAsia="仿宋_GB2312" w:cs="黑体"/>
                <w:color w:val="000000" w:themeColor="text1"/>
                <w:sz w:val="18"/>
                <w:szCs w:val="18"/>
              </w:rPr>
            </w:pPr>
          </w:p>
        </w:tc>
        <w:tc>
          <w:tcPr>
            <w:tcW w:w="1406" w:type="dxa"/>
            <w:vAlign w:val="center"/>
          </w:tcPr>
          <w:p w14:paraId="3C485CA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023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299C543">
            <w:pPr>
              <w:rPr>
                <w:color w:val="000000" w:themeColor="text1"/>
              </w:rPr>
            </w:pPr>
          </w:p>
        </w:tc>
        <w:tc>
          <w:tcPr>
            <w:tcW w:w="1110" w:type="dxa"/>
            <w:vAlign w:val="center"/>
          </w:tcPr>
          <w:p w14:paraId="5009A1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4402CC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24807BA">
            <w:pPr>
              <w:jc w:val="center"/>
              <w:rPr>
                <w:rFonts w:ascii="仿宋_GB2312" w:hAnsi="黑体" w:eastAsia="仿宋_GB2312" w:cs="黑体"/>
                <w:color w:val="000000" w:themeColor="text1"/>
                <w:sz w:val="18"/>
                <w:szCs w:val="18"/>
              </w:rPr>
            </w:pPr>
          </w:p>
        </w:tc>
        <w:tc>
          <w:tcPr>
            <w:tcW w:w="1406" w:type="dxa"/>
            <w:vAlign w:val="center"/>
          </w:tcPr>
          <w:p w14:paraId="5A6950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0ED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CFFF1AC">
            <w:pPr>
              <w:rPr>
                <w:color w:val="000000" w:themeColor="text1"/>
              </w:rPr>
            </w:pPr>
          </w:p>
        </w:tc>
        <w:tc>
          <w:tcPr>
            <w:tcW w:w="1110" w:type="dxa"/>
            <w:vAlign w:val="center"/>
          </w:tcPr>
          <w:p w14:paraId="7B59E3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8014B7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7F174A4">
            <w:pPr>
              <w:jc w:val="center"/>
              <w:rPr>
                <w:rFonts w:ascii="仿宋_GB2312" w:hAnsi="黑体" w:eastAsia="仿宋_GB2312" w:cs="黑体"/>
                <w:color w:val="000000" w:themeColor="text1"/>
                <w:sz w:val="18"/>
                <w:szCs w:val="18"/>
              </w:rPr>
            </w:pPr>
          </w:p>
        </w:tc>
        <w:tc>
          <w:tcPr>
            <w:tcW w:w="1406" w:type="dxa"/>
            <w:vAlign w:val="center"/>
          </w:tcPr>
          <w:p w14:paraId="74CAA84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4EE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3B5FB72">
            <w:pPr>
              <w:rPr>
                <w:color w:val="000000" w:themeColor="text1"/>
              </w:rPr>
            </w:pPr>
          </w:p>
        </w:tc>
        <w:tc>
          <w:tcPr>
            <w:tcW w:w="1110" w:type="dxa"/>
            <w:vAlign w:val="center"/>
          </w:tcPr>
          <w:p w14:paraId="7ADF6E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FB0191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F0FE9B6">
            <w:pPr>
              <w:jc w:val="center"/>
              <w:rPr>
                <w:rFonts w:ascii="仿宋_GB2312" w:hAnsi="黑体" w:eastAsia="仿宋_GB2312" w:cs="黑体"/>
                <w:color w:val="000000" w:themeColor="text1"/>
                <w:sz w:val="18"/>
                <w:szCs w:val="18"/>
              </w:rPr>
            </w:pPr>
          </w:p>
        </w:tc>
        <w:tc>
          <w:tcPr>
            <w:tcW w:w="1406" w:type="dxa"/>
            <w:vAlign w:val="center"/>
          </w:tcPr>
          <w:p w14:paraId="21A9F3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A9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C26F19F">
            <w:pPr>
              <w:rPr>
                <w:color w:val="000000" w:themeColor="text1"/>
              </w:rPr>
            </w:pPr>
          </w:p>
        </w:tc>
        <w:tc>
          <w:tcPr>
            <w:tcW w:w="1110" w:type="dxa"/>
            <w:vAlign w:val="center"/>
          </w:tcPr>
          <w:p w14:paraId="3F5ECA8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EF898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48AE774">
            <w:pPr>
              <w:jc w:val="center"/>
              <w:rPr>
                <w:rFonts w:ascii="仿宋_GB2312" w:hAnsi="黑体" w:eastAsia="仿宋_GB2312" w:cs="黑体"/>
                <w:color w:val="000000" w:themeColor="text1"/>
                <w:sz w:val="18"/>
                <w:szCs w:val="18"/>
              </w:rPr>
            </w:pPr>
          </w:p>
        </w:tc>
        <w:tc>
          <w:tcPr>
            <w:tcW w:w="1406" w:type="dxa"/>
            <w:vAlign w:val="center"/>
          </w:tcPr>
          <w:p w14:paraId="0445E7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5C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D3F9D8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939AD9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EEE9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C3751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F7F874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763F64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E266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83C0C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E91349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4EB246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4C2C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E5B11D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CD3D8DF">
            <w:pPr>
              <w:widowControl/>
              <w:jc w:val="left"/>
              <w:textAlignment w:val="center"/>
              <w:rPr>
                <w:rFonts w:ascii="黑体" w:eastAsia="黑体" w:cs="黑体"/>
                <w:color w:val="000000" w:themeColor="text1"/>
                <w:kern w:val="0"/>
                <w:sz w:val="18"/>
                <w:szCs w:val="18"/>
              </w:rPr>
            </w:pPr>
          </w:p>
        </w:tc>
      </w:tr>
    </w:tbl>
    <w:p w14:paraId="2C15C143">
      <w:pPr>
        <w:rPr>
          <w:color w:val="000000" w:themeColor="text1"/>
          <w:sz w:val="24"/>
        </w:rPr>
      </w:pPr>
    </w:p>
    <w:p w14:paraId="7F56F8D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7CE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A6AAE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60562A8">
            <w:pPr>
              <w:jc w:val="center"/>
              <w:rPr>
                <w:rFonts w:ascii="黑体" w:eastAsia="黑体" w:cs="黑体"/>
                <w:b/>
                <w:bCs/>
                <w:color w:val="000000" w:themeColor="text1"/>
                <w:szCs w:val="21"/>
              </w:rPr>
            </w:pPr>
            <w:r>
              <w:rPr>
                <w:rFonts w:ascii="黑体" w:eastAsia="黑体" w:cs="黑体"/>
                <w:b/>
                <w:bCs/>
                <w:color w:val="000000" w:themeColor="text1"/>
                <w:szCs w:val="21"/>
              </w:rPr>
              <w:t>59</w:t>
            </w:r>
          </w:p>
        </w:tc>
        <w:tc>
          <w:tcPr>
            <w:tcW w:w="1691" w:type="dxa"/>
            <w:vAlign w:val="center"/>
          </w:tcPr>
          <w:p w14:paraId="40ACAED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C391BD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9F921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461A92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F2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14F49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43785C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对机动车驾驶员培训机构违反招生及教学规定等行为的行政处罚</w:t>
            </w:r>
          </w:p>
        </w:tc>
      </w:tr>
      <w:tr w14:paraId="2E09A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AC5EBB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DF9299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E3B0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9B562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7B73060">
            <w:pPr>
              <w:spacing w:line="240" w:lineRule="exact"/>
              <w:jc w:val="left"/>
              <w:rPr>
                <w:rFonts w:ascii="仿宋_GB2312" w:eastAsia="仿宋_GB2312" w:cs="仿宋_GB2312"/>
                <w:color w:val="000000" w:themeColor="text1"/>
                <w:kern w:val="0"/>
                <w:sz w:val="11"/>
                <w:szCs w:val="11"/>
              </w:rPr>
            </w:pPr>
            <w:r>
              <w:rPr>
                <w:rFonts w:hint="eastAsia" w:ascii="仿宋_GB2312" w:eastAsia="仿宋_GB2312" w:cs="仿宋_GB2312"/>
                <w:color w:val="000000" w:themeColor="text1"/>
                <w:kern w:val="0"/>
                <w:sz w:val="11"/>
                <w:szCs w:val="11"/>
              </w:rPr>
              <w:t>【法律法规】</w:t>
            </w:r>
            <w:r>
              <w:rPr>
                <w:rFonts w:ascii="仿宋_GB2312" w:eastAsia="仿宋_GB2312" w:cs="仿宋_GB2312"/>
                <w:color w:val="000000" w:themeColor="text1"/>
                <w:kern w:val="0"/>
                <w:sz w:val="11"/>
                <w:szCs w:val="11"/>
              </w:rPr>
              <w:t>1.</w:t>
            </w:r>
            <w:r>
              <w:rPr>
                <w:rFonts w:hint="eastAsia" w:ascii="仿宋_GB2312" w:eastAsia="仿宋_GB2312" w:cs="仿宋_GB2312"/>
                <w:color w:val="000000" w:themeColor="text1"/>
                <w:kern w:val="0"/>
                <w:sz w:val="11"/>
                <w:szCs w:val="11"/>
              </w:rPr>
              <w:t>《中华人民共和国道路运输条例》（</w:t>
            </w:r>
            <w:r>
              <w:rPr>
                <w:rFonts w:ascii="仿宋_GB2312" w:eastAsia="仿宋_GB2312" w:cs="仿宋_GB2312"/>
                <w:color w:val="000000" w:themeColor="text1"/>
                <w:kern w:val="0"/>
                <w:sz w:val="11"/>
                <w:szCs w:val="11"/>
              </w:rPr>
              <w:t>2023</w:t>
            </w:r>
            <w:r>
              <w:rPr>
                <w:rFonts w:hint="eastAsia" w:ascii="仿宋_GB2312" w:eastAsia="仿宋_GB2312" w:cs="仿宋_GB2312"/>
                <w:color w:val="000000" w:themeColor="text1"/>
                <w:kern w:val="0"/>
                <w:sz w:val="11"/>
                <w:szCs w:val="11"/>
              </w:rPr>
              <w:t>年</w:t>
            </w:r>
            <w:r>
              <w:rPr>
                <w:rFonts w:ascii="仿宋_GB2312" w:eastAsia="仿宋_GB2312" w:cs="仿宋_GB2312"/>
                <w:color w:val="000000" w:themeColor="text1"/>
                <w:kern w:val="0"/>
                <w:sz w:val="11"/>
                <w:szCs w:val="11"/>
              </w:rPr>
              <w:t>7</w:t>
            </w:r>
            <w:r>
              <w:rPr>
                <w:rFonts w:hint="eastAsia" w:ascii="仿宋_GB2312" w:eastAsia="仿宋_GB2312" w:cs="仿宋_GB2312"/>
                <w:color w:val="000000" w:themeColor="text1"/>
                <w:kern w:val="0"/>
                <w:sz w:val="11"/>
                <w:szCs w:val="11"/>
              </w:rPr>
              <w:t>月</w:t>
            </w:r>
            <w:r>
              <w:rPr>
                <w:rFonts w:ascii="仿宋_GB2312" w:eastAsia="仿宋_GB2312" w:cs="仿宋_GB2312"/>
                <w:color w:val="000000" w:themeColor="text1"/>
                <w:kern w:val="0"/>
                <w:sz w:val="11"/>
                <w:szCs w:val="11"/>
              </w:rPr>
              <w:t>20</w:t>
            </w:r>
            <w:r>
              <w:rPr>
                <w:rFonts w:hint="eastAsia" w:ascii="仿宋_GB2312" w:eastAsia="仿宋_GB2312" w:cs="仿宋_GB2312"/>
                <w:color w:val="000000" w:themeColor="text1"/>
                <w:kern w:val="0"/>
                <w:sz w:val="11"/>
                <w:szCs w:val="11"/>
              </w:rPr>
              <w:t>日中华人民共和国国务院令第</w:t>
            </w:r>
            <w:r>
              <w:rPr>
                <w:rFonts w:ascii="仿宋_GB2312" w:eastAsia="仿宋_GB2312" w:cs="仿宋_GB2312"/>
                <w:color w:val="000000" w:themeColor="text1"/>
                <w:kern w:val="0"/>
                <w:sz w:val="11"/>
                <w:szCs w:val="11"/>
              </w:rPr>
              <w:t>764</w:t>
            </w:r>
            <w:r>
              <w:rPr>
                <w:rFonts w:hint="eastAsia" w:ascii="仿宋_GB2312" w:eastAsia="仿宋_GB2312" w:cs="仿宋_GB2312"/>
                <w:color w:val="000000" w:themeColor="text1"/>
                <w:kern w:val="0"/>
                <w:sz w:val="11"/>
                <w:szCs w:val="11"/>
              </w:rPr>
              <w:t>号）第七十三条违反本条例的规定，机动车驾驶员培训机构不严格按照规定进行培训或者在培训结业证书发放时弄虚作假的，由县级以上地方人民政府交通运输主管部门责令改正；拒不改正的，责令停业整顿。</w:t>
            </w:r>
          </w:p>
          <w:p w14:paraId="37361788">
            <w:pPr>
              <w:spacing w:line="240" w:lineRule="exact"/>
              <w:jc w:val="left"/>
              <w:rPr>
                <w:rFonts w:ascii="仿宋_GB2312" w:eastAsia="仿宋_GB2312" w:cs="仿宋_GB2312"/>
                <w:color w:val="000000" w:themeColor="text1"/>
                <w:kern w:val="0"/>
                <w:sz w:val="11"/>
                <w:szCs w:val="11"/>
              </w:rPr>
            </w:pPr>
            <w:r>
              <w:rPr>
                <w:rFonts w:ascii="仿宋_GB2312" w:eastAsia="仿宋_GB2312" w:cs="仿宋_GB2312"/>
                <w:color w:val="000000" w:themeColor="text1"/>
                <w:kern w:val="0"/>
                <w:sz w:val="11"/>
                <w:szCs w:val="11"/>
              </w:rPr>
              <w:t>2.</w:t>
            </w:r>
            <w:r>
              <w:rPr>
                <w:rFonts w:hint="eastAsia" w:ascii="仿宋_GB2312" w:eastAsia="仿宋_GB2312" w:cs="仿宋_GB2312"/>
                <w:color w:val="000000" w:themeColor="text1"/>
                <w:kern w:val="0"/>
                <w:sz w:val="11"/>
                <w:szCs w:val="11"/>
              </w:rPr>
              <w:t>《河北省道路运输条例》</w:t>
            </w:r>
            <w:r>
              <w:rPr>
                <w:rFonts w:ascii="仿宋_GB2312" w:eastAsia="仿宋_GB2312" w:cs="仿宋_GB2312"/>
                <w:color w:val="000000" w:themeColor="text1"/>
                <w:kern w:val="0"/>
                <w:sz w:val="11"/>
                <w:szCs w:val="11"/>
              </w:rPr>
              <w:t>(2017</w:t>
            </w:r>
            <w:r>
              <w:rPr>
                <w:rFonts w:hint="eastAsia" w:ascii="仿宋_GB2312" w:eastAsia="仿宋_GB2312" w:cs="仿宋_GB2312"/>
                <w:color w:val="000000" w:themeColor="text1"/>
                <w:kern w:val="0"/>
                <w:sz w:val="11"/>
                <w:szCs w:val="11"/>
              </w:rPr>
              <w:t>年</w:t>
            </w:r>
            <w:r>
              <w:rPr>
                <w:rFonts w:ascii="仿宋_GB2312" w:eastAsia="仿宋_GB2312" w:cs="仿宋_GB2312"/>
                <w:color w:val="000000" w:themeColor="text1"/>
                <w:kern w:val="0"/>
                <w:sz w:val="11"/>
                <w:szCs w:val="11"/>
              </w:rPr>
              <w:t>7</w:t>
            </w:r>
            <w:r>
              <w:rPr>
                <w:rFonts w:hint="eastAsia" w:ascii="仿宋_GB2312" w:eastAsia="仿宋_GB2312" w:cs="仿宋_GB2312"/>
                <w:color w:val="000000" w:themeColor="text1"/>
                <w:kern w:val="0"/>
                <w:sz w:val="11"/>
                <w:szCs w:val="11"/>
              </w:rPr>
              <w:t>月</w:t>
            </w:r>
            <w:r>
              <w:rPr>
                <w:rFonts w:ascii="仿宋_GB2312" w:eastAsia="仿宋_GB2312" w:cs="仿宋_GB2312"/>
                <w:color w:val="000000" w:themeColor="text1"/>
                <w:kern w:val="0"/>
                <w:sz w:val="11"/>
                <w:szCs w:val="11"/>
              </w:rPr>
              <w:t>28</w:t>
            </w:r>
            <w:r>
              <w:rPr>
                <w:rFonts w:hint="eastAsia" w:ascii="仿宋_GB2312" w:eastAsia="仿宋_GB2312" w:cs="仿宋_GB2312"/>
                <w:color w:val="000000" w:themeColor="text1"/>
                <w:kern w:val="0"/>
                <w:sz w:val="11"/>
                <w:szCs w:val="11"/>
              </w:rPr>
              <w:t>日河北省第十二届人民代表大会常务委员会第三十一次会议通过</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第六十七条　违反本条例规定，机动车驾驶员培训机构有下列行为之一的，由县级以上道路运输管理机构责令改正，并按照下列规定予以处罚：（一）未建立学员档案、培训记录或者伪造、篡改培训记录的，处二千元以上五千元以下的罚款；（二）使用不符合规定的车辆以及设施、设备或者改装培训车辆车载计时终端进行培训活动的，处三千元以上一万元以下的罚款；（三）采取异地培训、恶意压价、欺骗学员等不正当手段进行培训，或者委托其他不具备资质的机构培训，或者以报名点、招生处、分校等形式开展培训的，处一万元以上三万元以下的罚款。</w:t>
            </w:r>
            <w:r>
              <w:rPr>
                <w:rStyle w:val="18"/>
                <w:rFonts w:ascii="仿宋" w:hAnsi="仿宋" w:eastAsia="仿宋" w:cs="宋体"/>
                <w:color w:val="000000" w:themeColor="text1"/>
                <w:sz w:val="11"/>
                <w:szCs w:val="11"/>
              </w:rPr>
              <w:t xml:space="preserve">                                                                                                                                   3.</w:t>
            </w:r>
            <w:r>
              <w:rPr>
                <w:rStyle w:val="18"/>
                <w:rFonts w:hint="eastAsia" w:ascii="仿宋" w:hAnsi="仿宋" w:eastAsia="仿宋" w:cs="宋体"/>
                <w:color w:val="000000" w:themeColor="text1"/>
                <w:sz w:val="11"/>
                <w:szCs w:val="11"/>
              </w:rPr>
              <w:t>《机动车驾驶员培训管理规定》</w:t>
            </w:r>
            <w:r>
              <w:rPr>
                <w:rStyle w:val="18"/>
                <w:rFonts w:hint="eastAsia" w:ascii="仿宋" w:hAnsi="仿宋" w:eastAsia="仿宋" w:cs="宋体"/>
                <w:b/>
                <w:color w:val="000000" w:themeColor="text1"/>
                <w:sz w:val="11"/>
                <w:szCs w:val="11"/>
              </w:rPr>
              <w:t>第四十九条</w:t>
            </w:r>
            <w:r>
              <w:rPr>
                <w:rStyle w:val="18"/>
                <w:rFonts w:hint="eastAsia" w:ascii="仿宋" w:hAnsi="仿宋" w:eastAsia="仿宋" w:cs="宋体"/>
                <w:color w:val="000000" w:themeColor="text1"/>
                <w:sz w:val="11"/>
                <w:szCs w:val="11"/>
              </w:rPr>
              <w:t>违反本规定，机动车驾驶员培训机构不严格按照规定进行培训或者在培训结业证书发放时弄虚作假，有下列情形之一的，由交通运输主管部门责令改正；拒不改正的，责令停业整顿：（一）未按全国统一的教学大纲进行培训的；（二）未在备案的教练场地开展基础和场地驾驶培训的；（三）未按规定组织学员结业考核或者未向培训结业的人员颁发《结业证书》的；（四）向未参加培训、未完成培训、未参加结业考核或者结业考核不合格的人员颁发《结业证书》的。</w:t>
            </w:r>
            <w:r>
              <w:rPr>
                <w:rStyle w:val="18"/>
                <w:rFonts w:hint="eastAsia" w:ascii="仿宋" w:hAnsi="仿宋" w:eastAsia="仿宋" w:cs="宋体"/>
                <w:b/>
                <w:color w:val="000000" w:themeColor="text1"/>
                <w:sz w:val="11"/>
                <w:szCs w:val="11"/>
              </w:rPr>
              <w:t>第五十条</w:t>
            </w:r>
            <w:r>
              <w:rPr>
                <w:rStyle w:val="18"/>
                <w:rFonts w:hint="eastAsia" w:ascii="仿宋" w:hAnsi="仿宋" w:eastAsia="仿宋" w:cs="宋体"/>
                <w:color w:val="000000" w:themeColor="text1"/>
                <w:sz w:val="11"/>
                <w:szCs w:val="11"/>
              </w:rPr>
              <w:t>违反本规定，机动车驾驶员培训机构有下列情形之一的，由交通运输主管部门责令限期整改，逾期整改不合格的，予以通报批评：（一）未在经营场所的醒目位置公示其经营项目、培训能力、培训车型、培训内容、收费项目、收费标准、教练员、教学场地、投诉方式、学员满意度评价参与方式等情况的；（二）未按规定聘用教学人员的；（三）未按规定建立教练员档案、学员档案、教学车辆档案的；（四）未按规定报送《培训记录》、教练员档案主要信息和有关统计资料等信息的；（五）使用不符合规定的车辆及设施、设备从事教学活动的；（六）存在索取、收受学员财物或者谋取其他利益等不良行为的；（七）未按规定与学员签订培训合同的；（八）未按规定开展教练员岗前培训或者再教育的；（九）未定期开展教练员教学质量信誉考核或者未公布考核结果的。</w:t>
            </w:r>
            <w:r>
              <w:rPr>
                <w:rStyle w:val="18"/>
                <w:rFonts w:hint="eastAsia" w:ascii="仿宋" w:hAnsi="仿宋" w:eastAsia="仿宋" w:cs="宋体"/>
                <w:b/>
                <w:color w:val="000000" w:themeColor="text1"/>
                <w:sz w:val="11"/>
                <w:szCs w:val="11"/>
              </w:rPr>
              <w:t>第五十一条</w:t>
            </w:r>
            <w:r>
              <w:rPr>
                <w:rStyle w:val="18"/>
                <w:rFonts w:hint="eastAsia" w:ascii="仿宋" w:hAnsi="仿宋" w:eastAsia="仿宋" w:cs="宋体"/>
                <w:color w:val="000000" w:themeColor="text1"/>
                <w:sz w:val="11"/>
                <w:szCs w:val="11"/>
              </w:rPr>
              <w:t>违反本规定，教练员有下列情形之一的，由交通运输主管部门责令限期整改；逾期整改不合格的，予以通报批评：（一）未按全国统一的教学大纲进行教学的；（二）填写《教学日志》《培训记录》弄虚作假的；（三）教学过程中有道路交通安全违法行为或者造成交通事故的；（四）存在索取、收受学员财物或者谋取其他利益等不良行为的；（五）未按规定参加岗前培训或者再教育的；（六）在教学过程中将教学车辆交给与教学无关人员驾驶的。</w:t>
            </w:r>
          </w:p>
          <w:p w14:paraId="6553D75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1"/>
                <w:szCs w:val="11"/>
              </w:rPr>
              <w:t>【三定规定】抚办字【</w:t>
            </w:r>
            <w:r>
              <w:rPr>
                <w:rFonts w:ascii="仿宋" w:hAnsi="仿宋" w:eastAsia="仿宋" w:cs="仿宋_GB2312"/>
                <w:color w:val="000000" w:themeColor="text1"/>
                <w:kern w:val="0"/>
                <w:sz w:val="11"/>
                <w:szCs w:val="11"/>
              </w:rPr>
              <w:t>2019</w:t>
            </w:r>
            <w:r>
              <w:rPr>
                <w:rFonts w:hint="eastAsia" w:ascii="仿宋" w:hAnsi="仿宋" w:eastAsia="仿宋" w:cs="仿宋_GB2312"/>
                <w:color w:val="000000" w:themeColor="text1"/>
                <w:kern w:val="0"/>
                <w:sz w:val="11"/>
                <w:szCs w:val="11"/>
              </w:rPr>
              <w:t>】</w:t>
            </w:r>
            <w:r>
              <w:rPr>
                <w:rFonts w:ascii="仿宋" w:hAnsi="仿宋" w:eastAsia="仿宋" w:cs="仿宋_GB2312"/>
                <w:color w:val="000000" w:themeColor="text1"/>
                <w:kern w:val="0"/>
                <w:sz w:val="11"/>
                <w:szCs w:val="11"/>
              </w:rPr>
              <w:t>11</w:t>
            </w:r>
            <w:r>
              <w:rPr>
                <w:rFonts w:hint="eastAsia" w:ascii="仿宋" w:hAnsi="仿宋" w:eastAsia="仿宋" w:cs="仿宋_GB2312"/>
                <w:color w:val="000000" w:themeColor="text1"/>
                <w:kern w:val="0"/>
                <w:sz w:val="11"/>
                <w:szCs w:val="11"/>
              </w:rPr>
              <w:t>号第三条第五款承担全区道路运输市场监管责任。执行道路运输有关政策、技术标准和运营规范并监督实施。负责城乡客运及有关设施规划和管理，推动城乡客运一体化建设。</w:t>
            </w:r>
          </w:p>
        </w:tc>
      </w:tr>
      <w:tr w14:paraId="08736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FE781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0703A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1F7CD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E0F48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320003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E4A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0" w:hRule="atLeast"/>
          <w:jc w:val="center"/>
        </w:trPr>
        <w:tc>
          <w:tcPr>
            <w:tcW w:w="943" w:type="dxa"/>
            <w:vMerge w:val="continue"/>
            <w:vAlign w:val="center"/>
          </w:tcPr>
          <w:p w14:paraId="507CB416">
            <w:pPr>
              <w:rPr>
                <w:color w:val="000000" w:themeColor="text1"/>
              </w:rPr>
            </w:pPr>
          </w:p>
        </w:tc>
        <w:tc>
          <w:tcPr>
            <w:tcW w:w="1110" w:type="dxa"/>
            <w:vAlign w:val="center"/>
          </w:tcPr>
          <w:p w14:paraId="78D531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3FB977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49C1CD9">
            <w:pPr>
              <w:jc w:val="center"/>
              <w:rPr>
                <w:rFonts w:ascii="仿宋_GB2312" w:hAnsi="黑体" w:eastAsia="仿宋_GB2312" w:cs="黑体"/>
                <w:color w:val="000000" w:themeColor="text1"/>
                <w:sz w:val="18"/>
                <w:szCs w:val="18"/>
              </w:rPr>
            </w:pPr>
          </w:p>
        </w:tc>
        <w:tc>
          <w:tcPr>
            <w:tcW w:w="1406" w:type="dxa"/>
            <w:vAlign w:val="center"/>
          </w:tcPr>
          <w:p w14:paraId="4B0CF0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C86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2" w:hRule="atLeast"/>
          <w:jc w:val="center"/>
        </w:trPr>
        <w:tc>
          <w:tcPr>
            <w:tcW w:w="943" w:type="dxa"/>
            <w:vMerge w:val="continue"/>
            <w:vAlign w:val="center"/>
          </w:tcPr>
          <w:p w14:paraId="1AFEE19D">
            <w:pPr>
              <w:rPr>
                <w:color w:val="000000" w:themeColor="text1"/>
              </w:rPr>
            </w:pPr>
          </w:p>
        </w:tc>
        <w:tc>
          <w:tcPr>
            <w:tcW w:w="1110" w:type="dxa"/>
            <w:vAlign w:val="center"/>
          </w:tcPr>
          <w:p w14:paraId="1C830C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452AAE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D4EE70D">
            <w:pPr>
              <w:jc w:val="center"/>
              <w:rPr>
                <w:rFonts w:ascii="仿宋_GB2312" w:hAnsi="黑体" w:eastAsia="仿宋_GB2312" w:cs="黑体"/>
                <w:color w:val="000000" w:themeColor="text1"/>
                <w:sz w:val="18"/>
                <w:szCs w:val="18"/>
              </w:rPr>
            </w:pPr>
          </w:p>
        </w:tc>
        <w:tc>
          <w:tcPr>
            <w:tcW w:w="1406" w:type="dxa"/>
            <w:vAlign w:val="center"/>
          </w:tcPr>
          <w:p w14:paraId="4F9306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48BC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3B6E06B">
            <w:pPr>
              <w:rPr>
                <w:color w:val="000000" w:themeColor="text1"/>
              </w:rPr>
            </w:pPr>
          </w:p>
        </w:tc>
        <w:tc>
          <w:tcPr>
            <w:tcW w:w="1110" w:type="dxa"/>
            <w:vAlign w:val="center"/>
          </w:tcPr>
          <w:p w14:paraId="235A73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9C7810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9110D6E">
            <w:pPr>
              <w:jc w:val="center"/>
              <w:rPr>
                <w:rFonts w:ascii="仿宋_GB2312" w:hAnsi="黑体" w:eastAsia="仿宋_GB2312" w:cs="黑体"/>
                <w:color w:val="000000" w:themeColor="text1"/>
                <w:sz w:val="18"/>
                <w:szCs w:val="18"/>
              </w:rPr>
            </w:pPr>
          </w:p>
        </w:tc>
        <w:tc>
          <w:tcPr>
            <w:tcW w:w="1406" w:type="dxa"/>
            <w:vAlign w:val="center"/>
          </w:tcPr>
          <w:p w14:paraId="13B9A0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6D32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49F7763">
            <w:pPr>
              <w:rPr>
                <w:color w:val="000000" w:themeColor="text1"/>
              </w:rPr>
            </w:pPr>
          </w:p>
        </w:tc>
        <w:tc>
          <w:tcPr>
            <w:tcW w:w="1110" w:type="dxa"/>
            <w:vAlign w:val="center"/>
          </w:tcPr>
          <w:p w14:paraId="207C86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274DBE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AA66B4D">
            <w:pPr>
              <w:jc w:val="center"/>
              <w:rPr>
                <w:rFonts w:ascii="仿宋_GB2312" w:hAnsi="黑体" w:eastAsia="仿宋_GB2312" w:cs="黑体"/>
                <w:color w:val="000000" w:themeColor="text1"/>
                <w:sz w:val="18"/>
                <w:szCs w:val="18"/>
              </w:rPr>
            </w:pPr>
          </w:p>
        </w:tc>
        <w:tc>
          <w:tcPr>
            <w:tcW w:w="1406" w:type="dxa"/>
            <w:vAlign w:val="center"/>
          </w:tcPr>
          <w:p w14:paraId="5FF69E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FEE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5" w:hRule="atLeast"/>
          <w:jc w:val="center"/>
        </w:trPr>
        <w:tc>
          <w:tcPr>
            <w:tcW w:w="943" w:type="dxa"/>
            <w:vMerge w:val="continue"/>
            <w:vAlign w:val="center"/>
          </w:tcPr>
          <w:p w14:paraId="4DCF43EC">
            <w:pPr>
              <w:rPr>
                <w:color w:val="000000" w:themeColor="text1"/>
              </w:rPr>
            </w:pPr>
          </w:p>
        </w:tc>
        <w:tc>
          <w:tcPr>
            <w:tcW w:w="1110" w:type="dxa"/>
            <w:vAlign w:val="center"/>
          </w:tcPr>
          <w:p w14:paraId="72DAED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0CBE26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24E4C51">
            <w:pPr>
              <w:jc w:val="center"/>
              <w:rPr>
                <w:rFonts w:ascii="仿宋_GB2312" w:hAnsi="黑体" w:eastAsia="仿宋_GB2312" w:cs="黑体"/>
                <w:color w:val="000000" w:themeColor="text1"/>
                <w:sz w:val="18"/>
                <w:szCs w:val="18"/>
              </w:rPr>
            </w:pPr>
          </w:p>
        </w:tc>
        <w:tc>
          <w:tcPr>
            <w:tcW w:w="1406" w:type="dxa"/>
            <w:vAlign w:val="center"/>
          </w:tcPr>
          <w:p w14:paraId="6CF1A7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52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65" w:hRule="atLeast"/>
          <w:jc w:val="center"/>
        </w:trPr>
        <w:tc>
          <w:tcPr>
            <w:tcW w:w="943" w:type="dxa"/>
            <w:vAlign w:val="center"/>
          </w:tcPr>
          <w:p w14:paraId="3CE0148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7BA8CC2">
            <w:pPr>
              <w:spacing w:line="240" w:lineRule="exact"/>
              <w:rPr>
                <w:rFonts w:ascii="黑体" w:eastAsia="黑体" w:cs="黑体"/>
                <w:color w:val="000000" w:themeColor="text1"/>
                <w:sz w:val="15"/>
                <w:szCs w:val="15"/>
              </w:rPr>
            </w:pPr>
            <w:r>
              <w:rPr>
                <w:rFonts w:hint="eastAsia" w:ascii="仿宋_GB2312" w:eastAsia="仿宋_GB2312" w:cs="仿宋_GB2312"/>
                <w:color w:val="000000" w:themeColor="text1"/>
                <w:kern w:val="0"/>
                <w:sz w:val="15"/>
                <w:szCs w:val="15"/>
              </w:rPr>
              <w:t>因不履行或不正确履行行政职责，有下列情形的，行政机关及相关工作人员应承担相应责任：</w:t>
            </w:r>
            <w:r>
              <w:rPr>
                <w:rFonts w:ascii="仿宋_GB2312" w:eastAsia="仿宋_GB2312" w:cs="仿宋_GB2312"/>
                <w:color w:val="000000" w:themeColor="text1"/>
                <w:kern w:val="0"/>
                <w:sz w:val="15"/>
                <w:szCs w:val="15"/>
              </w:rPr>
              <w:t>1.</w:t>
            </w:r>
            <w:r>
              <w:rPr>
                <w:rFonts w:hint="eastAsia" w:ascii="仿宋_GB2312" w:eastAsia="仿宋_GB2312" w:cs="仿宋_GB2312"/>
                <w:color w:val="000000" w:themeColor="text1"/>
                <w:kern w:val="0"/>
                <w:sz w:val="15"/>
                <w:szCs w:val="15"/>
              </w:rPr>
              <w:t>没有法律和事实依据实施行政处罚的；</w:t>
            </w: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行政处罚显失公正的；</w:t>
            </w:r>
            <w:r>
              <w:rPr>
                <w:rFonts w:ascii="仿宋_GB2312" w:eastAsia="仿宋_GB2312" w:cs="仿宋_GB2312"/>
                <w:color w:val="000000" w:themeColor="text1"/>
                <w:kern w:val="0"/>
                <w:sz w:val="15"/>
                <w:szCs w:val="15"/>
              </w:rPr>
              <w:t>3.</w:t>
            </w:r>
            <w:r>
              <w:rPr>
                <w:rFonts w:hint="eastAsia" w:ascii="仿宋_GB2312" w:eastAsia="仿宋_GB2312" w:cs="仿宋_GB2312"/>
                <w:color w:val="000000" w:themeColor="text1"/>
                <w:kern w:val="0"/>
                <w:sz w:val="15"/>
                <w:szCs w:val="15"/>
              </w:rPr>
              <w:t>执法人员玩忽职守，对应当予以制止和处罚的违法行为不予制止、处罚，致使职工合法权益遭受损害的；</w:t>
            </w:r>
            <w:r>
              <w:rPr>
                <w:rFonts w:ascii="仿宋_GB2312" w:eastAsia="仿宋_GB2312" w:cs="仿宋_GB2312"/>
                <w:color w:val="000000" w:themeColor="text1"/>
                <w:kern w:val="0"/>
                <w:sz w:val="15"/>
                <w:szCs w:val="15"/>
              </w:rPr>
              <w:t>4.</w:t>
            </w:r>
            <w:r>
              <w:rPr>
                <w:rFonts w:hint="eastAsia" w:ascii="仿宋_GB2312" w:eastAsia="仿宋_GB2312" w:cs="仿宋_GB2312"/>
                <w:color w:val="000000" w:themeColor="text1"/>
                <w:kern w:val="0"/>
                <w:sz w:val="15"/>
                <w:szCs w:val="15"/>
              </w:rPr>
              <w:t>不具备行政执法资格实施行政处罚的；</w:t>
            </w:r>
            <w:r>
              <w:rPr>
                <w:rFonts w:ascii="仿宋_GB2312" w:eastAsia="仿宋_GB2312" w:cs="仿宋_GB2312"/>
                <w:color w:val="000000" w:themeColor="text1"/>
                <w:kern w:val="0"/>
                <w:sz w:val="15"/>
                <w:szCs w:val="15"/>
              </w:rPr>
              <w:t>5.</w:t>
            </w:r>
            <w:r>
              <w:rPr>
                <w:rFonts w:hint="eastAsia" w:ascii="仿宋_GB2312" w:eastAsia="仿宋_GB2312" w:cs="仿宋_GB2312"/>
                <w:color w:val="000000" w:themeColor="text1"/>
                <w:kern w:val="0"/>
                <w:sz w:val="15"/>
                <w:szCs w:val="15"/>
              </w:rPr>
              <w:t>在制止以及查处违法案件中受阻，依照有关规定应当向本级人民政府或者上级主管部门报告而未报告的；</w:t>
            </w:r>
            <w:r>
              <w:rPr>
                <w:rFonts w:ascii="仿宋_GB2312" w:eastAsia="仿宋_GB2312" w:cs="仿宋_GB2312"/>
                <w:color w:val="000000" w:themeColor="text1"/>
                <w:kern w:val="0"/>
                <w:sz w:val="15"/>
                <w:szCs w:val="15"/>
              </w:rPr>
              <w:t>6.</w:t>
            </w:r>
            <w:r>
              <w:rPr>
                <w:rFonts w:hint="eastAsia" w:ascii="仿宋_GB2312" w:eastAsia="仿宋_GB2312" w:cs="仿宋_GB2312"/>
                <w:color w:val="000000" w:themeColor="text1"/>
                <w:kern w:val="0"/>
                <w:sz w:val="15"/>
                <w:szCs w:val="15"/>
              </w:rPr>
              <w:t>应当依法移送追究刑事责任，而未依法移送有权机关的；</w:t>
            </w:r>
            <w:r>
              <w:rPr>
                <w:rFonts w:ascii="仿宋_GB2312" w:eastAsia="仿宋_GB2312" w:cs="仿宋_GB2312"/>
                <w:color w:val="000000" w:themeColor="text1"/>
                <w:kern w:val="0"/>
                <w:sz w:val="15"/>
                <w:szCs w:val="15"/>
              </w:rPr>
              <w:t>7.</w:t>
            </w:r>
            <w:r>
              <w:rPr>
                <w:rFonts w:hint="eastAsia" w:ascii="仿宋_GB2312" w:eastAsia="仿宋_GB2312" w:cs="仿宋_GB2312"/>
                <w:color w:val="000000" w:themeColor="text1"/>
                <w:kern w:val="0"/>
                <w:sz w:val="15"/>
                <w:szCs w:val="15"/>
              </w:rPr>
              <w:t>擅自改变行政处罚种类、幅度的；</w:t>
            </w:r>
            <w:r>
              <w:rPr>
                <w:rFonts w:ascii="仿宋_GB2312" w:eastAsia="仿宋_GB2312" w:cs="仿宋_GB2312"/>
                <w:color w:val="000000" w:themeColor="text1"/>
                <w:kern w:val="0"/>
                <w:sz w:val="15"/>
                <w:szCs w:val="15"/>
              </w:rPr>
              <w:t>8.</w:t>
            </w:r>
            <w:r>
              <w:rPr>
                <w:rFonts w:hint="eastAsia" w:ascii="仿宋_GB2312" w:eastAsia="仿宋_GB2312" w:cs="仿宋_GB2312"/>
                <w:color w:val="000000" w:themeColor="text1"/>
                <w:kern w:val="0"/>
                <w:sz w:val="15"/>
                <w:szCs w:val="15"/>
              </w:rPr>
              <w:t>违反法定的行政处罚程序的；</w:t>
            </w:r>
            <w:r>
              <w:rPr>
                <w:rFonts w:ascii="仿宋_GB2312" w:eastAsia="仿宋_GB2312" w:cs="仿宋_GB2312"/>
                <w:color w:val="000000" w:themeColor="text1"/>
                <w:kern w:val="0"/>
                <w:sz w:val="15"/>
                <w:szCs w:val="15"/>
              </w:rPr>
              <w:t>9.</w:t>
            </w:r>
            <w:r>
              <w:rPr>
                <w:rFonts w:hint="eastAsia" w:ascii="仿宋_GB2312" w:eastAsia="仿宋_GB2312" w:cs="仿宋_GB2312"/>
                <w:color w:val="000000" w:themeColor="text1"/>
                <w:kern w:val="0"/>
                <w:sz w:val="15"/>
                <w:szCs w:val="15"/>
              </w:rPr>
              <w:t>符合听证条件、行政管理相对人要求听证，应予组织听证而不组织听证的；</w:t>
            </w:r>
            <w:r>
              <w:rPr>
                <w:rFonts w:ascii="仿宋_GB2312" w:eastAsia="仿宋_GB2312" w:cs="仿宋_GB2312"/>
                <w:color w:val="000000" w:themeColor="text1"/>
                <w:kern w:val="0"/>
                <w:sz w:val="15"/>
                <w:szCs w:val="15"/>
              </w:rPr>
              <w:t>10.</w:t>
            </w:r>
            <w:r>
              <w:rPr>
                <w:rFonts w:hint="eastAsia" w:ascii="仿宋_GB2312" w:eastAsia="仿宋_GB2312" w:cs="仿宋_GB2312"/>
                <w:color w:val="000000" w:themeColor="text1"/>
                <w:kern w:val="0"/>
                <w:sz w:val="15"/>
                <w:szCs w:val="15"/>
              </w:rPr>
              <w:t>在行政处罚过程中发生腐败行为的；</w:t>
            </w:r>
            <w:r>
              <w:rPr>
                <w:rFonts w:ascii="仿宋_GB2312" w:eastAsia="仿宋_GB2312" w:cs="仿宋_GB2312"/>
                <w:color w:val="000000" w:themeColor="text1"/>
                <w:kern w:val="0"/>
                <w:sz w:val="15"/>
                <w:szCs w:val="15"/>
              </w:rPr>
              <w:t>11.</w:t>
            </w:r>
            <w:r>
              <w:rPr>
                <w:rFonts w:hint="eastAsia" w:ascii="仿宋_GB2312" w:eastAsia="仿宋_GB2312" w:cs="仿宋_GB2312"/>
                <w:color w:val="000000" w:themeColor="text1"/>
                <w:kern w:val="0"/>
                <w:sz w:val="15"/>
                <w:szCs w:val="15"/>
              </w:rPr>
              <w:t>其他违反法律法规规章文件规定的行为。</w:t>
            </w:r>
          </w:p>
        </w:tc>
      </w:tr>
      <w:tr w14:paraId="175BA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3" w:hRule="atLeast"/>
          <w:jc w:val="center"/>
        </w:trPr>
        <w:tc>
          <w:tcPr>
            <w:tcW w:w="943" w:type="dxa"/>
            <w:vAlign w:val="center"/>
          </w:tcPr>
          <w:p w14:paraId="31C5A9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EAF947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66824525</w:t>
            </w:r>
          </w:p>
          <w:p w14:paraId="1F4E6C9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4746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4" w:hRule="atLeast"/>
          <w:jc w:val="center"/>
        </w:trPr>
        <w:tc>
          <w:tcPr>
            <w:tcW w:w="943" w:type="dxa"/>
            <w:vAlign w:val="center"/>
          </w:tcPr>
          <w:p w14:paraId="70889A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9E9F3F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776486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2373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2" w:hRule="atLeast"/>
          <w:jc w:val="center"/>
        </w:trPr>
        <w:tc>
          <w:tcPr>
            <w:tcW w:w="943" w:type="dxa"/>
            <w:vAlign w:val="center"/>
          </w:tcPr>
          <w:p w14:paraId="2F2E32C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D3CC8B0">
            <w:pPr>
              <w:widowControl/>
              <w:jc w:val="left"/>
              <w:textAlignment w:val="center"/>
              <w:rPr>
                <w:rFonts w:ascii="黑体" w:eastAsia="黑体" w:cs="黑体"/>
                <w:color w:val="000000" w:themeColor="text1"/>
                <w:kern w:val="0"/>
                <w:sz w:val="18"/>
                <w:szCs w:val="18"/>
              </w:rPr>
            </w:pPr>
          </w:p>
        </w:tc>
      </w:tr>
    </w:tbl>
    <w:p w14:paraId="219A778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B065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EAEE4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3924E2E">
            <w:pPr>
              <w:jc w:val="center"/>
              <w:rPr>
                <w:rFonts w:ascii="黑体" w:eastAsia="黑体" w:cs="黑体"/>
                <w:b/>
                <w:bCs/>
                <w:color w:val="000000" w:themeColor="text1"/>
                <w:szCs w:val="21"/>
              </w:rPr>
            </w:pPr>
            <w:r>
              <w:rPr>
                <w:rFonts w:ascii="黑体" w:eastAsia="黑体" w:cs="黑体"/>
                <w:b/>
                <w:bCs/>
                <w:color w:val="000000" w:themeColor="text1"/>
                <w:szCs w:val="21"/>
              </w:rPr>
              <w:t>60</w:t>
            </w:r>
          </w:p>
        </w:tc>
        <w:tc>
          <w:tcPr>
            <w:tcW w:w="1691" w:type="dxa"/>
            <w:vAlign w:val="center"/>
          </w:tcPr>
          <w:p w14:paraId="24447A8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221EE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E4F7E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D6C283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83D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5E47E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EF79FA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对使用未办理租赁车辆备案、未领取车辆备案证明文件的车辆从事汽车租赁经营的行政处罚</w:t>
            </w:r>
          </w:p>
        </w:tc>
      </w:tr>
      <w:tr w14:paraId="05188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7D21ED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4F5E19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2F37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D8F5AD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05AEDB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第六十八条　违反本条例规定，使用未办理租赁车辆备案、未领取车辆备案证明文件的车辆从事汽车租赁经营的，由县级以上道路运输管理机构责令限期改正，并按照非法从事汽车租赁经营的车辆数量，处每辆车二千元以上五千元以下的罚款；非法从事汽车租赁经营的车辆数量超过十辆的，责令汽车租赁经营者停业整顿并暂扣道路运输经营许可证件。</w:t>
            </w:r>
          </w:p>
          <w:p w14:paraId="440AAD8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79877D0E">
            <w:pPr>
              <w:spacing w:line="240" w:lineRule="exact"/>
              <w:rPr>
                <w:rFonts w:ascii="仿宋_GB2312" w:eastAsia="仿宋_GB2312" w:cs="黑体"/>
                <w:b/>
                <w:bCs/>
                <w:color w:val="000000" w:themeColor="text1"/>
                <w:szCs w:val="21"/>
              </w:rPr>
            </w:pPr>
          </w:p>
        </w:tc>
      </w:tr>
      <w:tr w14:paraId="2F1A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63BA6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204987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05D1E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781C2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B9789F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D506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53F8EDC">
            <w:pPr>
              <w:rPr>
                <w:color w:val="000000" w:themeColor="text1"/>
              </w:rPr>
            </w:pPr>
          </w:p>
        </w:tc>
        <w:tc>
          <w:tcPr>
            <w:tcW w:w="1110" w:type="dxa"/>
            <w:vAlign w:val="center"/>
          </w:tcPr>
          <w:p w14:paraId="415426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253DDE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B85A5A7">
            <w:pPr>
              <w:jc w:val="center"/>
              <w:rPr>
                <w:rFonts w:ascii="仿宋_GB2312" w:hAnsi="黑体" w:eastAsia="仿宋_GB2312" w:cs="黑体"/>
                <w:color w:val="000000" w:themeColor="text1"/>
                <w:sz w:val="18"/>
                <w:szCs w:val="18"/>
              </w:rPr>
            </w:pPr>
          </w:p>
        </w:tc>
        <w:tc>
          <w:tcPr>
            <w:tcW w:w="1406" w:type="dxa"/>
            <w:vAlign w:val="center"/>
          </w:tcPr>
          <w:p w14:paraId="1739BF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089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BC0E880">
            <w:pPr>
              <w:rPr>
                <w:color w:val="000000" w:themeColor="text1"/>
              </w:rPr>
            </w:pPr>
          </w:p>
        </w:tc>
        <w:tc>
          <w:tcPr>
            <w:tcW w:w="1110" w:type="dxa"/>
            <w:vAlign w:val="center"/>
          </w:tcPr>
          <w:p w14:paraId="24C300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2BC191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AD90B7D">
            <w:pPr>
              <w:jc w:val="center"/>
              <w:rPr>
                <w:rFonts w:ascii="仿宋_GB2312" w:hAnsi="黑体" w:eastAsia="仿宋_GB2312" w:cs="黑体"/>
                <w:color w:val="000000" w:themeColor="text1"/>
                <w:sz w:val="18"/>
                <w:szCs w:val="18"/>
              </w:rPr>
            </w:pPr>
          </w:p>
        </w:tc>
        <w:tc>
          <w:tcPr>
            <w:tcW w:w="1406" w:type="dxa"/>
            <w:vAlign w:val="center"/>
          </w:tcPr>
          <w:p w14:paraId="0F6141C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4E7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4A783A6">
            <w:pPr>
              <w:rPr>
                <w:color w:val="000000" w:themeColor="text1"/>
              </w:rPr>
            </w:pPr>
          </w:p>
        </w:tc>
        <w:tc>
          <w:tcPr>
            <w:tcW w:w="1110" w:type="dxa"/>
            <w:vAlign w:val="center"/>
          </w:tcPr>
          <w:p w14:paraId="5D26DE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F44C87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AB6FEDF">
            <w:pPr>
              <w:jc w:val="center"/>
              <w:rPr>
                <w:rFonts w:ascii="仿宋_GB2312" w:hAnsi="黑体" w:eastAsia="仿宋_GB2312" w:cs="黑体"/>
                <w:color w:val="000000" w:themeColor="text1"/>
                <w:sz w:val="18"/>
                <w:szCs w:val="18"/>
              </w:rPr>
            </w:pPr>
          </w:p>
        </w:tc>
        <w:tc>
          <w:tcPr>
            <w:tcW w:w="1406" w:type="dxa"/>
            <w:vAlign w:val="center"/>
          </w:tcPr>
          <w:p w14:paraId="0DDD21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BEA7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456B5E1">
            <w:pPr>
              <w:rPr>
                <w:color w:val="000000" w:themeColor="text1"/>
              </w:rPr>
            </w:pPr>
          </w:p>
        </w:tc>
        <w:tc>
          <w:tcPr>
            <w:tcW w:w="1110" w:type="dxa"/>
            <w:vAlign w:val="center"/>
          </w:tcPr>
          <w:p w14:paraId="0AE215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B5C44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256560B">
            <w:pPr>
              <w:jc w:val="center"/>
              <w:rPr>
                <w:rFonts w:ascii="仿宋_GB2312" w:hAnsi="黑体" w:eastAsia="仿宋_GB2312" w:cs="黑体"/>
                <w:color w:val="000000" w:themeColor="text1"/>
                <w:sz w:val="18"/>
                <w:szCs w:val="18"/>
              </w:rPr>
            </w:pPr>
          </w:p>
        </w:tc>
        <w:tc>
          <w:tcPr>
            <w:tcW w:w="1406" w:type="dxa"/>
            <w:vAlign w:val="center"/>
          </w:tcPr>
          <w:p w14:paraId="1BF4BD3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0C1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DF5B14F">
            <w:pPr>
              <w:rPr>
                <w:color w:val="000000" w:themeColor="text1"/>
              </w:rPr>
            </w:pPr>
          </w:p>
        </w:tc>
        <w:tc>
          <w:tcPr>
            <w:tcW w:w="1110" w:type="dxa"/>
            <w:vAlign w:val="center"/>
          </w:tcPr>
          <w:p w14:paraId="7CCBAD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95C9C4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0BBC61F">
            <w:pPr>
              <w:jc w:val="center"/>
              <w:rPr>
                <w:rFonts w:ascii="仿宋_GB2312" w:hAnsi="黑体" w:eastAsia="仿宋_GB2312" w:cs="黑体"/>
                <w:color w:val="000000" w:themeColor="text1"/>
                <w:sz w:val="18"/>
                <w:szCs w:val="18"/>
              </w:rPr>
            </w:pPr>
          </w:p>
        </w:tc>
        <w:tc>
          <w:tcPr>
            <w:tcW w:w="1406" w:type="dxa"/>
            <w:vAlign w:val="center"/>
          </w:tcPr>
          <w:p w14:paraId="13057FF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02C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C04B85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2769F5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300F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CD843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07D72E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D7E85C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465E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3F0CA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DED148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A7F82D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80F3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71D112C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27F0D94">
            <w:pPr>
              <w:widowControl/>
              <w:jc w:val="left"/>
              <w:textAlignment w:val="center"/>
              <w:rPr>
                <w:rFonts w:ascii="黑体" w:eastAsia="黑体" w:cs="黑体"/>
                <w:color w:val="000000" w:themeColor="text1"/>
                <w:kern w:val="0"/>
                <w:sz w:val="18"/>
                <w:szCs w:val="18"/>
              </w:rPr>
            </w:pPr>
          </w:p>
        </w:tc>
      </w:tr>
    </w:tbl>
    <w:p w14:paraId="0E5E2942">
      <w:pPr>
        <w:pStyle w:val="8"/>
        <w:snapToGrid w:val="0"/>
        <w:spacing w:before="0" w:beforeAutospacing="0" w:after="0" w:afterAutospacing="0" w:line="240" w:lineRule="atLeast"/>
        <w:jc w:val="both"/>
        <w:rPr>
          <w:rFonts w:ascii="Calibri" w:hAnsi="Calibri" w:cs="Arial"/>
          <w:color w:val="000000" w:themeColor="text1"/>
          <w:kern w:val="2"/>
        </w:rPr>
      </w:pPr>
    </w:p>
    <w:p w14:paraId="58021BA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7C2F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4FDDD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EBA6D90">
            <w:pPr>
              <w:jc w:val="center"/>
              <w:rPr>
                <w:rFonts w:ascii="黑体" w:eastAsia="黑体" w:cs="黑体"/>
                <w:b/>
                <w:bCs/>
                <w:color w:val="000000" w:themeColor="text1"/>
                <w:szCs w:val="21"/>
              </w:rPr>
            </w:pPr>
            <w:r>
              <w:rPr>
                <w:rFonts w:ascii="黑体" w:eastAsia="黑体" w:cs="黑体"/>
                <w:b/>
                <w:bCs/>
                <w:color w:val="000000" w:themeColor="text1"/>
                <w:szCs w:val="21"/>
              </w:rPr>
              <w:t>61</w:t>
            </w:r>
          </w:p>
        </w:tc>
        <w:tc>
          <w:tcPr>
            <w:tcW w:w="1691" w:type="dxa"/>
            <w:vAlign w:val="center"/>
          </w:tcPr>
          <w:p w14:paraId="1AB37F6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2D1EC2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66EEA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AB43B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39D8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8C6DB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62AFF5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对小微型客车租赁经营者违反经营服务管理规定等行为的行政处罚</w:t>
            </w:r>
          </w:p>
        </w:tc>
      </w:tr>
      <w:tr w14:paraId="49CE4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CA6016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02679D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A123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F8E6E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728B0DD">
            <w:pPr>
              <w:spacing w:line="240" w:lineRule="exact"/>
              <w:rPr>
                <w:rFonts w:ascii="仿宋" w:hAnsi="仿宋" w:eastAsia="仿宋" w:cs="宋体"/>
                <w:color w:val="000000" w:themeColor="text1"/>
                <w:sz w:val="18"/>
                <w:szCs w:val="18"/>
              </w:rPr>
            </w:pPr>
            <w:r>
              <w:rPr>
                <w:rFonts w:hint="eastAsia" w:ascii="仿宋" w:hAnsi="仿宋" w:eastAsia="仿宋" w:cs="仿宋_GB2312"/>
                <w:color w:val="000000" w:themeColor="text1"/>
                <w:kern w:val="0"/>
                <w:sz w:val="18"/>
                <w:szCs w:val="18"/>
              </w:rPr>
              <w:t>【法律法规】</w:t>
            </w:r>
            <w:r>
              <w:rPr>
                <w:rFonts w:hint="eastAsia" w:ascii="仿宋" w:hAnsi="仿宋" w:eastAsia="仿宋"/>
                <w:color w:val="000000" w:themeColor="text1"/>
                <w:kern w:val="0"/>
                <w:sz w:val="18"/>
                <w:szCs w:val="18"/>
              </w:rPr>
              <w:t>《小微型客车租赁经营服务管理办法》</w:t>
            </w:r>
            <w:r>
              <w:rPr>
                <w:rFonts w:ascii="仿宋" w:hAnsi="仿宋" w:eastAsia="仿宋"/>
                <w:color w:val="000000" w:themeColor="text1"/>
                <w:kern w:val="0"/>
                <w:sz w:val="18"/>
                <w:szCs w:val="18"/>
              </w:rPr>
              <w:br w:type="textWrapping"/>
            </w:r>
            <w:r>
              <w:rPr>
                <w:rFonts w:hint="eastAsia" w:ascii="仿宋" w:hAnsi="仿宋" w:eastAsia="仿宋"/>
                <w:color w:val="000000" w:themeColor="text1"/>
                <w:kern w:val="0"/>
                <w:sz w:val="18"/>
                <w:szCs w:val="18"/>
              </w:rPr>
              <w:t>第二十五条</w:t>
            </w:r>
            <w:r>
              <w:rPr>
                <w:rStyle w:val="23"/>
                <w:rFonts w:ascii="仿宋" w:eastAsia="仿宋"/>
                <w:color w:val="000000" w:themeColor="text1"/>
                <w:szCs w:val="18"/>
              </w:rPr>
              <w:t> </w:t>
            </w:r>
            <w:r>
              <w:rPr>
                <w:rStyle w:val="24"/>
                <w:rFonts w:hint="eastAsia" w:ascii="仿宋" w:hAnsi="仿宋" w:eastAsia="仿宋" w:cs="宋体"/>
                <w:color w:val="000000" w:themeColor="text1"/>
                <w:szCs w:val="18"/>
              </w:rPr>
              <w:t>小微型客车租赁经营者违反本办法，有下列行为之一的，由小微型客车租赁行政主管部门责令改正，并处</w:t>
            </w:r>
            <w:r>
              <w:rPr>
                <w:rStyle w:val="24"/>
                <w:rFonts w:ascii="仿宋" w:hAnsi="仿宋" w:eastAsia="仿宋" w:cs="宋体"/>
                <w:color w:val="000000" w:themeColor="text1"/>
                <w:szCs w:val="18"/>
              </w:rPr>
              <w:t>3000</w:t>
            </w:r>
            <w:r>
              <w:rPr>
                <w:rFonts w:hint="eastAsia" w:ascii="仿宋" w:hAnsi="仿宋" w:eastAsia="仿宋" w:cs="Helvetica"/>
                <w:color w:val="000000" w:themeColor="text1"/>
                <w:sz w:val="18"/>
                <w:szCs w:val="18"/>
                <w:shd w:val="clear" w:color="auto" w:fill="FFFFFF"/>
              </w:rPr>
              <w:t>元以上</w:t>
            </w:r>
            <w:r>
              <w:rPr>
                <w:rFonts w:ascii="仿宋" w:hAnsi="仿宋" w:eastAsia="仿宋" w:cs="Helvetica"/>
                <w:color w:val="000000" w:themeColor="text1"/>
                <w:sz w:val="18"/>
                <w:szCs w:val="18"/>
                <w:shd w:val="clear" w:color="auto" w:fill="FFFFFF"/>
              </w:rPr>
              <w:t>3</w:t>
            </w:r>
            <w:r>
              <w:rPr>
                <w:rFonts w:hint="eastAsia" w:ascii="仿宋" w:hAnsi="仿宋" w:eastAsia="仿宋" w:cs="Helvetica"/>
                <w:color w:val="000000" w:themeColor="text1"/>
                <w:sz w:val="18"/>
                <w:szCs w:val="18"/>
                <w:shd w:val="clear" w:color="auto" w:fill="FFFFFF"/>
              </w:rPr>
              <w:t>万元</w:t>
            </w:r>
            <w:r>
              <w:rPr>
                <w:rStyle w:val="24"/>
                <w:rFonts w:hint="eastAsia" w:ascii="仿宋" w:hAnsi="仿宋" w:eastAsia="仿宋" w:cs="宋体"/>
                <w:color w:val="000000" w:themeColor="text1"/>
                <w:szCs w:val="18"/>
              </w:rPr>
              <w:t>以下罚款：（一）未按照规定办理备案或者变更备案的；（二）提供的租赁小微型客车不符合《中华人民共和国道路交通安全法》规定的上路行驶条件的；（三）未建立小微型客车租赁经营管理档案或者未按照规定报送相关数据信息的；（四）未在经营场所或者服务平台以显著方式明示服务项目、租赁流程、租赁车辆类型、收费标准、押金收取与退还、客服与监督电话等事项的。</w:t>
            </w:r>
          </w:p>
          <w:p w14:paraId="494EA6C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BE44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D9FB3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EABA9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D0134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ADAD7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060BC9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CE4F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5C0BA8C">
            <w:pPr>
              <w:rPr>
                <w:color w:val="000000" w:themeColor="text1"/>
              </w:rPr>
            </w:pPr>
          </w:p>
        </w:tc>
        <w:tc>
          <w:tcPr>
            <w:tcW w:w="1110" w:type="dxa"/>
            <w:vAlign w:val="center"/>
          </w:tcPr>
          <w:p w14:paraId="0A6690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4F052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92BB5FA">
            <w:pPr>
              <w:jc w:val="center"/>
              <w:rPr>
                <w:rFonts w:ascii="仿宋_GB2312" w:hAnsi="黑体" w:eastAsia="仿宋_GB2312" w:cs="黑体"/>
                <w:color w:val="000000" w:themeColor="text1"/>
                <w:sz w:val="18"/>
                <w:szCs w:val="18"/>
              </w:rPr>
            </w:pPr>
          </w:p>
        </w:tc>
        <w:tc>
          <w:tcPr>
            <w:tcW w:w="1406" w:type="dxa"/>
            <w:vAlign w:val="center"/>
          </w:tcPr>
          <w:p w14:paraId="43D858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A0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48C04DF">
            <w:pPr>
              <w:rPr>
                <w:color w:val="000000" w:themeColor="text1"/>
              </w:rPr>
            </w:pPr>
          </w:p>
        </w:tc>
        <w:tc>
          <w:tcPr>
            <w:tcW w:w="1110" w:type="dxa"/>
            <w:vAlign w:val="center"/>
          </w:tcPr>
          <w:p w14:paraId="0F25D5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512F28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6DE5967">
            <w:pPr>
              <w:jc w:val="center"/>
              <w:rPr>
                <w:rFonts w:ascii="仿宋_GB2312" w:hAnsi="黑体" w:eastAsia="仿宋_GB2312" w:cs="黑体"/>
                <w:color w:val="000000" w:themeColor="text1"/>
                <w:sz w:val="18"/>
                <w:szCs w:val="18"/>
              </w:rPr>
            </w:pPr>
          </w:p>
        </w:tc>
        <w:tc>
          <w:tcPr>
            <w:tcW w:w="1406" w:type="dxa"/>
            <w:vAlign w:val="center"/>
          </w:tcPr>
          <w:p w14:paraId="79B462B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FA3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97B839E">
            <w:pPr>
              <w:rPr>
                <w:color w:val="000000" w:themeColor="text1"/>
              </w:rPr>
            </w:pPr>
          </w:p>
        </w:tc>
        <w:tc>
          <w:tcPr>
            <w:tcW w:w="1110" w:type="dxa"/>
            <w:vAlign w:val="center"/>
          </w:tcPr>
          <w:p w14:paraId="5C0856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E312F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1500169">
            <w:pPr>
              <w:jc w:val="center"/>
              <w:rPr>
                <w:rFonts w:ascii="仿宋_GB2312" w:hAnsi="黑体" w:eastAsia="仿宋_GB2312" w:cs="黑体"/>
                <w:color w:val="000000" w:themeColor="text1"/>
                <w:sz w:val="18"/>
                <w:szCs w:val="18"/>
              </w:rPr>
            </w:pPr>
          </w:p>
        </w:tc>
        <w:tc>
          <w:tcPr>
            <w:tcW w:w="1406" w:type="dxa"/>
            <w:vAlign w:val="center"/>
          </w:tcPr>
          <w:p w14:paraId="4929462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793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7957DCC">
            <w:pPr>
              <w:rPr>
                <w:color w:val="000000" w:themeColor="text1"/>
              </w:rPr>
            </w:pPr>
          </w:p>
        </w:tc>
        <w:tc>
          <w:tcPr>
            <w:tcW w:w="1110" w:type="dxa"/>
            <w:vAlign w:val="center"/>
          </w:tcPr>
          <w:p w14:paraId="15CD1F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20BDE3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951544A">
            <w:pPr>
              <w:jc w:val="center"/>
              <w:rPr>
                <w:rFonts w:ascii="仿宋_GB2312" w:hAnsi="黑体" w:eastAsia="仿宋_GB2312" w:cs="黑体"/>
                <w:color w:val="000000" w:themeColor="text1"/>
                <w:sz w:val="18"/>
                <w:szCs w:val="18"/>
              </w:rPr>
            </w:pPr>
          </w:p>
        </w:tc>
        <w:tc>
          <w:tcPr>
            <w:tcW w:w="1406" w:type="dxa"/>
            <w:vAlign w:val="center"/>
          </w:tcPr>
          <w:p w14:paraId="020FB1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EF7D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B078727">
            <w:pPr>
              <w:rPr>
                <w:color w:val="000000" w:themeColor="text1"/>
              </w:rPr>
            </w:pPr>
          </w:p>
        </w:tc>
        <w:tc>
          <w:tcPr>
            <w:tcW w:w="1110" w:type="dxa"/>
            <w:vAlign w:val="center"/>
          </w:tcPr>
          <w:p w14:paraId="1F0580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42EBF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A2C3483">
            <w:pPr>
              <w:jc w:val="center"/>
              <w:rPr>
                <w:rFonts w:ascii="仿宋_GB2312" w:hAnsi="黑体" w:eastAsia="仿宋_GB2312" w:cs="黑体"/>
                <w:color w:val="000000" w:themeColor="text1"/>
                <w:sz w:val="18"/>
                <w:szCs w:val="18"/>
              </w:rPr>
            </w:pPr>
          </w:p>
        </w:tc>
        <w:tc>
          <w:tcPr>
            <w:tcW w:w="1406" w:type="dxa"/>
            <w:vAlign w:val="center"/>
          </w:tcPr>
          <w:p w14:paraId="52B815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AFBE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34DBB8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0E05B7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C21A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47F80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C8015C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8ECC36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6E6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1D4B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9D509A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F99DDA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A5E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FC6C10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253F64E">
            <w:pPr>
              <w:widowControl/>
              <w:jc w:val="left"/>
              <w:textAlignment w:val="center"/>
              <w:rPr>
                <w:rFonts w:ascii="黑体" w:eastAsia="黑体" w:cs="黑体"/>
                <w:color w:val="000000" w:themeColor="text1"/>
                <w:kern w:val="0"/>
                <w:sz w:val="18"/>
                <w:szCs w:val="18"/>
              </w:rPr>
            </w:pPr>
          </w:p>
        </w:tc>
      </w:tr>
    </w:tbl>
    <w:p w14:paraId="2754FA83">
      <w:pPr>
        <w:rPr>
          <w:color w:val="000000" w:themeColor="text1"/>
          <w:sz w:val="24"/>
        </w:rPr>
      </w:pPr>
    </w:p>
    <w:p w14:paraId="3563D35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A9DB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9511D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6B215E8">
            <w:pPr>
              <w:jc w:val="center"/>
              <w:rPr>
                <w:rFonts w:ascii="黑体" w:eastAsia="黑体" w:cs="黑体"/>
                <w:b/>
                <w:bCs/>
                <w:color w:val="000000" w:themeColor="text1"/>
                <w:szCs w:val="21"/>
              </w:rPr>
            </w:pPr>
            <w:r>
              <w:rPr>
                <w:rFonts w:ascii="黑体" w:eastAsia="黑体" w:cs="黑体"/>
                <w:b/>
                <w:bCs/>
                <w:color w:val="000000" w:themeColor="text1"/>
                <w:szCs w:val="21"/>
              </w:rPr>
              <w:t>62</w:t>
            </w:r>
          </w:p>
        </w:tc>
        <w:tc>
          <w:tcPr>
            <w:tcW w:w="1691" w:type="dxa"/>
            <w:vAlign w:val="center"/>
          </w:tcPr>
          <w:p w14:paraId="5C3B42B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782060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AF9DB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835B88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C53B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13915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518B06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对汽车租赁经营者和承租人使用租赁车辆从事或者变相从事其他客运经营活动的行政处罚</w:t>
            </w:r>
          </w:p>
        </w:tc>
      </w:tr>
      <w:tr w14:paraId="44621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199CC2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899117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DB73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24DC5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D00D2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第六十九条　违反本条例规定，汽车租赁经营者和承租人使用租赁车辆从事或者变相从事其他客运经营活动的，由县级以上道路运输管理机构责令限期改正，处一万元以上三万元以下的罚款。</w:t>
            </w:r>
          </w:p>
          <w:p w14:paraId="2625224A">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4007B1EC">
            <w:pPr>
              <w:spacing w:line="240" w:lineRule="exact"/>
              <w:rPr>
                <w:rFonts w:ascii="仿宋_GB2312" w:eastAsia="仿宋_GB2312" w:cs="黑体"/>
                <w:b/>
                <w:bCs/>
                <w:color w:val="000000" w:themeColor="text1"/>
                <w:szCs w:val="21"/>
              </w:rPr>
            </w:pPr>
          </w:p>
        </w:tc>
      </w:tr>
      <w:tr w14:paraId="56BE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07749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0CE38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5ED6EE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C4A4D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7F9180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D3AF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608A4BD">
            <w:pPr>
              <w:rPr>
                <w:color w:val="000000" w:themeColor="text1"/>
              </w:rPr>
            </w:pPr>
          </w:p>
        </w:tc>
        <w:tc>
          <w:tcPr>
            <w:tcW w:w="1110" w:type="dxa"/>
            <w:vAlign w:val="center"/>
          </w:tcPr>
          <w:p w14:paraId="5B5812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D2ACDB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A003962">
            <w:pPr>
              <w:jc w:val="center"/>
              <w:rPr>
                <w:rFonts w:ascii="仿宋_GB2312" w:hAnsi="黑体" w:eastAsia="仿宋_GB2312" w:cs="黑体"/>
                <w:color w:val="000000" w:themeColor="text1"/>
                <w:sz w:val="18"/>
                <w:szCs w:val="18"/>
              </w:rPr>
            </w:pPr>
          </w:p>
        </w:tc>
        <w:tc>
          <w:tcPr>
            <w:tcW w:w="1406" w:type="dxa"/>
            <w:vAlign w:val="center"/>
          </w:tcPr>
          <w:p w14:paraId="44D06D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D58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0D78CE7">
            <w:pPr>
              <w:rPr>
                <w:color w:val="000000" w:themeColor="text1"/>
              </w:rPr>
            </w:pPr>
          </w:p>
        </w:tc>
        <w:tc>
          <w:tcPr>
            <w:tcW w:w="1110" w:type="dxa"/>
            <w:vAlign w:val="center"/>
          </w:tcPr>
          <w:p w14:paraId="1BDC05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984BE4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CB69EF1">
            <w:pPr>
              <w:jc w:val="center"/>
              <w:rPr>
                <w:rFonts w:ascii="仿宋_GB2312" w:hAnsi="黑体" w:eastAsia="仿宋_GB2312" w:cs="黑体"/>
                <w:color w:val="000000" w:themeColor="text1"/>
                <w:sz w:val="18"/>
                <w:szCs w:val="18"/>
              </w:rPr>
            </w:pPr>
          </w:p>
        </w:tc>
        <w:tc>
          <w:tcPr>
            <w:tcW w:w="1406" w:type="dxa"/>
            <w:vAlign w:val="center"/>
          </w:tcPr>
          <w:p w14:paraId="3BE6BC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393F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6BB1478">
            <w:pPr>
              <w:rPr>
                <w:color w:val="000000" w:themeColor="text1"/>
              </w:rPr>
            </w:pPr>
          </w:p>
        </w:tc>
        <w:tc>
          <w:tcPr>
            <w:tcW w:w="1110" w:type="dxa"/>
            <w:vAlign w:val="center"/>
          </w:tcPr>
          <w:p w14:paraId="158A9F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7D2A81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DE6415D">
            <w:pPr>
              <w:jc w:val="center"/>
              <w:rPr>
                <w:rFonts w:ascii="仿宋_GB2312" w:hAnsi="黑体" w:eastAsia="仿宋_GB2312" w:cs="黑体"/>
                <w:color w:val="000000" w:themeColor="text1"/>
                <w:sz w:val="18"/>
                <w:szCs w:val="18"/>
              </w:rPr>
            </w:pPr>
          </w:p>
        </w:tc>
        <w:tc>
          <w:tcPr>
            <w:tcW w:w="1406" w:type="dxa"/>
            <w:vAlign w:val="center"/>
          </w:tcPr>
          <w:p w14:paraId="6D83DAA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4168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603087D">
            <w:pPr>
              <w:rPr>
                <w:color w:val="000000" w:themeColor="text1"/>
              </w:rPr>
            </w:pPr>
          </w:p>
        </w:tc>
        <w:tc>
          <w:tcPr>
            <w:tcW w:w="1110" w:type="dxa"/>
            <w:vAlign w:val="center"/>
          </w:tcPr>
          <w:p w14:paraId="67D83B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DAB1B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AB4B073">
            <w:pPr>
              <w:jc w:val="center"/>
              <w:rPr>
                <w:rFonts w:ascii="仿宋_GB2312" w:hAnsi="黑体" w:eastAsia="仿宋_GB2312" w:cs="黑体"/>
                <w:color w:val="000000" w:themeColor="text1"/>
                <w:sz w:val="18"/>
                <w:szCs w:val="18"/>
              </w:rPr>
            </w:pPr>
          </w:p>
        </w:tc>
        <w:tc>
          <w:tcPr>
            <w:tcW w:w="1406" w:type="dxa"/>
            <w:vAlign w:val="center"/>
          </w:tcPr>
          <w:p w14:paraId="2B0A7F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E47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62E5571">
            <w:pPr>
              <w:rPr>
                <w:color w:val="000000" w:themeColor="text1"/>
              </w:rPr>
            </w:pPr>
          </w:p>
        </w:tc>
        <w:tc>
          <w:tcPr>
            <w:tcW w:w="1110" w:type="dxa"/>
            <w:vAlign w:val="center"/>
          </w:tcPr>
          <w:p w14:paraId="41A0F1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D81A2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74BBC83">
            <w:pPr>
              <w:jc w:val="center"/>
              <w:rPr>
                <w:rFonts w:ascii="仿宋_GB2312" w:hAnsi="黑体" w:eastAsia="仿宋_GB2312" w:cs="黑体"/>
                <w:color w:val="000000" w:themeColor="text1"/>
                <w:sz w:val="18"/>
                <w:szCs w:val="18"/>
              </w:rPr>
            </w:pPr>
          </w:p>
        </w:tc>
        <w:tc>
          <w:tcPr>
            <w:tcW w:w="1406" w:type="dxa"/>
            <w:vAlign w:val="center"/>
          </w:tcPr>
          <w:p w14:paraId="38BA86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8C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029A77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ACF6A3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ADE9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3651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CC36F5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57F781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20F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86B2C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825B71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DAC84F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D42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F45F67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CBF90CC">
            <w:pPr>
              <w:widowControl/>
              <w:jc w:val="left"/>
              <w:textAlignment w:val="center"/>
              <w:rPr>
                <w:rFonts w:ascii="黑体" w:eastAsia="黑体" w:cs="黑体"/>
                <w:color w:val="000000" w:themeColor="text1"/>
                <w:kern w:val="0"/>
                <w:sz w:val="18"/>
                <w:szCs w:val="18"/>
              </w:rPr>
            </w:pPr>
          </w:p>
        </w:tc>
      </w:tr>
    </w:tbl>
    <w:p w14:paraId="643B6B4D">
      <w:pPr>
        <w:rPr>
          <w:color w:val="000000" w:themeColor="text1"/>
          <w:sz w:val="24"/>
        </w:rPr>
      </w:pPr>
    </w:p>
    <w:p w14:paraId="76373F3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612B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F5170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FEFE3A2">
            <w:pPr>
              <w:jc w:val="center"/>
              <w:rPr>
                <w:rFonts w:ascii="黑体" w:eastAsia="黑体" w:cs="黑体"/>
                <w:b/>
                <w:bCs/>
                <w:color w:val="000000" w:themeColor="text1"/>
                <w:szCs w:val="21"/>
              </w:rPr>
            </w:pPr>
            <w:r>
              <w:rPr>
                <w:rFonts w:ascii="黑体" w:eastAsia="黑体" w:cs="黑体"/>
                <w:b/>
                <w:bCs/>
                <w:color w:val="000000" w:themeColor="text1"/>
                <w:szCs w:val="21"/>
              </w:rPr>
              <w:t>63</w:t>
            </w:r>
          </w:p>
        </w:tc>
        <w:tc>
          <w:tcPr>
            <w:tcW w:w="1691" w:type="dxa"/>
            <w:vAlign w:val="center"/>
          </w:tcPr>
          <w:p w14:paraId="1602BC1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D71D0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36BC0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3B1E8F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D058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0728C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D467F8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对未取得从业资格证或者超越从业资格证核定范围，驾驶出租汽车从事经营活动等行为的行政处罚</w:t>
            </w:r>
          </w:p>
        </w:tc>
      </w:tr>
      <w:tr w14:paraId="30B3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0CDE91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6AED99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D240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29C08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D542D8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【法律法规】《出租汽车驾驶员从业资格管理规定》（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15</w:t>
            </w:r>
            <w:r>
              <w:rPr>
                <w:rFonts w:hint="eastAsia" w:ascii="仿宋_GB2312" w:eastAsia="仿宋_GB2312" w:cs="仿宋_GB2312"/>
                <w:color w:val="000000" w:themeColor="text1"/>
                <w:kern w:val="0"/>
                <w:sz w:val="18"/>
                <w:szCs w:val="18"/>
              </w:rPr>
              <w:t>号）第四十一条违反本规定，有下列行为之一的人员，由县级以上出租汽车行政主管部门责令改正，并处</w:t>
            </w:r>
            <w:r>
              <w:rPr>
                <w:rFonts w:ascii="仿宋_GB2312" w:eastAsia="仿宋_GB2312" w:cs="仿宋_GB2312"/>
                <w:color w:val="000000" w:themeColor="text1"/>
                <w:kern w:val="0"/>
                <w:sz w:val="18"/>
                <w:szCs w:val="18"/>
              </w:rPr>
              <w:t>200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下的罚款；构成犯罪的，依法追究刑事责任：（一）未取得从业资格证或者超越从业资格证核定范围，驾驶出租汽车从事经营活动的；（二）使用失效、伪造、变造的从业资格证，驾驶出租汽车从事经营活动的；（三）转借、出租、涂改从业资格证的。</w:t>
            </w:r>
          </w:p>
          <w:p w14:paraId="133012A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7DFF33D8">
            <w:pPr>
              <w:spacing w:line="240" w:lineRule="exact"/>
              <w:rPr>
                <w:rFonts w:ascii="仿宋" w:hAnsi="仿宋" w:eastAsia="仿宋" w:cs="宋体"/>
                <w:color w:val="000000" w:themeColor="text1"/>
                <w:kern w:val="0"/>
                <w:sz w:val="18"/>
                <w:szCs w:val="18"/>
              </w:rPr>
            </w:pPr>
          </w:p>
          <w:p w14:paraId="0CA4895B">
            <w:pPr>
              <w:spacing w:line="240" w:lineRule="exact"/>
              <w:rPr>
                <w:rFonts w:ascii="仿宋_GB2312" w:eastAsia="仿宋_GB2312" w:cs="黑体"/>
                <w:b/>
                <w:bCs/>
                <w:color w:val="000000" w:themeColor="text1"/>
                <w:szCs w:val="21"/>
              </w:rPr>
            </w:pPr>
          </w:p>
        </w:tc>
      </w:tr>
      <w:tr w14:paraId="0D40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09FE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5BFA8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2F806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DBCEF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95AB8A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5253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72E5AC9">
            <w:pPr>
              <w:rPr>
                <w:color w:val="000000" w:themeColor="text1"/>
              </w:rPr>
            </w:pPr>
          </w:p>
        </w:tc>
        <w:tc>
          <w:tcPr>
            <w:tcW w:w="1110" w:type="dxa"/>
            <w:vAlign w:val="center"/>
          </w:tcPr>
          <w:p w14:paraId="0A9171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13585C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C896E3F">
            <w:pPr>
              <w:jc w:val="center"/>
              <w:rPr>
                <w:rFonts w:ascii="仿宋_GB2312" w:hAnsi="黑体" w:eastAsia="仿宋_GB2312" w:cs="黑体"/>
                <w:color w:val="000000" w:themeColor="text1"/>
                <w:sz w:val="18"/>
                <w:szCs w:val="18"/>
              </w:rPr>
            </w:pPr>
          </w:p>
        </w:tc>
        <w:tc>
          <w:tcPr>
            <w:tcW w:w="1406" w:type="dxa"/>
            <w:vAlign w:val="center"/>
          </w:tcPr>
          <w:p w14:paraId="12897F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495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D3390B1">
            <w:pPr>
              <w:rPr>
                <w:color w:val="000000" w:themeColor="text1"/>
              </w:rPr>
            </w:pPr>
          </w:p>
        </w:tc>
        <w:tc>
          <w:tcPr>
            <w:tcW w:w="1110" w:type="dxa"/>
            <w:vAlign w:val="center"/>
          </w:tcPr>
          <w:p w14:paraId="7C7555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1B7C49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E630426">
            <w:pPr>
              <w:jc w:val="center"/>
              <w:rPr>
                <w:rFonts w:ascii="仿宋_GB2312" w:hAnsi="黑体" w:eastAsia="仿宋_GB2312" w:cs="黑体"/>
                <w:color w:val="000000" w:themeColor="text1"/>
                <w:sz w:val="18"/>
                <w:szCs w:val="18"/>
              </w:rPr>
            </w:pPr>
          </w:p>
        </w:tc>
        <w:tc>
          <w:tcPr>
            <w:tcW w:w="1406" w:type="dxa"/>
            <w:vAlign w:val="center"/>
          </w:tcPr>
          <w:p w14:paraId="10F17C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8B2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3134001">
            <w:pPr>
              <w:rPr>
                <w:color w:val="000000" w:themeColor="text1"/>
              </w:rPr>
            </w:pPr>
          </w:p>
        </w:tc>
        <w:tc>
          <w:tcPr>
            <w:tcW w:w="1110" w:type="dxa"/>
            <w:vAlign w:val="center"/>
          </w:tcPr>
          <w:p w14:paraId="323DBF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1A8681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90A0576">
            <w:pPr>
              <w:jc w:val="center"/>
              <w:rPr>
                <w:rFonts w:ascii="仿宋_GB2312" w:hAnsi="黑体" w:eastAsia="仿宋_GB2312" w:cs="黑体"/>
                <w:color w:val="000000" w:themeColor="text1"/>
                <w:sz w:val="18"/>
                <w:szCs w:val="18"/>
              </w:rPr>
            </w:pPr>
          </w:p>
        </w:tc>
        <w:tc>
          <w:tcPr>
            <w:tcW w:w="1406" w:type="dxa"/>
            <w:vAlign w:val="center"/>
          </w:tcPr>
          <w:p w14:paraId="48A53D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1421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3F01557">
            <w:pPr>
              <w:rPr>
                <w:color w:val="000000" w:themeColor="text1"/>
              </w:rPr>
            </w:pPr>
          </w:p>
        </w:tc>
        <w:tc>
          <w:tcPr>
            <w:tcW w:w="1110" w:type="dxa"/>
            <w:vAlign w:val="center"/>
          </w:tcPr>
          <w:p w14:paraId="3A608F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8BC9C5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870124C">
            <w:pPr>
              <w:jc w:val="center"/>
              <w:rPr>
                <w:rFonts w:ascii="仿宋_GB2312" w:hAnsi="黑体" w:eastAsia="仿宋_GB2312" w:cs="黑体"/>
                <w:color w:val="000000" w:themeColor="text1"/>
                <w:sz w:val="18"/>
                <w:szCs w:val="18"/>
              </w:rPr>
            </w:pPr>
          </w:p>
        </w:tc>
        <w:tc>
          <w:tcPr>
            <w:tcW w:w="1406" w:type="dxa"/>
            <w:vAlign w:val="center"/>
          </w:tcPr>
          <w:p w14:paraId="450B2B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CBF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DD7C85E">
            <w:pPr>
              <w:rPr>
                <w:color w:val="000000" w:themeColor="text1"/>
              </w:rPr>
            </w:pPr>
          </w:p>
        </w:tc>
        <w:tc>
          <w:tcPr>
            <w:tcW w:w="1110" w:type="dxa"/>
            <w:vAlign w:val="center"/>
          </w:tcPr>
          <w:p w14:paraId="105C63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A75AB3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6018474">
            <w:pPr>
              <w:jc w:val="center"/>
              <w:rPr>
                <w:rFonts w:ascii="仿宋_GB2312" w:hAnsi="黑体" w:eastAsia="仿宋_GB2312" w:cs="黑体"/>
                <w:color w:val="000000" w:themeColor="text1"/>
                <w:sz w:val="18"/>
                <w:szCs w:val="18"/>
              </w:rPr>
            </w:pPr>
          </w:p>
        </w:tc>
        <w:tc>
          <w:tcPr>
            <w:tcW w:w="1406" w:type="dxa"/>
            <w:vAlign w:val="center"/>
          </w:tcPr>
          <w:p w14:paraId="616678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C89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66A137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F458B7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1332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D7860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075556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325A76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C9AB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879E9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09D3E0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B035EA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120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BCD874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BAF577C">
            <w:pPr>
              <w:widowControl/>
              <w:jc w:val="left"/>
              <w:textAlignment w:val="center"/>
              <w:rPr>
                <w:rFonts w:ascii="黑体" w:eastAsia="黑体" w:cs="黑体"/>
                <w:color w:val="000000" w:themeColor="text1"/>
                <w:kern w:val="0"/>
                <w:sz w:val="18"/>
                <w:szCs w:val="18"/>
              </w:rPr>
            </w:pPr>
          </w:p>
        </w:tc>
      </w:tr>
    </w:tbl>
    <w:p w14:paraId="75631417">
      <w:pPr>
        <w:rPr>
          <w:color w:val="000000" w:themeColor="text1"/>
          <w:sz w:val="24"/>
        </w:rPr>
      </w:pPr>
    </w:p>
    <w:p w14:paraId="00A04E4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6E43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89934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44E3BED">
            <w:pPr>
              <w:jc w:val="center"/>
              <w:rPr>
                <w:rFonts w:ascii="黑体" w:eastAsia="黑体" w:cs="黑体"/>
                <w:b/>
                <w:bCs/>
                <w:color w:val="000000" w:themeColor="text1"/>
                <w:szCs w:val="21"/>
              </w:rPr>
            </w:pPr>
            <w:r>
              <w:rPr>
                <w:rFonts w:ascii="黑体" w:eastAsia="黑体" w:cs="黑体"/>
                <w:b/>
                <w:bCs/>
                <w:color w:val="000000" w:themeColor="text1"/>
                <w:szCs w:val="21"/>
              </w:rPr>
              <w:t>64</w:t>
            </w:r>
          </w:p>
        </w:tc>
        <w:tc>
          <w:tcPr>
            <w:tcW w:w="1691" w:type="dxa"/>
            <w:vAlign w:val="center"/>
          </w:tcPr>
          <w:p w14:paraId="57B6364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E2E245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63F06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59D940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B6A8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1FCA1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0CC6D14">
            <w:pPr>
              <w:widowControl/>
              <w:jc w:val="center"/>
              <w:textAlignment w:val="center"/>
              <w:rPr>
                <w:rFonts w:ascii="仿宋" w:hAnsi="仿宋" w:eastAsia="仿宋" w:cs="宋体"/>
                <w:b/>
                <w:color w:val="000000" w:themeColor="text1"/>
                <w:kern w:val="0"/>
                <w:sz w:val="18"/>
                <w:szCs w:val="18"/>
              </w:rPr>
            </w:pPr>
            <w:r>
              <w:rPr>
                <w:rFonts w:hint="eastAsia" w:ascii="仿宋" w:hAnsi="仿宋" w:eastAsia="仿宋" w:cs="宋体"/>
                <w:b/>
                <w:color w:val="000000" w:themeColor="text1"/>
                <w:kern w:val="0"/>
                <w:sz w:val="18"/>
                <w:szCs w:val="18"/>
              </w:rPr>
              <w:t>对未取得巡游出租汽车经营许可，擅自从事巡游出租汽车经营活动的行政处罚</w:t>
            </w:r>
          </w:p>
        </w:tc>
      </w:tr>
      <w:tr w14:paraId="3829C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21EDC7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C65573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252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F9A86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DD3B65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bookmarkStart w:id="8" w:name="OLE_LINK12"/>
            <w:r>
              <w:rPr>
                <w:rFonts w:hint="eastAsia" w:ascii="仿宋_GB2312" w:eastAsia="仿宋_GB2312" w:cs="仿宋_GB2312"/>
                <w:color w:val="000000" w:themeColor="text1"/>
                <w:kern w:val="0"/>
                <w:sz w:val="18"/>
                <w:szCs w:val="18"/>
              </w:rPr>
              <w:t>巡游出租汽车经营服务管理规定</w:t>
            </w:r>
            <w:bookmarkEnd w:id="8"/>
            <w:r>
              <w:rPr>
                <w:rFonts w:hint="eastAsia"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16</w:t>
            </w:r>
            <w:r>
              <w:rPr>
                <w:rFonts w:hint="eastAsia" w:ascii="仿宋_GB2312" w:eastAsia="仿宋_GB2312" w:cs="仿宋_GB2312"/>
                <w:color w:val="000000" w:themeColor="text1"/>
                <w:kern w:val="0"/>
                <w:sz w:val="18"/>
                <w:szCs w:val="18"/>
              </w:rPr>
              <w:t>号）第四十五条违反本规定，未取得巡游出租汽车经营许可，擅自从事巡游出租汽车经营活动的，由县级以上地方人民政府出租汽车行政主管部门责令改正，并处以</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万元以下罚款。构成犯罪的，依法追究刑事责任。</w:t>
            </w:r>
          </w:p>
          <w:p w14:paraId="3E69544D">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25F7887B">
            <w:pPr>
              <w:spacing w:line="240" w:lineRule="exact"/>
              <w:rPr>
                <w:rFonts w:ascii="仿宋_GB2312" w:eastAsia="仿宋_GB2312" w:cs="黑体"/>
                <w:b/>
                <w:bCs/>
                <w:color w:val="000000" w:themeColor="text1"/>
                <w:szCs w:val="21"/>
              </w:rPr>
            </w:pPr>
          </w:p>
        </w:tc>
      </w:tr>
      <w:tr w14:paraId="4FC92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7BFC8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73919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34639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B9F4B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F2C34E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327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73A1510">
            <w:pPr>
              <w:rPr>
                <w:color w:val="000000" w:themeColor="text1"/>
              </w:rPr>
            </w:pPr>
          </w:p>
        </w:tc>
        <w:tc>
          <w:tcPr>
            <w:tcW w:w="1110" w:type="dxa"/>
            <w:vAlign w:val="center"/>
          </w:tcPr>
          <w:p w14:paraId="1FA0E2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5B4E0C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41C85B6">
            <w:pPr>
              <w:jc w:val="center"/>
              <w:rPr>
                <w:rFonts w:ascii="仿宋_GB2312" w:hAnsi="黑体" w:eastAsia="仿宋_GB2312" w:cs="黑体"/>
                <w:color w:val="000000" w:themeColor="text1"/>
                <w:sz w:val="18"/>
                <w:szCs w:val="18"/>
              </w:rPr>
            </w:pPr>
          </w:p>
        </w:tc>
        <w:tc>
          <w:tcPr>
            <w:tcW w:w="1406" w:type="dxa"/>
            <w:vAlign w:val="center"/>
          </w:tcPr>
          <w:p w14:paraId="590E13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A4E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B822097">
            <w:pPr>
              <w:rPr>
                <w:color w:val="000000" w:themeColor="text1"/>
              </w:rPr>
            </w:pPr>
          </w:p>
        </w:tc>
        <w:tc>
          <w:tcPr>
            <w:tcW w:w="1110" w:type="dxa"/>
            <w:vAlign w:val="center"/>
          </w:tcPr>
          <w:p w14:paraId="01CD16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47B414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49E73C6">
            <w:pPr>
              <w:jc w:val="center"/>
              <w:rPr>
                <w:rFonts w:ascii="仿宋_GB2312" w:hAnsi="黑体" w:eastAsia="仿宋_GB2312" w:cs="黑体"/>
                <w:color w:val="000000" w:themeColor="text1"/>
                <w:sz w:val="18"/>
                <w:szCs w:val="18"/>
              </w:rPr>
            </w:pPr>
          </w:p>
        </w:tc>
        <w:tc>
          <w:tcPr>
            <w:tcW w:w="1406" w:type="dxa"/>
            <w:vAlign w:val="center"/>
          </w:tcPr>
          <w:p w14:paraId="3E76A1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EB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1D0CC76">
            <w:pPr>
              <w:rPr>
                <w:color w:val="000000" w:themeColor="text1"/>
              </w:rPr>
            </w:pPr>
          </w:p>
        </w:tc>
        <w:tc>
          <w:tcPr>
            <w:tcW w:w="1110" w:type="dxa"/>
            <w:vAlign w:val="center"/>
          </w:tcPr>
          <w:p w14:paraId="50F9BD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5D62E6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84126AD">
            <w:pPr>
              <w:jc w:val="center"/>
              <w:rPr>
                <w:rFonts w:ascii="仿宋_GB2312" w:hAnsi="黑体" w:eastAsia="仿宋_GB2312" w:cs="黑体"/>
                <w:color w:val="000000" w:themeColor="text1"/>
                <w:sz w:val="18"/>
                <w:szCs w:val="18"/>
              </w:rPr>
            </w:pPr>
          </w:p>
        </w:tc>
        <w:tc>
          <w:tcPr>
            <w:tcW w:w="1406" w:type="dxa"/>
            <w:vAlign w:val="center"/>
          </w:tcPr>
          <w:p w14:paraId="5AE474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1A25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767AE59">
            <w:pPr>
              <w:rPr>
                <w:color w:val="000000" w:themeColor="text1"/>
              </w:rPr>
            </w:pPr>
          </w:p>
        </w:tc>
        <w:tc>
          <w:tcPr>
            <w:tcW w:w="1110" w:type="dxa"/>
            <w:vAlign w:val="center"/>
          </w:tcPr>
          <w:p w14:paraId="6F7EB5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EC87E9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5EA8224">
            <w:pPr>
              <w:jc w:val="center"/>
              <w:rPr>
                <w:rFonts w:ascii="仿宋_GB2312" w:hAnsi="黑体" w:eastAsia="仿宋_GB2312" w:cs="黑体"/>
                <w:color w:val="000000" w:themeColor="text1"/>
                <w:sz w:val="18"/>
                <w:szCs w:val="18"/>
              </w:rPr>
            </w:pPr>
          </w:p>
        </w:tc>
        <w:tc>
          <w:tcPr>
            <w:tcW w:w="1406" w:type="dxa"/>
            <w:vAlign w:val="center"/>
          </w:tcPr>
          <w:p w14:paraId="0E2FF3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160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6FF85BF">
            <w:pPr>
              <w:rPr>
                <w:color w:val="000000" w:themeColor="text1"/>
              </w:rPr>
            </w:pPr>
          </w:p>
        </w:tc>
        <w:tc>
          <w:tcPr>
            <w:tcW w:w="1110" w:type="dxa"/>
            <w:vAlign w:val="center"/>
          </w:tcPr>
          <w:p w14:paraId="103314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5D099E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FB374CD">
            <w:pPr>
              <w:jc w:val="center"/>
              <w:rPr>
                <w:rFonts w:ascii="仿宋_GB2312" w:hAnsi="黑体" w:eastAsia="仿宋_GB2312" w:cs="黑体"/>
                <w:color w:val="000000" w:themeColor="text1"/>
                <w:sz w:val="18"/>
                <w:szCs w:val="18"/>
              </w:rPr>
            </w:pPr>
          </w:p>
        </w:tc>
        <w:tc>
          <w:tcPr>
            <w:tcW w:w="1406" w:type="dxa"/>
            <w:vAlign w:val="center"/>
          </w:tcPr>
          <w:p w14:paraId="496F701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B74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FF4301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413C18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11F9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EF676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8330E1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384735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5B2C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56D37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1E14BF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13F9F1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2D54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C46887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7034ED3">
            <w:pPr>
              <w:widowControl/>
              <w:jc w:val="left"/>
              <w:textAlignment w:val="center"/>
              <w:rPr>
                <w:rFonts w:ascii="黑体" w:eastAsia="黑体" w:cs="黑体"/>
                <w:color w:val="000000" w:themeColor="text1"/>
                <w:kern w:val="0"/>
                <w:sz w:val="18"/>
                <w:szCs w:val="18"/>
              </w:rPr>
            </w:pPr>
          </w:p>
        </w:tc>
      </w:tr>
    </w:tbl>
    <w:p w14:paraId="55AD8FF9">
      <w:pPr>
        <w:pStyle w:val="8"/>
        <w:snapToGrid w:val="0"/>
        <w:spacing w:before="0" w:beforeAutospacing="0" w:after="0" w:afterAutospacing="0" w:line="240" w:lineRule="atLeast"/>
        <w:jc w:val="both"/>
        <w:rPr>
          <w:color w:val="000000" w:themeColor="text1"/>
          <w:sz w:val="11"/>
          <w:szCs w:val="11"/>
        </w:rPr>
      </w:pPr>
    </w:p>
    <w:p w14:paraId="51B0837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EC00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1493A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76F33E6">
            <w:pPr>
              <w:jc w:val="center"/>
              <w:rPr>
                <w:rFonts w:ascii="黑体" w:eastAsia="黑体" w:cs="黑体"/>
                <w:b/>
                <w:bCs/>
                <w:color w:val="000000" w:themeColor="text1"/>
                <w:szCs w:val="21"/>
              </w:rPr>
            </w:pPr>
            <w:r>
              <w:rPr>
                <w:rFonts w:ascii="黑体" w:eastAsia="黑体" w:cs="黑体"/>
                <w:b/>
                <w:bCs/>
                <w:color w:val="000000" w:themeColor="text1"/>
                <w:szCs w:val="21"/>
              </w:rPr>
              <w:t>65</w:t>
            </w:r>
          </w:p>
        </w:tc>
        <w:tc>
          <w:tcPr>
            <w:tcW w:w="1691" w:type="dxa"/>
            <w:vAlign w:val="center"/>
          </w:tcPr>
          <w:p w14:paraId="7E09E7E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B10FC3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F9EA4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BFC33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7A9D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9BC37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730FACE">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对巡游出租汽车违反经营区域相关规定及违规使用运输证件等行为的行政处罚</w:t>
            </w:r>
          </w:p>
        </w:tc>
      </w:tr>
      <w:tr w14:paraId="13BB0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953363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C611C3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FC58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407E0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129A7F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【法律法规】《巡游出租汽车经营服务管理规定》（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16</w:t>
            </w:r>
            <w:r>
              <w:rPr>
                <w:rFonts w:hint="eastAsia" w:ascii="仿宋_GB2312" w:eastAsia="仿宋_GB2312" w:cs="仿宋_GB2312"/>
                <w:color w:val="000000" w:themeColor="text1"/>
                <w:kern w:val="0"/>
                <w:sz w:val="18"/>
                <w:szCs w:val="18"/>
              </w:rPr>
              <w:t>号）第四十六条违反本规定，有下列行为之一的，由县级以上地方人民政府出租汽车行政主管部门责令改正，并处以</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罚款。构成犯罪的，依法追究刑事责任：（一）起讫点均不在许可的经营区域从事巡游出租汽车经营活动的；（二）使用未取得道路运输证的车辆，擅自从事巡游出租汽车经营活动的；（三）使用失效、伪造、变造、被注销等无效道路运输证的车辆从事巡游出租汽车经营活动的。</w:t>
            </w:r>
          </w:p>
          <w:p w14:paraId="3F9D7EAD">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3CCD2E9E">
            <w:pPr>
              <w:spacing w:line="240" w:lineRule="exact"/>
              <w:rPr>
                <w:rFonts w:ascii="仿宋_GB2312" w:eastAsia="仿宋_GB2312" w:cs="黑体"/>
                <w:b/>
                <w:bCs/>
                <w:color w:val="000000" w:themeColor="text1"/>
                <w:szCs w:val="21"/>
              </w:rPr>
            </w:pPr>
          </w:p>
        </w:tc>
      </w:tr>
      <w:tr w14:paraId="40595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BDAE1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A82A4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80951B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9F32B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F3D70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6DD1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40E3DC3">
            <w:pPr>
              <w:rPr>
                <w:color w:val="000000" w:themeColor="text1"/>
              </w:rPr>
            </w:pPr>
          </w:p>
        </w:tc>
        <w:tc>
          <w:tcPr>
            <w:tcW w:w="1110" w:type="dxa"/>
            <w:vAlign w:val="center"/>
          </w:tcPr>
          <w:p w14:paraId="072C57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C5802E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A957A65">
            <w:pPr>
              <w:jc w:val="center"/>
              <w:rPr>
                <w:rFonts w:ascii="仿宋_GB2312" w:hAnsi="黑体" w:eastAsia="仿宋_GB2312" w:cs="黑体"/>
                <w:color w:val="000000" w:themeColor="text1"/>
                <w:sz w:val="18"/>
                <w:szCs w:val="18"/>
              </w:rPr>
            </w:pPr>
          </w:p>
        </w:tc>
        <w:tc>
          <w:tcPr>
            <w:tcW w:w="1406" w:type="dxa"/>
            <w:vAlign w:val="center"/>
          </w:tcPr>
          <w:p w14:paraId="72EA3E2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C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9EC0EA9">
            <w:pPr>
              <w:rPr>
                <w:color w:val="000000" w:themeColor="text1"/>
              </w:rPr>
            </w:pPr>
          </w:p>
        </w:tc>
        <w:tc>
          <w:tcPr>
            <w:tcW w:w="1110" w:type="dxa"/>
            <w:vAlign w:val="center"/>
          </w:tcPr>
          <w:p w14:paraId="532AD6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58D98F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577773F">
            <w:pPr>
              <w:jc w:val="center"/>
              <w:rPr>
                <w:rFonts w:ascii="仿宋_GB2312" w:hAnsi="黑体" w:eastAsia="仿宋_GB2312" w:cs="黑体"/>
                <w:color w:val="000000" w:themeColor="text1"/>
                <w:sz w:val="18"/>
                <w:szCs w:val="18"/>
              </w:rPr>
            </w:pPr>
          </w:p>
        </w:tc>
        <w:tc>
          <w:tcPr>
            <w:tcW w:w="1406" w:type="dxa"/>
            <w:vAlign w:val="center"/>
          </w:tcPr>
          <w:p w14:paraId="1B7BBD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4F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4F61A00">
            <w:pPr>
              <w:rPr>
                <w:color w:val="000000" w:themeColor="text1"/>
              </w:rPr>
            </w:pPr>
          </w:p>
        </w:tc>
        <w:tc>
          <w:tcPr>
            <w:tcW w:w="1110" w:type="dxa"/>
            <w:vAlign w:val="center"/>
          </w:tcPr>
          <w:p w14:paraId="55E040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C5FF7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EDD46F6">
            <w:pPr>
              <w:jc w:val="center"/>
              <w:rPr>
                <w:rFonts w:ascii="仿宋_GB2312" w:hAnsi="黑体" w:eastAsia="仿宋_GB2312" w:cs="黑体"/>
                <w:color w:val="000000" w:themeColor="text1"/>
                <w:sz w:val="18"/>
                <w:szCs w:val="18"/>
              </w:rPr>
            </w:pPr>
          </w:p>
        </w:tc>
        <w:tc>
          <w:tcPr>
            <w:tcW w:w="1406" w:type="dxa"/>
            <w:vAlign w:val="center"/>
          </w:tcPr>
          <w:p w14:paraId="13401A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9735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62EE448">
            <w:pPr>
              <w:rPr>
                <w:color w:val="000000" w:themeColor="text1"/>
              </w:rPr>
            </w:pPr>
          </w:p>
        </w:tc>
        <w:tc>
          <w:tcPr>
            <w:tcW w:w="1110" w:type="dxa"/>
            <w:vAlign w:val="center"/>
          </w:tcPr>
          <w:p w14:paraId="44E949C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CE4FD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0E2F155">
            <w:pPr>
              <w:jc w:val="center"/>
              <w:rPr>
                <w:rFonts w:ascii="仿宋_GB2312" w:hAnsi="黑体" w:eastAsia="仿宋_GB2312" w:cs="黑体"/>
                <w:color w:val="000000" w:themeColor="text1"/>
                <w:sz w:val="18"/>
                <w:szCs w:val="18"/>
              </w:rPr>
            </w:pPr>
          </w:p>
        </w:tc>
        <w:tc>
          <w:tcPr>
            <w:tcW w:w="1406" w:type="dxa"/>
            <w:vAlign w:val="center"/>
          </w:tcPr>
          <w:p w14:paraId="5F9FA3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718A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77C1532">
            <w:pPr>
              <w:rPr>
                <w:color w:val="000000" w:themeColor="text1"/>
              </w:rPr>
            </w:pPr>
          </w:p>
        </w:tc>
        <w:tc>
          <w:tcPr>
            <w:tcW w:w="1110" w:type="dxa"/>
            <w:vAlign w:val="center"/>
          </w:tcPr>
          <w:p w14:paraId="290EDC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D10846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BEEC891">
            <w:pPr>
              <w:jc w:val="center"/>
              <w:rPr>
                <w:rFonts w:ascii="仿宋_GB2312" w:hAnsi="黑体" w:eastAsia="仿宋_GB2312" w:cs="黑体"/>
                <w:color w:val="000000" w:themeColor="text1"/>
                <w:sz w:val="18"/>
                <w:szCs w:val="18"/>
              </w:rPr>
            </w:pPr>
          </w:p>
        </w:tc>
        <w:tc>
          <w:tcPr>
            <w:tcW w:w="1406" w:type="dxa"/>
            <w:vAlign w:val="center"/>
          </w:tcPr>
          <w:p w14:paraId="45921EF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864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472BF9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C97308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5573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CB209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3AB6AC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A29D17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DEEC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F3E33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CB49CE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F6BDF5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381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A88FCA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D273B8A">
            <w:pPr>
              <w:widowControl/>
              <w:jc w:val="left"/>
              <w:textAlignment w:val="center"/>
              <w:rPr>
                <w:rFonts w:ascii="黑体" w:eastAsia="黑体" w:cs="黑体"/>
                <w:color w:val="000000" w:themeColor="text1"/>
                <w:kern w:val="0"/>
                <w:sz w:val="18"/>
                <w:szCs w:val="18"/>
              </w:rPr>
            </w:pPr>
          </w:p>
        </w:tc>
      </w:tr>
    </w:tbl>
    <w:p w14:paraId="35652AA2">
      <w:pPr>
        <w:pStyle w:val="8"/>
        <w:snapToGrid w:val="0"/>
        <w:spacing w:before="0" w:beforeAutospacing="0" w:after="0" w:afterAutospacing="0" w:line="240" w:lineRule="atLeast"/>
        <w:jc w:val="both"/>
        <w:rPr>
          <w:color w:val="000000" w:themeColor="text1"/>
          <w:sz w:val="11"/>
          <w:szCs w:val="11"/>
        </w:rPr>
      </w:pPr>
    </w:p>
    <w:p w14:paraId="50F4335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BD4F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B59CD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2F1A4A7">
            <w:pPr>
              <w:jc w:val="center"/>
              <w:rPr>
                <w:rFonts w:ascii="黑体" w:eastAsia="黑体" w:cs="黑体"/>
                <w:b/>
                <w:bCs/>
                <w:color w:val="000000" w:themeColor="text1"/>
                <w:szCs w:val="21"/>
              </w:rPr>
            </w:pPr>
            <w:r>
              <w:rPr>
                <w:rFonts w:ascii="黑体" w:eastAsia="黑体" w:cs="黑体"/>
                <w:b/>
                <w:bCs/>
                <w:color w:val="000000" w:themeColor="text1"/>
                <w:szCs w:val="21"/>
              </w:rPr>
              <w:t>66</w:t>
            </w:r>
          </w:p>
        </w:tc>
        <w:tc>
          <w:tcPr>
            <w:tcW w:w="1691" w:type="dxa"/>
            <w:vAlign w:val="center"/>
          </w:tcPr>
          <w:p w14:paraId="41CC963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3DA16E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26E37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C3DB1C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FD0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51D65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7F89FD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对在非巡游车上使用巡游车车体颜色、专用标志、计价器的行政处罚</w:t>
            </w:r>
          </w:p>
        </w:tc>
      </w:tr>
      <w:tr w14:paraId="5A97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249042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9A0B37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0937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A59BA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4C5912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第六十四条　违反本条例规定，在非巡游车上使用巡游车车体颜色、专用标志、计价器的，由县级以上道路运输管理机构责令限期改正，没收相关专用标志、计价器，并处三千元以上一万元以下的罚款。</w:t>
            </w:r>
          </w:p>
          <w:p w14:paraId="46E7520E">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7E767F4E">
            <w:pPr>
              <w:spacing w:line="240" w:lineRule="exact"/>
              <w:rPr>
                <w:rFonts w:ascii="仿宋_GB2312" w:eastAsia="仿宋_GB2312" w:cs="黑体"/>
                <w:b/>
                <w:bCs/>
                <w:color w:val="000000" w:themeColor="text1"/>
                <w:szCs w:val="21"/>
              </w:rPr>
            </w:pPr>
          </w:p>
        </w:tc>
      </w:tr>
      <w:tr w14:paraId="41D11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CEC58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E7E5E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CB2354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407DA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42B147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2278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F3B70CF">
            <w:pPr>
              <w:rPr>
                <w:color w:val="000000" w:themeColor="text1"/>
              </w:rPr>
            </w:pPr>
          </w:p>
        </w:tc>
        <w:tc>
          <w:tcPr>
            <w:tcW w:w="1110" w:type="dxa"/>
            <w:vAlign w:val="center"/>
          </w:tcPr>
          <w:p w14:paraId="3016CC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3547EC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F0A9E6E">
            <w:pPr>
              <w:jc w:val="center"/>
              <w:rPr>
                <w:rFonts w:ascii="仿宋_GB2312" w:hAnsi="黑体" w:eastAsia="仿宋_GB2312" w:cs="黑体"/>
                <w:color w:val="000000" w:themeColor="text1"/>
                <w:sz w:val="18"/>
                <w:szCs w:val="18"/>
              </w:rPr>
            </w:pPr>
          </w:p>
        </w:tc>
        <w:tc>
          <w:tcPr>
            <w:tcW w:w="1406" w:type="dxa"/>
            <w:vAlign w:val="center"/>
          </w:tcPr>
          <w:p w14:paraId="4B796B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47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C1040E1">
            <w:pPr>
              <w:rPr>
                <w:color w:val="000000" w:themeColor="text1"/>
              </w:rPr>
            </w:pPr>
          </w:p>
        </w:tc>
        <w:tc>
          <w:tcPr>
            <w:tcW w:w="1110" w:type="dxa"/>
            <w:vAlign w:val="center"/>
          </w:tcPr>
          <w:p w14:paraId="64E238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264AF4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E050541">
            <w:pPr>
              <w:jc w:val="center"/>
              <w:rPr>
                <w:rFonts w:ascii="仿宋_GB2312" w:hAnsi="黑体" w:eastAsia="仿宋_GB2312" w:cs="黑体"/>
                <w:color w:val="000000" w:themeColor="text1"/>
                <w:sz w:val="18"/>
                <w:szCs w:val="18"/>
              </w:rPr>
            </w:pPr>
          </w:p>
        </w:tc>
        <w:tc>
          <w:tcPr>
            <w:tcW w:w="1406" w:type="dxa"/>
            <w:vAlign w:val="center"/>
          </w:tcPr>
          <w:p w14:paraId="5B84D46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9E1A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55695A6">
            <w:pPr>
              <w:rPr>
                <w:color w:val="000000" w:themeColor="text1"/>
              </w:rPr>
            </w:pPr>
          </w:p>
        </w:tc>
        <w:tc>
          <w:tcPr>
            <w:tcW w:w="1110" w:type="dxa"/>
            <w:vAlign w:val="center"/>
          </w:tcPr>
          <w:p w14:paraId="103E83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75FE7F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4CB8F7C">
            <w:pPr>
              <w:jc w:val="center"/>
              <w:rPr>
                <w:rFonts w:ascii="仿宋_GB2312" w:hAnsi="黑体" w:eastAsia="仿宋_GB2312" w:cs="黑体"/>
                <w:color w:val="000000" w:themeColor="text1"/>
                <w:sz w:val="18"/>
                <w:szCs w:val="18"/>
              </w:rPr>
            </w:pPr>
          </w:p>
        </w:tc>
        <w:tc>
          <w:tcPr>
            <w:tcW w:w="1406" w:type="dxa"/>
            <w:vAlign w:val="center"/>
          </w:tcPr>
          <w:p w14:paraId="28B5FF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4C4C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605A9AB">
            <w:pPr>
              <w:rPr>
                <w:color w:val="000000" w:themeColor="text1"/>
              </w:rPr>
            </w:pPr>
          </w:p>
        </w:tc>
        <w:tc>
          <w:tcPr>
            <w:tcW w:w="1110" w:type="dxa"/>
            <w:vAlign w:val="center"/>
          </w:tcPr>
          <w:p w14:paraId="2097AB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54886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A1002CD">
            <w:pPr>
              <w:jc w:val="center"/>
              <w:rPr>
                <w:rFonts w:ascii="仿宋_GB2312" w:hAnsi="黑体" w:eastAsia="仿宋_GB2312" w:cs="黑体"/>
                <w:color w:val="000000" w:themeColor="text1"/>
                <w:sz w:val="18"/>
                <w:szCs w:val="18"/>
              </w:rPr>
            </w:pPr>
          </w:p>
        </w:tc>
        <w:tc>
          <w:tcPr>
            <w:tcW w:w="1406" w:type="dxa"/>
            <w:vAlign w:val="center"/>
          </w:tcPr>
          <w:p w14:paraId="403D7F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9924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B0E4E44">
            <w:pPr>
              <w:rPr>
                <w:color w:val="000000" w:themeColor="text1"/>
              </w:rPr>
            </w:pPr>
          </w:p>
        </w:tc>
        <w:tc>
          <w:tcPr>
            <w:tcW w:w="1110" w:type="dxa"/>
            <w:vAlign w:val="center"/>
          </w:tcPr>
          <w:p w14:paraId="30B507B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83BE00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09435F7">
            <w:pPr>
              <w:jc w:val="center"/>
              <w:rPr>
                <w:rFonts w:ascii="仿宋_GB2312" w:hAnsi="黑体" w:eastAsia="仿宋_GB2312" w:cs="黑体"/>
                <w:color w:val="000000" w:themeColor="text1"/>
                <w:sz w:val="18"/>
                <w:szCs w:val="18"/>
              </w:rPr>
            </w:pPr>
          </w:p>
        </w:tc>
        <w:tc>
          <w:tcPr>
            <w:tcW w:w="1406" w:type="dxa"/>
            <w:vAlign w:val="center"/>
          </w:tcPr>
          <w:p w14:paraId="31E050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C897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7F516A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4196EF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E52A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5857B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957959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2B56FD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F5D7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2A93A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D7BEBE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A163FF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133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CF5CBE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7F60A08">
            <w:pPr>
              <w:widowControl/>
              <w:jc w:val="left"/>
              <w:textAlignment w:val="center"/>
              <w:rPr>
                <w:rFonts w:ascii="黑体" w:eastAsia="黑体" w:cs="黑体"/>
                <w:color w:val="000000" w:themeColor="text1"/>
                <w:kern w:val="0"/>
                <w:sz w:val="18"/>
                <w:szCs w:val="18"/>
              </w:rPr>
            </w:pPr>
          </w:p>
        </w:tc>
      </w:tr>
    </w:tbl>
    <w:p w14:paraId="100E4792">
      <w:pPr>
        <w:pStyle w:val="8"/>
        <w:snapToGrid w:val="0"/>
        <w:spacing w:before="0" w:beforeAutospacing="0" w:after="0" w:afterAutospacing="0" w:line="240" w:lineRule="atLeast"/>
        <w:jc w:val="both"/>
        <w:rPr>
          <w:color w:val="000000" w:themeColor="text1"/>
          <w:sz w:val="11"/>
          <w:szCs w:val="11"/>
        </w:rPr>
      </w:pPr>
    </w:p>
    <w:p w14:paraId="202E00B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A7AB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8270F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545F00D">
            <w:pPr>
              <w:jc w:val="center"/>
              <w:rPr>
                <w:rFonts w:ascii="黑体" w:eastAsia="黑体" w:cs="黑体"/>
                <w:b/>
                <w:bCs/>
                <w:color w:val="000000" w:themeColor="text1"/>
                <w:szCs w:val="21"/>
              </w:rPr>
            </w:pPr>
            <w:r>
              <w:rPr>
                <w:rFonts w:ascii="黑体" w:eastAsia="黑体" w:cs="黑体"/>
                <w:b/>
                <w:bCs/>
                <w:color w:val="000000" w:themeColor="text1"/>
                <w:szCs w:val="21"/>
              </w:rPr>
              <w:t>67</w:t>
            </w:r>
          </w:p>
        </w:tc>
        <w:tc>
          <w:tcPr>
            <w:tcW w:w="1691" w:type="dxa"/>
            <w:vAlign w:val="center"/>
          </w:tcPr>
          <w:p w14:paraId="7BC0FD8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2B5509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49EE6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7DF607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EBF8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17F52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CCC61B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对巡游出租汽车经营者违反经营服务管理规定行为的行政处罚</w:t>
            </w:r>
          </w:p>
        </w:tc>
      </w:tr>
      <w:tr w14:paraId="2D69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AD8CD0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FF2312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572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DAD001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4F935E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【法律法规】《巡游出租汽车经营服务管理规定》（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16</w:t>
            </w:r>
            <w:r>
              <w:rPr>
                <w:rFonts w:hint="eastAsia" w:ascii="仿宋_GB2312" w:eastAsia="仿宋_GB2312" w:cs="仿宋_GB2312"/>
                <w:color w:val="000000" w:themeColor="text1"/>
                <w:kern w:val="0"/>
                <w:sz w:val="18"/>
                <w:szCs w:val="18"/>
              </w:rPr>
              <w:t>号）第四十七条巡游出租汽车经营者违反本规定，有下列行为之一的，由县级以上地方人民政府出租汽车行政主管部门责令改正，并处以</w:t>
            </w:r>
            <w:r>
              <w:rPr>
                <w:rFonts w:ascii="仿宋_GB2312" w:eastAsia="仿宋_GB2312" w:cs="仿宋_GB2312"/>
                <w:color w:val="000000" w:themeColor="text1"/>
                <w:kern w:val="0"/>
                <w:sz w:val="18"/>
                <w:szCs w:val="18"/>
              </w:rPr>
              <w:t>5000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罚款。构成犯罪的，依法追究刑事责任：（一）擅自暂停、终止全部或者部分巡游出租汽车经营的；（二）出租或者擅自转让巡游出租汽车车辆经营权的；（三）巡游出租汽车驾驶员转包经营未及时纠正的；（四）不按照规定保证车辆技术状况良好的；（五）不按照规定配置巡游出租汽车相关设备的；（六）不按照规定建立并落实投诉举报制度的。</w:t>
            </w:r>
          </w:p>
          <w:p w14:paraId="272172F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117D9D1A">
            <w:pPr>
              <w:spacing w:line="240" w:lineRule="exact"/>
              <w:rPr>
                <w:rFonts w:ascii="仿宋_GB2312" w:eastAsia="仿宋_GB2312" w:cs="黑体"/>
                <w:b/>
                <w:bCs/>
                <w:color w:val="000000" w:themeColor="text1"/>
                <w:szCs w:val="21"/>
              </w:rPr>
            </w:pPr>
          </w:p>
        </w:tc>
      </w:tr>
      <w:tr w14:paraId="0CDE5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F0303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EE4CF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E2D78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7A6B1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2443DD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57DD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8590000">
            <w:pPr>
              <w:rPr>
                <w:color w:val="000000" w:themeColor="text1"/>
              </w:rPr>
            </w:pPr>
          </w:p>
        </w:tc>
        <w:tc>
          <w:tcPr>
            <w:tcW w:w="1110" w:type="dxa"/>
            <w:vAlign w:val="center"/>
          </w:tcPr>
          <w:p w14:paraId="629B6B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1A671A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7F453C3">
            <w:pPr>
              <w:jc w:val="center"/>
              <w:rPr>
                <w:rFonts w:ascii="仿宋_GB2312" w:hAnsi="黑体" w:eastAsia="仿宋_GB2312" w:cs="黑体"/>
                <w:color w:val="000000" w:themeColor="text1"/>
                <w:sz w:val="18"/>
                <w:szCs w:val="18"/>
              </w:rPr>
            </w:pPr>
          </w:p>
        </w:tc>
        <w:tc>
          <w:tcPr>
            <w:tcW w:w="1406" w:type="dxa"/>
            <w:vAlign w:val="center"/>
          </w:tcPr>
          <w:p w14:paraId="32C013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B0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6B3E019">
            <w:pPr>
              <w:rPr>
                <w:color w:val="000000" w:themeColor="text1"/>
              </w:rPr>
            </w:pPr>
          </w:p>
        </w:tc>
        <w:tc>
          <w:tcPr>
            <w:tcW w:w="1110" w:type="dxa"/>
            <w:vAlign w:val="center"/>
          </w:tcPr>
          <w:p w14:paraId="71E594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EBDA39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DB231C6">
            <w:pPr>
              <w:jc w:val="center"/>
              <w:rPr>
                <w:rFonts w:ascii="仿宋_GB2312" w:hAnsi="黑体" w:eastAsia="仿宋_GB2312" w:cs="黑体"/>
                <w:color w:val="000000" w:themeColor="text1"/>
                <w:sz w:val="18"/>
                <w:szCs w:val="18"/>
              </w:rPr>
            </w:pPr>
          </w:p>
        </w:tc>
        <w:tc>
          <w:tcPr>
            <w:tcW w:w="1406" w:type="dxa"/>
            <w:vAlign w:val="center"/>
          </w:tcPr>
          <w:p w14:paraId="4297F8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DD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4D49CFE">
            <w:pPr>
              <w:rPr>
                <w:color w:val="000000" w:themeColor="text1"/>
              </w:rPr>
            </w:pPr>
          </w:p>
        </w:tc>
        <w:tc>
          <w:tcPr>
            <w:tcW w:w="1110" w:type="dxa"/>
            <w:vAlign w:val="center"/>
          </w:tcPr>
          <w:p w14:paraId="48CC57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8D5A88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3AF4F13">
            <w:pPr>
              <w:jc w:val="center"/>
              <w:rPr>
                <w:rFonts w:ascii="仿宋_GB2312" w:hAnsi="黑体" w:eastAsia="仿宋_GB2312" w:cs="黑体"/>
                <w:color w:val="000000" w:themeColor="text1"/>
                <w:sz w:val="18"/>
                <w:szCs w:val="18"/>
              </w:rPr>
            </w:pPr>
          </w:p>
        </w:tc>
        <w:tc>
          <w:tcPr>
            <w:tcW w:w="1406" w:type="dxa"/>
            <w:vAlign w:val="center"/>
          </w:tcPr>
          <w:p w14:paraId="65CF7BB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34F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F2D87AE">
            <w:pPr>
              <w:rPr>
                <w:color w:val="000000" w:themeColor="text1"/>
              </w:rPr>
            </w:pPr>
          </w:p>
        </w:tc>
        <w:tc>
          <w:tcPr>
            <w:tcW w:w="1110" w:type="dxa"/>
            <w:vAlign w:val="center"/>
          </w:tcPr>
          <w:p w14:paraId="234D71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57EEDD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D8F9F8C">
            <w:pPr>
              <w:jc w:val="center"/>
              <w:rPr>
                <w:rFonts w:ascii="仿宋_GB2312" w:hAnsi="黑体" w:eastAsia="仿宋_GB2312" w:cs="黑体"/>
                <w:color w:val="000000" w:themeColor="text1"/>
                <w:sz w:val="18"/>
                <w:szCs w:val="18"/>
              </w:rPr>
            </w:pPr>
          </w:p>
        </w:tc>
        <w:tc>
          <w:tcPr>
            <w:tcW w:w="1406" w:type="dxa"/>
            <w:vAlign w:val="center"/>
          </w:tcPr>
          <w:p w14:paraId="258E57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48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A23213D">
            <w:pPr>
              <w:rPr>
                <w:color w:val="000000" w:themeColor="text1"/>
              </w:rPr>
            </w:pPr>
          </w:p>
        </w:tc>
        <w:tc>
          <w:tcPr>
            <w:tcW w:w="1110" w:type="dxa"/>
            <w:vAlign w:val="center"/>
          </w:tcPr>
          <w:p w14:paraId="786C0C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5E0A55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34728E">
            <w:pPr>
              <w:jc w:val="center"/>
              <w:rPr>
                <w:rFonts w:ascii="仿宋_GB2312" w:hAnsi="黑体" w:eastAsia="仿宋_GB2312" w:cs="黑体"/>
                <w:color w:val="000000" w:themeColor="text1"/>
                <w:sz w:val="18"/>
                <w:szCs w:val="18"/>
              </w:rPr>
            </w:pPr>
          </w:p>
        </w:tc>
        <w:tc>
          <w:tcPr>
            <w:tcW w:w="1406" w:type="dxa"/>
            <w:vAlign w:val="center"/>
          </w:tcPr>
          <w:p w14:paraId="74D020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668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ACD436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91E5D1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E2A9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BD0FC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0047DC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D28D3B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BB41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32204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E2464F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7E8233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9843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068204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0294C82">
            <w:pPr>
              <w:widowControl/>
              <w:jc w:val="left"/>
              <w:textAlignment w:val="center"/>
              <w:rPr>
                <w:rFonts w:ascii="黑体" w:eastAsia="黑体" w:cs="黑体"/>
                <w:color w:val="000000" w:themeColor="text1"/>
                <w:kern w:val="0"/>
                <w:sz w:val="18"/>
                <w:szCs w:val="18"/>
              </w:rPr>
            </w:pPr>
          </w:p>
        </w:tc>
      </w:tr>
    </w:tbl>
    <w:p w14:paraId="3EB46F63">
      <w:pPr>
        <w:rPr>
          <w:color w:val="000000" w:themeColor="text1"/>
          <w:sz w:val="24"/>
        </w:rPr>
      </w:pPr>
    </w:p>
    <w:p w14:paraId="0D5D9A0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FDC7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1DC11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33406CC">
            <w:pPr>
              <w:jc w:val="center"/>
              <w:rPr>
                <w:rFonts w:ascii="黑体" w:eastAsia="黑体" w:cs="黑体"/>
                <w:b/>
                <w:bCs/>
                <w:color w:val="000000" w:themeColor="text1"/>
                <w:szCs w:val="21"/>
              </w:rPr>
            </w:pPr>
            <w:r>
              <w:rPr>
                <w:rFonts w:ascii="黑体" w:eastAsia="黑体" w:cs="黑体"/>
                <w:b/>
                <w:bCs/>
                <w:color w:val="000000" w:themeColor="text1"/>
                <w:szCs w:val="21"/>
              </w:rPr>
              <w:t>68</w:t>
            </w:r>
          </w:p>
        </w:tc>
        <w:tc>
          <w:tcPr>
            <w:tcW w:w="1691" w:type="dxa"/>
            <w:vAlign w:val="center"/>
          </w:tcPr>
          <w:p w14:paraId="16C7299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874AB4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C728D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5E6732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07CE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8B904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753540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对巡游出租汽车驾驶员违反经营服务管理规定行为的行政处罚</w:t>
            </w:r>
          </w:p>
        </w:tc>
      </w:tr>
      <w:tr w14:paraId="474E5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4F9FC3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A117B8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740D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92053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EE7D00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【法律法规】《巡游出租汽车经营服务管理规定》（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16</w:t>
            </w:r>
            <w:r>
              <w:rPr>
                <w:rFonts w:hint="eastAsia" w:ascii="仿宋_GB2312" w:eastAsia="仿宋_GB2312" w:cs="仿宋_GB2312"/>
                <w:color w:val="000000" w:themeColor="text1"/>
                <w:kern w:val="0"/>
                <w:sz w:val="18"/>
                <w:szCs w:val="18"/>
              </w:rPr>
              <w:t>号）第四十八条巡游出租汽车驾驶员违反本规定，有下列情形之一的，由县级以上地方人民政府出租汽车行政主管部门责令改正，并处以</w:t>
            </w:r>
            <w:r>
              <w:rPr>
                <w:rFonts w:ascii="仿宋_GB2312" w:eastAsia="仿宋_GB2312" w:cs="仿宋_GB2312"/>
                <w:color w:val="000000" w:themeColor="text1"/>
                <w:kern w:val="0"/>
                <w:sz w:val="18"/>
                <w:szCs w:val="18"/>
              </w:rPr>
              <w:t>200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w:t>
            </w:r>
            <w:r>
              <w:rPr>
                <w:rFonts w:hint="eastAsia" w:ascii="仿宋_GB2312" w:eastAsia="仿宋_GB2312" w:cs="仿宋_GB2312"/>
                <w:color w:val="000000" w:themeColor="text1"/>
                <w:kern w:val="0"/>
                <w:sz w:val="18"/>
                <w:szCs w:val="18"/>
              </w:rPr>
              <w:t>元以下罚款：（一）拒载、议价、途中甩客或者故意绕道行驶的；（二）未经乘客同意搭载其他乘客的；（三）不按照规定使用计程计价设备、违规收费的；（四）不按照规定出具相应车费票据的；（五）不按照规定使用巡游出租汽车相关设备的；（六）接受巡游出租汽车电召任务后未履行约定的；（七）不按照规定使用文明用语，车容车貌不符合要求的；（八）在机场、火车站、汽车客运站、港口、公共交通枢纽等客流集散地不服从调度私自揽客的；（九）转让、倒卖、伪造巡游出租汽车相关票据的。</w:t>
            </w:r>
          </w:p>
          <w:p w14:paraId="335E3A3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FEC7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9C4D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1BE10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1C0A2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3BEA5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2E87F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F771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36D9FF0">
            <w:pPr>
              <w:rPr>
                <w:color w:val="000000" w:themeColor="text1"/>
              </w:rPr>
            </w:pPr>
          </w:p>
        </w:tc>
        <w:tc>
          <w:tcPr>
            <w:tcW w:w="1110" w:type="dxa"/>
            <w:vAlign w:val="center"/>
          </w:tcPr>
          <w:p w14:paraId="52E2303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E53019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A3F1D6E">
            <w:pPr>
              <w:jc w:val="center"/>
              <w:rPr>
                <w:rFonts w:ascii="仿宋_GB2312" w:hAnsi="黑体" w:eastAsia="仿宋_GB2312" w:cs="黑体"/>
                <w:color w:val="000000" w:themeColor="text1"/>
                <w:sz w:val="18"/>
                <w:szCs w:val="18"/>
              </w:rPr>
            </w:pPr>
          </w:p>
        </w:tc>
        <w:tc>
          <w:tcPr>
            <w:tcW w:w="1406" w:type="dxa"/>
            <w:vAlign w:val="center"/>
          </w:tcPr>
          <w:p w14:paraId="013E53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A01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D18DF19">
            <w:pPr>
              <w:rPr>
                <w:color w:val="000000" w:themeColor="text1"/>
              </w:rPr>
            </w:pPr>
          </w:p>
        </w:tc>
        <w:tc>
          <w:tcPr>
            <w:tcW w:w="1110" w:type="dxa"/>
            <w:vAlign w:val="center"/>
          </w:tcPr>
          <w:p w14:paraId="264F40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6C5FC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94E51CE">
            <w:pPr>
              <w:jc w:val="center"/>
              <w:rPr>
                <w:rFonts w:ascii="仿宋_GB2312" w:hAnsi="黑体" w:eastAsia="仿宋_GB2312" w:cs="黑体"/>
                <w:color w:val="000000" w:themeColor="text1"/>
                <w:sz w:val="18"/>
                <w:szCs w:val="18"/>
              </w:rPr>
            </w:pPr>
          </w:p>
        </w:tc>
        <w:tc>
          <w:tcPr>
            <w:tcW w:w="1406" w:type="dxa"/>
            <w:vAlign w:val="center"/>
          </w:tcPr>
          <w:p w14:paraId="7B066A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D1C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FA47435">
            <w:pPr>
              <w:rPr>
                <w:color w:val="000000" w:themeColor="text1"/>
              </w:rPr>
            </w:pPr>
          </w:p>
        </w:tc>
        <w:tc>
          <w:tcPr>
            <w:tcW w:w="1110" w:type="dxa"/>
            <w:vAlign w:val="center"/>
          </w:tcPr>
          <w:p w14:paraId="72F5F79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3F5C2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1610BB7">
            <w:pPr>
              <w:jc w:val="center"/>
              <w:rPr>
                <w:rFonts w:ascii="仿宋_GB2312" w:hAnsi="黑体" w:eastAsia="仿宋_GB2312" w:cs="黑体"/>
                <w:color w:val="000000" w:themeColor="text1"/>
                <w:sz w:val="18"/>
                <w:szCs w:val="18"/>
              </w:rPr>
            </w:pPr>
          </w:p>
        </w:tc>
        <w:tc>
          <w:tcPr>
            <w:tcW w:w="1406" w:type="dxa"/>
            <w:vAlign w:val="center"/>
          </w:tcPr>
          <w:p w14:paraId="7556B23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01C7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3D0B7B9">
            <w:pPr>
              <w:rPr>
                <w:color w:val="000000" w:themeColor="text1"/>
              </w:rPr>
            </w:pPr>
          </w:p>
        </w:tc>
        <w:tc>
          <w:tcPr>
            <w:tcW w:w="1110" w:type="dxa"/>
            <w:vAlign w:val="center"/>
          </w:tcPr>
          <w:p w14:paraId="28A3D7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AB075E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AC3F029">
            <w:pPr>
              <w:jc w:val="center"/>
              <w:rPr>
                <w:rFonts w:ascii="仿宋_GB2312" w:hAnsi="黑体" w:eastAsia="仿宋_GB2312" w:cs="黑体"/>
                <w:color w:val="000000" w:themeColor="text1"/>
                <w:sz w:val="18"/>
                <w:szCs w:val="18"/>
              </w:rPr>
            </w:pPr>
          </w:p>
        </w:tc>
        <w:tc>
          <w:tcPr>
            <w:tcW w:w="1406" w:type="dxa"/>
            <w:vAlign w:val="center"/>
          </w:tcPr>
          <w:p w14:paraId="2715ABD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CBC2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7815972">
            <w:pPr>
              <w:rPr>
                <w:color w:val="000000" w:themeColor="text1"/>
              </w:rPr>
            </w:pPr>
          </w:p>
        </w:tc>
        <w:tc>
          <w:tcPr>
            <w:tcW w:w="1110" w:type="dxa"/>
            <w:vAlign w:val="center"/>
          </w:tcPr>
          <w:p w14:paraId="1066D7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47B944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5BF5BF9">
            <w:pPr>
              <w:jc w:val="center"/>
              <w:rPr>
                <w:rFonts w:ascii="仿宋_GB2312" w:hAnsi="黑体" w:eastAsia="仿宋_GB2312" w:cs="黑体"/>
                <w:color w:val="000000" w:themeColor="text1"/>
                <w:sz w:val="18"/>
                <w:szCs w:val="18"/>
              </w:rPr>
            </w:pPr>
          </w:p>
        </w:tc>
        <w:tc>
          <w:tcPr>
            <w:tcW w:w="1406" w:type="dxa"/>
            <w:vAlign w:val="center"/>
          </w:tcPr>
          <w:p w14:paraId="0B3155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79C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980627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DE9B12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64F5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848D6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F740FB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9BB243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9607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77596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481271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1CF218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E2BB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0B9839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422F698">
            <w:pPr>
              <w:widowControl/>
              <w:jc w:val="left"/>
              <w:textAlignment w:val="center"/>
              <w:rPr>
                <w:rFonts w:ascii="黑体" w:eastAsia="黑体" w:cs="黑体"/>
                <w:color w:val="000000" w:themeColor="text1"/>
                <w:kern w:val="0"/>
                <w:sz w:val="18"/>
                <w:szCs w:val="18"/>
              </w:rPr>
            </w:pPr>
          </w:p>
        </w:tc>
      </w:tr>
    </w:tbl>
    <w:p w14:paraId="67DAF748">
      <w:pPr>
        <w:rPr>
          <w:color w:val="000000" w:themeColor="text1"/>
          <w:sz w:val="24"/>
        </w:rPr>
      </w:pPr>
    </w:p>
    <w:p w14:paraId="5AC696B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2791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C3B76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5BE76F3">
            <w:pPr>
              <w:jc w:val="center"/>
              <w:rPr>
                <w:rFonts w:ascii="黑体" w:eastAsia="黑体" w:cs="黑体"/>
                <w:b/>
                <w:bCs/>
                <w:color w:val="000000" w:themeColor="text1"/>
                <w:szCs w:val="21"/>
              </w:rPr>
            </w:pPr>
            <w:r>
              <w:rPr>
                <w:rFonts w:ascii="黑体" w:eastAsia="黑体" w:cs="黑体"/>
                <w:b/>
                <w:bCs/>
                <w:color w:val="000000" w:themeColor="text1"/>
                <w:szCs w:val="21"/>
              </w:rPr>
              <w:t>69</w:t>
            </w:r>
          </w:p>
        </w:tc>
        <w:tc>
          <w:tcPr>
            <w:tcW w:w="1691" w:type="dxa"/>
            <w:vAlign w:val="center"/>
          </w:tcPr>
          <w:p w14:paraId="3D0E812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AC9412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6B226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71BC4D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D8E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AD015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8B1D63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对出租汽车客运经营者在巡游车车窗上贴有色膜、使用有色玻璃或者巡游车拒绝载客、网约车巡游揽客和出租、出借、转让、涂改道路运输许可证件以及巡游车服务监督卡的行政处罚</w:t>
            </w:r>
          </w:p>
        </w:tc>
      </w:tr>
      <w:tr w14:paraId="52CD9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E3DDD9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3D938A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1FE7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CE9CB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97CDA3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第六十五条　违反本条例规定，出租汽车客运经营者在巡游车车窗上贴有色膜、使用有色玻璃或者巡游车拒绝载客、网约车巡游揽客的，由县级以上道路运输管理机构责令限期改正，处五百元以上二千元以下的罚款；出租、出借、转让、涂改道路运输许可证件以及巡游车服务监督卡的，由县级以上道路运输管理机构责令限期改正，处二千元以上五千元以下的罚款。</w:t>
            </w:r>
          </w:p>
          <w:p w14:paraId="11EB6BD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08A5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F9338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BBF67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03C6E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A3563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ACF129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A93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6D959E6">
            <w:pPr>
              <w:rPr>
                <w:color w:val="000000" w:themeColor="text1"/>
              </w:rPr>
            </w:pPr>
          </w:p>
        </w:tc>
        <w:tc>
          <w:tcPr>
            <w:tcW w:w="1110" w:type="dxa"/>
            <w:vAlign w:val="center"/>
          </w:tcPr>
          <w:p w14:paraId="422C19B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D4D36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DA8E509">
            <w:pPr>
              <w:jc w:val="center"/>
              <w:rPr>
                <w:rFonts w:ascii="仿宋_GB2312" w:hAnsi="黑体" w:eastAsia="仿宋_GB2312" w:cs="黑体"/>
                <w:color w:val="000000" w:themeColor="text1"/>
                <w:sz w:val="18"/>
                <w:szCs w:val="18"/>
              </w:rPr>
            </w:pPr>
          </w:p>
        </w:tc>
        <w:tc>
          <w:tcPr>
            <w:tcW w:w="1406" w:type="dxa"/>
            <w:vAlign w:val="center"/>
          </w:tcPr>
          <w:p w14:paraId="698197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0F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D9195BF">
            <w:pPr>
              <w:rPr>
                <w:color w:val="000000" w:themeColor="text1"/>
              </w:rPr>
            </w:pPr>
          </w:p>
        </w:tc>
        <w:tc>
          <w:tcPr>
            <w:tcW w:w="1110" w:type="dxa"/>
            <w:vAlign w:val="center"/>
          </w:tcPr>
          <w:p w14:paraId="105E6D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8FED25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C9E499D">
            <w:pPr>
              <w:jc w:val="center"/>
              <w:rPr>
                <w:rFonts w:ascii="仿宋_GB2312" w:hAnsi="黑体" w:eastAsia="仿宋_GB2312" w:cs="黑体"/>
                <w:color w:val="000000" w:themeColor="text1"/>
                <w:sz w:val="18"/>
                <w:szCs w:val="18"/>
              </w:rPr>
            </w:pPr>
          </w:p>
        </w:tc>
        <w:tc>
          <w:tcPr>
            <w:tcW w:w="1406" w:type="dxa"/>
            <w:vAlign w:val="center"/>
          </w:tcPr>
          <w:p w14:paraId="7F9C7A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50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AEC4DB5">
            <w:pPr>
              <w:rPr>
                <w:color w:val="000000" w:themeColor="text1"/>
              </w:rPr>
            </w:pPr>
          </w:p>
        </w:tc>
        <w:tc>
          <w:tcPr>
            <w:tcW w:w="1110" w:type="dxa"/>
            <w:vAlign w:val="center"/>
          </w:tcPr>
          <w:p w14:paraId="477B23C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C60116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45B7C4D">
            <w:pPr>
              <w:jc w:val="center"/>
              <w:rPr>
                <w:rFonts w:ascii="仿宋_GB2312" w:hAnsi="黑体" w:eastAsia="仿宋_GB2312" w:cs="黑体"/>
                <w:color w:val="000000" w:themeColor="text1"/>
                <w:sz w:val="18"/>
                <w:szCs w:val="18"/>
              </w:rPr>
            </w:pPr>
          </w:p>
        </w:tc>
        <w:tc>
          <w:tcPr>
            <w:tcW w:w="1406" w:type="dxa"/>
            <w:vAlign w:val="center"/>
          </w:tcPr>
          <w:p w14:paraId="2B1EE3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302A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A30BD0B">
            <w:pPr>
              <w:rPr>
                <w:color w:val="000000" w:themeColor="text1"/>
              </w:rPr>
            </w:pPr>
          </w:p>
        </w:tc>
        <w:tc>
          <w:tcPr>
            <w:tcW w:w="1110" w:type="dxa"/>
            <w:vAlign w:val="center"/>
          </w:tcPr>
          <w:p w14:paraId="0285A5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0B77E3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7559FEC">
            <w:pPr>
              <w:jc w:val="center"/>
              <w:rPr>
                <w:rFonts w:ascii="仿宋_GB2312" w:hAnsi="黑体" w:eastAsia="仿宋_GB2312" w:cs="黑体"/>
                <w:color w:val="000000" w:themeColor="text1"/>
                <w:sz w:val="18"/>
                <w:szCs w:val="18"/>
              </w:rPr>
            </w:pPr>
          </w:p>
        </w:tc>
        <w:tc>
          <w:tcPr>
            <w:tcW w:w="1406" w:type="dxa"/>
            <w:vAlign w:val="center"/>
          </w:tcPr>
          <w:p w14:paraId="24DF2A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DB9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86A346F">
            <w:pPr>
              <w:rPr>
                <w:color w:val="000000" w:themeColor="text1"/>
              </w:rPr>
            </w:pPr>
          </w:p>
        </w:tc>
        <w:tc>
          <w:tcPr>
            <w:tcW w:w="1110" w:type="dxa"/>
            <w:vAlign w:val="center"/>
          </w:tcPr>
          <w:p w14:paraId="79D36F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C4CA6A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B9F0D5C">
            <w:pPr>
              <w:jc w:val="center"/>
              <w:rPr>
                <w:rFonts w:ascii="仿宋_GB2312" w:hAnsi="黑体" w:eastAsia="仿宋_GB2312" w:cs="黑体"/>
                <w:color w:val="000000" w:themeColor="text1"/>
                <w:sz w:val="18"/>
                <w:szCs w:val="18"/>
              </w:rPr>
            </w:pPr>
          </w:p>
        </w:tc>
        <w:tc>
          <w:tcPr>
            <w:tcW w:w="1406" w:type="dxa"/>
            <w:vAlign w:val="center"/>
          </w:tcPr>
          <w:p w14:paraId="1AC8B0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98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11B3CD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88D2722">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818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A3805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6A23B8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AF56C7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2EAE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2A4C9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F7FA56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BB9DE2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046D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Align w:val="center"/>
          </w:tcPr>
          <w:p w14:paraId="51BEF7C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6DD9940">
            <w:pPr>
              <w:widowControl/>
              <w:jc w:val="left"/>
              <w:textAlignment w:val="center"/>
              <w:rPr>
                <w:rFonts w:ascii="黑体" w:eastAsia="黑体" w:cs="黑体"/>
                <w:color w:val="000000" w:themeColor="text1"/>
                <w:kern w:val="0"/>
                <w:sz w:val="18"/>
                <w:szCs w:val="18"/>
              </w:rPr>
            </w:pPr>
          </w:p>
        </w:tc>
      </w:tr>
    </w:tbl>
    <w:p w14:paraId="62404ABC">
      <w:pPr>
        <w:rPr>
          <w:color w:val="000000" w:themeColor="text1"/>
          <w:sz w:val="24"/>
        </w:rPr>
      </w:pPr>
    </w:p>
    <w:p w14:paraId="2A1FB2D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18D0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0A914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01A63DF">
            <w:pPr>
              <w:jc w:val="center"/>
              <w:rPr>
                <w:rFonts w:ascii="黑体" w:eastAsia="黑体" w:cs="黑体"/>
                <w:b/>
                <w:bCs/>
                <w:color w:val="000000" w:themeColor="text1"/>
                <w:szCs w:val="21"/>
              </w:rPr>
            </w:pPr>
            <w:r>
              <w:rPr>
                <w:rFonts w:ascii="黑体" w:eastAsia="黑体" w:cs="黑体"/>
                <w:b/>
                <w:bCs/>
                <w:color w:val="000000" w:themeColor="text1"/>
                <w:szCs w:val="21"/>
              </w:rPr>
              <w:t>70</w:t>
            </w:r>
          </w:p>
        </w:tc>
        <w:tc>
          <w:tcPr>
            <w:tcW w:w="1691" w:type="dxa"/>
            <w:vAlign w:val="center"/>
          </w:tcPr>
          <w:p w14:paraId="62F353A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F33739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6C4FD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650138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D11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C4F66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B6650E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对擅自从事或者变相从事网约车经营活动等行为的行政处罚</w:t>
            </w:r>
          </w:p>
        </w:tc>
      </w:tr>
      <w:tr w14:paraId="2724F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5C27B4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346018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B37E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659F0F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180C78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bookmarkStart w:id="9" w:name="OLE_LINK14"/>
            <w:bookmarkStart w:id="10" w:name="OLE_LINK13"/>
            <w:r>
              <w:rPr>
                <w:rFonts w:hint="eastAsia" w:ascii="仿宋" w:hAnsi="仿宋" w:eastAsia="仿宋" w:cs="仿宋_GB2312"/>
                <w:color w:val="000000" w:themeColor="text1"/>
                <w:kern w:val="0"/>
                <w:sz w:val="18"/>
                <w:szCs w:val="18"/>
              </w:rPr>
              <w:t>网络预约出租汽车经营服务管理暂行办法</w:t>
            </w:r>
            <w:bookmarkEnd w:id="9"/>
            <w:bookmarkEnd w:id="10"/>
            <w:r>
              <w:rPr>
                <w:rFonts w:hint="eastAsia" w:ascii="仿宋" w:hAnsi="仿宋" w:eastAsia="仿宋"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2022</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42</w:t>
            </w:r>
            <w:r>
              <w:rPr>
                <w:rFonts w:hint="eastAsia" w:ascii="仿宋" w:hAnsi="仿宋" w:eastAsia="仿宋" w:cs="仿宋_GB2312"/>
                <w:color w:val="000000" w:themeColor="text1"/>
                <w:kern w:val="0"/>
                <w:sz w:val="18"/>
                <w:szCs w:val="18"/>
              </w:rPr>
              <w:t>号）</w:t>
            </w:r>
            <w:r>
              <w:rPr>
                <w:rFonts w:hint="eastAsia" w:ascii="仿宋" w:hAnsi="仿宋" w:eastAsia="仿宋"/>
                <w:b/>
                <w:bCs/>
                <w:color w:val="000000" w:themeColor="text1"/>
                <w:sz w:val="18"/>
                <w:szCs w:val="18"/>
              </w:rPr>
              <w:t>第三十四条</w:t>
            </w:r>
            <w:r>
              <w:rPr>
                <w:rFonts w:hint="eastAsia" w:ascii="仿宋" w:hAnsi="仿宋" w:eastAsia="仿宋"/>
                <w:color w:val="000000" w:themeColor="text1"/>
                <w:sz w:val="18"/>
                <w:szCs w:val="18"/>
              </w:rPr>
              <w:t>　违反本规定，擅自从事或者变相从事网约车经营活动，有下列行为之一的，由县级以上出租汽车行政主管部门责令改正，予以警告，并按照以下规定分别予以罚款；构成犯罪的，依法追究刑事责任：（一）未取得《网络预约出租汽车经营许可证》的，对网约车平台公司处以</w:t>
            </w:r>
            <w:r>
              <w:rPr>
                <w:rFonts w:ascii="仿宋" w:hAnsi="仿宋" w:eastAsia="仿宋"/>
                <w:color w:val="000000" w:themeColor="text1"/>
                <w:sz w:val="18"/>
                <w:szCs w:val="18"/>
              </w:rPr>
              <w:t>10000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30000</w:t>
            </w:r>
            <w:r>
              <w:rPr>
                <w:rFonts w:hint="eastAsia" w:ascii="仿宋" w:hAnsi="仿宋" w:eastAsia="仿宋"/>
                <w:color w:val="000000" w:themeColor="text1"/>
                <w:sz w:val="18"/>
                <w:szCs w:val="18"/>
              </w:rPr>
              <w:t>元以下罚款；（二）未取得《网络预约出租汽车运输证》的，对当事人处以</w:t>
            </w:r>
            <w:r>
              <w:rPr>
                <w:rFonts w:ascii="仿宋" w:hAnsi="仿宋" w:eastAsia="仿宋"/>
                <w:color w:val="000000" w:themeColor="text1"/>
                <w:sz w:val="18"/>
                <w:szCs w:val="18"/>
              </w:rPr>
              <w:t>3000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10000</w:t>
            </w:r>
            <w:r>
              <w:rPr>
                <w:rFonts w:hint="eastAsia" w:ascii="仿宋" w:hAnsi="仿宋" w:eastAsia="仿宋"/>
                <w:color w:val="000000" w:themeColor="text1"/>
                <w:sz w:val="18"/>
                <w:szCs w:val="18"/>
              </w:rPr>
              <w:t>元以下罚款；（三）未取得《网络预约出租汽车驾驶员证》的，对当事人处以</w:t>
            </w:r>
            <w:r>
              <w:rPr>
                <w:rFonts w:ascii="仿宋" w:hAnsi="仿宋" w:eastAsia="仿宋"/>
                <w:color w:val="000000" w:themeColor="text1"/>
                <w:sz w:val="18"/>
                <w:szCs w:val="18"/>
              </w:rPr>
              <w:t>200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2000</w:t>
            </w:r>
            <w:r>
              <w:rPr>
                <w:rFonts w:hint="eastAsia" w:ascii="仿宋" w:hAnsi="仿宋" w:eastAsia="仿宋"/>
                <w:color w:val="000000" w:themeColor="text1"/>
                <w:sz w:val="18"/>
                <w:szCs w:val="18"/>
              </w:rPr>
              <w:t>元以下罚款。伪造、变造或者使用伪造、变造、失效的《网络预约出租汽车运输证》、《网络预约出租汽车驾驶员证》从事网约车经营活动的，分别按照前款第（二）项、第（三）项的规定予以罚款。</w:t>
            </w:r>
          </w:p>
          <w:p w14:paraId="1DEDA0E8">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44C7D51F">
            <w:pPr>
              <w:spacing w:line="240" w:lineRule="exact"/>
              <w:rPr>
                <w:rFonts w:ascii="仿宋_GB2312" w:eastAsia="仿宋_GB2312" w:cs="黑体"/>
                <w:b/>
                <w:bCs/>
                <w:color w:val="000000" w:themeColor="text1"/>
                <w:szCs w:val="21"/>
              </w:rPr>
            </w:pPr>
          </w:p>
        </w:tc>
      </w:tr>
      <w:tr w14:paraId="02A5F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26FE4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F84D5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8A56B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7283C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DADA57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96BA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B23B1EF">
            <w:pPr>
              <w:rPr>
                <w:color w:val="000000" w:themeColor="text1"/>
              </w:rPr>
            </w:pPr>
          </w:p>
        </w:tc>
        <w:tc>
          <w:tcPr>
            <w:tcW w:w="1110" w:type="dxa"/>
            <w:vAlign w:val="center"/>
          </w:tcPr>
          <w:p w14:paraId="4858DB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97CC2B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63B7356">
            <w:pPr>
              <w:jc w:val="center"/>
              <w:rPr>
                <w:rFonts w:ascii="仿宋_GB2312" w:hAnsi="黑体" w:eastAsia="仿宋_GB2312" w:cs="黑体"/>
                <w:color w:val="000000" w:themeColor="text1"/>
                <w:sz w:val="18"/>
                <w:szCs w:val="18"/>
              </w:rPr>
            </w:pPr>
          </w:p>
        </w:tc>
        <w:tc>
          <w:tcPr>
            <w:tcW w:w="1406" w:type="dxa"/>
            <w:vAlign w:val="center"/>
          </w:tcPr>
          <w:p w14:paraId="3A1D3E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FBE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1F6750A">
            <w:pPr>
              <w:rPr>
                <w:color w:val="000000" w:themeColor="text1"/>
              </w:rPr>
            </w:pPr>
          </w:p>
        </w:tc>
        <w:tc>
          <w:tcPr>
            <w:tcW w:w="1110" w:type="dxa"/>
            <w:vAlign w:val="center"/>
          </w:tcPr>
          <w:p w14:paraId="4C7DA9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15008B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B95D10B">
            <w:pPr>
              <w:jc w:val="center"/>
              <w:rPr>
                <w:rFonts w:ascii="仿宋_GB2312" w:hAnsi="黑体" w:eastAsia="仿宋_GB2312" w:cs="黑体"/>
                <w:color w:val="000000" w:themeColor="text1"/>
                <w:sz w:val="18"/>
                <w:szCs w:val="18"/>
              </w:rPr>
            </w:pPr>
          </w:p>
        </w:tc>
        <w:tc>
          <w:tcPr>
            <w:tcW w:w="1406" w:type="dxa"/>
            <w:vAlign w:val="center"/>
          </w:tcPr>
          <w:p w14:paraId="56DC3F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EB10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2172BF1">
            <w:pPr>
              <w:rPr>
                <w:color w:val="000000" w:themeColor="text1"/>
              </w:rPr>
            </w:pPr>
          </w:p>
        </w:tc>
        <w:tc>
          <w:tcPr>
            <w:tcW w:w="1110" w:type="dxa"/>
            <w:vAlign w:val="center"/>
          </w:tcPr>
          <w:p w14:paraId="10B2B3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A2D7C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0A8D9E3">
            <w:pPr>
              <w:jc w:val="center"/>
              <w:rPr>
                <w:rFonts w:ascii="仿宋_GB2312" w:hAnsi="黑体" w:eastAsia="仿宋_GB2312" w:cs="黑体"/>
                <w:color w:val="000000" w:themeColor="text1"/>
                <w:sz w:val="18"/>
                <w:szCs w:val="18"/>
              </w:rPr>
            </w:pPr>
          </w:p>
        </w:tc>
        <w:tc>
          <w:tcPr>
            <w:tcW w:w="1406" w:type="dxa"/>
            <w:vAlign w:val="center"/>
          </w:tcPr>
          <w:p w14:paraId="0A6C82E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2AA3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8EAA00E">
            <w:pPr>
              <w:rPr>
                <w:color w:val="000000" w:themeColor="text1"/>
              </w:rPr>
            </w:pPr>
          </w:p>
        </w:tc>
        <w:tc>
          <w:tcPr>
            <w:tcW w:w="1110" w:type="dxa"/>
            <w:vAlign w:val="center"/>
          </w:tcPr>
          <w:p w14:paraId="4530B8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7A2AE3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360AEA9">
            <w:pPr>
              <w:jc w:val="center"/>
              <w:rPr>
                <w:rFonts w:ascii="仿宋_GB2312" w:hAnsi="黑体" w:eastAsia="仿宋_GB2312" w:cs="黑体"/>
                <w:color w:val="000000" w:themeColor="text1"/>
                <w:sz w:val="18"/>
                <w:szCs w:val="18"/>
              </w:rPr>
            </w:pPr>
          </w:p>
        </w:tc>
        <w:tc>
          <w:tcPr>
            <w:tcW w:w="1406" w:type="dxa"/>
            <w:vAlign w:val="center"/>
          </w:tcPr>
          <w:p w14:paraId="0DDA5F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A0AF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16D27EB2">
            <w:pPr>
              <w:rPr>
                <w:color w:val="000000" w:themeColor="text1"/>
              </w:rPr>
            </w:pPr>
          </w:p>
        </w:tc>
        <w:tc>
          <w:tcPr>
            <w:tcW w:w="1110" w:type="dxa"/>
            <w:vAlign w:val="center"/>
          </w:tcPr>
          <w:p w14:paraId="5FC287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D754E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3CA100A">
            <w:pPr>
              <w:jc w:val="center"/>
              <w:rPr>
                <w:rFonts w:ascii="仿宋_GB2312" w:hAnsi="黑体" w:eastAsia="仿宋_GB2312" w:cs="黑体"/>
                <w:color w:val="000000" w:themeColor="text1"/>
                <w:sz w:val="18"/>
                <w:szCs w:val="18"/>
              </w:rPr>
            </w:pPr>
          </w:p>
        </w:tc>
        <w:tc>
          <w:tcPr>
            <w:tcW w:w="1406" w:type="dxa"/>
            <w:vAlign w:val="center"/>
          </w:tcPr>
          <w:p w14:paraId="4143A4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BD4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E65E3E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21461F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059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7754F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C49777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BD002C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4BAC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968DC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8D3BD8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BBCC60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83E4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05305D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DBBB794">
            <w:pPr>
              <w:widowControl/>
              <w:jc w:val="left"/>
              <w:textAlignment w:val="center"/>
              <w:rPr>
                <w:rFonts w:ascii="黑体" w:eastAsia="黑体" w:cs="黑体"/>
                <w:color w:val="000000" w:themeColor="text1"/>
                <w:kern w:val="0"/>
                <w:sz w:val="18"/>
                <w:szCs w:val="18"/>
              </w:rPr>
            </w:pPr>
          </w:p>
        </w:tc>
      </w:tr>
    </w:tbl>
    <w:p w14:paraId="35EF437C">
      <w:pPr>
        <w:rPr>
          <w:color w:val="000000" w:themeColor="text1"/>
          <w:sz w:val="24"/>
        </w:rPr>
      </w:pPr>
    </w:p>
    <w:p w14:paraId="5557E276">
      <w:pPr>
        <w:pStyle w:val="8"/>
        <w:snapToGrid w:val="0"/>
        <w:spacing w:before="0" w:beforeAutospacing="0" w:after="0" w:afterAutospacing="0" w:line="240" w:lineRule="atLeast"/>
        <w:jc w:val="both"/>
        <w:rPr>
          <w:color w:val="000000" w:themeColor="text1"/>
          <w:sz w:val="11"/>
          <w:szCs w:val="11"/>
        </w:rPr>
      </w:pPr>
    </w:p>
    <w:p w14:paraId="0F855D8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683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1F39F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1E027B0">
            <w:pPr>
              <w:jc w:val="center"/>
              <w:rPr>
                <w:rFonts w:ascii="黑体" w:eastAsia="黑体" w:cs="黑体"/>
                <w:b/>
                <w:bCs/>
                <w:color w:val="000000" w:themeColor="text1"/>
                <w:szCs w:val="21"/>
              </w:rPr>
            </w:pPr>
            <w:r>
              <w:rPr>
                <w:rFonts w:ascii="黑体" w:eastAsia="黑体" w:cs="黑体"/>
                <w:b/>
                <w:bCs/>
                <w:color w:val="000000" w:themeColor="text1"/>
                <w:szCs w:val="21"/>
              </w:rPr>
              <w:t>71</w:t>
            </w:r>
          </w:p>
        </w:tc>
        <w:tc>
          <w:tcPr>
            <w:tcW w:w="1691" w:type="dxa"/>
            <w:vAlign w:val="center"/>
          </w:tcPr>
          <w:p w14:paraId="604F67A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E3B8AD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732E6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95F2BD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097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54F34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9CE9B5E">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对网约车平台公司违反网约车经营服务管理规定行为的行政处罚</w:t>
            </w:r>
          </w:p>
        </w:tc>
      </w:tr>
      <w:tr w14:paraId="68104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4B5966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117B2F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7319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207A5E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4CA0910">
            <w:pPr>
              <w:snapToGrid w:val="0"/>
              <w:spacing w:line="240" w:lineRule="atLeast"/>
              <w:jc w:val="lef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【法律法规】《网络预约出租汽车经营服务管理暂行办法》（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42</w:t>
            </w:r>
            <w:r>
              <w:rPr>
                <w:rFonts w:hint="eastAsia" w:ascii="仿宋_GB2312" w:eastAsia="仿宋_GB2312" w:cs="仿宋_GB2312"/>
                <w:color w:val="000000" w:themeColor="text1"/>
                <w:kern w:val="0"/>
                <w:sz w:val="18"/>
                <w:szCs w:val="18"/>
              </w:rPr>
              <w:t>号）</w:t>
            </w:r>
          </w:p>
          <w:p w14:paraId="59DA21A5">
            <w:pPr>
              <w:pStyle w:val="8"/>
              <w:shd w:val="clear" w:color="auto" w:fill="FFFFFF"/>
              <w:snapToGrid w:val="0"/>
              <w:spacing w:before="0" w:beforeAutospacing="0" w:after="0" w:afterAutospacing="0" w:line="240" w:lineRule="atLeast"/>
              <w:rPr>
                <w:rFonts w:ascii="仿宋" w:hAnsi="仿宋" w:eastAsia="仿宋"/>
                <w:color w:val="000000" w:themeColor="text1"/>
                <w:sz w:val="18"/>
                <w:szCs w:val="18"/>
              </w:rPr>
            </w:pPr>
            <w:r>
              <w:rPr>
                <w:rFonts w:hint="eastAsia" w:ascii="仿宋" w:hAnsi="仿宋" w:eastAsia="仿宋"/>
                <w:b/>
                <w:bCs/>
                <w:color w:val="000000" w:themeColor="text1"/>
                <w:sz w:val="18"/>
                <w:szCs w:val="18"/>
              </w:rPr>
              <w:t>第三十五条</w:t>
            </w:r>
            <w:r>
              <w:rPr>
                <w:rFonts w:hint="eastAsia" w:ascii="仿宋" w:hAnsi="仿宋" w:eastAsia="仿宋"/>
                <w:color w:val="000000" w:themeColor="text1"/>
                <w:sz w:val="18"/>
                <w:szCs w:val="18"/>
              </w:rPr>
              <w:t>　网约车平台公司违反本规定，有下列行为之一的，由县级以上出租汽车行政主管部门和价格主管部门按照职责责令改正，对每次违法行为处以</w:t>
            </w:r>
            <w:r>
              <w:rPr>
                <w:rFonts w:ascii="仿宋" w:hAnsi="仿宋" w:eastAsia="仿宋"/>
                <w:color w:val="000000" w:themeColor="text1"/>
                <w:sz w:val="18"/>
                <w:szCs w:val="18"/>
              </w:rPr>
              <w:t>5000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10000</w:t>
            </w:r>
            <w:r>
              <w:rPr>
                <w:rFonts w:hint="eastAsia" w:ascii="仿宋" w:hAnsi="仿宋" w:eastAsia="仿宋"/>
                <w:color w:val="000000" w:themeColor="text1"/>
                <w:sz w:val="18"/>
                <w:szCs w:val="18"/>
              </w:rPr>
              <w:t>元以下罚款；情节严重的，处以</w:t>
            </w:r>
            <w:r>
              <w:rPr>
                <w:rFonts w:ascii="仿宋" w:hAnsi="仿宋" w:eastAsia="仿宋"/>
                <w:color w:val="000000" w:themeColor="text1"/>
                <w:sz w:val="18"/>
                <w:szCs w:val="18"/>
              </w:rPr>
              <w:t>10000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30000</w:t>
            </w:r>
            <w:r>
              <w:rPr>
                <w:rFonts w:hint="eastAsia" w:ascii="仿宋" w:hAnsi="仿宋" w:eastAsia="仿宋"/>
                <w:color w:val="000000" w:themeColor="text1"/>
                <w:sz w:val="18"/>
                <w:szCs w:val="18"/>
              </w:rPr>
              <w:t>元以下罚款：（一）提供服务车辆未取得《网络预约出租汽车运输证》，或者线上提供服务车辆与线下实际提供服务车辆不一致的；（二）提供服务驾驶员未取得《网络预约出租汽车驾驶员证》，或者线上提供服务驾驶员与线下实际提供服务驾驶员不一致的；（三）未按照规定保证车辆技术状况良好的；（四）起讫点均不在许可的经营区域从事网约车经营活动的；（五）未按照规定将提供服务的车辆、驾驶员相关信息向服务所在地出租汽车行政主管部门报备的；（六）未按照规定制定服务质量标准、建立并落实投诉举报制度的；（七）未按照规定提供共享信息，或者不配合出租汽车行政主管部门调取查阅相关数据信息的；（八）未履行管理责任，出现甩客、故意绕道、违规收费等严重违反国家相关运营服务标准行为的。网约车平台公司不再具备线上线下服务能力或者有严重违法行为的，由县级以上出租汽车行政主管部门依据相关法律法规的有关规定责令停业整顿、吊销相关许可证件。</w:t>
            </w:r>
          </w:p>
          <w:p w14:paraId="1A14AC9D">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7362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F1D87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A58AF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05C50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E1A19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B0BA95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F26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3" w:hRule="atLeast"/>
          <w:jc w:val="center"/>
        </w:trPr>
        <w:tc>
          <w:tcPr>
            <w:tcW w:w="943" w:type="dxa"/>
            <w:vMerge w:val="continue"/>
            <w:vAlign w:val="center"/>
          </w:tcPr>
          <w:p w14:paraId="3A19309A">
            <w:pPr>
              <w:rPr>
                <w:color w:val="000000" w:themeColor="text1"/>
              </w:rPr>
            </w:pPr>
          </w:p>
        </w:tc>
        <w:tc>
          <w:tcPr>
            <w:tcW w:w="1110" w:type="dxa"/>
            <w:vAlign w:val="center"/>
          </w:tcPr>
          <w:p w14:paraId="0979FC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A59EDA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1854639">
            <w:pPr>
              <w:jc w:val="center"/>
              <w:rPr>
                <w:rFonts w:ascii="仿宋_GB2312" w:hAnsi="黑体" w:eastAsia="仿宋_GB2312" w:cs="黑体"/>
                <w:color w:val="000000" w:themeColor="text1"/>
                <w:sz w:val="18"/>
                <w:szCs w:val="18"/>
              </w:rPr>
            </w:pPr>
          </w:p>
        </w:tc>
        <w:tc>
          <w:tcPr>
            <w:tcW w:w="1406" w:type="dxa"/>
            <w:vAlign w:val="center"/>
          </w:tcPr>
          <w:p w14:paraId="409FE13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6AC7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C2327A8">
            <w:pPr>
              <w:rPr>
                <w:color w:val="000000" w:themeColor="text1"/>
              </w:rPr>
            </w:pPr>
          </w:p>
        </w:tc>
        <w:tc>
          <w:tcPr>
            <w:tcW w:w="1110" w:type="dxa"/>
            <w:vAlign w:val="center"/>
          </w:tcPr>
          <w:p w14:paraId="3E4FAC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1E11F7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7484D6D">
            <w:pPr>
              <w:jc w:val="center"/>
              <w:rPr>
                <w:rFonts w:ascii="仿宋_GB2312" w:hAnsi="黑体" w:eastAsia="仿宋_GB2312" w:cs="黑体"/>
                <w:color w:val="000000" w:themeColor="text1"/>
                <w:sz w:val="18"/>
                <w:szCs w:val="18"/>
              </w:rPr>
            </w:pPr>
          </w:p>
        </w:tc>
        <w:tc>
          <w:tcPr>
            <w:tcW w:w="1406" w:type="dxa"/>
            <w:vAlign w:val="center"/>
          </w:tcPr>
          <w:p w14:paraId="5C98B6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6363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F8D4799">
            <w:pPr>
              <w:rPr>
                <w:color w:val="000000" w:themeColor="text1"/>
              </w:rPr>
            </w:pPr>
          </w:p>
        </w:tc>
        <w:tc>
          <w:tcPr>
            <w:tcW w:w="1110" w:type="dxa"/>
            <w:vAlign w:val="center"/>
          </w:tcPr>
          <w:p w14:paraId="0DE337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4C22B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23D3AAD">
            <w:pPr>
              <w:jc w:val="center"/>
              <w:rPr>
                <w:rFonts w:ascii="仿宋_GB2312" w:hAnsi="黑体" w:eastAsia="仿宋_GB2312" w:cs="黑体"/>
                <w:color w:val="000000" w:themeColor="text1"/>
                <w:sz w:val="18"/>
                <w:szCs w:val="18"/>
              </w:rPr>
            </w:pPr>
          </w:p>
        </w:tc>
        <w:tc>
          <w:tcPr>
            <w:tcW w:w="1406" w:type="dxa"/>
            <w:vAlign w:val="center"/>
          </w:tcPr>
          <w:p w14:paraId="290C27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8B03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CB280C4">
            <w:pPr>
              <w:rPr>
                <w:color w:val="000000" w:themeColor="text1"/>
              </w:rPr>
            </w:pPr>
          </w:p>
        </w:tc>
        <w:tc>
          <w:tcPr>
            <w:tcW w:w="1110" w:type="dxa"/>
            <w:vAlign w:val="center"/>
          </w:tcPr>
          <w:p w14:paraId="19B913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49DA21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06F0508">
            <w:pPr>
              <w:jc w:val="center"/>
              <w:rPr>
                <w:rFonts w:ascii="仿宋_GB2312" w:hAnsi="黑体" w:eastAsia="仿宋_GB2312" w:cs="黑体"/>
                <w:color w:val="000000" w:themeColor="text1"/>
                <w:sz w:val="18"/>
                <w:szCs w:val="18"/>
              </w:rPr>
            </w:pPr>
          </w:p>
        </w:tc>
        <w:tc>
          <w:tcPr>
            <w:tcW w:w="1406" w:type="dxa"/>
            <w:vAlign w:val="center"/>
          </w:tcPr>
          <w:p w14:paraId="468EEAF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9FA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45" w:hRule="atLeast"/>
          <w:jc w:val="center"/>
        </w:trPr>
        <w:tc>
          <w:tcPr>
            <w:tcW w:w="943" w:type="dxa"/>
            <w:vMerge w:val="continue"/>
            <w:vAlign w:val="center"/>
          </w:tcPr>
          <w:p w14:paraId="14DDB122">
            <w:pPr>
              <w:rPr>
                <w:color w:val="000000" w:themeColor="text1"/>
              </w:rPr>
            </w:pPr>
          </w:p>
        </w:tc>
        <w:tc>
          <w:tcPr>
            <w:tcW w:w="1110" w:type="dxa"/>
            <w:vAlign w:val="center"/>
          </w:tcPr>
          <w:p w14:paraId="538C91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873EDB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6A84C0A">
            <w:pPr>
              <w:jc w:val="center"/>
              <w:rPr>
                <w:rFonts w:ascii="仿宋_GB2312" w:hAnsi="黑体" w:eastAsia="仿宋_GB2312" w:cs="黑体"/>
                <w:color w:val="000000" w:themeColor="text1"/>
                <w:sz w:val="18"/>
                <w:szCs w:val="18"/>
              </w:rPr>
            </w:pPr>
          </w:p>
        </w:tc>
        <w:tc>
          <w:tcPr>
            <w:tcW w:w="1406" w:type="dxa"/>
            <w:vAlign w:val="center"/>
          </w:tcPr>
          <w:p w14:paraId="39C905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A52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05" w:hRule="atLeast"/>
          <w:jc w:val="center"/>
        </w:trPr>
        <w:tc>
          <w:tcPr>
            <w:tcW w:w="943" w:type="dxa"/>
            <w:vAlign w:val="center"/>
          </w:tcPr>
          <w:p w14:paraId="7AC8365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DEFFC0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1B9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3BF1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70155F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463D03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3D93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90A30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5DA4D9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7C81CB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2DC8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5" w:hRule="atLeast"/>
          <w:jc w:val="center"/>
        </w:trPr>
        <w:tc>
          <w:tcPr>
            <w:tcW w:w="943" w:type="dxa"/>
            <w:vAlign w:val="center"/>
          </w:tcPr>
          <w:p w14:paraId="573C70D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D62C3D0">
            <w:pPr>
              <w:widowControl/>
              <w:jc w:val="left"/>
              <w:textAlignment w:val="center"/>
              <w:rPr>
                <w:rFonts w:ascii="黑体" w:eastAsia="黑体" w:cs="黑体"/>
                <w:color w:val="000000" w:themeColor="text1"/>
                <w:kern w:val="0"/>
                <w:sz w:val="18"/>
                <w:szCs w:val="18"/>
              </w:rPr>
            </w:pPr>
          </w:p>
        </w:tc>
      </w:tr>
    </w:tbl>
    <w:p w14:paraId="0F6B89B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ABAB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67AD9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6E15AEC">
            <w:pPr>
              <w:jc w:val="center"/>
              <w:rPr>
                <w:rFonts w:ascii="黑体" w:eastAsia="黑体" w:cs="黑体"/>
                <w:b/>
                <w:bCs/>
                <w:color w:val="000000" w:themeColor="text1"/>
                <w:szCs w:val="21"/>
              </w:rPr>
            </w:pPr>
            <w:r>
              <w:rPr>
                <w:rFonts w:ascii="黑体" w:eastAsia="黑体" w:cs="黑体"/>
                <w:b/>
                <w:bCs/>
                <w:color w:val="000000" w:themeColor="text1"/>
                <w:szCs w:val="21"/>
              </w:rPr>
              <w:t>72</w:t>
            </w:r>
          </w:p>
        </w:tc>
        <w:tc>
          <w:tcPr>
            <w:tcW w:w="1691" w:type="dxa"/>
            <w:vAlign w:val="center"/>
          </w:tcPr>
          <w:p w14:paraId="5F999EE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812EBE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5DE75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E357F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24B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C702C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0D61079">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对网约车驾驶员违反网约车经营服务管理规定行为的行政处罚</w:t>
            </w:r>
          </w:p>
        </w:tc>
      </w:tr>
      <w:tr w14:paraId="2E025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E7E788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1DB861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C11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0A962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8E4874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【法律法规】《网络预约出租汽车经营服务管理暂行办法》（</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2022</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42</w:t>
            </w:r>
            <w:r>
              <w:rPr>
                <w:rFonts w:hint="eastAsia" w:ascii="仿宋" w:hAnsi="仿宋" w:eastAsia="仿宋" w:cs="仿宋_GB2312"/>
                <w:color w:val="000000" w:themeColor="text1"/>
                <w:kern w:val="0"/>
                <w:sz w:val="18"/>
                <w:szCs w:val="18"/>
              </w:rPr>
              <w:t>号）</w:t>
            </w:r>
          </w:p>
          <w:p w14:paraId="2CB0D153">
            <w:pPr>
              <w:pStyle w:val="8"/>
              <w:shd w:val="clear" w:color="auto" w:fill="FFFFFF"/>
              <w:spacing w:before="0" w:beforeAutospacing="0" w:after="0" w:afterAutospacing="0"/>
              <w:jc w:val="both"/>
              <w:rPr>
                <w:rFonts w:ascii="仿宋" w:hAnsi="仿宋" w:eastAsia="仿宋"/>
                <w:color w:val="000000" w:themeColor="text1"/>
                <w:sz w:val="18"/>
                <w:szCs w:val="18"/>
              </w:rPr>
            </w:pPr>
            <w:r>
              <w:rPr>
                <w:rFonts w:hint="eastAsia" w:ascii="仿宋" w:hAnsi="仿宋" w:eastAsia="仿宋"/>
                <w:bCs/>
                <w:color w:val="000000" w:themeColor="text1"/>
                <w:sz w:val="18"/>
                <w:szCs w:val="18"/>
              </w:rPr>
              <w:t>第三十六条</w:t>
            </w:r>
            <w:r>
              <w:rPr>
                <w:rFonts w:hint="eastAsia" w:ascii="仿宋" w:hAnsi="仿宋" w:eastAsia="仿宋"/>
                <w:color w:val="000000" w:themeColor="text1"/>
                <w:sz w:val="18"/>
                <w:szCs w:val="18"/>
              </w:rPr>
              <w:t>　网约车驾驶员违反本规定，有下列情形之一的，由县级以上出租汽车行政主管部门和价格主管部门按照职责责令改正，对每次违法行为处以</w:t>
            </w:r>
            <w:r>
              <w:rPr>
                <w:rFonts w:ascii="仿宋" w:hAnsi="仿宋" w:eastAsia="仿宋"/>
                <w:color w:val="000000" w:themeColor="text1"/>
                <w:sz w:val="18"/>
                <w:szCs w:val="18"/>
              </w:rPr>
              <w:t>50</w:t>
            </w:r>
            <w:r>
              <w:rPr>
                <w:rFonts w:hint="eastAsia" w:ascii="仿宋" w:hAnsi="仿宋" w:eastAsia="仿宋"/>
                <w:color w:val="000000" w:themeColor="text1"/>
                <w:sz w:val="18"/>
                <w:szCs w:val="18"/>
              </w:rPr>
              <w:t>元以上</w:t>
            </w:r>
            <w:r>
              <w:rPr>
                <w:rFonts w:ascii="仿宋" w:hAnsi="仿宋" w:eastAsia="仿宋"/>
                <w:color w:val="000000" w:themeColor="text1"/>
                <w:sz w:val="18"/>
                <w:szCs w:val="18"/>
              </w:rPr>
              <w:t>200</w:t>
            </w:r>
            <w:r>
              <w:rPr>
                <w:rFonts w:hint="eastAsia" w:ascii="仿宋" w:hAnsi="仿宋" w:eastAsia="仿宋"/>
                <w:color w:val="000000" w:themeColor="text1"/>
                <w:sz w:val="18"/>
                <w:szCs w:val="18"/>
              </w:rPr>
              <w:t>元以下罚款：（一）途中甩客或者故意绕道行驶的；（二）违规收费的；（三）对举报、投诉其服务质量或者对其服务作出不满意评价的乘客实施报复行为的。网约车驾驶员不再具备从业条件或者有严重违法行为的，由县级以上出租汽车行政主管部门依据相关法律法规的有关规定撤销或者吊销从业资格证件。对网约车驾驶员的行政处罚信息计入驾驶员和网约车平台公司信用记录。</w:t>
            </w:r>
          </w:p>
          <w:p w14:paraId="5BEA47DB">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69B3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418C7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E5787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76964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855ED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734CCE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135D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0988D07">
            <w:pPr>
              <w:rPr>
                <w:color w:val="000000" w:themeColor="text1"/>
              </w:rPr>
            </w:pPr>
          </w:p>
        </w:tc>
        <w:tc>
          <w:tcPr>
            <w:tcW w:w="1110" w:type="dxa"/>
            <w:vAlign w:val="center"/>
          </w:tcPr>
          <w:p w14:paraId="08AB8E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94945B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2F15E5F">
            <w:pPr>
              <w:jc w:val="center"/>
              <w:rPr>
                <w:rFonts w:ascii="仿宋_GB2312" w:hAnsi="黑体" w:eastAsia="仿宋_GB2312" w:cs="黑体"/>
                <w:color w:val="000000" w:themeColor="text1"/>
                <w:sz w:val="18"/>
                <w:szCs w:val="18"/>
              </w:rPr>
            </w:pPr>
          </w:p>
        </w:tc>
        <w:tc>
          <w:tcPr>
            <w:tcW w:w="1406" w:type="dxa"/>
            <w:vAlign w:val="center"/>
          </w:tcPr>
          <w:p w14:paraId="2EC843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BF7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DF1984C">
            <w:pPr>
              <w:rPr>
                <w:color w:val="000000" w:themeColor="text1"/>
              </w:rPr>
            </w:pPr>
          </w:p>
        </w:tc>
        <w:tc>
          <w:tcPr>
            <w:tcW w:w="1110" w:type="dxa"/>
            <w:vAlign w:val="center"/>
          </w:tcPr>
          <w:p w14:paraId="386EB3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067E72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0B7E15B">
            <w:pPr>
              <w:jc w:val="center"/>
              <w:rPr>
                <w:rFonts w:ascii="仿宋_GB2312" w:hAnsi="黑体" w:eastAsia="仿宋_GB2312" w:cs="黑体"/>
                <w:color w:val="000000" w:themeColor="text1"/>
                <w:sz w:val="18"/>
                <w:szCs w:val="18"/>
              </w:rPr>
            </w:pPr>
          </w:p>
        </w:tc>
        <w:tc>
          <w:tcPr>
            <w:tcW w:w="1406" w:type="dxa"/>
            <w:vAlign w:val="center"/>
          </w:tcPr>
          <w:p w14:paraId="2A8C63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DBC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C2AA288">
            <w:pPr>
              <w:rPr>
                <w:color w:val="000000" w:themeColor="text1"/>
              </w:rPr>
            </w:pPr>
          </w:p>
        </w:tc>
        <w:tc>
          <w:tcPr>
            <w:tcW w:w="1110" w:type="dxa"/>
            <w:vAlign w:val="center"/>
          </w:tcPr>
          <w:p w14:paraId="246391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57981C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441AF84">
            <w:pPr>
              <w:jc w:val="center"/>
              <w:rPr>
                <w:rFonts w:ascii="仿宋_GB2312" w:hAnsi="黑体" w:eastAsia="仿宋_GB2312" w:cs="黑体"/>
                <w:color w:val="000000" w:themeColor="text1"/>
                <w:sz w:val="18"/>
                <w:szCs w:val="18"/>
              </w:rPr>
            </w:pPr>
          </w:p>
        </w:tc>
        <w:tc>
          <w:tcPr>
            <w:tcW w:w="1406" w:type="dxa"/>
            <w:vAlign w:val="center"/>
          </w:tcPr>
          <w:p w14:paraId="7D4934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E3B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ECBA42A">
            <w:pPr>
              <w:rPr>
                <w:color w:val="000000" w:themeColor="text1"/>
              </w:rPr>
            </w:pPr>
          </w:p>
        </w:tc>
        <w:tc>
          <w:tcPr>
            <w:tcW w:w="1110" w:type="dxa"/>
            <w:vAlign w:val="center"/>
          </w:tcPr>
          <w:p w14:paraId="499DAB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73BB01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85385D6">
            <w:pPr>
              <w:jc w:val="center"/>
              <w:rPr>
                <w:rFonts w:ascii="仿宋_GB2312" w:hAnsi="黑体" w:eastAsia="仿宋_GB2312" w:cs="黑体"/>
                <w:color w:val="000000" w:themeColor="text1"/>
                <w:sz w:val="18"/>
                <w:szCs w:val="18"/>
              </w:rPr>
            </w:pPr>
          </w:p>
        </w:tc>
        <w:tc>
          <w:tcPr>
            <w:tcW w:w="1406" w:type="dxa"/>
            <w:vAlign w:val="center"/>
          </w:tcPr>
          <w:p w14:paraId="3FA5C9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0A3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5D3F4AB">
            <w:pPr>
              <w:rPr>
                <w:color w:val="000000" w:themeColor="text1"/>
              </w:rPr>
            </w:pPr>
          </w:p>
        </w:tc>
        <w:tc>
          <w:tcPr>
            <w:tcW w:w="1110" w:type="dxa"/>
            <w:vAlign w:val="center"/>
          </w:tcPr>
          <w:p w14:paraId="17F1AC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D23B95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3624D16">
            <w:pPr>
              <w:jc w:val="center"/>
              <w:rPr>
                <w:rFonts w:ascii="仿宋_GB2312" w:hAnsi="黑体" w:eastAsia="仿宋_GB2312" w:cs="黑体"/>
                <w:color w:val="000000" w:themeColor="text1"/>
                <w:sz w:val="18"/>
                <w:szCs w:val="18"/>
              </w:rPr>
            </w:pPr>
          </w:p>
        </w:tc>
        <w:tc>
          <w:tcPr>
            <w:tcW w:w="1406" w:type="dxa"/>
            <w:vAlign w:val="center"/>
          </w:tcPr>
          <w:p w14:paraId="5F0DAB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9125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BE9E8D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A9E633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6A3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F2068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070CE4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544214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01F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7CE79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D746EB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4DA364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7AD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1C63B2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C3B676F">
            <w:pPr>
              <w:widowControl/>
              <w:jc w:val="left"/>
              <w:textAlignment w:val="center"/>
              <w:rPr>
                <w:rFonts w:ascii="黑体" w:eastAsia="黑体" w:cs="黑体"/>
                <w:color w:val="000000" w:themeColor="text1"/>
                <w:kern w:val="0"/>
                <w:sz w:val="18"/>
                <w:szCs w:val="18"/>
              </w:rPr>
            </w:pPr>
          </w:p>
        </w:tc>
      </w:tr>
    </w:tbl>
    <w:p w14:paraId="7C06E19F">
      <w:pPr>
        <w:rPr>
          <w:color w:val="000000" w:themeColor="text1"/>
          <w:sz w:val="24"/>
        </w:rPr>
      </w:pPr>
    </w:p>
    <w:p w14:paraId="7424C28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9BE5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077BD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B77C5F1">
            <w:pPr>
              <w:jc w:val="center"/>
              <w:rPr>
                <w:rFonts w:ascii="黑体" w:eastAsia="黑体" w:cs="黑体"/>
                <w:b/>
                <w:bCs/>
                <w:color w:val="000000" w:themeColor="text1"/>
                <w:szCs w:val="21"/>
              </w:rPr>
            </w:pPr>
            <w:r>
              <w:rPr>
                <w:rFonts w:ascii="黑体" w:eastAsia="黑体" w:cs="黑体"/>
                <w:b/>
                <w:bCs/>
                <w:color w:val="000000" w:themeColor="text1"/>
                <w:szCs w:val="21"/>
              </w:rPr>
              <w:t>73</w:t>
            </w:r>
          </w:p>
        </w:tc>
        <w:tc>
          <w:tcPr>
            <w:tcW w:w="1691" w:type="dxa"/>
            <w:vAlign w:val="center"/>
          </w:tcPr>
          <w:p w14:paraId="181384D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9A65DE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190A1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74E7A8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0E65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3E5A4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10096F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对出租汽车驾驶员违反从业资格管理规定行为的行政处罚</w:t>
            </w:r>
          </w:p>
        </w:tc>
      </w:tr>
      <w:tr w14:paraId="63C7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20AE63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32A96A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C28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CA185E9">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88F16E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【法律法规】《出租汽车驾驶员从业资格管理规定》（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15</w:t>
            </w:r>
            <w:r>
              <w:rPr>
                <w:rFonts w:hint="eastAsia" w:ascii="仿宋_GB2312" w:eastAsia="仿宋_GB2312" w:cs="仿宋_GB2312"/>
                <w:color w:val="000000" w:themeColor="text1"/>
                <w:kern w:val="0"/>
                <w:sz w:val="18"/>
                <w:szCs w:val="18"/>
              </w:rPr>
              <w:t>号）第十六条取得从业资格证的出租汽车驾驶员，应当经出租汽车行政主管部门从业资格注册后，方可从事出租汽车客运服务。出租汽车驾驶员从业资格注册有效期为</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第四十条出租汽车驾驶员在运营过程中，应当遵守国家对驾驶员在法律法规、职业道德、服务规范、安全运营等方面的资格规定，文明行车、优质服务。出租汽车驾驶员不得有下列行为：（一）途中甩客或者故意绕道行驶；（二）不按照规定使用出租汽车相关设备；（三）不按照规定使用文明用语，车容车貌不符合要求；（四）未经乘客同意搭载其他乘客；（五）不按照规定出具相应车费票据；（六）网络预约出租汽车驾驶员违反规定巡游揽客、站点候客；（七）巡游出租汽车驾驶员拒载，或者未经约车人或乘客同意、网络预约出租汽车驾驶员无正当理由未按承诺到达约定地点提供预约服务；（八）巡游出租汽车驾驶员不按照规定使用计程计价设备、违规收费或者网络预约出租汽车驾驶员违规收费；（九）对举报、投诉其服务质量或者对其服务作出不满意评价的乘客实施报复。出租汽车驾驶员有本条前款违法行为的，应当加强继续教育；情节严重的，出租汽车行政主管部门应当对其延期注册。第四十二条出租汽车驾驶员违反第十六条、第四十条规定的，由县级以上出租汽车行政主管部门责令改正，并处</w:t>
            </w:r>
            <w:r>
              <w:rPr>
                <w:rFonts w:ascii="仿宋_GB2312" w:eastAsia="仿宋_GB2312" w:cs="仿宋_GB2312"/>
                <w:color w:val="000000" w:themeColor="text1"/>
                <w:kern w:val="0"/>
                <w:sz w:val="18"/>
                <w:szCs w:val="18"/>
              </w:rPr>
              <w:t>200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500</w:t>
            </w:r>
            <w:r>
              <w:rPr>
                <w:rFonts w:hint="eastAsia" w:ascii="仿宋_GB2312" w:eastAsia="仿宋_GB2312" w:cs="仿宋_GB2312"/>
                <w:color w:val="000000" w:themeColor="text1"/>
                <w:kern w:val="0"/>
                <w:sz w:val="18"/>
                <w:szCs w:val="18"/>
              </w:rPr>
              <w:t>元以下的罚款。</w:t>
            </w:r>
          </w:p>
          <w:p w14:paraId="1835826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4BB8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5579D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155D9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B4A8F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262B24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2FB452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1B30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99CF785">
            <w:pPr>
              <w:rPr>
                <w:color w:val="000000" w:themeColor="text1"/>
              </w:rPr>
            </w:pPr>
          </w:p>
        </w:tc>
        <w:tc>
          <w:tcPr>
            <w:tcW w:w="1110" w:type="dxa"/>
            <w:vAlign w:val="center"/>
          </w:tcPr>
          <w:p w14:paraId="4E963D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4620F1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9F0757C">
            <w:pPr>
              <w:jc w:val="center"/>
              <w:rPr>
                <w:rFonts w:ascii="仿宋_GB2312" w:hAnsi="黑体" w:eastAsia="仿宋_GB2312" w:cs="黑体"/>
                <w:color w:val="000000" w:themeColor="text1"/>
                <w:sz w:val="18"/>
                <w:szCs w:val="18"/>
              </w:rPr>
            </w:pPr>
          </w:p>
        </w:tc>
        <w:tc>
          <w:tcPr>
            <w:tcW w:w="1406" w:type="dxa"/>
            <w:vAlign w:val="center"/>
          </w:tcPr>
          <w:p w14:paraId="06D3AD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1D0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AFF1E8F">
            <w:pPr>
              <w:rPr>
                <w:color w:val="000000" w:themeColor="text1"/>
              </w:rPr>
            </w:pPr>
          </w:p>
        </w:tc>
        <w:tc>
          <w:tcPr>
            <w:tcW w:w="1110" w:type="dxa"/>
            <w:vAlign w:val="center"/>
          </w:tcPr>
          <w:p w14:paraId="7AA9FC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52C60D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232918F">
            <w:pPr>
              <w:jc w:val="center"/>
              <w:rPr>
                <w:rFonts w:ascii="仿宋_GB2312" w:hAnsi="黑体" w:eastAsia="仿宋_GB2312" w:cs="黑体"/>
                <w:color w:val="000000" w:themeColor="text1"/>
                <w:sz w:val="18"/>
                <w:szCs w:val="18"/>
              </w:rPr>
            </w:pPr>
          </w:p>
        </w:tc>
        <w:tc>
          <w:tcPr>
            <w:tcW w:w="1406" w:type="dxa"/>
            <w:vAlign w:val="center"/>
          </w:tcPr>
          <w:p w14:paraId="4AAEEF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476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964026C">
            <w:pPr>
              <w:rPr>
                <w:color w:val="000000" w:themeColor="text1"/>
              </w:rPr>
            </w:pPr>
          </w:p>
        </w:tc>
        <w:tc>
          <w:tcPr>
            <w:tcW w:w="1110" w:type="dxa"/>
            <w:vAlign w:val="center"/>
          </w:tcPr>
          <w:p w14:paraId="080A83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48FC9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77CEBB0">
            <w:pPr>
              <w:jc w:val="center"/>
              <w:rPr>
                <w:rFonts w:ascii="仿宋_GB2312" w:hAnsi="黑体" w:eastAsia="仿宋_GB2312" w:cs="黑体"/>
                <w:color w:val="000000" w:themeColor="text1"/>
                <w:sz w:val="18"/>
                <w:szCs w:val="18"/>
              </w:rPr>
            </w:pPr>
          </w:p>
        </w:tc>
        <w:tc>
          <w:tcPr>
            <w:tcW w:w="1406" w:type="dxa"/>
            <w:vAlign w:val="center"/>
          </w:tcPr>
          <w:p w14:paraId="116C21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CA33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500BCA2">
            <w:pPr>
              <w:rPr>
                <w:color w:val="000000" w:themeColor="text1"/>
              </w:rPr>
            </w:pPr>
          </w:p>
        </w:tc>
        <w:tc>
          <w:tcPr>
            <w:tcW w:w="1110" w:type="dxa"/>
            <w:vAlign w:val="center"/>
          </w:tcPr>
          <w:p w14:paraId="5748F04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C264F3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8148389">
            <w:pPr>
              <w:jc w:val="center"/>
              <w:rPr>
                <w:rFonts w:ascii="仿宋_GB2312" w:hAnsi="黑体" w:eastAsia="仿宋_GB2312" w:cs="黑体"/>
                <w:color w:val="000000" w:themeColor="text1"/>
                <w:sz w:val="18"/>
                <w:szCs w:val="18"/>
              </w:rPr>
            </w:pPr>
          </w:p>
        </w:tc>
        <w:tc>
          <w:tcPr>
            <w:tcW w:w="1406" w:type="dxa"/>
            <w:vAlign w:val="center"/>
          </w:tcPr>
          <w:p w14:paraId="74CA2C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95C8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386E7EC">
            <w:pPr>
              <w:rPr>
                <w:color w:val="000000" w:themeColor="text1"/>
              </w:rPr>
            </w:pPr>
          </w:p>
        </w:tc>
        <w:tc>
          <w:tcPr>
            <w:tcW w:w="1110" w:type="dxa"/>
            <w:vAlign w:val="center"/>
          </w:tcPr>
          <w:p w14:paraId="3210080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A82A4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02BC7ED">
            <w:pPr>
              <w:jc w:val="center"/>
              <w:rPr>
                <w:rFonts w:ascii="仿宋_GB2312" w:hAnsi="黑体" w:eastAsia="仿宋_GB2312" w:cs="黑体"/>
                <w:color w:val="000000" w:themeColor="text1"/>
                <w:sz w:val="18"/>
                <w:szCs w:val="18"/>
              </w:rPr>
            </w:pPr>
          </w:p>
        </w:tc>
        <w:tc>
          <w:tcPr>
            <w:tcW w:w="1406" w:type="dxa"/>
            <w:vAlign w:val="center"/>
          </w:tcPr>
          <w:p w14:paraId="5AD51E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F96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89CF32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FDD91C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0E90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39A3C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3770CA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5947FB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8062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CA026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EDE19F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5CF114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BD4E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2" w:hRule="atLeast"/>
          <w:jc w:val="center"/>
        </w:trPr>
        <w:tc>
          <w:tcPr>
            <w:tcW w:w="943" w:type="dxa"/>
            <w:vAlign w:val="center"/>
          </w:tcPr>
          <w:p w14:paraId="235DBCD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DDB9B62">
            <w:pPr>
              <w:widowControl/>
              <w:jc w:val="left"/>
              <w:textAlignment w:val="center"/>
              <w:rPr>
                <w:rFonts w:ascii="黑体" w:eastAsia="黑体" w:cs="黑体"/>
                <w:color w:val="000000" w:themeColor="text1"/>
                <w:kern w:val="0"/>
                <w:sz w:val="18"/>
                <w:szCs w:val="18"/>
              </w:rPr>
            </w:pPr>
          </w:p>
        </w:tc>
      </w:tr>
    </w:tbl>
    <w:p w14:paraId="7D7734B4">
      <w:pPr>
        <w:rPr>
          <w:color w:val="000000" w:themeColor="text1"/>
          <w:sz w:val="24"/>
        </w:rPr>
      </w:pPr>
    </w:p>
    <w:p w14:paraId="68CA3E4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58D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3B65A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31F7C98">
            <w:pPr>
              <w:jc w:val="center"/>
              <w:rPr>
                <w:rFonts w:ascii="黑体" w:eastAsia="黑体" w:cs="黑体"/>
                <w:b/>
                <w:bCs/>
                <w:color w:val="000000" w:themeColor="text1"/>
                <w:szCs w:val="21"/>
              </w:rPr>
            </w:pPr>
            <w:r>
              <w:rPr>
                <w:rFonts w:ascii="黑体" w:eastAsia="黑体" w:cs="黑体"/>
                <w:b/>
                <w:bCs/>
                <w:color w:val="000000" w:themeColor="text1"/>
                <w:szCs w:val="21"/>
              </w:rPr>
              <w:t>74</w:t>
            </w:r>
          </w:p>
        </w:tc>
        <w:tc>
          <w:tcPr>
            <w:tcW w:w="1691" w:type="dxa"/>
            <w:vAlign w:val="center"/>
          </w:tcPr>
          <w:p w14:paraId="22C0995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17DD39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D64A0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228C6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45EE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28C6C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380DD2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对聘用未取得从业资格证的人员，驾驶出租汽车从事经营活动行为的行政处罚</w:t>
            </w:r>
          </w:p>
        </w:tc>
      </w:tr>
      <w:tr w14:paraId="002F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242B5D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C3F2F9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49A3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C9390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1B954D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【法律法规】《出租汽车驾驶员从业资格管理规定》（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15</w:t>
            </w:r>
            <w:r>
              <w:rPr>
                <w:rFonts w:hint="eastAsia" w:ascii="仿宋_GB2312" w:eastAsia="仿宋_GB2312" w:cs="仿宋_GB2312"/>
                <w:color w:val="000000" w:themeColor="text1"/>
                <w:kern w:val="0"/>
                <w:sz w:val="18"/>
                <w:szCs w:val="18"/>
              </w:rPr>
              <w:t>号）第四十三条违反本规定，聘用未取得从业资格证的人员，驾驶出租汽车从事经营活动的，由县级以上出租汽车行政主管部门责令改正，并处</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万元以下的罚款；情节严重的，处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6D61AECD">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40C6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3606B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D054D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4724D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A6782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1CB97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FA8D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EBD701D">
            <w:pPr>
              <w:rPr>
                <w:color w:val="000000" w:themeColor="text1"/>
              </w:rPr>
            </w:pPr>
          </w:p>
        </w:tc>
        <w:tc>
          <w:tcPr>
            <w:tcW w:w="1110" w:type="dxa"/>
            <w:vAlign w:val="center"/>
          </w:tcPr>
          <w:p w14:paraId="2C2828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E1C5A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58F84B3">
            <w:pPr>
              <w:jc w:val="center"/>
              <w:rPr>
                <w:rFonts w:ascii="仿宋_GB2312" w:hAnsi="黑体" w:eastAsia="仿宋_GB2312" w:cs="黑体"/>
                <w:color w:val="000000" w:themeColor="text1"/>
                <w:sz w:val="18"/>
                <w:szCs w:val="18"/>
              </w:rPr>
            </w:pPr>
          </w:p>
        </w:tc>
        <w:tc>
          <w:tcPr>
            <w:tcW w:w="1406" w:type="dxa"/>
            <w:vAlign w:val="center"/>
          </w:tcPr>
          <w:p w14:paraId="7025F4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89F2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311DA1D">
            <w:pPr>
              <w:rPr>
                <w:color w:val="000000" w:themeColor="text1"/>
              </w:rPr>
            </w:pPr>
          </w:p>
        </w:tc>
        <w:tc>
          <w:tcPr>
            <w:tcW w:w="1110" w:type="dxa"/>
            <w:vAlign w:val="center"/>
          </w:tcPr>
          <w:p w14:paraId="00179E1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4D9F2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C46EF09">
            <w:pPr>
              <w:jc w:val="center"/>
              <w:rPr>
                <w:rFonts w:ascii="仿宋_GB2312" w:hAnsi="黑体" w:eastAsia="仿宋_GB2312" w:cs="黑体"/>
                <w:color w:val="000000" w:themeColor="text1"/>
                <w:sz w:val="18"/>
                <w:szCs w:val="18"/>
              </w:rPr>
            </w:pPr>
          </w:p>
        </w:tc>
        <w:tc>
          <w:tcPr>
            <w:tcW w:w="1406" w:type="dxa"/>
            <w:vAlign w:val="center"/>
          </w:tcPr>
          <w:p w14:paraId="1E8FAEE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F4A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58D428C">
            <w:pPr>
              <w:rPr>
                <w:color w:val="000000" w:themeColor="text1"/>
              </w:rPr>
            </w:pPr>
          </w:p>
        </w:tc>
        <w:tc>
          <w:tcPr>
            <w:tcW w:w="1110" w:type="dxa"/>
            <w:vAlign w:val="center"/>
          </w:tcPr>
          <w:p w14:paraId="356FA4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43179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615F959">
            <w:pPr>
              <w:jc w:val="center"/>
              <w:rPr>
                <w:rFonts w:ascii="仿宋_GB2312" w:hAnsi="黑体" w:eastAsia="仿宋_GB2312" w:cs="黑体"/>
                <w:color w:val="000000" w:themeColor="text1"/>
                <w:sz w:val="18"/>
                <w:szCs w:val="18"/>
              </w:rPr>
            </w:pPr>
          </w:p>
        </w:tc>
        <w:tc>
          <w:tcPr>
            <w:tcW w:w="1406" w:type="dxa"/>
            <w:vAlign w:val="center"/>
          </w:tcPr>
          <w:p w14:paraId="155E47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F83B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7D22311">
            <w:pPr>
              <w:rPr>
                <w:color w:val="000000" w:themeColor="text1"/>
              </w:rPr>
            </w:pPr>
          </w:p>
        </w:tc>
        <w:tc>
          <w:tcPr>
            <w:tcW w:w="1110" w:type="dxa"/>
            <w:vAlign w:val="center"/>
          </w:tcPr>
          <w:p w14:paraId="23293C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53E74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C715DD0">
            <w:pPr>
              <w:jc w:val="center"/>
              <w:rPr>
                <w:rFonts w:ascii="仿宋_GB2312" w:hAnsi="黑体" w:eastAsia="仿宋_GB2312" w:cs="黑体"/>
                <w:color w:val="000000" w:themeColor="text1"/>
                <w:sz w:val="18"/>
                <w:szCs w:val="18"/>
              </w:rPr>
            </w:pPr>
          </w:p>
        </w:tc>
        <w:tc>
          <w:tcPr>
            <w:tcW w:w="1406" w:type="dxa"/>
            <w:vAlign w:val="center"/>
          </w:tcPr>
          <w:p w14:paraId="3AE2CE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446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4D20471">
            <w:pPr>
              <w:rPr>
                <w:color w:val="000000" w:themeColor="text1"/>
              </w:rPr>
            </w:pPr>
          </w:p>
        </w:tc>
        <w:tc>
          <w:tcPr>
            <w:tcW w:w="1110" w:type="dxa"/>
            <w:vAlign w:val="center"/>
          </w:tcPr>
          <w:p w14:paraId="601C5D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7E2EFA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0F0BA82">
            <w:pPr>
              <w:jc w:val="center"/>
              <w:rPr>
                <w:rFonts w:ascii="仿宋_GB2312" w:hAnsi="黑体" w:eastAsia="仿宋_GB2312" w:cs="黑体"/>
                <w:color w:val="000000" w:themeColor="text1"/>
                <w:sz w:val="18"/>
                <w:szCs w:val="18"/>
              </w:rPr>
            </w:pPr>
          </w:p>
        </w:tc>
        <w:tc>
          <w:tcPr>
            <w:tcW w:w="1406" w:type="dxa"/>
            <w:vAlign w:val="center"/>
          </w:tcPr>
          <w:p w14:paraId="5A355C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71A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1BA094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834E44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B869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20478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EA687E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3A36D9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E23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8B248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CE525C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035C6E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240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7F5BF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4F542DA">
            <w:pPr>
              <w:widowControl/>
              <w:jc w:val="left"/>
              <w:textAlignment w:val="center"/>
              <w:rPr>
                <w:rFonts w:ascii="黑体" w:eastAsia="黑体" w:cs="黑体"/>
                <w:color w:val="000000" w:themeColor="text1"/>
                <w:kern w:val="0"/>
                <w:sz w:val="18"/>
                <w:szCs w:val="18"/>
              </w:rPr>
            </w:pPr>
          </w:p>
        </w:tc>
      </w:tr>
    </w:tbl>
    <w:p w14:paraId="7C2D01B8">
      <w:pPr>
        <w:rPr>
          <w:color w:val="000000" w:themeColor="text1"/>
          <w:sz w:val="24"/>
        </w:rPr>
      </w:pPr>
    </w:p>
    <w:p w14:paraId="44F9216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F1CB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DD4AE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179D8AD">
            <w:pPr>
              <w:jc w:val="center"/>
              <w:rPr>
                <w:rFonts w:ascii="黑体" w:eastAsia="黑体" w:cs="黑体"/>
                <w:b/>
                <w:bCs/>
                <w:color w:val="000000" w:themeColor="text1"/>
                <w:szCs w:val="21"/>
              </w:rPr>
            </w:pPr>
            <w:r>
              <w:rPr>
                <w:rFonts w:ascii="黑体" w:eastAsia="黑体" w:cs="黑体"/>
                <w:b/>
                <w:bCs/>
                <w:color w:val="000000" w:themeColor="text1"/>
                <w:szCs w:val="21"/>
              </w:rPr>
              <w:t>75</w:t>
            </w:r>
          </w:p>
        </w:tc>
        <w:tc>
          <w:tcPr>
            <w:tcW w:w="1691" w:type="dxa"/>
            <w:vAlign w:val="center"/>
          </w:tcPr>
          <w:p w14:paraId="5D3E315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E41199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3A07A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824434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793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9A9F2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7EBF3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对聘用未按规定办理注册手续的人员，驾驶出租汽车从事经营活动等行为的行政处罚</w:t>
            </w:r>
          </w:p>
        </w:tc>
      </w:tr>
      <w:tr w14:paraId="4CEDF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AD914C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2EE779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5E89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7A210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D11FCB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【法律法规】《出租汽车驾驶员从业资格管理规定》（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15</w:t>
            </w:r>
            <w:r>
              <w:rPr>
                <w:rFonts w:hint="eastAsia" w:ascii="仿宋_GB2312" w:eastAsia="仿宋_GB2312" w:cs="仿宋_GB2312"/>
                <w:color w:val="000000" w:themeColor="text1"/>
                <w:kern w:val="0"/>
                <w:sz w:val="18"/>
                <w:szCs w:val="18"/>
              </w:rPr>
              <w:t>号）第四十四条违反本规定，有下列行为之一的出租汽车经营者，由县级以上出租汽车行政主管部门责令改正，并处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元以下的罚款：（一）聘用未按规定办理注册手续的人员，驾驶出租汽车从事经营活动的；（二）不按照规定组织实施继续教育的。</w:t>
            </w:r>
          </w:p>
          <w:p w14:paraId="64656540">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DF0D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2F9A9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D315E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118C4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7E643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EEBEB8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E847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26A3FF6">
            <w:pPr>
              <w:rPr>
                <w:color w:val="000000" w:themeColor="text1"/>
              </w:rPr>
            </w:pPr>
          </w:p>
        </w:tc>
        <w:tc>
          <w:tcPr>
            <w:tcW w:w="1110" w:type="dxa"/>
            <w:vAlign w:val="center"/>
          </w:tcPr>
          <w:p w14:paraId="6CE960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BD3C1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E06BD2D">
            <w:pPr>
              <w:jc w:val="center"/>
              <w:rPr>
                <w:rFonts w:ascii="仿宋_GB2312" w:hAnsi="黑体" w:eastAsia="仿宋_GB2312" w:cs="黑体"/>
                <w:color w:val="000000" w:themeColor="text1"/>
                <w:sz w:val="18"/>
                <w:szCs w:val="18"/>
              </w:rPr>
            </w:pPr>
          </w:p>
        </w:tc>
        <w:tc>
          <w:tcPr>
            <w:tcW w:w="1406" w:type="dxa"/>
            <w:vAlign w:val="center"/>
          </w:tcPr>
          <w:p w14:paraId="6F0257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9E4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6A71014">
            <w:pPr>
              <w:rPr>
                <w:color w:val="000000" w:themeColor="text1"/>
              </w:rPr>
            </w:pPr>
          </w:p>
        </w:tc>
        <w:tc>
          <w:tcPr>
            <w:tcW w:w="1110" w:type="dxa"/>
            <w:vAlign w:val="center"/>
          </w:tcPr>
          <w:p w14:paraId="5A7D93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15C565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BD1F753">
            <w:pPr>
              <w:jc w:val="center"/>
              <w:rPr>
                <w:rFonts w:ascii="仿宋_GB2312" w:hAnsi="黑体" w:eastAsia="仿宋_GB2312" w:cs="黑体"/>
                <w:color w:val="000000" w:themeColor="text1"/>
                <w:sz w:val="18"/>
                <w:szCs w:val="18"/>
              </w:rPr>
            </w:pPr>
          </w:p>
        </w:tc>
        <w:tc>
          <w:tcPr>
            <w:tcW w:w="1406" w:type="dxa"/>
            <w:vAlign w:val="center"/>
          </w:tcPr>
          <w:p w14:paraId="25C2F9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7FD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5CD6711">
            <w:pPr>
              <w:rPr>
                <w:color w:val="000000" w:themeColor="text1"/>
              </w:rPr>
            </w:pPr>
          </w:p>
        </w:tc>
        <w:tc>
          <w:tcPr>
            <w:tcW w:w="1110" w:type="dxa"/>
            <w:vAlign w:val="center"/>
          </w:tcPr>
          <w:p w14:paraId="6A7825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CA403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AB6A4E9">
            <w:pPr>
              <w:jc w:val="center"/>
              <w:rPr>
                <w:rFonts w:ascii="仿宋_GB2312" w:hAnsi="黑体" w:eastAsia="仿宋_GB2312" w:cs="黑体"/>
                <w:color w:val="000000" w:themeColor="text1"/>
                <w:sz w:val="18"/>
                <w:szCs w:val="18"/>
              </w:rPr>
            </w:pPr>
          </w:p>
        </w:tc>
        <w:tc>
          <w:tcPr>
            <w:tcW w:w="1406" w:type="dxa"/>
            <w:vAlign w:val="center"/>
          </w:tcPr>
          <w:p w14:paraId="09E728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4702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498A853">
            <w:pPr>
              <w:rPr>
                <w:color w:val="000000" w:themeColor="text1"/>
              </w:rPr>
            </w:pPr>
          </w:p>
        </w:tc>
        <w:tc>
          <w:tcPr>
            <w:tcW w:w="1110" w:type="dxa"/>
            <w:vAlign w:val="center"/>
          </w:tcPr>
          <w:p w14:paraId="6C692B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03E0B2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299B3AC">
            <w:pPr>
              <w:jc w:val="center"/>
              <w:rPr>
                <w:rFonts w:ascii="仿宋_GB2312" w:hAnsi="黑体" w:eastAsia="仿宋_GB2312" w:cs="黑体"/>
                <w:color w:val="000000" w:themeColor="text1"/>
                <w:sz w:val="18"/>
                <w:szCs w:val="18"/>
              </w:rPr>
            </w:pPr>
          </w:p>
        </w:tc>
        <w:tc>
          <w:tcPr>
            <w:tcW w:w="1406" w:type="dxa"/>
            <w:vAlign w:val="center"/>
          </w:tcPr>
          <w:p w14:paraId="7073A9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5A4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B79581F">
            <w:pPr>
              <w:rPr>
                <w:color w:val="000000" w:themeColor="text1"/>
              </w:rPr>
            </w:pPr>
          </w:p>
        </w:tc>
        <w:tc>
          <w:tcPr>
            <w:tcW w:w="1110" w:type="dxa"/>
            <w:vAlign w:val="center"/>
          </w:tcPr>
          <w:p w14:paraId="056967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EA7A3F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4B935C1">
            <w:pPr>
              <w:jc w:val="center"/>
              <w:rPr>
                <w:rFonts w:ascii="仿宋_GB2312" w:hAnsi="黑体" w:eastAsia="仿宋_GB2312" w:cs="黑体"/>
                <w:color w:val="000000" w:themeColor="text1"/>
                <w:sz w:val="18"/>
                <w:szCs w:val="18"/>
              </w:rPr>
            </w:pPr>
          </w:p>
        </w:tc>
        <w:tc>
          <w:tcPr>
            <w:tcW w:w="1406" w:type="dxa"/>
            <w:vAlign w:val="center"/>
          </w:tcPr>
          <w:p w14:paraId="64A723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5D6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5F8EAB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C4959A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B0EF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54805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64150A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63E2EF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A0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13150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296330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AD3473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305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3AC048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0E9DB65">
            <w:pPr>
              <w:widowControl/>
              <w:jc w:val="left"/>
              <w:textAlignment w:val="center"/>
              <w:rPr>
                <w:rFonts w:ascii="黑体" w:eastAsia="黑体" w:cs="黑体"/>
                <w:color w:val="000000" w:themeColor="text1"/>
                <w:kern w:val="0"/>
                <w:sz w:val="18"/>
                <w:szCs w:val="18"/>
              </w:rPr>
            </w:pPr>
          </w:p>
        </w:tc>
      </w:tr>
    </w:tbl>
    <w:p w14:paraId="5A3E32E3">
      <w:pPr>
        <w:rPr>
          <w:color w:val="000000" w:themeColor="text1"/>
          <w:sz w:val="24"/>
        </w:rPr>
      </w:pPr>
    </w:p>
    <w:p w14:paraId="254FBAE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4854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2914D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B64EAF6">
            <w:pPr>
              <w:jc w:val="center"/>
              <w:rPr>
                <w:rFonts w:ascii="黑体" w:eastAsia="黑体" w:cs="黑体"/>
                <w:b/>
                <w:bCs/>
                <w:color w:val="000000" w:themeColor="text1"/>
                <w:szCs w:val="21"/>
              </w:rPr>
            </w:pPr>
            <w:r>
              <w:rPr>
                <w:rFonts w:ascii="黑体" w:eastAsia="黑体" w:cs="黑体"/>
                <w:b/>
                <w:bCs/>
                <w:color w:val="000000" w:themeColor="text1"/>
                <w:szCs w:val="21"/>
              </w:rPr>
              <w:t>76</w:t>
            </w:r>
          </w:p>
        </w:tc>
        <w:tc>
          <w:tcPr>
            <w:tcW w:w="1691" w:type="dxa"/>
            <w:vAlign w:val="center"/>
          </w:tcPr>
          <w:p w14:paraId="4137C0C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ECFA60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4214B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2A981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D0E6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011ED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B26C2FA">
            <w:pPr>
              <w:widowControl/>
              <w:jc w:val="center"/>
              <w:textAlignment w:val="center"/>
              <w:rPr>
                <w:rFonts w:ascii="仿宋" w:hAnsi="仿宋" w:eastAsia="仿宋" w:cs="宋体"/>
                <w:b/>
                <w:color w:val="000000" w:themeColor="text1"/>
                <w:kern w:val="0"/>
                <w:sz w:val="18"/>
                <w:szCs w:val="18"/>
              </w:rPr>
            </w:pPr>
            <w:r>
              <w:rPr>
                <w:rFonts w:hint="eastAsia" w:ascii="仿宋" w:hAnsi="仿宋" w:eastAsia="仿宋" w:cs="宋体"/>
                <w:b/>
                <w:color w:val="000000" w:themeColor="text1"/>
                <w:kern w:val="0"/>
                <w:sz w:val="18"/>
                <w:szCs w:val="18"/>
              </w:rPr>
              <w:t>对擅自转让或者以承包、出租等方式变相转让城市公共汽电车客运线路经营权的行政处罚</w:t>
            </w:r>
          </w:p>
        </w:tc>
      </w:tr>
      <w:tr w14:paraId="260E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4537DD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57F22A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ECCB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852A8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F96859B">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p>
          <w:p w14:paraId="571FEF9F">
            <w:pPr>
              <w:spacing w:line="240" w:lineRule="exact"/>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第六十条　违反本条例规定，擅自转让或者以承包、出租等方式变相转让城市公共汽电车客运线路经营权的，由县级以上人民政府交通运输主管部门责令限期改正；逾期未改正的，处一万元以上三万元以下的罚款；情节严重的，依法取消相关城市公共汽电车客运经营者的特许经营权。</w:t>
            </w:r>
          </w:p>
          <w:p w14:paraId="09CFD90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58F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B79B4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5CB47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2AF49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FB289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795574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C5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2B4BDB3">
            <w:pPr>
              <w:rPr>
                <w:color w:val="000000" w:themeColor="text1"/>
              </w:rPr>
            </w:pPr>
          </w:p>
        </w:tc>
        <w:tc>
          <w:tcPr>
            <w:tcW w:w="1110" w:type="dxa"/>
            <w:vAlign w:val="center"/>
          </w:tcPr>
          <w:p w14:paraId="57044C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3744E8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FFF8085">
            <w:pPr>
              <w:jc w:val="center"/>
              <w:rPr>
                <w:rFonts w:ascii="仿宋_GB2312" w:hAnsi="黑体" w:eastAsia="仿宋_GB2312" w:cs="黑体"/>
                <w:color w:val="000000" w:themeColor="text1"/>
                <w:sz w:val="18"/>
                <w:szCs w:val="18"/>
              </w:rPr>
            </w:pPr>
          </w:p>
        </w:tc>
        <w:tc>
          <w:tcPr>
            <w:tcW w:w="1406" w:type="dxa"/>
            <w:vAlign w:val="center"/>
          </w:tcPr>
          <w:p w14:paraId="3681D76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6DD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3BCAE29">
            <w:pPr>
              <w:rPr>
                <w:color w:val="000000" w:themeColor="text1"/>
              </w:rPr>
            </w:pPr>
          </w:p>
        </w:tc>
        <w:tc>
          <w:tcPr>
            <w:tcW w:w="1110" w:type="dxa"/>
            <w:vAlign w:val="center"/>
          </w:tcPr>
          <w:p w14:paraId="5510A7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4A366C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900F970">
            <w:pPr>
              <w:jc w:val="center"/>
              <w:rPr>
                <w:rFonts w:ascii="仿宋_GB2312" w:hAnsi="黑体" w:eastAsia="仿宋_GB2312" w:cs="黑体"/>
                <w:color w:val="000000" w:themeColor="text1"/>
                <w:sz w:val="18"/>
                <w:szCs w:val="18"/>
              </w:rPr>
            </w:pPr>
          </w:p>
        </w:tc>
        <w:tc>
          <w:tcPr>
            <w:tcW w:w="1406" w:type="dxa"/>
            <w:vAlign w:val="center"/>
          </w:tcPr>
          <w:p w14:paraId="0A5A99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FA5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6561EF8">
            <w:pPr>
              <w:rPr>
                <w:color w:val="000000" w:themeColor="text1"/>
              </w:rPr>
            </w:pPr>
          </w:p>
        </w:tc>
        <w:tc>
          <w:tcPr>
            <w:tcW w:w="1110" w:type="dxa"/>
            <w:vAlign w:val="center"/>
          </w:tcPr>
          <w:p w14:paraId="23EE0E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5EF11A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44DD92F">
            <w:pPr>
              <w:jc w:val="center"/>
              <w:rPr>
                <w:rFonts w:ascii="仿宋_GB2312" w:hAnsi="黑体" w:eastAsia="仿宋_GB2312" w:cs="黑体"/>
                <w:color w:val="000000" w:themeColor="text1"/>
                <w:sz w:val="18"/>
                <w:szCs w:val="18"/>
              </w:rPr>
            </w:pPr>
          </w:p>
        </w:tc>
        <w:tc>
          <w:tcPr>
            <w:tcW w:w="1406" w:type="dxa"/>
            <w:vAlign w:val="center"/>
          </w:tcPr>
          <w:p w14:paraId="45560B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F453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9DF838A">
            <w:pPr>
              <w:rPr>
                <w:color w:val="000000" w:themeColor="text1"/>
              </w:rPr>
            </w:pPr>
          </w:p>
        </w:tc>
        <w:tc>
          <w:tcPr>
            <w:tcW w:w="1110" w:type="dxa"/>
            <w:vAlign w:val="center"/>
          </w:tcPr>
          <w:p w14:paraId="593C84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B7056D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6B23748">
            <w:pPr>
              <w:jc w:val="center"/>
              <w:rPr>
                <w:rFonts w:ascii="仿宋_GB2312" w:hAnsi="黑体" w:eastAsia="仿宋_GB2312" w:cs="黑体"/>
                <w:color w:val="000000" w:themeColor="text1"/>
                <w:sz w:val="18"/>
                <w:szCs w:val="18"/>
              </w:rPr>
            </w:pPr>
          </w:p>
        </w:tc>
        <w:tc>
          <w:tcPr>
            <w:tcW w:w="1406" w:type="dxa"/>
            <w:vAlign w:val="center"/>
          </w:tcPr>
          <w:p w14:paraId="24B3D2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F9F4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A251931">
            <w:pPr>
              <w:rPr>
                <w:color w:val="000000" w:themeColor="text1"/>
              </w:rPr>
            </w:pPr>
          </w:p>
        </w:tc>
        <w:tc>
          <w:tcPr>
            <w:tcW w:w="1110" w:type="dxa"/>
            <w:vAlign w:val="center"/>
          </w:tcPr>
          <w:p w14:paraId="0AAEEFB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184680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577CA9C">
            <w:pPr>
              <w:jc w:val="center"/>
              <w:rPr>
                <w:rFonts w:ascii="仿宋_GB2312" w:hAnsi="黑体" w:eastAsia="仿宋_GB2312" w:cs="黑体"/>
                <w:color w:val="000000" w:themeColor="text1"/>
                <w:sz w:val="18"/>
                <w:szCs w:val="18"/>
              </w:rPr>
            </w:pPr>
          </w:p>
        </w:tc>
        <w:tc>
          <w:tcPr>
            <w:tcW w:w="1406" w:type="dxa"/>
            <w:vAlign w:val="center"/>
          </w:tcPr>
          <w:p w14:paraId="64483A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1D3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00F35C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7C8E7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2E70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B8298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A0342F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C58277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7325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0C9E7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2D1DBB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6E6F01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C7C6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010C61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D4A06A2">
            <w:pPr>
              <w:widowControl/>
              <w:jc w:val="left"/>
              <w:textAlignment w:val="center"/>
              <w:rPr>
                <w:rFonts w:ascii="黑体" w:eastAsia="黑体" w:cs="黑体"/>
                <w:color w:val="000000" w:themeColor="text1"/>
                <w:kern w:val="0"/>
                <w:sz w:val="18"/>
                <w:szCs w:val="18"/>
              </w:rPr>
            </w:pPr>
          </w:p>
        </w:tc>
      </w:tr>
    </w:tbl>
    <w:p w14:paraId="516B5738">
      <w:pPr>
        <w:rPr>
          <w:color w:val="000000" w:themeColor="text1"/>
          <w:sz w:val="24"/>
        </w:rPr>
      </w:pPr>
    </w:p>
    <w:p w14:paraId="7893024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6A32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CD1CA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939686">
            <w:pPr>
              <w:jc w:val="center"/>
              <w:rPr>
                <w:rFonts w:ascii="黑体" w:eastAsia="黑体" w:cs="黑体"/>
                <w:b/>
                <w:bCs/>
                <w:color w:val="000000" w:themeColor="text1"/>
                <w:szCs w:val="21"/>
              </w:rPr>
            </w:pPr>
            <w:r>
              <w:rPr>
                <w:rFonts w:ascii="黑体" w:eastAsia="黑体" w:cs="黑体"/>
                <w:b/>
                <w:bCs/>
                <w:color w:val="000000" w:themeColor="text1"/>
                <w:szCs w:val="21"/>
              </w:rPr>
              <w:t>77</w:t>
            </w:r>
          </w:p>
        </w:tc>
        <w:tc>
          <w:tcPr>
            <w:tcW w:w="1691" w:type="dxa"/>
            <w:vAlign w:val="center"/>
          </w:tcPr>
          <w:p w14:paraId="0032455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86B6F6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F949A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4C8E9A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714F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5D888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897BAC3">
            <w:pPr>
              <w:widowControl/>
              <w:jc w:val="center"/>
              <w:textAlignment w:val="center"/>
              <w:rPr>
                <w:rFonts w:ascii="仿宋" w:hAnsi="仿宋" w:eastAsia="仿宋" w:cs="宋体"/>
                <w:b/>
                <w:color w:val="000000" w:themeColor="text1"/>
                <w:kern w:val="0"/>
                <w:sz w:val="18"/>
                <w:szCs w:val="18"/>
              </w:rPr>
            </w:pPr>
            <w:r>
              <w:rPr>
                <w:rFonts w:hint="eastAsia" w:ascii="仿宋" w:hAnsi="仿宋" w:eastAsia="仿宋" w:cs="宋体"/>
                <w:b/>
                <w:color w:val="000000" w:themeColor="text1"/>
                <w:kern w:val="0"/>
                <w:sz w:val="18"/>
                <w:szCs w:val="18"/>
              </w:rPr>
              <w:t>对相关城市公共汽电车客运经营者不按线路、班次运行及违规收费等行为的行政处罚</w:t>
            </w:r>
          </w:p>
        </w:tc>
      </w:tr>
      <w:tr w14:paraId="25EF3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B1676B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6CF59E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C4F3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B5F6D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BC1E4D8">
            <w:pPr>
              <w:spacing w:line="240" w:lineRule="exact"/>
              <w:jc w:val="lef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《河北省道路运输条例》</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日河北省第十二届人民代表大会常务委员会第三十一次会议通过</w:t>
            </w:r>
            <w:r>
              <w:rPr>
                <w:rFonts w:ascii="仿宋_GB2312" w:eastAsia="仿宋_GB2312" w:cs="仿宋_GB2312"/>
                <w:color w:val="000000" w:themeColor="text1"/>
                <w:kern w:val="0"/>
                <w:sz w:val="18"/>
                <w:szCs w:val="18"/>
              </w:rPr>
              <w:t>)</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第六十一条　违反本条例规定，有下列行为之一的，由县级以上人民政府交通运输主管部门责令限期改正，对相关城市公共汽电车客运经营者处一千元以上三千元以下的罚款；情节严重的，由原许可机关吊销道路运输经营许可证：（一）不按照确定的线路、站点、班次和时间经营的；（二）不按照核准收费标准收费的；（三）拒绝享受减免票待遇的乘客乘车的。</w:t>
            </w:r>
          </w:p>
          <w:p w14:paraId="2AE9A9AE">
            <w:pPr>
              <w:spacing w:line="240" w:lineRule="exact"/>
              <w:rPr>
                <w:rFonts w:ascii="仿宋" w:hAnsi="仿宋" w:eastAsia="仿宋" w:cs="宋体"/>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C1E7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B8860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1EA7D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D8A81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3B0FA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36B628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ABDB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98D2E37">
            <w:pPr>
              <w:rPr>
                <w:color w:val="000000" w:themeColor="text1"/>
              </w:rPr>
            </w:pPr>
          </w:p>
        </w:tc>
        <w:tc>
          <w:tcPr>
            <w:tcW w:w="1110" w:type="dxa"/>
            <w:vAlign w:val="center"/>
          </w:tcPr>
          <w:p w14:paraId="0135DA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0DA28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AF2D46B">
            <w:pPr>
              <w:jc w:val="center"/>
              <w:rPr>
                <w:rFonts w:ascii="仿宋_GB2312" w:hAnsi="黑体" w:eastAsia="仿宋_GB2312" w:cs="黑体"/>
                <w:color w:val="000000" w:themeColor="text1"/>
                <w:sz w:val="18"/>
                <w:szCs w:val="18"/>
              </w:rPr>
            </w:pPr>
          </w:p>
        </w:tc>
        <w:tc>
          <w:tcPr>
            <w:tcW w:w="1406" w:type="dxa"/>
            <w:vAlign w:val="center"/>
          </w:tcPr>
          <w:p w14:paraId="08545D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FB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844B0CD">
            <w:pPr>
              <w:rPr>
                <w:color w:val="000000" w:themeColor="text1"/>
              </w:rPr>
            </w:pPr>
          </w:p>
        </w:tc>
        <w:tc>
          <w:tcPr>
            <w:tcW w:w="1110" w:type="dxa"/>
            <w:vAlign w:val="center"/>
          </w:tcPr>
          <w:p w14:paraId="4B23D8B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9FDD2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5F8AE8E">
            <w:pPr>
              <w:jc w:val="center"/>
              <w:rPr>
                <w:rFonts w:ascii="仿宋_GB2312" w:hAnsi="黑体" w:eastAsia="仿宋_GB2312" w:cs="黑体"/>
                <w:color w:val="000000" w:themeColor="text1"/>
                <w:sz w:val="18"/>
                <w:szCs w:val="18"/>
              </w:rPr>
            </w:pPr>
          </w:p>
        </w:tc>
        <w:tc>
          <w:tcPr>
            <w:tcW w:w="1406" w:type="dxa"/>
            <w:vAlign w:val="center"/>
          </w:tcPr>
          <w:p w14:paraId="62072A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EA7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68509D9">
            <w:pPr>
              <w:rPr>
                <w:color w:val="000000" w:themeColor="text1"/>
              </w:rPr>
            </w:pPr>
          </w:p>
        </w:tc>
        <w:tc>
          <w:tcPr>
            <w:tcW w:w="1110" w:type="dxa"/>
            <w:vAlign w:val="center"/>
          </w:tcPr>
          <w:p w14:paraId="2C47E8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3F626E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877C2C9">
            <w:pPr>
              <w:jc w:val="center"/>
              <w:rPr>
                <w:rFonts w:ascii="仿宋_GB2312" w:hAnsi="黑体" w:eastAsia="仿宋_GB2312" w:cs="黑体"/>
                <w:color w:val="000000" w:themeColor="text1"/>
                <w:sz w:val="18"/>
                <w:szCs w:val="18"/>
              </w:rPr>
            </w:pPr>
          </w:p>
        </w:tc>
        <w:tc>
          <w:tcPr>
            <w:tcW w:w="1406" w:type="dxa"/>
            <w:vAlign w:val="center"/>
          </w:tcPr>
          <w:p w14:paraId="5569E1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BDC1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603E05A">
            <w:pPr>
              <w:rPr>
                <w:color w:val="000000" w:themeColor="text1"/>
              </w:rPr>
            </w:pPr>
          </w:p>
        </w:tc>
        <w:tc>
          <w:tcPr>
            <w:tcW w:w="1110" w:type="dxa"/>
            <w:vAlign w:val="center"/>
          </w:tcPr>
          <w:p w14:paraId="626572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1920ED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14F3333">
            <w:pPr>
              <w:jc w:val="center"/>
              <w:rPr>
                <w:rFonts w:ascii="仿宋_GB2312" w:hAnsi="黑体" w:eastAsia="仿宋_GB2312" w:cs="黑体"/>
                <w:color w:val="000000" w:themeColor="text1"/>
                <w:sz w:val="18"/>
                <w:szCs w:val="18"/>
              </w:rPr>
            </w:pPr>
          </w:p>
        </w:tc>
        <w:tc>
          <w:tcPr>
            <w:tcW w:w="1406" w:type="dxa"/>
            <w:vAlign w:val="center"/>
          </w:tcPr>
          <w:p w14:paraId="7C5A2B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0556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F351C5F">
            <w:pPr>
              <w:rPr>
                <w:color w:val="000000" w:themeColor="text1"/>
              </w:rPr>
            </w:pPr>
          </w:p>
        </w:tc>
        <w:tc>
          <w:tcPr>
            <w:tcW w:w="1110" w:type="dxa"/>
            <w:vAlign w:val="center"/>
          </w:tcPr>
          <w:p w14:paraId="77F2128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693648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6AD74BF">
            <w:pPr>
              <w:jc w:val="center"/>
              <w:rPr>
                <w:rFonts w:ascii="仿宋_GB2312" w:hAnsi="黑体" w:eastAsia="仿宋_GB2312" w:cs="黑体"/>
                <w:color w:val="000000" w:themeColor="text1"/>
                <w:sz w:val="18"/>
                <w:szCs w:val="18"/>
              </w:rPr>
            </w:pPr>
          </w:p>
        </w:tc>
        <w:tc>
          <w:tcPr>
            <w:tcW w:w="1406" w:type="dxa"/>
            <w:vAlign w:val="center"/>
          </w:tcPr>
          <w:p w14:paraId="2EBAA6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126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240EFD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7BCAB7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6A57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78E66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239C91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AD07D7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0EF4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F54BA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A832E1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5D8508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5E3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CEDEAB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7536148">
            <w:pPr>
              <w:widowControl/>
              <w:jc w:val="left"/>
              <w:textAlignment w:val="center"/>
              <w:rPr>
                <w:rFonts w:ascii="黑体" w:eastAsia="黑体" w:cs="黑体"/>
                <w:color w:val="000000" w:themeColor="text1"/>
                <w:kern w:val="0"/>
                <w:sz w:val="18"/>
                <w:szCs w:val="18"/>
              </w:rPr>
            </w:pPr>
          </w:p>
        </w:tc>
      </w:tr>
    </w:tbl>
    <w:p w14:paraId="64C2135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9A1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EB8E0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3286AF2">
            <w:pPr>
              <w:jc w:val="center"/>
              <w:rPr>
                <w:rFonts w:ascii="黑体" w:eastAsia="黑体" w:cs="黑体"/>
                <w:b/>
                <w:bCs/>
                <w:color w:val="000000" w:themeColor="text1"/>
                <w:szCs w:val="21"/>
              </w:rPr>
            </w:pPr>
            <w:r>
              <w:rPr>
                <w:rFonts w:ascii="黑体" w:eastAsia="黑体" w:cs="黑体"/>
                <w:b/>
                <w:bCs/>
                <w:color w:val="000000" w:themeColor="text1"/>
                <w:szCs w:val="21"/>
              </w:rPr>
              <w:t>78</w:t>
            </w:r>
          </w:p>
        </w:tc>
        <w:tc>
          <w:tcPr>
            <w:tcW w:w="1691" w:type="dxa"/>
            <w:vAlign w:val="center"/>
          </w:tcPr>
          <w:p w14:paraId="6A8F52A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2F750C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9414A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D5AE9E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A93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D1159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AD62CB9">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对运营企业未在投入运营的车辆上、城市公共汽电车客运首末站和中途站配置符合要求的服务设施和运营标识的行政处罚</w:t>
            </w:r>
          </w:p>
        </w:tc>
      </w:tr>
      <w:tr w14:paraId="34F1D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982581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13A885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62AA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0F559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74FD6C1">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二十五条运营企业应当按照有关标准及城市公共交通主管部门的要求，在投入运营的车辆上配置符合以下要求的相关服务设施和运营标识：（一）在规定位置公布运营线路图、价格表；（二）在规定位置张贴统一制作的乘车规则和投诉电话；（三）在规定位置设置特需乘客专用座位；（四）在无人售票车辆上配置符合规定的投币箱、电子读卡器等服务设施；（五）规定的其他车辆服务设施和标识。</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二十六条运营企业应当按照有关标准及城市公共交通主管部门的要求，在城市公共汽电车客运首末站和中途站配置符合以下要求的相关服务设施和运营标识：（一）在规定位置公布线路票价、站点名称和服务时间；（二）在规定位置张贴投诉电话；（三）规定的其他站点服务设施和标识配置要求。</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第六十一条运营企业违反本规定第二十五条、第二十六条规定，未配置符合要求的服务设施和运营标识的，由城市公共交通主管部门责令限期改正；逾期不改正的，处</w:t>
            </w:r>
            <w:r>
              <w:rPr>
                <w:rFonts w:ascii="仿宋" w:hAnsi="仿宋" w:eastAsia="仿宋" w:cs="宋体"/>
                <w:color w:val="000000" w:themeColor="text1"/>
                <w:kern w:val="0"/>
                <w:sz w:val="18"/>
                <w:szCs w:val="18"/>
              </w:rPr>
              <w:t>5000</w:t>
            </w:r>
            <w:r>
              <w:rPr>
                <w:rFonts w:hint="eastAsia" w:ascii="仿宋" w:hAnsi="仿宋" w:eastAsia="仿宋" w:cs="宋体"/>
                <w:color w:val="000000" w:themeColor="text1"/>
                <w:kern w:val="0"/>
                <w:sz w:val="18"/>
                <w:szCs w:val="18"/>
              </w:rPr>
              <w:t>元以下的罚款。</w:t>
            </w:r>
          </w:p>
          <w:p w14:paraId="2EFD9B2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EA1D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5C94F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AAC6D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362CE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69A89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E71277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5E0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102E5DF">
            <w:pPr>
              <w:rPr>
                <w:color w:val="000000" w:themeColor="text1"/>
              </w:rPr>
            </w:pPr>
          </w:p>
        </w:tc>
        <w:tc>
          <w:tcPr>
            <w:tcW w:w="1110" w:type="dxa"/>
            <w:vAlign w:val="center"/>
          </w:tcPr>
          <w:p w14:paraId="6EC5A0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28098F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E15B56A">
            <w:pPr>
              <w:jc w:val="center"/>
              <w:rPr>
                <w:rFonts w:ascii="仿宋_GB2312" w:hAnsi="黑体" w:eastAsia="仿宋_GB2312" w:cs="黑体"/>
                <w:color w:val="000000" w:themeColor="text1"/>
                <w:sz w:val="18"/>
                <w:szCs w:val="18"/>
              </w:rPr>
            </w:pPr>
          </w:p>
        </w:tc>
        <w:tc>
          <w:tcPr>
            <w:tcW w:w="1406" w:type="dxa"/>
            <w:vAlign w:val="center"/>
          </w:tcPr>
          <w:p w14:paraId="2D1F62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0FE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F4C40EB">
            <w:pPr>
              <w:rPr>
                <w:color w:val="000000" w:themeColor="text1"/>
              </w:rPr>
            </w:pPr>
          </w:p>
        </w:tc>
        <w:tc>
          <w:tcPr>
            <w:tcW w:w="1110" w:type="dxa"/>
            <w:vAlign w:val="center"/>
          </w:tcPr>
          <w:p w14:paraId="6449B4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774A09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EBE71A0">
            <w:pPr>
              <w:jc w:val="center"/>
              <w:rPr>
                <w:rFonts w:ascii="仿宋_GB2312" w:hAnsi="黑体" w:eastAsia="仿宋_GB2312" w:cs="黑体"/>
                <w:color w:val="000000" w:themeColor="text1"/>
                <w:sz w:val="18"/>
                <w:szCs w:val="18"/>
              </w:rPr>
            </w:pPr>
          </w:p>
        </w:tc>
        <w:tc>
          <w:tcPr>
            <w:tcW w:w="1406" w:type="dxa"/>
            <w:vAlign w:val="center"/>
          </w:tcPr>
          <w:p w14:paraId="4CA7F2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BEF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DFB487D">
            <w:pPr>
              <w:rPr>
                <w:color w:val="000000" w:themeColor="text1"/>
              </w:rPr>
            </w:pPr>
          </w:p>
        </w:tc>
        <w:tc>
          <w:tcPr>
            <w:tcW w:w="1110" w:type="dxa"/>
            <w:vAlign w:val="center"/>
          </w:tcPr>
          <w:p w14:paraId="5F6E4C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C4C8EF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7540E09">
            <w:pPr>
              <w:jc w:val="center"/>
              <w:rPr>
                <w:rFonts w:ascii="仿宋_GB2312" w:hAnsi="黑体" w:eastAsia="仿宋_GB2312" w:cs="黑体"/>
                <w:color w:val="000000" w:themeColor="text1"/>
                <w:sz w:val="18"/>
                <w:szCs w:val="18"/>
              </w:rPr>
            </w:pPr>
          </w:p>
        </w:tc>
        <w:tc>
          <w:tcPr>
            <w:tcW w:w="1406" w:type="dxa"/>
            <w:vAlign w:val="center"/>
          </w:tcPr>
          <w:p w14:paraId="1910072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02A6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4101736">
            <w:pPr>
              <w:rPr>
                <w:color w:val="000000" w:themeColor="text1"/>
              </w:rPr>
            </w:pPr>
          </w:p>
        </w:tc>
        <w:tc>
          <w:tcPr>
            <w:tcW w:w="1110" w:type="dxa"/>
            <w:vAlign w:val="center"/>
          </w:tcPr>
          <w:p w14:paraId="5C949F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2A6BCA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397E8CD">
            <w:pPr>
              <w:jc w:val="center"/>
              <w:rPr>
                <w:rFonts w:ascii="仿宋_GB2312" w:hAnsi="黑体" w:eastAsia="仿宋_GB2312" w:cs="黑体"/>
                <w:color w:val="000000" w:themeColor="text1"/>
                <w:sz w:val="18"/>
                <w:szCs w:val="18"/>
              </w:rPr>
            </w:pPr>
          </w:p>
        </w:tc>
        <w:tc>
          <w:tcPr>
            <w:tcW w:w="1406" w:type="dxa"/>
            <w:vAlign w:val="center"/>
          </w:tcPr>
          <w:p w14:paraId="04FAD1E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20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46A8D789">
            <w:pPr>
              <w:rPr>
                <w:color w:val="000000" w:themeColor="text1"/>
              </w:rPr>
            </w:pPr>
          </w:p>
        </w:tc>
        <w:tc>
          <w:tcPr>
            <w:tcW w:w="1110" w:type="dxa"/>
            <w:vAlign w:val="center"/>
          </w:tcPr>
          <w:p w14:paraId="7B8E63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1138A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0180A61">
            <w:pPr>
              <w:jc w:val="center"/>
              <w:rPr>
                <w:rFonts w:ascii="仿宋_GB2312" w:hAnsi="黑体" w:eastAsia="仿宋_GB2312" w:cs="黑体"/>
                <w:color w:val="000000" w:themeColor="text1"/>
                <w:sz w:val="18"/>
                <w:szCs w:val="18"/>
              </w:rPr>
            </w:pPr>
          </w:p>
        </w:tc>
        <w:tc>
          <w:tcPr>
            <w:tcW w:w="1406" w:type="dxa"/>
            <w:vAlign w:val="center"/>
          </w:tcPr>
          <w:p w14:paraId="1C081B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E06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7D1C52E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9A2057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41D5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5B225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DC3D22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2E2E0F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A90F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003FF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1290D8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052BC6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8C45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2CD0EF5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48D46F5">
            <w:pPr>
              <w:widowControl/>
              <w:jc w:val="left"/>
              <w:textAlignment w:val="center"/>
              <w:rPr>
                <w:rFonts w:ascii="黑体" w:eastAsia="黑体" w:cs="黑体"/>
                <w:color w:val="000000" w:themeColor="text1"/>
                <w:kern w:val="0"/>
                <w:sz w:val="18"/>
                <w:szCs w:val="18"/>
              </w:rPr>
            </w:pPr>
          </w:p>
        </w:tc>
      </w:tr>
    </w:tbl>
    <w:p w14:paraId="61AB088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2F1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38017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6F550FA">
            <w:pPr>
              <w:jc w:val="center"/>
              <w:rPr>
                <w:rFonts w:ascii="黑体" w:eastAsia="黑体" w:cs="黑体"/>
                <w:b/>
                <w:bCs/>
                <w:color w:val="000000" w:themeColor="text1"/>
                <w:szCs w:val="21"/>
              </w:rPr>
            </w:pPr>
            <w:r>
              <w:rPr>
                <w:rFonts w:ascii="黑体" w:eastAsia="黑体" w:cs="黑体"/>
                <w:b/>
                <w:bCs/>
                <w:color w:val="000000" w:themeColor="text1"/>
                <w:szCs w:val="21"/>
              </w:rPr>
              <w:t>79</w:t>
            </w:r>
          </w:p>
        </w:tc>
        <w:tc>
          <w:tcPr>
            <w:tcW w:w="1691" w:type="dxa"/>
            <w:vAlign w:val="center"/>
          </w:tcPr>
          <w:p w14:paraId="33F6B0C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EBCB8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68BDE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AFEC12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F3CE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BA9003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8D7B1B5">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对危害城市公共汽电车客运服务设施行为的行政处罚</w:t>
            </w:r>
          </w:p>
        </w:tc>
      </w:tr>
      <w:tr w14:paraId="58249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1F1288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571481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0612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AF7D3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AC742B3">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五十四条任何单位和个人都有保护城市公共汽电车客运服务设施的义务，不得有下列行为：（一）破坏、盗窃城市公共汽电车车辆、设施设备；（二）擅自关闭、侵占、拆除城市公共汽电车客运服务设施或者挪作他用；（三）损坏、覆盖电车供电设施及其保护标识，在电车架线杆、馈线安全保护范围内修建建筑物、构筑物或者堆放、悬挂物品，搭设管线、电（光）缆等；（四）擅自覆盖、涂改、污损、毁坏或者迁移、拆除站牌；（五）其他影响城市公共汽电车客运服务设施功能和安全的行为。</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第六十六条违反本规定第五十四条，有危害城市公共汽电车客运服务设施行为的，由城市公共交通主管部门责令改正，对损坏的设施依法赔偿，并对个人处</w:t>
            </w:r>
            <w:r>
              <w:rPr>
                <w:rFonts w:ascii="仿宋" w:hAnsi="仿宋" w:eastAsia="仿宋" w:cs="宋体"/>
                <w:color w:val="000000" w:themeColor="text1"/>
                <w:kern w:val="0"/>
                <w:sz w:val="18"/>
                <w:szCs w:val="18"/>
              </w:rPr>
              <w:t>1000</w:t>
            </w:r>
            <w:r>
              <w:rPr>
                <w:rFonts w:hint="eastAsia" w:ascii="仿宋" w:hAnsi="仿宋" w:eastAsia="仿宋" w:cs="宋体"/>
                <w:color w:val="000000" w:themeColor="text1"/>
                <w:kern w:val="0"/>
                <w:sz w:val="18"/>
                <w:szCs w:val="18"/>
              </w:rPr>
              <w:t>元以下的罚款，对单位处</w:t>
            </w:r>
            <w:r>
              <w:rPr>
                <w:rFonts w:ascii="仿宋" w:hAnsi="仿宋" w:eastAsia="仿宋" w:cs="宋体"/>
                <w:color w:val="000000" w:themeColor="text1"/>
                <w:kern w:val="0"/>
                <w:sz w:val="18"/>
                <w:szCs w:val="18"/>
              </w:rPr>
              <w:t>5000</w:t>
            </w:r>
            <w:r>
              <w:rPr>
                <w:rFonts w:hint="eastAsia" w:ascii="仿宋" w:hAnsi="仿宋" w:eastAsia="仿宋" w:cs="宋体"/>
                <w:color w:val="000000" w:themeColor="text1"/>
                <w:kern w:val="0"/>
                <w:sz w:val="18"/>
                <w:szCs w:val="18"/>
              </w:rPr>
              <w:t>元以下的罚款。构成犯罪的，依法追究刑事责任。</w:t>
            </w:r>
          </w:p>
          <w:p w14:paraId="60217390">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EE1D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8686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27B44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4BAFC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CA071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8A0B00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2492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519C33A">
            <w:pPr>
              <w:rPr>
                <w:color w:val="000000" w:themeColor="text1"/>
              </w:rPr>
            </w:pPr>
          </w:p>
        </w:tc>
        <w:tc>
          <w:tcPr>
            <w:tcW w:w="1110" w:type="dxa"/>
            <w:vAlign w:val="center"/>
          </w:tcPr>
          <w:p w14:paraId="1C1412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1E20AC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E499D2F">
            <w:pPr>
              <w:jc w:val="center"/>
              <w:rPr>
                <w:rFonts w:ascii="仿宋_GB2312" w:hAnsi="黑体" w:eastAsia="仿宋_GB2312" w:cs="黑体"/>
                <w:color w:val="000000" w:themeColor="text1"/>
                <w:sz w:val="18"/>
                <w:szCs w:val="18"/>
              </w:rPr>
            </w:pPr>
          </w:p>
        </w:tc>
        <w:tc>
          <w:tcPr>
            <w:tcW w:w="1406" w:type="dxa"/>
            <w:vAlign w:val="center"/>
          </w:tcPr>
          <w:p w14:paraId="0171E9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A52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FC6E5F8">
            <w:pPr>
              <w:rPr>
                <w:color w:val="000000" w:themeColor="text1"/>
              </w:rPr>
            </w:pPr>
          </w:p>
        </w:tc>
        <w:tc>
          <w:tcPr>
            <w:tcW w:w="1110" w:type="dxa"/>
            <w:vAlign w:val="center"/>
          </w:tcPr>
          <w:p w14:paraId="563CBA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6D04E6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44718B2">
            <w:pPr>
              <w:jc w:val="center"/>
              <w:rPr>
                <w:rFonts w:ascii="仿宋_GB2312" w:hAnsi="黑体" w:eastAsia="仿宋_GB2312" w:cs="黑体"/>
                <w:color w:val="000000" w:themeColor="text1"/>
                <w:sz w:val="18"/>
                <w:szCs w:val="18"/>
              </w:rPr>
            </w:pPr>
          </w:p>
        </w:tc>
        <w:tc>
          <w:tcPr>
            <w:tcW w:w="1406" w:type="dxa"/>
            <w:vAlign w:val="center"/>
          </w:tcPr>
          <w:p w14:paraId="7A4374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9A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D21131A">
            <w:pPr>
              <w:rPr>
                <w:color w:val="000000" w:themeColor="text1"/>
              </w:rPr>
            </w:pPr>
          </w:p>
        </w:tc>
        <w:tc>
          <w:tcPr>
            <w:tcW w:w="1110" w:type="dxa"/>
            <w:vAlign w:val="center"/>
          </w:tcPr>
          <w:p w14:paraId="5460FD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3EA063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6906194">
            <w:pPr>
              <w:jc w:val="center"/>
              <w:rPr>
                <w:rFonts w:ascii="仿宋_GB2312" w:hAnsi="黑体" w:eastAsia="仿宋_GB2312" w:cs="黑体"/>
                <w:color w:val="000000" w:themeColor="text1"/>
                <w:sz w:val="18"/>
                <w:szCs w:val="18"/>
              </w:rPr>
            </w:pPr>
          </w:p>
        </w:tc>
        <w:tc>
          <w:tcPr>
            <w:tcW w:w="1406" w:type="dxa"/>
            <w:vAlign w:val="center"/>
          </w:tcPr>
          <w:p w14:paraId="16AA9B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B3F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ED4C36E">
            <w:pPr>
              <w:rPr>
                <w:color w:val="000000" w:themeColor="text1"/>
              </w:rPr>
            </w:pPr>
          </w:p>
        </w:tc>
        <w:tc>
          <w:tcPr>
            <w:tcW w:w="1110" w:type="dxa"/>
            <w:vAlign w:val="center"/>
          </w:tcPr>
          <w:p w14:paraId="06B277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51631B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664893C">
            <w:pPr>
              <w:jc w:val="center"/>
              <w:rPr>
                <w:rFonts w:ascii="仿宋_GB2312" w:hAnsi="黑体" w:eastAsia="仿宋_GB2312" w:cs="黑体"/>
                <w:color w:val="000000" w:themeColor="text1"/>
                <w:sz w:val="18"/>
                <w:szCs w:val="18"/>
              </w:rPr>
            </w:pPr>
          </w:p>
        </w:tc>
        <w:tc>
          <w:tcPr>
            <w:tcW w:w="1406" w:type="dxa"/>
            <w:vAlign w:val="center"/>
          </w:tcPr>
          <w:p w14:paraId="4F1866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6C7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1588F162">
            <w:pPr>
              <w:rPr>
                <w:color w:val="000000" w:themeColor="text1"/>
              </w:rPr>
            </w:pPr>
          </w:p>
        </w:tc>
        <w:tc>
          <w:tcPr>
            <w:tcW w:w="1110" w:type="dxa"/>
            <w:vAlign w:val="center"/>
          </w:tcPr>
          <w:p w14:paraId="6F4610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74BCC9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AF6CB5F">
            <w:pPr>
              <w:jc w:val="center"/>
              <w:rPr>
                <w:rFonts w:ascii="仿宋_GB2312" w:hAnsi="黑体" w:eastAsia="仿宋_GB2312" w:cs="黑体"/>
                <w:color w:val="000000" w:themeColor="text1"/>
                <w:sz w:val="18"/>
                <w:szCs w:val="18"/>
              </w:rPr>
            </w:pPr>
          </w:p>
        </w:tc>
        <w:tc>
          <w:tcPr>
            <w:tcW w:w="1406" w:type="dxa"/>
            <w:vAlign w:val="center"/>
          </w:tcPr>
          <w:p w14:paraId="024FF4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32D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61E44B3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270D0C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CD8F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D7A92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2461D1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713A4C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3F27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D6B82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4F3C5B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ED5B1C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93EF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B21040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97B954E">
            <w:pPr>
              <w:widowControl/>
              <w:jc w:val="left"/>
              <w:textAlignment w:val="center"/>
              <w:rPr>
                <w:rFonts w:ascii="黑体" w:eastAsia="黑体" w:cs="黑体"/>
                <w:color w:val="000000" w:themeColor="text1"/>
                <w:kern w:val="0"/>
                <w:sz w:val="18"/>
                <w:szCs w:val="18"/>
              </w:rPr>
            </w:pPr>
          </w:p>
        </w:tc>
      </w:tr>
    </w:tbl>
    <w:p w14:paraId="7460B54D">
      <w:pPr>
        <w:rPr>
          <w:color w:val="000000" w:themeColor="text1"/>
          <w:sz w:val="24"/>
        </w:rPr>
      </w:pPr>
    </w:p>
    <w:p w14:paraId="19795DB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9E1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D76DD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BDE8363">
            <w:pPr>
              <w:jc w:val="center"/>
              <w:rPr>
                <w:rFonts w:ascii="黑体" w:eastAsia="黑体" w:cs="黑体"/>
                <w:b/>
                <w:bCs/>
                <w:color w:val="000000" w:themeColor="text1"/>
                <w:szCs w:val="21"/>
              </w:rPr>
            </w:pPr>
            <w:r>
              <w:rPr>
                <w:rFonts w:ascii="黑体" w:eastAsia="黑体" w:cs="黑体"/>
                <w:b/>
                <w:bCs/>
                <w:color w:val="000000" w:themeColor="text1"/>
                <w:szCs w:val="21"/>
              </w:rPr>
              <w:t>80</w:t>
            </w:r>
          </w:p>
        </w:tc>
        <w:tc>
          <w:tcPr>
            <w:tcW w:w="1691" w:type="dxa"/>
            <w:vAlign w:val="center"/>
          </w:tcPr>
          <w:p w14:paraId="0140E9C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36A754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C49AB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9B6545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63AE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3ABEE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403350B">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对擅自从事城市公共汽电车客运线路运营的行政处罚</w:t>
            </w:r>
          </w:p>
        </w:tc>
      </w:tr>
      <w:tr w14:paraId="3DB4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0A55B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3F6A2E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A631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29161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97F9562">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第六十条未取得线路运营权、未与城市公共交通主管部门签订城市公共汽电车线路特许经营协议，擅自从事城市公共汽电车客运线路运营的，由城市公共交通主管部门责令停止运营，并处</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万元以下的罚款。</w:t>
            </w:r>
          </w:p>
          <w:p w14:paraId="021D7DCB">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DF8E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B1079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65BD0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73A86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360CB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BBC7F6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0E5A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1917056">
            <w:pPr>
              <w:rPr>
                <w:color w:val="000000" w:themeColor="text1"/>
              </w:rPr>
            </w:pPr>
          </w:p>
        </w:tc>
        <w:tc>
          <w:tcPr>
            <w:tcW w:w="1110" w:type="dxa"/>
            <w:vAlign w:val="center"/>
          </w:tcPr>
          <w:p w14:paraId="1F32F0A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A905C7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0695F83">
            <w:pPr>
              <w:jc w:val="center"/>
              <w:rPr>
                <w:rFonts w:ascii="仿宋_GB2312" w:hAnsi="黑体" w:eastAsia="仿宋_GB2312" w:cs="黑体"/>
                <w:color w:val="000000" w:themeColor="text1"/>
                <w:sz w:val="18"/>
                <w:szCs w:val="18"/>
              </w:rPr>
            </w:pPr>
          </w:p>
        </w:tc>
        <w:tc>
          <w:tcPr>
            <w:tcW w:w="1406" w:type="dxa"/>
            <w:vAlign w:val="center"/>
          </w:tcPr>
          <w:p w14:paraId="5B6671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AAC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EB615EB">
            <w:pPr>
              <w:rPr>
                <w:color w:val="000000" w:themeColor="text1"/>
              </w:rPr>
            </w:pPr>
          </w:p>
        </w:tc>
        <w:tc>
          <w:tcPr>
            <w:tcW w:w="1110" w:type="dxa"/>
            <w:vAlign w:val="center"/>
          </w:tcPr>
          <w:p w14:paraId="3C8B521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757D23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0F360AC">
            <w:pPr>
              <w:jc w:val="center"/>
              <w:rPr>
                <w:rFonts w:ascii="仿宋_GB2312" w:hAnsi="黑体" w:eastAsia="仿宋_GB2312" w:cs="黑体"/>
                <w:color w:val="000000" w:themeColor="text1"/>
                <w:sz w:val="18"/>
                <w:szCs w:val="18"/>
              </w:rPr>
            </w:pPr>
          </w:p>
        </w:tc>
        <w:tc>
          <w:tcPr>
            <w:tcW w:w="1406" w:type="dxa"/>
            <w:vAlign w:val="center"/>
          </w:tcPr>
          <w:p w14:paraId="4D3039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02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EAECA6F">
            <w:pPr>
              <w:rPr>
                <w:color w:val="000000" w:themeColor="text1"/>
              </w:rPr>
            </w:pPr>
          </w:p>
        </w:tc>
        <w:tc>
          <w:tcPr>
            <w:tcW w:w="1110" w:type="dxa"/>
            <w:vAlign w:val="center"/>
          </w:tcPr>
          <w:p w14:paraId="15D8BA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43A689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F57D0F4">
            <w:pPr>
              <w:jc w:val="center"/>
              <w:rPr>
                <w:rFonts w:ascii="仿宋_GB2312" w:hAnsi="黑体" w:eastAsia="仿宋_GB2312" w:cs="黑体"/>
                <w:color w:val="000000" w:themeColor="text1"/>
                <w:sz w:val="18"/>
                <w:szCs w:val="18"/>
              </w:rPr>
            </w:pPr>
          </w:p>
        </w:tc>
        <w:tc>
          <w:tcPr>
            <w:tcW w:w="1406" w:type="dxa"/>
            <w:vAlign w:val="center"/>
          </w:tcPr>
          <w:p w14:paraId="0793C68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52F0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F23095D">
            <w:pPr>
              <w:rPr>
                <w:color w:val="000000" w:themeColor="text1"/>
              </w:rPr>
            </w:pPr>
          </w:p>
        </w:tc>
        <w:tc>
          <w:tcPr>
            <w:tcW w:w="1110" w:type="dxa"/>
            <w:vAlign w:val="center"/>
          </w:tcPr>
          <w:p w14:paraId="6CB187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5D35FD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BCF21B3">
            <w:pPr>
              <w:jc w:val="center"/>
              <w:rPr>
                <w:rFonts w:ascii="仿宋_GB2312" w:hAnsi="黑体" w:eastAsia="仿宋_GB2312" w:cs="黑体"/>
                <w:color w:val="000000" w:themeColor="text1"/>
                <w:sz w:val="18"/>
                <w:szCs w:val="18"/>
              </w:rPr>
            </w:pPr>
          </w:p>
        </w:tc>
        <w:tc>
          <w:tcPr>
            <w:tcW w:w="1406" w:type="dxa"/>
            <w:vAlign w:val="center"/>
          </w:tcPr>
          <w:p w14:paraId="22F896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0799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1B4FFC0D">
            <w:pPr>
              <w:rPr>
                <w:color w:val="000000" w:themeColor="text1"/>
              </w:rPr>
            </w:pPr>
          </w:p>
        </w:tc>
        <w:tc>
          <w:tcPr>
            <w:tcW w:w="1110" w:type="dxa"/>
            <w:vAlign w:val="center"/>
          </w:tcPr>
          <w:p w14:paraId="7E782B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2B7670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5EB2868">
            <w:pPr>
              <w:jc w:val="center"/>
              <w:rPr>
                <w:rFonts w:ascii="仿宋_GB2312" w:hAnsi="黑体" w:eastAsia="仿宋_GB2312" w:cs="黑体"/>
                <w:color w:val="000000" w:themeColor="text1"/>
                <w:sz w:val="18"/>
                <w:szCs w:val="18"/>
              </w:rPr>
            </w:pPr>
          </w:p>
        </w:tc>
        <w:tc>
          <w:tcPr>
            <w:tcW w:w="1406" w:type="dxa"/>
            <w:vAlign w:val="center"/>
          </w:tcPr>
          <w:p w14:paraId="5D9C6C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387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4D3616A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0934D2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326D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4596C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C9A0C9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CAB5AB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7DED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3E0E7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C0235E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802419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5ADA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E53B47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F0F00A3">
            <w:pPr>
              <w:widowControl/>
              <w:jc w:val="left"/>
              <w:textAlignment w:val="center"/>
              <w:rPr>
                <w:rFonts w:ascii="黑体" w:eastAsia="黑体" w:cs="黑体"/>
                <w:color w:val="000000" w:themeColor="text1"/>
                <w:kern w:val="0"/>
                <w:sz w:val="18"/>
                <w:szCs w:val="18"/>
              </w:rPr>
            </w:pPr>
          </w:p>
        </w:tc>
      </w:tr>
    </w:tbl>
    <w:p w14:paraId="6C828C3C">
      <w:pPr>
        <w:rPr>
          <w:color w:val="000000" w:themeColor="text1"/>
          <w:sz w:val="24"/>
        </w:rPr>
      </w:pPr>
    </w:p>
    <w:p w14:paraId="160066BD">
      <w:pPr>
        <w:pStyle w:val="8"/>
        <w:snapToGrid w:val="0"/>
        <w:spacing w:before="0" w:beforeAutospacing="0" w:after="0" w:afterAutospacing="0" w:line="240" w:lineRule="atLeast"/>
        <w:jc w:val="both"/>
        <w:rPr>
          <w:color w:val="000000" w:themeColor="text1"/>
          <w:sz w:val="11"/>
          <w:szCs w:val="11"/>
        </w:rPr>
      </w:pPr>
    </w:p>
    <w:p w14:paraId="2AAC91F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27A4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E838F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374389D">
            <w:pPr>
              <w:jc w:val="center"/>
              <w:rPr>
                <w:rFonts w:ascii="黑体" w:eastAsia="黑体" w:cs="黑体"/>
                <w:b/>
                <w:bCs/>
                <w:color w:val="000000" w:themeColor="text1"/>
                <w:szCs w:val="21"/>
              </w:rPr>
            </w:pPr>
            <w:r>
              <w:rPr>
                <w:rFonts w:ascii="黑体" w:eastAsia="黑体" w:cs="黑体"/>
                <w:b/>
                <w:bCs/>
                <w:color w:val="000000" w:themeColor="text1"/>
                <w:szCs w:val="21"/>
              </w:rPr>
              <w:t>81</w:t>
            </w:r>
          </w:p>
        </w:tc>
        <w:tc>
          <w:tcPr>
            <w:tcW w:w="1691" w:type="dxa"/>
            <w:vAlign w:val="center"/>
          </w:tcPr>
          <w:p w14:paraId="36CDCCE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9EEF32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956C2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4F1F19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FBF8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C5EA3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050E072">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对运营企业未定期对城市公共汽电车车辆及其安全设施设备进行检测、维护、更新等行为的行政处罚</w:t>
            </w:r>
          </w:p>
        </w:tc>
      </w:tr>
      <w:tr w14:paraId="0A62E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9737BF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68E4D8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0F52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D76E1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291609B">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第六十二条运营企业有下列行为之一的，由城市公共交通主管部门责令限期改正；逾期未改正的，处</w:t>
            </w:r>
            <w:r>
              <w:rPr>
                <w:rFonts w:ascii="仿宋" w:hAnsi="仿宋" w:eastAsia="仿宋" w:cs="宋体"/>
                <w:color w:val="000000" w:themeColor="text1"/>
                <w:kern w:val="0"/>
                <w:sz w:val="18"/>
                <w:szCs w:val="18"/>
              </w:rPr>
              <w:t>5000</w:t>
            </w:r>
            <w:r>
              <w:rPr>
                <w:rFonts w:hint="eastAsia" w:ascii="仿宋" w:hAnsi="仿宋" w:eastAsia="仿宋" w:cs="宋体"/>
                <w:color w:val="000000" w:themeColor="text1"/>
                <w:kern w:val="0"/>
                <w:sz w:val="18"/>
                <w:szCs w:val="18"/>
              </w:rPr>
              <w:t>元以上</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下的罚款：（一）未定期对城市公共汽电车车辆及其安全设施设备进行检测、维护、更新的；（二）未在城市公共汽电车车辆和场站醒目位置设置安全警示标志、安全疏散示意图和安全应急设备的；（三）使用不具备本规定第二十七条规定条件的人员担任驾驶员、乘务员的；（四）未对拟担任驾驶员、乘务员的人员进行培训、考核的。</w:t>
            </w:r>
          </w:p>
          <w:p w14:paraId="0925AE3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7ECC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1D11F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42DE8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1E218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38926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CBD12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2BF0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AEC52D4">
            <w:pPr>
              <w:rPr>
                <w:color w:val="000000" w:themeColor="text1"/>
              </w:rPr>
            </w:pPr>
          </w:p>
        </w:tc>
        <w:tc>
          <w:tcPr>
            <w:tcW w:w="1110" w:type="dxa"/>
            <w:vAlign w:val="center"/>
          </w:tcPr>
          <w:p w14:paraId="41144CF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C18BEF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C5BE955">
            <w:pPr>
              <w:jc w:val="center"/>
              <w:rPr>
                <w:rFonts w:ascii="仿宋_GB2312" w:hAnsi="黑体" w:eastAsia="仿宋_GB2312" w:cs="黑体"/>
                <w:color w:val="000000" w:themeColor="text1"/>
                <w:sz w:val="18"/>
                <w:szCs w:val="18"/>
              </w:rPr>
            </w:pPr>
          </w:p>
        </w:tc>
        <w:tc>
          <w:tcPr>
            <w:tcW w:w="1406" w:type="dxa"/>
            <w:vAlign w:val="center"/>
          </w:tcPr>
          <w:p w14:paraId="1681F1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A9A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E538444">
            <w:pPr>
              <w:rPr>
                <w:color w:val="000000" w:themeColor="text1"/>
              </w:rPr>
            </w:pPr>
          </w:p>
        </w:tc>
        <w:tc>
          <w:tcPr>
            <w:tcW w:w="1110" w:type="dxa"/>
            <w:vAlign w:val="center"/>
          </w:tcPr>
          <w:p w14:paraId="7286E7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BCD299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F981495">
            <w:pPr>
              <w:jc w:val="center"/>
              <w:rPr>
                <w:rFonts w:ascii="仿宋_GB2312" w:hAnsi="黑体" w:eastAsia="仿宋_GB2312" w:cs="黑体"/>
                <w:color w:val="000000" w:themeColor="text1"/>
                <w:sz w:val="18"/>
                <w:szCs w:val="18"/>
              </w:rPr>
            </w:pPr>
          </w:p>
        </w:tc>
        <w:tc>
          <w:tcPr>
            <w:tcW w:w="1406" w:type="dxa"/>
            <w:vAlign w:val="center"/>
          </w:tcPr>
          <w:p w14:paraId="009711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F07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591195D">
            <w:pPr>
              <w:rPr>
                <w:color w:val="000000" w:themeColor="text1"/>
              </w:rPr>
            </w:pPr>
          </w:p>
        </w:tc>
        <w:tc>
          <w:tcPr>
            <w:tcW w:w="1110" w:type="dxa"/>
            <w:vAlign w:val="center"/>
          </w:tcPr>
          <w:p w14:paraId="41E9D0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C789D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9981DF8">
            <w:pPr>
              <w:jc w:val="center"/>
              <w:rPr>
                <w:rFonts w:ascii="仿宋_GB2312" w:hAnsi="黑体" w:eastAsia="仿宋_GB2312" w:cs="黑体"/>
                <w:color w:val="000000" w:themeColor="text1"/>
                <w:sz w:val="18"/>
                <w:szCs w:val="18"/>
              </w:rPr>
            </w:pPr>
          </w:p>
        </w:tc>
        <w:tc>
          <w:tcPr>
            <w:tcW w:w="1406" w:type="dxa"/>
            <w:vAlign w:val="center"/>
          </w:tcPr>
          <w:p w14:paraId="2918DF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B45B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D460F58">
            <w:pPr>
              <w:rPr>
                <w:color w:val="000000" w:themeColor="text1"/>
              </w:rPr>
            </w:pPr>
          </w:p>
        </w:tc>
        <w:tc>
          <w:tcPr>
            <w:tcW w:w="1110" w:type="dxa"/>
            <w:vAlign w:val="center"/>
          </w:tcPr>
          <w:p w14:paraId="174DD8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D5DD2D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5D1275A">
            <w:pPr>
              <w:jc w:val="center"/>
              <w:rPr>
                <w:rFonts w:ascii="仿宋_GB2312" w:hAnsi="黑体" w:eastAsia="仿宋_GB2312" w:cs="黑体"/>
                <w:color w:val="000000" w:themeColor="text1"/>
                <w:sz w:val="18"/>
                <w:szCs w:val="18"/>
              </w:rPr>
            </w:pPr>
          </w:p>
        </w:tc>
        <w:tc>
          <w:tcPr>
            <w:tcW w:w="1406" w:type="dxa"/>
            <w:vAlign w:val="center"/>
          </w:tcPr>
          <w:p w14:paraId="3D0BF4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68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23F27C6A">
            <w:pPr>
              <w:rPr>
                <w:color w:val="000000" w:themeColor="text1"/>
              </w:rPr>
            </w:pPr>
          </w:p>
        </w:tc>
        <w:tc>
          <w:tcPr>
            <w:tcW w:w="1110" w:type="dxa"/>
            <w:vAlign w:val="center"/>
          </w:tcPr>
          <w:p w14:paraId="5F8570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42C5B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A77284B">
            <w:pPr>
              <w:jc w:val="center"/>
              <w:rPr>
                <w:rFonts w:ascii="仿宋_GB2312" w:hAnsi="黑体" w:eastAsia="仿宋_GB2312" w:cs="黑体"/>
                <w:color w:val="000000" w:themeColor="text1"/>
                <w:sz w:val="18"/>
                <w:szCs w:val="18"/>
              </w:rPr>
            </w:pPr>
          </w:p>
        </w:tc>
        <w:tc>
          <w:tcPr>
            <w:tcW w:w="1406" w:type="dxa"/>
            <w:vAlign w:val="center"/>
          </w:tcPr>
          <w:p w14:paraId="6D7D3A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96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209A9A9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1BF3D9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B205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C8E89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FFF1EC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8A082C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701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BA785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E1A070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BA267A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E71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AC35FE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392D4B6">
            <w:pPr>
              <w:widowControl/>
              <w:jc w:val="left"/>
              <w:textAlignment w:val="center"/>
              <w:rPr>
                <w:rFonts w:ascii="黑体" w:eastAsia="黑体" w:cs="黑体"/>
                <w:color w:val="000000" w:themeColor="text1"/>
                <w:kern w:val="0"/>
                <w:sz w:val="18"/>
                <w:szCs w:val="18"/>
              </w:rPr>
            </w:pPr>
          </w:p>
        </w:tc>
      </w:tr>
    </w:tbl>
    <w:p w14:paraId="4404D733">
      <w:pPr>
        <w:rPr>
          <w:color w:val="000000" w:themeColor="text1"/>
          <w:sz w:val="24"/>
        </w:rPr>
      </w:pPr>
    </w:p>
    <w:p w14:paraId="528746EF">
      <w:pPr>
        <w:rPr>
          <w:color w:val="000000" w:themeColor="text1"/>
          <w:sz w:val="24"/>
        </w:rPr>
      </w:pPr>
    </w:p>
    <w:p w14:paraId="7557C3E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441A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F5E4C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19002E3">
            <w:pPr>
              <w:jc w:val="center"/>
              <w:rPr>
                <w:rFonts w:ascii="黑体" w:eastAsia="黑体" w:cs="黑体"/>
                <w:b/>
                <w:bCs/>
                <w:color w:val="000000" w:themeColor="text1"/>
                <w:szCs w:val="21"/>
              </w:rPr>
            </w:pPr>
            <w:r>
              <w:rPr>
                <w:rFonts w:ascii="黑体" w:eastAsia="黑体" w:cs="黑体"/>
                <w:b/>
                <w:bCs/>
                <w:color w:val="000000" w:themeColor="text1"/>
                <w:szCs w:val="21"/>
              </w:rPr>
              <w:t>82</w:t>
            </w:r>
          </w:p>
        </w:tc>
        <w:tc>
          <w:tcPr>
            <w:tcW w:w="1691" w:type="dxa"/>
            <w:vAlign w:val="center"/>
          </w:tcPr>
          <w:p w14:paraId="7E4873C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16F521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D3C01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0C2DE9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6E21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16A95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5564C65">
            <w:pPr>
              <w:widowControl/>
              <w:jc w:val="center"/>
              <w:textAlignment w:val="center"/>
              <w:rPr>
                <w:rFonts w:ascii="仿宋" w:hAnsi="仿宋" w:eastAsia="仿宋" w:cs="宋体"/>
                <w:b/>
                <w:color w:val="000000" w:themeColor="text1"/>
                <w:kern w:val="0"/>
                <w:sz w:val="18"/>
                <w:szCs w:val="18"/>
              </w:rPr>
            </w:pPr>
            <w:r>
              <w:rPr>
                <w:rFonts w:hint="eastAsia" w:ascii="仿宋" w:hAnsi="仿宋" w:eastAsia="仿宋" w:cs="宋体"/>
                <w:b/>
                <w:color w:val="000000" w:themeColor="text1"/>
                <w:kern w:val="0"/>
                <w:sz w:val="18"/>
                <w:szCs w:val="18"/>
              </w:rPr>
              <w:t>对城市公共汽车和电车运营企业未制定应急预案并组织演练等行为的行政处罚</w:t>
            </w:r>
          </w:p>
        </w:tc>
      </w:tr>
      <w:tr w14:paraId="26819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686FA2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F327F4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3CD2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60920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EFC380C">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第六十三条运营企业未制定应急预案并组织演练的，由城市公共交通主管部门责令限期改正，并处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万元以下的罚款。</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发生影响运营安全的突发事件时，运营企业未按照应急预案的规定采取应急处置措施，造成严重后果的，由城市公共交通主管部门处</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万元以下的罚款。</w:t>
            </w:r>
          </w:p>
          <w:p w14:paraId="0140B93A">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E960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68F5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3D113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5D5B5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B3F162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AE42A1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4673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6F18983">
            <w:pPr>
              <w:rPr>
                <w:color w:val="000000" w:themeColor="text1"/>
              </w:rPr>
            </w:pPr>
          </w:p>
        </w:tc>
        <w:tc>
          <w:tcPr>
            <w:tcW w:w="1110" w:type="dxa"/>
            <w:vAlign w:val="center"/>
          </w:tcPr>
          <w:p w14:paraId="7E5FCA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CF3971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83FD846">
            <w:pPr>
              <w:jc w:val="center"/>
              <w:rPr>
                <w:rFonts w:ascii="仿宋_GB2312" w:hAnsi="黑体" w:eastAsia="仿宋_GB2312" w:cs="黑体"/>
                <w:color w:val="000000" w:themeColor="text1"/>
                <w:sz w:val="18"/>
                <w:szCs w:val="18"/>
              </w:rPr>
            </w:pPr>
          </w:p>
        </w:tc>
        <w:tc>
          <w:tcPr>
            <w:tcW w:w="1406" w:type="dxa"/>
            <w:vAlign w:val="center"/>
          </w:tcPr>
          <w:p w14:paraId="405F22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E49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FC491A4">
            <w:pPr>
              <w:rPr>
                <w:color w:val="000000" w:themeColor="text1"/>
              </w:rPr>
            </w:pPr>
          </w:p>
        </w:tc>
        <w:tc>
          <w:tcPr>
            <w:tcW w:w="1110" w:type="dxa"/>
            <w:vAlign w:val="center"/>
          </w:tcPr>
          <w:p w14:paraId="7A2C7B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DDB94F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501728A">
            <w:pPr>
              <w:jc w:val="center"/>
              <w:rPr>
                <w:rFonts w:ascii="仿宋_GB2312" w:hAnsi="黑体" w:eastAsia="仿宋_GB2312" w:cs="黑体"/>
                <w:color w:val="000000" w:themeColor="text1"/>
                <w:sz w:val="18"/>
                <w:szCs w:val="18"/>
              </w:rPr>
            </w:pPr>
          </w:p>
        </w:tc>
        <w:tc>
          <w:tcPr>
            <w:tcW w:w="1406" w:type="dxa"/>
            <w:vAlign w:val="center"/>
          </w:tcPr>
          <w:p w14:paraId="64AB2C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6EF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7968969">
            <w:pPr>
              <w:rPr>
                <w:color w:val="000000" w:themeColor="text1"/>
              </w:rPr>
            </w:pPr>
          </w:p>
        </w:tc>
        <w:tc>
          <w:tcPr>
            <w:tcW w:w="1110" w:type="dxa"/>
            <w:vAlign w:val="center"/>
          </w:tcPr>
          <w:p w14:paraId="222DE34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590D6E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26A58F4">
            <w:pPr>
              <w:jc w:val="center"/>
              <w:rPr>
                <w:rFonts w:ascii="仿宋_GB2312" w:hAnsi="黑体" w:eastAsia="仿宋_GB2312" w:cs="黑体"/>
                <w:color w:val="000000" w:themeColor="text1"/>
                <w:sz w:val="18"/>
                <w:szCs w:val="18"/>
              </w:rPr>
            </w:pPr>
          </w:p>
        </w:tc>
        <w:tc>
          <w:tcPr>
            <w:tcW w:w="1406" w:type="dxa"/>
            <w:vAlign w:val="center"/>
          </w:tcPr>
          <w:p w14:paraId="22E0794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A751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C57CFBB">
            <w:pPr>
              <w:rPr>
                <w:color w:val="000000" w:themeColor="text1"/>
              </w:rPr>
            </w:pPr>
          </w:p>
        </w:tc>
        <w:tc>
          <w:tcPr>
            <w:tcW w:w="1110" w:type="dxa"/>
            <w:vAlign w:val="center"/>
          </w:tcPr>
          <w:p w14:paraId="02D5E9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4D9C5E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B19A65E">
            <w:pPr>
              <w:jc w:val="center"/>
              <w:rPr>
                <w:rFonts w:ascii="仿宋_GB2312" w:hAnsi="黑体" w:eastAsia="仿宋_GB2312" w:cs="黑体"/>
                <w:color w:val="000000" w:themeColor="text1"/>
                <w:sz w:val="18"/>
                <w:szCs w:val="18"/>
              </w:rPr>
            </w:pPr>
          </w:p>
        </w:tc>
        <w:tc>
          <w:tcPr>
            <w:tcW w:w="1406" w:type="dxa"/>
            <w:vAlign w:val="center"/>
          </w:tcPr>
          <w:p w14:paraId="38D3E3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F9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2CC4D796">
            <w:pPr>
              <w:rPr>
                <w:color w:val="000000" w:themeColor="text1"/>
              </w:rPr>
            </w:pPr>
          </w:p>
        </w:tc>
        <w:tc>
          <w:tcPr>
            <w:tcW w:w="1110" w:type="dxa"/>
            <w:vAlign w:val="center"/>
          </w:tcPr>
          <w:p w14:paraId="58DE06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D7195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790277B">
            <w:pPr>
              <w:jc w:val="center"/>
              <w:rPr>
                <w:rFonts w:ascii="仿宋_GB2312" w:hAnsi="黑体" w:eastAsia="仿宋_GB2312" w:cs="黑体"/>
                <w:color w:val="000000" w:themeColor="text1"/>
                <w:sz w:val="18"/>
                <w:szCs w:val="18"/>
              </w:rPr>
            </w:pPr>
          </w:p>
        </w:tc>
        <w:tc>
          <w:tcPr>
            <w:tcW w:w="1406" w:type="dxa"/>
            <w:vAlign w:val="center"/>
          </w:tcPr>
          <w:p w14:paraId="51896E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A3DF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73C3A7B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39ADC8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605F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BE62D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B9F90B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A16B42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B684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6B1BC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2844F2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6363A1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10E1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88C7DE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60665ED">
            <w:pPr>
              <w:widowControl/>
              <w:jc w:val="left"/>
              <w:textAlignment w:val="center"/>
              <w:rPr>
                <w:rFonts w:ascii="黑体" w:eastAsia="黑体" w:cs="黑体"/>
                <w:color w:val="000000" w:themeColor="text1"/>
                <w:kern w:val="0"/>
                <w:sz w:val="18"/>
                <w:szCs w:val="18"/>
              </w:rPr>
            </w:pPr>
          </w:p>
        </w:tc>
      </w:tr>
    </w:tbl>
    <w:p w14:paraId="02EAE8BF">
      <w:pPr>
        <w:rPr>
          <w:color w:val="000000" w:themeColor="text1"/>
          <w:sz w:val="24"/>
        </w:rPr>
      </w:pPr>
    </w:p>
    <w:p w14:paraId="7228E2D6">
      <w:pPr>
        <w:pStyle w:val="8"/>
        <w:snapToGrid w:val="0"/>
        <w:spacing w:before="0" w:beforeAutospacing="0" w:after="0" w:afterAutospacing="0" w:line="240" w:lineRule="atLeast"/>
        <w:jc w:val="both"/>
        <w:rPr>
          <w:color w:val="000000" w:themeColor="text1"/>
          <w:sz w:val="11"/>
          <w:szCs w:val="11"/>
        </w:rPr>
      </w:pPr>
    </w:p>
    <w:p w14:paraId="67F2DD5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FC05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6BAF4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225BFF1">
            <w:pPr>
              <w:jc w:val="center"/>
              <w:rPr>
                <w:rFonts w:ascii="黑体" w:eastAsia="黑体" w:cs="黑体"/>
                <w:b/>
                <w:bCs/>
                <w:color w:val="000000" w:themeColor="text1"/>
                <w:szCs w:val="21"/>
              </w:rPr>
            </w:pPr>
            <w:r>
              <w:rPr>
                <w:rFonts w:ascii="黑体" w:eastAsia="黑体" w:cs="黑体"/>
                <w:b/>
                <w:bCs/>
                <w:color w:val="000000" w:themeColor="text1"/>
                <w:szCs w:val="21"/>
              </w:rPr>
              <w:t>83</w:t>
            </w:r>
          </w:p>
        </w:tc>
        <w:tc>
          <w:tcPr>
            <w:tcW w:w="1691" w:type="dxa"/>
            <w:vAlign w:val="center"/>
          </w:tcPr>
          <w:p w14:paraId="34DB888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80F49F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963D6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9044FA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A53A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FFD99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E292EEA">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对城市公共汽电车客运场站和服务设施的日常管理单位未按照规定对有关场站设施进行管理和维护的行政处罚</w:t>
            </w:r>
          </w:p>
        </w:tc>
      </w:tr>
      <w:tr w14:paraId="5B6D5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3165CD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CDF19A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761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01585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778D9C6">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《城市公共汽车和电车客运管理规定》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第六十四条城市公共汽电车客运场站和服务设施的日常管理单位未按照规定对有关场站设施进行管理和维护的，由城市公共交通主管部门责令限期改正；逾期未改正的，处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万元以下的罚款。</w:t>
            </w:r>
          </w:p>
          <w:p w14:paraId="25D331FC">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985F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A77BA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D114F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492F2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E501F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87E8B0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8CC5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296CB23">
            <w:pPr>
              <w:rPr>
                <w:color w:val="000000" w:themeColor="text1"/>
              </w:rPr>
            </w:pPr>
          </w:p>
        </w:tc>
        <w:tc>
          <w:tcPr>
            <w:tcW w:w="1110" w:type="dxa"/>
            <w:vAlign w:val="center"/>
          </w:tcPr>
          <w:p w14:paraId="118991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D73FFD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B1C7CE9">
            <w:pPr>
              <w:jc w:val="center"/>
              <w:rPr>
                <w:rFonts w:ascii="仿宋_GB2312" w:hAnsi="黑体" w:eastAsia="仿宋_GB2312" w:cs="黑体"/>
                <w:color w:val="000000" w:themeColor="text1"/>
                <w:sz w:val="18"/>
                <w:szCs w:val="18"/>
              </w:rPr>
            </w:pPr>
          </w:p>
        </w:tc>
        <w:tc>
          <w:tcPr>
            <w:tcW w:w="1406" w:type="dxa"/>
            <w:vAlign w:val="center"/>
          </w:tcPr>
          <w:p w14:paraId="6FC6FE4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9CD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E204B9D">
            <w:pPr>
              <w:rPr>
                <w:color w:val="000000" w:themeColor="text1"/>
              </w:rPr>
            </w:pPr>
          </w:p>
        </w:tc>
        <w:tc>
          <w:tcPr>
            <w:tcW w:w="1110" w:type="dxa"/>
            <w:vAlign w:val="center"/>
          </w:tcPr>
          <w:p w14:paraId="380E59D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906556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1914B44">
            <w:pPr>
              <w:jc w:val="center"/>
              <w:rPr>
                <w:rFonts w:ascii="仿宋_GB2312" w:hAnsi="黑体" w:eastAsia="仿宋_GB2312" w:cs="黑体"/>
                <w:color w:val="000000" w:themeColor="text1"/>
                <w:sz w:val="18"/>
                <w:szCs w:val="18"/>
              </w:rPr>
            </w:pPr>
          </w:p>
        </w:tc>
        <w:tc>
          <w:tcPr>
            <w:tcW w:w="1406" w:type="dxa"/>
            <w:vAlign w:val="center"/>
          </w:tcPr>
          <w:p w14:paraId="0196D4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3828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303B047">
            <w:pPr>
              <w:rPr>
                <w:color w:val="000000" w:themeColor="text1"/>
              </w:rPr>
            </w:pPr>
          </w:p>
        </w:tc>
        <w:tc>
          <w:tcPr>
            <w:tcW w:w="1110" w:type="dxa"/>
            <w:vAlign w:val="center"/>
          </w:tcPr>
          <w:p w14:paraId="3CAC9E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9F4FE6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945745A">
            <w:pPr>
              <w:jc w:val="center"/>
              <w:rPr>
                <w:rFonts w:ascii="仿宋_GB2312" w:hAnsi="黑体" w:eastAsia="仿宋_GB2312" w:cs="黑体"/>
                <w:color w:val="000000" w:themeColor="text1"/>
                <w:sz w:val="18"/>
                <w:szCs w:val="18"/>
              </w:rPr>
            </w:pPr>
          </w:p>
        </w:tc>
        <w:tc>
          <w:tcPr>
            <w:tcW w:w="1406" w:type="dxa"/>
            <w:vAlign w:val="center"/>
          </w:tcPr>
          <w:p w14:paraId="4AF7F2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599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1A3CB2E">
            <w:pPr>
              <w:rPr>
                <w:color w:val="000000" w:themeColor="text1"/>
              </w:rPr>
            </w:pPr>
          </w:p>
        </w:tc>
        <w:tc>
          <w:tcPr>
            <w:tcW w:w="1110" w:type="dxa"/>
            <w:vAlign w:val="center"/>
          </w:tcPr>
          <w:p w14:paraId="13C32D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8BD64A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EC84B32">
            <w:pPr>
              <w:jc w:val="center"/>
              <w:rPr>
                <w:rFonts w:ascii="仿宋_GB2312" w:hAnsi="黑体" w:eastAsia="仿宋_GB2312" w:cs="黑体"/>
                <w:color w:val="000000" w:themeColor="text1"/>
                <w:sz w:val="18"/>
                <w:szCs w:val="18"/>
              </w:rPr>
            </w:pPr>
          </w:p>
        </w:tc>
        <w:tc>
          <w:tcPr>
            <w:tcW w:w="1406" w:type="dxa"/>
            <w:vAlign w:val="center"/>
          </w:tcPr>
          <w:p w14:paraId="519375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DB71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Merge w:val="continue"/>
            <w:vAlign w:val="center"/>
          </w:tcPr>
          <w:p w14:paraId="38041A6B">
            <w:pPr>
              <w:rPr>
                <w:color w:val="000000" w:themeColor="text1"/>
              </w:rPr>
            </w:pPr>
          </w:p>
        </w:tc>
        <w:tc>
          <w:tcPr>
            <w:tcW w:w="1110" w:type="dxa"/>
            <w:vAlign w:val="center"/>
          </w:tcPr>
          <w:p w14:paraId="64619E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E58CA0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C14C46B">
            <w:pPr>
              <w:jc w:val="center"/>
              <w:rPr>
                <w:rFonts w:ascii="仿宋_GB2312" w:hAnsi="黑体" w:eastAsia="仿宋_GB2312" w:cs="黑体"/>
                <w:color w:val="000000" w:themeColor="text1"/>
                <w:sz w:val="18"/>
                <w:szCs w:val="18"/>
              </w:rPr>
            </w:pPr>
          </w:p>
        </w:tc>
        <w:tc>
          <w:tcPr>
            <w:tcW w:w="1406" w:type="dxa"/>
            <w:vAlign w:val="center"/>
          </w:tcPr>
          <w:p w14:paraId="2B1BE2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3C7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3" w:hRule="atLeast"/>
          <w:jc w:val="center"/>
        </w:trPr>
        <w:tc>
          <w:tcPr>
            <w:tcW w:w="943" w:type="dxa"/>
            <w:vAlign w:val="center"/>
          </w:tcPr>
          <w:p w14:paraId="7A174D5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DD4549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C53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D314A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6325EE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B773AD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032D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239FF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569717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8FE2EC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73C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93F7EC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455592E">
            <w:pPr>
              <w:widowControl/>
              <w:jc w:val="left"/>
              <w:textAlignment w:val="center"/>
              <w:rPr>
                <w:rFonts w:ascii="黑体" w:eastAsia="黑体" w:cs="黑体"/>
                <w:color w:val="000000" w:themeColor="text1"/>
                <w:kern w:val="0"/>
                <w:sz w:val="18"/>
                <w:szCs w:val="18"/>
              </w:rPr>
            </w:pPr>
          </w:p>
        </w:tc>
      </w:tr>
    </w:tbl>
    <w:p w14:paraId="5744AC82">
      <w:pPr>
        <w:rPr>
          <w:color w:val="000000" w:themeColor="text1"/>
          <w:sz w:val="24"/>
        </w:rPr>
      </w:pPr>
    </w:p>
    <w:p w14:paraId="5A0F42D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7A7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4F875F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32B1791A">
            <w:pPr>
              <w:jc w:val="center"/>
              <w:rPr>
                <w:rFonts w:ascii="黑体" w:eastAsia="黑体" w:cs="黑体"/>
                <w:b/>
                <w:bCs/>
                <w:color w:val="000000" w:themeColor="text1"/>
                <w:szCs w:val="21"/>
              </w:rPr>
            </w:pPr>
            <w:r>
              <w:rPr>
                <w:rFonts w:ascii="黑体" w:eastAsia="黑体" w:cs="黑体"/>
                <w:b/>
                <w:bCs/>
                <w:color w:val="000000" w:themeColor="text1"/>
                <w:szCs w:val="21"/>
              </w:rPr>
              <w:t>84</w:t>
            </w:r>
          </w:p>
        </w:tc>
        <w:tc>
          <w:tcPr>
            <w:tcW w:w="1691" w:type="dxa"/>
            <w:tcMar>
              <w:top w:w="15" w:type="dxa"/>
              <w:left w:w="15" w:type="dxa"/>
              <w:bottom w:w="15" w:type="dxa"/>
              <w:right w:w="15" w:type="dxa"/>
            </w:tcMar>
            <w:vAlign w:val="center"/>
          </w:tcPr>
          <w:p w14:paraId="321C190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296186A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4FE1BF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7647904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CA9A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1CF277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6A7351C8">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对城市轨道交通运营单位未全程参与试运行等行为的行政处罚</w:t>
            </w:r>
          </w:p>
        </w:tc>
      </w:tr>
      <w:tr w14:paraId="76FFB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7FE42E2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59F7080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048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599ECA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5602C26A">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【法律法规】《城市轨道交通运营管理规定》</w:t>
            </w:r>
          </w:p>
          <w:p w14:paraId="7ED3158B">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第四十九条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违反本规定，运营单位有下列行为之一的，由城市轨道交通运营主管部门责令限期改正；逾期未改正的，处以</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万元以下的罚款，并可对其主要负责人处以</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万元以下的罚款：</w:t>
            </w:r>
          </w:p>
          <w:p w14:paraId="59F5B86D">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未全程参与试运行；（二）未按照相关标准对从业人员进行技能培训教育；（三）列车驾驶员未按照法律法规的规定取得职业准入资格；（四）列车驾驶员、行车调度员、行车值班员、信号工、通信工等重点岗位从业人员未经考核上岗；（五）未按照有关规定完善风险分级管控和隐患排查治理双重预防制度；（六）未建立风险数据库和隐患排查手册；（七）未按要求报告运营安全风险隐患整改情况；（八）未建立设施设备检查、检测评估、养护维修、更新改造制度和技术管理体系；（九）未对设施设备定期检查、检测评估和及时养护维修、更新改造；（十）未按照有关规定建立运营突发事件应急预案体系；（十一）储备的应急物资不满足需要，未配备专业应急救援装备，或者未建立应急救援队伍、配齐应急人员；（十二）未按时组织运营突发事件应急演练。</w:t>
            </w:r>
          </w:p>
          <w:p w14:paraId="2FCA03F4">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号第五条承担全区道路运输市场监管责任。执行道路运输有关政策、技术标准和运营规范并监督实施。</w:t>
            </w:r>
          </w:p>
          <w:p w14:paraId="28A21BEB">
            <w:pPr>
              <w:spacing w:line="240" w:lineRule="exact"/>
              <w:rPr>
                <w:rFonts w:ascii="仿宋_GB2312" w:eastAsia="仿宋_GB2312" w:cs="黑体"/>
                <w:b/>
                <w:bCs/>
                <w:color w:val="000000" w:themeColor="text1"/>
                <w:szCs w:val="21"/>
              </w:rPr>
            </w:pPr>
          </w:p>
        </w:tc>
      </w:tr>
      <w:tr w14:paraId="303E8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7ECEEE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4E194E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06F9241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10AA6F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2C98CC3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3EE3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6EA01F1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63A0F8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124B3980">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100F252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31FB812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5658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47596AD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0A0F3E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311B873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57971D6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E7DA3D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C135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7102826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BA87D7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A1E001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582FE4EE">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3CBC448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B1F4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6DA062B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FFAA34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061B0B5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536AB63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629071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42B5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4497564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01F94E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616A960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3298847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E54729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9BB2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02D3662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B20671C">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2A8B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78CD3BE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18997FA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C06689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9A3B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296AFA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EFE1FA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B4757F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8EE9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2603BE4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7F2DCFE3">
            <w:pPr>
              <w:widowControl/>
              <w:jc w:val="left"/>
              <w:textAlignment w:val="center"/>
              <w:rPr>
                <w:rFonts w:ascii="黑体" w:eastAsia="黑体" w:cs="黑体"/>
                <w:color w:val="000000" w:themeColor="text1"/>
                <w:kern w:val="0"/>
                <w:sz w:val="18"/>
                <w:szCs w:val="18"/>
              </w:rPr>
            </w:pPr>
          </w:p>
        </w:tc>
      </w:tr>
    </w:tbl>
    <w:p w14:paraId="44150736">
      <w:pPr>
        <w:rPr>
          <w:color w:val="000000" w:themeColor="text1"/>
        </w:rPr>
      </w:pPr>
    </w:p>
    <w:p w14:paraId="2423AB6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4A91F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741416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51998029">
            <w:pPr>
              <w:jc w:val="center"/>
              <w:rPr>
                <w:rFonts w:ascii="黑体" w:eastAsia="黑体" w:cs="黑体"/>
                <w:b/>
                <w:bCs/>
                <w:color w:val="000000" w:themeColor="text1"/>
                <w:szCs w:val="21"/>
              </w:rPr>
            </w:pPr>
            <w:r>
              <w:rPr>
                <w:rFonts w:ascii="黑体" w:eastAsia="黑体" w:cs="黑体"/>
                <w:b/>
                <w:bCs/>
                <w:color w:val="000000" w:themeColor="text1"/>
                <w:szCs w:val="21"/>
              </w:rPr>
              <w:t>85</w:t>
            </w:r>
          </w:p>
        </w:tc>
        <w:tc>
          <w:tcPr>
            <w:tcW w:w="1691" w:type="dxa"/>
            <w:tcMar>
              <w:top w:w="15" w:type="dxa"/>
              <w:left w:w="15" w:type="dxa"/>
              <w:bottom w:w="15" w:type="dxa"/>
              <w:right w:w="15" w:type="dxa"/>
            </w:tcMar>
            <w:vAlign w:val="center"/>
          </w:tcPr>
          <w:p w14:paraId="432C480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6860C31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240CD3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83D47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F1CF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F6810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2919932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对城市轨道交通运营单位未向社会公布运营服务质量承诺或者定期报告履行情况等行为的行政处罚</w:t>
            </w:r>
          </w:p>
        </w:tc>
      </w:tr>
      <w:tr w14:paraId="4BCC3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47D9D7A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6EE3E0D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A8F2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0BEB1C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4A56AC90">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【法律法规】《城市轨道交通运营管理规定》</w:t>
            </w:r>
          </w:p>
          <w:p w14:paraId="4FC032B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第五十一条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违反本规定，运营单位有下列行为之一，由城市轨道交通运营主管部门责令限期改正；逾期未改正的，处以</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万元以下的罚款：</w:t>
            </w:r>
          </w:p>
          <w:p w14:paraId="74210027">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未向社会公布运营服务质量承诺或者定期报告履行情况；（二）运行图未报城市轨道交通运营主管部门备案或者调整运行图严重影响服务质量的，未向城市轨道交通运营主管部门说明理由；（三）未按规定向乘客提供运营服务和安全应急等信息；（四）未建立投诉受理制度，或者未及时处理乘客投诉并将处理结果告知乘客；（五）采取的限流、甩站、封站、暂停运营等措施，未及时告知公众或者封站、暂停运营等措施未向城市轨道交通运营主管部门报告。</w:t>
            </w:r>
          </w:p>
          <w:p w14:paraId="5E0BBCA0">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号第五条承担全区道路运输市场监管责任。执行道路运输有关政策、技术标准和运营规范并监督实施。</w:t>
            </w:r>
          </w:p>
        </w:tc>
      </w:tr>
      <w:tr w14:paraId="39E5B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709615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44A7AA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717BCD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2FB939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321A8D6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16BD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6B8C765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2354C6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57F084B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5686B47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B56AB5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5230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F442B1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C8BA58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2D0D168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EB9793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2BC3D3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A795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0861194">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45DA03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176E9CF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7BBAFAC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518F02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F8D6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4B0F038F">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BD3334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60EB7D5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391F804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5E58EA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EDAF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2B4C4CD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14A4DA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11F26C2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36BDA7F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47F43C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B44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5311B9D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794D90A3">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54CCD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0D0667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64F150E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E79447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E817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44952C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C46CAB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4AEB8E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91C7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2FD522C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4DF38ED">
            <w:pPr>
              <w:widowControl/>
              <w:jc w:val="left"/>
              <w:textAlignment w:val="center"/>
              <w:rPr>
                <w:rFonts w:ascii="黑体" w:eastAsia="黑体" w:cs="黑体"/>
                <w:color w:val="000000" w:themeColor="text1"/>
                <w:kern w:val="0"/>
                <w:sz w:val="18"/>
                <w:szCs w:val="18"/>
              </w:rPr>
            </w:pPr>
          </w:p>
        </w:tc>
      </w:tr>
    </w:tbl>
    <w:p w14:paraId="747CFCE9">
      <w:pPr>
        <w:rPr>
          <w:color w:val="000000" w:themeColor="text1"/>
        </w:rPr>
      </w:pPr>
    </w:p>
    <w:p w14:paraId="34A38F77">
      <w:pPr>
        <w:pStyle w:val="8"/>
        <w:snapToGrid w:val="0"/>
        <w:spacing w:before="0" w:beforeAutospacing="0" w:after="0" w:afterAutospacing="0" w:line="240" w:lineRule="atLeast"/>
        <w:jc w:val="both"/>
        <w:rPr>
          <w:color w:val="000000" w:themeColor="text1"/>
          <w:sz w:val="11"/>
          <w:szCs w:val="11"/>
        </w:rPr>
      </w:pPr>
    </w:p>
    <w:p w14:paraId="70F3B6D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D8CC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0B653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973CFC5">
            <w:pPr>
              <w:jc w:val="center"/>
              <w:rPr>
                <w:rFonts w:ascii="黑体" w:eastAsia="黑体" w:cs="黑体"/>
                <w:b/>
                <w:bCs/>
                <w:color w:val="000000" w:themeColor="text1"/>
                <w:szCs w:val="21"/>
              </w:rPr>
            </w:pPr>
            <w:r>
              <w:rPr>
                <w:rFonts w:ascii="黑体" w:eastAsia="黑体" w:cs="黑体"/>
                <w:b/>
                <w:bCs/>
                <w:color w:val="000000" w:themeColor="text1"/>
                <w:szCs w:val="21"/>
              </w:rPr>
              <w:t>86</w:t>
            </w:r>
          </w:p>
        </w:tc>
        <w:tc>
          <w:tcPr>
            <w:tcW w:w="1691" w:type="dxa"/>
            <w:vAlign w:val="center"/>
          </w:tcPr>
          <w:p w14:paraId="66031D4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26CD03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2EA50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F1D9E8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7C47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01BA30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7C1275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对未依照规定对运营中的危险化学品与放射物品的运输工具通过定位系统实行监控行为的行政处罚</w:t>
            </w:r>
          </w:p>
        </w:tc>
      </w:tr>
      <w:tr w14:paraId="6827D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F0A28A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07220D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E02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02C88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77255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反恐怖主义法》第八十七条第（二）项违反本法规定，有下列情形之一的，由主管部门给予警告，并责令改正；拒不改正的，处十万元以下罚款，并对其直接负责的主管人员和其他直接责任人员处一万元以下罚款：（二）未依照规定对运营中的危险化学品、民用爆炸物品、核与放射物品的运输工具通过定位系统实行监控的。第九十三条单位违反本法规定，情节严重的，由主管部门责令停止从事相关业务、提供相关服务或者责令停产停业；造成严重后果的，吊销有关证照或者撤销登记。</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《危险货物道路运输安全管理办法》（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2019</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号）第四十五条危险货物承运人应当按照《中华人民共和国反恐怖主义法》和《</w:t>
            </w:r>
            <w:bookmarkStart w:id="11" w:name="OLE_LINK15"/>
            <w:r>
              <w:rPr>
                <w:rFonts w:hint="eastAsia" w:ascii="仿宋_GB2312" w:eastAsia="仿宋_GB2312" w:cs="仿宋_GB2312"/>
                <w:color w:val="000000" w:themeColor="text1"/>
                <w:kern w:val="0"/>
                <w:sz w:val="18"/>
                <w:szCs w:val="18"/>
              </w:rPr>
              <w:t>道路运输车辆动态监督管理办法</w:t>
            </w:r>
            <w:bookmarkEnd w:id="11"/>
            <w:r>
              <w:rPr>
                <w:rFonts w:hint="eastAsia" w:ascii="仿宋_GB2312" w:eastAsia="仿宋_GB2312" w:cs="仿宋_GB2312"/>
                <w:color w:val="000000" w:themeColor="text1"/>
                <w:kern w:val="0"/>
                <w:sz w:val="18"/>
                <w:szCs w:val="18"/>
              </w:rPr>
              <w:t>》（中华人民共和国交通运输部令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号）要求，在车辆运行期间通过定位系统对车辆和驾驶人进行监控管理。第六十三条交通运输主管部门对危险货物承运人违反本办法第四十五条，未按照要求对运营中的化学品、民用爆炸物品、核与放射性物品的运输车辆通过定位系统实行监控的，应当给予警告，并责令改正；拒不改正的，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万元以下的罚款，并对其直接负责的主管人员和其他直接责任人员处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万元以下的罚款。</w:t>
            </w:r>
          </w:p>
          <w:p w14:paraId="1CEFA36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D09D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2EC93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7FFE4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BA356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F7704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144C55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EF54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48" w:hRule="atLeast"/>
          <w:jc w:val="center"/>
        </w:trPr>
        <w:tc>
          <w:tcPr>
            <w:tcW w:w="943" w:type="dxa"/>
            <w:vMerge w:val="continue"/>
            <w:vAlign w:val="center"/>
          </w:tcPr>
          <w:p w14:paraId="0F4D6B4B">
            <w:pPr>
              <w:rPr>
                <w:color w:val="000000" w:themeColor="text1"/>
              </w:rPr>
            </w:pPr>
          </w:p>
        </w:tc>
        <w:tc>
          <w:tcPr>
            <w:tcW w:w="1110" w:type="dxa"/>
            <w:vAlign w:val="center"/>
          </w:tcPr>
          <w:p w14:paraId="440080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A4C61B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85FA6FD">
            <w:pPr>
              <w:jc w:val="center"/>
              <w:rPr>
                <w:rFonts w:ascii="仿宋_GB2312" w:hAnsi="黑体" w:eastAsia="仿宋_GB2312" w:cs="黑体"/>
                <w:color w:val="000000" w:themeColor="text1"/>
                <w:sz w:val="18"/>
                <w:szCs w:val="18"/>
              </w:rPr>
            </w:pPr>
          </w:p>
        </w:tc>
        <w:tc>
          <w:tcPr>
            <w:tcW w:w="1406" w:type="dxa"/>
            <w:vAlign w:val="center"/>
          </w:tcPr>
          <w:p w14:paraId="37506F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288E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7EEF4E2">
            <w:pPr>
              <w:rPr>
                <w:color w:val="000000" w:themeColor="text1"/>
              </w:rPr>
            </w:pPr>
          </w:p>
        </w:tc>
        <w:tc>
          <w:tcPr>
            <w:tcW w:w="1110" w:type="dxa"/>
            <w:vAlign w:val="center"/>
          </w:tcPr>
          <w:p w14:paraId="13FE61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1D57E0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2C85A25">
            <w:pPr>
              <w:jc w:val="center"/>
              <w:rPr>
                <w:rFonts w:ascii="仿宋_GB2312" w:hAnsi="黑体" w:eastAsia="仿宋_GB2312" w:cs="黑体"/>
                <w:color w:val="000000" w:themeColor="text1"/>
                <w:sz w:val="18"/>
                <w:szCs w:val="18"/>
              </w:rPr>
            </w:pPr>
          </w:p>
        </w:tc>
        <w:tc>
          <w:tcPr>
            <w:tcW w:w="1406" w:type="dxa"/>
            <w:vAlign w:val="center"/>
          </w:tcPr>
          <w:p w14:paraId="0174DD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25F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2A49B62">
            <w:pPr>
              <w:rPr>
                <w:color w:val="000000" w:themeColor="text1"/>
              </w:rPr>
            </w:pPr>
          </w:p>
        </w:tc>
        <w:tc>
          <w:tcPr>
            <w:tcW w:w="1110" w:type="dxa"/>
            <w:vAlign w:val="center"/>
          </w:tcPr>
          <w:p w14:paraId="7F27A0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D7C5EE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4B1CF9A">
            <w:pPr>
              <w:jc w:val="center"/>
              <w:rPr>
                <w:rFonts w:ascii="仿宋_GB2312" w:hAnsi="黑体" w:eastAsia="仿宋_GB2312" w:cs="黑体"/>
                <w:color w:val="000000" w:themeColor="text1"/>
                <w:sz w:val="18"/>
                <w:szCs w:val="18"/>
              </w:rPr>
            </w:pPr>
          </w:p>
        </w:tc>
        <w:tc>
          <w:tcPr>
            <w:tcW w:w="1406" w:type="dxa"/>
            <w:vAlign w:val="center"/>
          </w:tcPr>
          <w:p w14:paraId="1C7E64F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F5E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D1B659D">
            <w:pPr>
              <w:rPr>
                <w:color w:val="000000" w:themeColor="text1"/>
              </w:rPr>
            </w:pPr>
          </w:p>
        </w:tc>
        <w:tc>
          <w:tcPr>
            <w:tcW w:w="1110" w:type="dxa"/>
            <w:vAlign w:val="center"/>
          </w:tcPr>
          <w:p w14:paraId="136348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2B618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2302B1B">
            <w:pPr>
              <w:jc w:val="center"/>
              <w:rPr>
                <w:rFonts w:ascii="仿宋_GB2312" w:hAnsi="黑体" w:eastAsia="仿宋_GB2312" w:cs="黑体"/>
                <w:color w:val="000000" w:themeColor="text1"/>
                <w:sz w:val="18"/>
                <w:szCs w:val="18"/>
              </w:rPr>
            </w:pPr>
          </w:p>
        </w:tc>
        <w:tc>
          <w:tcPr>
            <w:tcW w:w="1406" w:type="dxa"/>
            <w:vAlign w:val="center"/>
          </w:tcPr>
          <w:p w14:paraId="400E72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A6E6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F06AA96">
            <w:pPr>
              <w:rPr>
                <w:color w:val="000000" w:themeColor="text1"/>
              </w:rPr>
            </w:pPr>
          </w:p>
        </w:tc>
        <w:tc>
          <w:tcPr>
            <w:tcW w:w="1110" w:type="dxa"/>
            <w:vAlign w:val="center"/>
          </w:tcPr>
          <w:p w14:paraId="0F2B6B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0A4371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DC442F5">
            <w:pPr>
              <w:jc w:val="center"/>
              <w:rPr>
                <w:rFonts w:ascii="仿宋_GB2312" w:hAnsi="黑体" w:eastAsia="仿宋_GB2312" w:cs="黑体"/>
                <w:color w:val="000000" w:themeColor="text1"/>
                <w:sz w:val="18"/>
                <w:szCs w:val="18"/>
              </w:rPr>
            </w:pPr>
          </w:p>
        </w:tc>
        <w:tc>
          <w:tcPr>
            <w:tcW w:w="1406" w:type="dxa"/>
            <w:vAlign w:val="center"/>
          </w:tcPr>
          <w:p w14:paraId="50DE728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DFD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F98B4A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7BA79B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DDD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A859C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27AFEC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E35C80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112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C3576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D51A46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3E36FB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8E34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67" w:hRule="atLeast"/>
          <w:jc w:val="center"/>
        </w:trPr>
        <w:tc>
          <w:tcPr>
            <w:tcW w:w="943" w:type="dxa"/>
            <w:vAlign w:val="center"/>
          </w:tcPr>
          <w:p w14:paraId="0B610D4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693EA74">
            <w:pPr>
              <w:widowControl/>
              <w:jc w:val="left"/>
              <w:textAlignment w:val="center"/>
              <w:rPr>
                <w:rFonts w:ascii="黑体" w:eastAsia="黑体" w:cs="黑体"/>
                <w:color w:val="000000" w:themeColor="text1"/>
                <w:kern w:val="0"/>
                <w:sz w:val="18"/>
                <w:szCs w:val="18"/>
              </w:rPr>
            </w:pPr>
          </w:p>
        </w:tc>
      </w:tr>
    </w:tbl>
    <w:p w14:paraId="57C538D7">
      <w:pPr>
        <w:rPr>
          <w:color w:val="000000" w:themeColor="text1"/>
          <w:sz w:val="24"/>
        </w:rPr>
      </w:pPr>
    </w:p>
    <w:p w14:paraId="668C35B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004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85DF95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24C9923">
            <w:pPr>
              <w:jc w:val="center"/>
              <w:rPr>
                <w:rFonts w:ascii="黑体" w:eastAsia="黑体" w:cs="黑体"/>
                <w:b/>
                <w:bCs/>
                <w:color w:val="000000" w:themeColor="text1"/>
                <w:szCs w:val="21"/>
              </w:rPr>
            </w:pPr>
            <w:r>
              <w:rPr>
                <w:rFonts w:ascii="黑体" w:eastAsia="黑体" w:cs="黑体"/>
                <w:b/>
                <w:bCs/>
                <w:color w:val="000000" w:themeColor="text1"/>
                <w:szCs w:val="21"/>
              </w:rPr>
              <w:t>87</w:t>
            </w:r>
          </w:p>
        </w:tc>
        <w:tc>
          <w:tcPr>
            <w:tcW w:w="1691" w:type="dxa"/>
            <w:vAlign w:val="center"/>
          </w:tcPr>
          <w:p w14:paraId="5847A61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2FF17A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A06E6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3AB0CC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67FD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D25F3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F14A0F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对道路运输企业未使用符合标准的监控平台、监控平台未接入联网联控系统、未按规定上传道路运输车辆动态信息等行为的行政处罚</w:t>
            </w:r>
          </w:p>
        </w:tc>
      </w:tr>
      <w:tr w14:paraId="2121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41D33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D7D7EA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8BF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BEF4C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B0D9DD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【法律法规】《道路运输车辆动态监督管理办法》（中华人民共和国交通运输部令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号）</w:t>
            </w:r>
          </w:p>
          <w:p w14:paraId="6375BC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第三十五条违反本办法的规定，道路运输企业有下列情形之一的，由县级以上道路运输管理机构责令改正。拒不改正的，处</w:t>
            </w:r>
            <w:r>
              <w:rPr>
                <w:rFonts w:ascii="仿宋_GB2312" w:eastAsia="仿宋_GB2312" w:cs="仿宋_GB2312"/>
                <w:color w:val="000000" w:themeColor="text1"/>
                <w:kern w:val="0"/>
                <w:sz w:val="18"/>
                <w:szCs w:val="18"/>
              </w:rPr>
              <w:t>1000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3000</w:t>
            </w:r>
            <w:r>
              <w:rPr>
                <w:rFonts w:hint="eastAsia" w:ascii="仿宋_GB2312" w:eastAsia="仿宋_GB2312" w:cs="仿宋_GB2312"/>
                <w:color w:val="000000" w:themeColor="text1"/>
                <w:kern w:val="0"/>
                <w:sz w:val="18"/>
                <w:szCs w:val="18"/>
              </w:rPr>
              <w:t>元以下罚款：</w:t>
            </w:r>
            <w:r>
              <w:rPr>
                <w:rFonts w:hint="eastAsia" w:ascii="MS Mincho" w:hAnsi="MS Mincho" w:eastAsia="MS Mincho" w:cs="MS Mincho"/>
                <w:color w:val="000000" w:themeColor="text1"/>
                <w:kern w:val="0"/>
                <w:sz w:val="18"/>
                <w:szCs w:val="18"/>
              </w:rPr>
              <w:t> </w:t>
            </w:r>
            <w:r>
              <w:rPr>
                <w:rFonts w:hint="eastAsia" w:ascii="仿宋_GB2312" w:eastAsia="仿宋_GB2312" w:cs="仿宋_GB2312"/>
                <w:color w:val="000000" w:themeColor="text1"/>
                <w:kern w:val="0"/>
                <w:sz w:val="18"/>
                <w:szCs w:val="18"/>
              </w:rPr>
              <w:t>（一）道路运输企业未使用符合标准的监控平台、监控平台未接入联网联控系统、未按规定上传道路运输车辆动态信息的；（二）未建立或者未有效执行交通违法动态信息处理制度、对驾驶员交通违法处理率低于</w:t>
            </w:r>
            <w:r>
              <w:rPr>
                <w:rFonts w:ascii="仿宋_GB2312" w:eastAsia="仿宋_GB2312" w:cs="仿宋_GB2312"/>
                <w:color w:val="000000" w:themeColor="text1"/>
                <w:kern w:val="0"/>
                <w:sz w:val="18"/>
                <w:szCs w:val="18"/>
              </w:rPr>
              <w:t>90%</w:t>
            </w:r>
            <w:r>
              <w:rPr>
                <w:rFonts w:hint="eastAsia" w:ascii="仿宋_GB2312" w:eastAsia="仿宋_GB2312" w:cs="仿宋_GB2312"/>
                <w:color w:val="000000" w:themeColor="text1"/>
                <w:kern w:val="0"/>
                <w:sz w:val="18"/>
                <w:szCs w:val="18"/>
              </w:rPr>
              <w:t>的；（三）未按规定配备专职监控人员，或者监控人员未有效履行监控职责的。</w:t>
            </w:r>
          </w:p>
          <w:p w14:paraId="5148DE39">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DCE6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09695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564AD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1350D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B7E0F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202C50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F8C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EF43ACC">
            <w:pPr>
              <w:rPr>
                <w:color w:val="000000" w:themeColor="text1"/>
              </w:rPr>
            </w:pPr>
          </w:p>
        </w:tc>
        <w:tc>
          <w:tcPr>
            <w:tcW w:w="1110" w:type="dxa"/>
            <w:vAlign w:val="center"/>
          </w:tcPr>
          <w:p w14:paraId="26C966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8E62C8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90C8660">
            <w:pPr>
              <w:jc w:val="center"/>
              <w:rPr>
                <w:rFonts w:ascii="仿宋_GB2312" w:hAnsi="黑体" w:eastAsia="仿宋_GB2312" w:cs="黑体"/>
                <w:color w:val="000000" w:themeColor="text1"/>
                <w:sz w:val="18"/>
                <w:szCs w:val="18"/>
              </w:rPr>
            </w:pPr>
          </w:p>
        </w:tc>
        <w:tc>
          <w:tcPr>
            <w:tcW w:w="1406" w:type="dxa"/>
            <w:vAlign w:val="center"/>
          </w:tcPr>
          <w:p w14:paraId="614B79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988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8E009B6">
            <w:pPr>
              <w:rPr>
                <w:color w:val="000000" w:themeColor="text1"/>
              </w:rPr>
            </w:pPr>
          </w:p>
        </w:tc>
        <w:tc>
          <w:tcPr>
            <w:tcW w:w="1110" w:type="dxa"/>
            <w:vAlign w:val="center"/>
          </w:tcPr>
          <w:p w14:paraId="479F7D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B39A78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4DF9A27">
            <w:pPr>
              <w:jc w:val="center"/>
              <w:rPr>
                <w:rFonts w:ascii="仿宋_GB2312" w:hAnsi="黑体" w:eastAsia="仿宋_GB2312" w:cs="黑体"/>
                <w:color w:val="000000" w:themeColor="text1"/>
                <w:sz w:val="18"/>
                <w:szCs w:val="18"/>
              </w:rPr>
            </w:pPr>
          </w:p>
        </w:tc>
        <w:tc>
          <w:tcPr>
            <w:tcW w:w="1406" w:type="dxa"/>
            <w:vAlign w:val="center"/>
          </w:tcPr>
          <w:p w14:paraId="4BCCA1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E99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B491270">
            <w:pPr>
              <w:rPr>
                <w:color w:val="000000" w:themeColor="text1"/>
              </w:rPr>
            </w:pPr>
          </w:p>
        </w:tc>
        <w:tc>
          <w:tcPr>
            <w:tcW w:w="1110" w:type="dxa"/>
            <w:vAlign w:val="center"/>
          </w:tcPr>
          <w:p w14:paraId="11F15A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012D0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A272B57">
            <w:pPr>
              <w:jc w:val="center"/>
              <w:rPr>
                <w:rFonts w:ascii="仿宋_GB2312" w:hAnsi="黑体" w:eastAsia="仿宋_GB2312" w:cs="黑体"/>
                <w:color w:val="000000" w:themeColor="text1"/>
                <w:sz w:val="18"/>
                <w:szCs w:val="18"/>
              </w:rPr>
            </w:pPr>
          </w:p>
        </w:tc>
        <w:tc>
          <w:tcPr>
            <w:tcW w:w="1406" w:type="dxa"/>
            <w:vAlign w:val="center"/>
          </w:tcPr>
          <w:p w14:paraId="54D5A1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41C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FFA8A38">
            <w:pPr>
              <w:rPr>
                <w:color w:val="000000" w:themeColor="text1"/>
              </w:rPr>
            </w:pPr>
          </w:p>
        </w:tc>
        <w:tc>
          <w:tcPr>
            <w:tcW w:w="1110" w:type="dxa"/>
            <w:vAlign w:val="center"/>
          </w:tcPr>
          <w:p w14:paraId="1CACE77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45E4B2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B5E9850">
            <w:pPr>
              <w:jc w:val="center"/>
              <w:rPr>
                <w:rFonts w:ascii="仿宋_GB2312" w:hAnsi="黑体" w:eastAsia="仿宋_GB2312" w:cs="黑体"/>
                <w:color w:val="000000" w:themeColor="text1"/>
                <w:sz w:val="18"/>
                <w:szCs w:val="18"/>
              </w:rPr>
            </w:pPr>
          </w:p>
        </w:tc>
        <w:tc>
          <w:tcPr>
            <w:tcW w:w="1406" w:type="dxa"/>
            <w:vAlign w:val="center"/>
          </w:tcPr>
          <w:p w14:paraId="2A8464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AA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2BF5AFD">
            <w:pPr>
              <w:rPr>
                <w:color w:val="000000" w:themeColor="text1"/>
              </w:rPr>
            </w:pPr>
          </w:p>
        </w:tc>
        <w:tc>
          <w:tcPr>
            <w:tcW w:w="1110" w:type="dxa"/>
            <w:vAlign w:val="center"/>
          </w:tcPr>
          <w:p w14:paraId="00A89A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E823B9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D9ABFD1">
            <w:pPr>
              <w:jc w:val="center"/>
              <w:rPr>
                <w:rFonts w:ascii="仿宋_GB2312" w:hAnsi="黑体" w:eastAsia="仿宋_GB2312" w:cs="黑体"/>
                <w:color w:val="000000" w:themeColor="text1"/>
                <w:sz w:val="18"/>
                <w:szCs w:val="18"/>
              </w:rPr>
            </w:pPr>
          </w:p>
        </w:tc>
        <w:tc>
          <w:tcPr>
            <w:tcW w:w="1406" w:type="dxa"/>
            <w:vAlign w:val="center"/>
          </w:tcPr>
          <w:p w14:paraId="73820C3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B82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4656C0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6DEDFF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969D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9700D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07EAA4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0ED01E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E287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D92E5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D9261D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652141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EECD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5" w:hRule="atLeast"/>
          <w:jc w:val="center"/>
        </w:trPr>
        <w:tc>
          <w:tcPr>
            <w:tcW w:w="943" w:type="dxa"/>
            <w:vAlign w:val="center"/>
          </w:tcPr>
          <w:p w14:paraId="7907066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E3D3672">
            <w:pPr>
              <w:widowControl/>
              <w:jc w:val="left"/>
              <w:textAlignment w:val="center"/>
              <w:rPr>
                <w:rFonts w:ascii="黑体" w:eastAsia="黑体" w:cs="黑体"/>
                <w:color w:val="000000" w:themeColor="text1"/>
                <w:kern w:val="0"/>
                <w:sz w:val="18"/>
                <w:szCs w:val="18"/>
              </w:rPr>
            </w:pPr>
          </w:p>
        </w:tc>
      </w:tr>
    </w:tbl>
    <w:p w14:paraId="06B5190A">
      <w:pPr>
        <w:rPr>
          <w:color w:val="000000" w:themeColor="text1"/>
          <w:sz w:val="24"/>
        </w:rPr>
      </w:pPr>
    </w:p>
    <w:p w14:paraId="641673B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B333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0FBD5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64961A6">
            <w:pPr>
              <w:jc w:val="center"/>
              <w:rPr>
                <w:rFonts w:ascii="黑体" w:eastAsia="黑体" w:cs="黑体"/>
                <w:b/>
                <w:bCs/>
                <w:color w:val="000000" w:themeColor="text1"/>
                <w:szCs w:val="21"/>
              </w:rPr>
            </w:pPr>
            <w:r>
              <w:rPr>
                <w:rFonts w:ascii="黑体" w:eastAsia="黑体" w:cs="黑体"/>
                <w:b/>
                <w:bCs/>
                <w:color w:val="000000" w:themeColor="text1"/>
                <w:szCs w:val="21"/>
              </w:rPr>
              <w:t>88</w:t>
            </w:r>
          </w:p>
        </w:tc>
        <w:tc>
          <w:tcPr>
            <w:tcW w:w="1691" w:type="dxa"/>
            <w:vAlign w:val="center"/>
          </w:tcPr>
          <w:p w14:paraId="231EC88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B161D4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A586F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F1F2B3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948C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146AF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5C2B40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对道路运输经营者使用卫星定位装置出现故障不能保持在线的运输车辆从事经营活动行为的行政处罚</w:t>
            </w:r>
          </w:p>
        </w:tc>
      </w:tr>
      <w:tr w14:paraId="4F3AB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70B3F4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7453C7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721F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43A97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02E71D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【法律法规】《道路运输车辆动态监督管理办法》（中华人民共和国交通运输部令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号）第三十六条违反本办法的规定，道路运输经营者使用卫星定位装置不能保持在线的运输车辆从事经营活动的，由县级以上道路运输管理机构对其进行教育并责令改正，拒不改正或者改正后再次发生同类违反规定情形的，处</w:t>
            </w:r>
            <w:r>
              <w:rPr>
                <w:rFonts w:ascii="仿宋_GB2312" w:eastAsia="仿宋_GB2312" w:cs="仿宋_GB2312"/>
                <w:color w:val="000000" w:themeColor="text1"/>
                <w:kern w:val="0"/>
                <w:sz w:val="18"/>
                <w:szCs w:val="18"/>
              </w:rPr>
              <w:t>200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800</w:t>
            </w:r>
            <w:r>
              <w:rPr>
                <w:rFonts w:hint="eastAsia" w:ascii="仿宋_GB2312" w:eastAsia="仿宋_GB2312" w:cs="仿宋_GB2312"/>
                <w:color w:val="000000" w:themeColor="text1"/>
                <w:kern w:val="0"/>
                <w:sz w:val="18"/>
                <w:szCs w:val="18"/>
              </w:rPr>
              <w:t>元以下罚款。</w:t>
            </w:r>
          </w:p>
          <w:p w14:paraId="57C8FBA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B6D8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6BC44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8B5C7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63C6C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F76DC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C12488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51E5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E1130B3">
            <w:pPr>
              <w:rPr>
                <w:color w:val="000000" w:themeColor="text1"/>
              </w:rPr>
            </w:pPr>
          </w:p>
        </w:tc>
        <w:tc>
          <w:tcPr>
            <w:tcW w:w="1110" w:type="dxa"/>
            <w:vAlign w:val="center"/>
          </w:tcPr>
          <w:p w14:paraId="6E60B7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001FC4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F1D222F">
            <w:pPr>
              <w:jc w:val="center"/>
              <w:rPr>
                <w:rFonts w:ascii="仿宋_GB2312" w:hAnsi="黑体" w:eastAsia="仿宋_GB2312" w:cs="黑体"/>
                <w:color w:val="000000" w:themeColor="text1"/>
                <w:sz w:val="18"/>
                <w:szCs w:val="18"/>
              </w:rPr>
            </w:pPr>
          </w:p>
        </w:tc>
        <w:tc>
          <w:tcPr>
            <w:tcW w:w="1406" w:type="dxa"/>
            <w:vAlign w:val="center"/>
          </w:tcPr>
          <w:p w14:paraId="4DC721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F26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A8AEA59">
            <w:pPr>
              <w:rPr>
                <w:color w:val="000000" w:themeColor="text1"/>
              </w:rPr>
            </w:pPr>
          </w:p>
        </w:tc>
        <w:tc>
          <w:tcPr>
            <w:tcW w:w="1110" w:type="dxa"/>
            <w:vAlign w:val="center"/>
          </w:tcPr>
          <w:p w14:paraId="792CC5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57368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9E08C17">
            <w:pPr>
              <w:jc w:val="center"/>
              <w:rPr>
                <w:rFonts w:ascii="仿宋_GB2312" w:hAnsi="黑体" w:eastAsia="仿宋_GB2312" w:cs="黑体"/>
                <w:color w:val="000000" w:themeColor="text1"/>
                <w:sz w:val="18"/>
                <w:szCs w:val="18"/>
              </w:rPr>
            </w:pPr>
          </w:p>
        </w:tc>
        <w:tc>
          <w:tcPr>
            <w:tcW w:w="1406" w:type="dxa"/>
            <w:vAlign w:val="center"/>
          </w:tcPr>
          <w:p w14:paraId="7B3CAF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CB3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21E1BB6">
            <w:pPr>
              <w:rPr>
                <w:color w:val="000000" w:themeColor="text1"/>
              </w:rPr>
            </w:pPr>
          </w:p>
        </w:tc>
        <w:tc>
          <w:tcPr>
            <w:tcW w:w="1110" w:type="dxa"/>
            <w:vAlign w:val="center"/>
          </w:tcPr>
          <w:p w14:paraId="72F7A8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0163C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38C203F">
            <w:pPr>
              <w:jc w:val="center"/>
              <w:rPr>
                <w:rFonts w:ascii="仿宋_GB2312" w:hAnsi="黑体" w:eastAsia="仿宋_GB2312" w:cs="黑体"/>
                <w:color w:val="000000" w:themeColor="text1"/>
                <w:sz w:val="18"/>
                <w:szCs w:val="18"/>
              </w:rPr>
            </w:pPr>
          </w:p>
        </w:tc>
        <w:tc>
          <w:tcPr>
            <w:tcW w:w="1406" w:type="dxa"/>
            <w:vAlign w:val="center"/>
          </w:tcPr>
          <w:p w14:paraId="571440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6C4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DD8E6D5">
            <w:pPr>
              <w:rPr>
                <w:color w:val="000000" w:themeColor="text1"/>
              </w:rPr>
            </w:pPr>
          </w:p>
        </w:tc>
        <w:tc>
          <w:tcPr>
            <w:tcW w:w="1110" w:type="dxa"/>
            <w:vAlign w:val="center"/>
          </w:tcPr>
          <w:p w14:paraId="535EA3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5CC513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137B510">
            <w:pPr>
              <w:jc w:val="center"/>
              <w:rPr>
                <w:rFonts w:ascii="仿宋_GB2312" w:hAnsi="黑体" w:eastAsia="仿宋_GB2312" w:cs="黑体"/>
                <w:color w:val="000000" w:themeColor="text1"/>
                <w:sz w:val="18"/>
                <w:szCs w:val="18"/>
              </w:rPr>
            </w:pPr>
          </w:p>
        </w:tc>
        <w:tc>
          <w:tcPr>
            <w:tcW w:w="1406" w:type="dxa"/>
            <w:vAlign w:val="center"/>
          </w:tcPr>
          <w:p w14:paraId="45ABC6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6D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875A229">
            <w:pPr>
              <w:rPr>
                <w:color w:val="000000" w:themeColor="text1"/>
              </w:rPr>
            </w:pPr>
          </w:p>
        </w:tc>
        <w:tc>
          <w:tcPr>
            <w:tcW w:w="1110" w:type="dxa"/>
            <w:vAlign w:val="center"/>
          </w:tcPr>
          <w:p w14:paraId="2AAC56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CB690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2661A95">
            <w:pPr>
              <w:jc w:val="center"/>
              <w:rPr>
                <w:rFonts w:ascii="仿宋_GB2312" w:hAnsi="黑体" w:eastAsia="仿宋_GB2312" w:cs="黑体"/>
                <w:color w:val="000000" w:themeColor="text1"/>
                <w:sz w:val="18"/>
                <w:szCs w:val="18"/>
              </w:rPr>
            </w:pPr>
          </w:p>
        </w:tc>
        <w:tc>
          <w:tcPr>
            <w:tcW w:w="1406" w:type="dxa"/>
            <w:vAlign w:val="center"/>
          </w:tcPr>
          <w:p w14:paraId="334354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C0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925A3D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8D1DBF2">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1A56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C37A5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240DBA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DBBC5D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30E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84750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5E8801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208AD2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1CE2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384A6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C15E430">
            <w:pPr>
              <w:widowControl/>
              <w:jc w:val="left"/>
              <w:textAlignment w:val="center"/>
              <w:rPr>
                <w:rFonts w:ascii="黑体" w:eastAsia="黑体" w:cs="黑体"/>
                <w:color w:val="000000" w:themeColor="text1"/>
                <w:kern w:val="0"/>
                <w:sz w:val="18"/>
                <w:szCs w:val="18"/>
              </w:rPr>
            </w:pPr>
          </w:p>
        </w:tc>
      </w:tr>
    </w:tbl>
    <w:p w14:paraId="02BD4A03">
      <w:pPr>
        <w:rPr>
          <w:color w:val="000000" w:themeColor="text1"/>
          <w:sz w:val="24"/>
        </w:rPr>
      </w:pPr>
    </w:p>
    <w:p w14:paraId="4EE7043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0953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F06B4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E07A9E8">
            <w:pPr>
              <w:jc w:val="center"/>
              <w:rPr>
                <w:rFonts w:ascii="黑体" w:eastAsia="黑体" w:cs="黑体"/>
                <w:b/>
                <w:bCs/>
                <w:color w:val="000000" w:themeColor="text1"/>
                <w:szCs w:val="21"/>
              </w:rPr>
            </w:pPr>
            <w:r>
              <w:rPr>
                <w:rFonts w:ascii="黑体" w:eastAsia="黑体" w:cs="黑体"/>
                <w:b/>
                <w:bCs/>
                <w:color w:val="000000" w:themeColor="text1"/>
                <w:szCs w:val="21"/>
              </w:rPr>
              <w:t>89</w:t>
            </w:r>
          </w:p>
        </w:tc>
        <w:tc>
          <w:tcPr>
            <w:tcW w:w="1691" w:type="dxa"/>
            <w:vAlign w:val="center"/>
          </w:tcPr>
          <w:p w14:paraId="65FF247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9F04EF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E8791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1E6A14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FEC6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06E63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1A8752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对伪造、篡改、删除车辆动态监控数据行为的行政处罚</w:t>
            </w:r>
          </w:p>
        </w:tc>
      </w:tr>
      <w:tr w14:paraId="1CA7A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4F3619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A15044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D84F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EE7F4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BD5A0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【法律法规】《道路运输车辆动态监督管理办法》（中华人民共和国交通运输部令</w:t>
            </w:r>
            <w:r>
              <w:rPr>
                <w:rFonts w:ascii="仿宋_GB2312" w:eastAsia="仿宋_GB2312" w:cs="仿宋_GB2312"/>
                <w:color w:val="000000" w:themeColor="text1"/>
                <w:kern w:val="0"/>
                <w:sz w:val="18"/>
                <w:szCs w:val="18"/>
              </w:rPr>
              <w:t>2022</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号）第十九条　任何单位、个人不得擅自泄露、删除、篡改卫星定位系统平台的历史和实时动态数据。</w:t>
            </w:r>
          </w:p>
          <w:p w14:paraId="12FDA76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第三十七条违反本办法的规定，道路运输企业或者提供道路运输车辆动态监控社会化服务的单位伪造、篡改、删除车辆动态监控数据的，由县级以上道路运输管理机构责令改正，处</w:t>
            </w:r>
            <w:r>
              <w:rPr>
                <w:rFonts w:ascii="仿宋_GB2312" w:eastAsia="仿宋_GB2312" w:cs="仿宋_GB2312"/>
                <w:color w:val="000000" w:themeColor="text1"/>
                <w:kern w:val="0"/>
                <w:sz w:val="18"/>
                <w:szCs w:val="18"/>
              </w:rPr>
              <w:t>500</w:t>
            </w:r>
            <w:r>
              <w:rPr>
                <w:rFonts w:hint="eastAsia" w:ascii="仿宋_GB2312" w:eastAsia="仿宋_GB2312" w:cs="仿宋_GB2312"/>
                <w:color w:val="000000" w:themeColor="text1"/>
                <w:kern w:val="0"/>
                <w:sz w:val="18"/>
                <w:szCs w:val="18"/>
              </w:rPr>
              <w:t>元以上</w:t>
            </w:r>
            <w:r>
              <w:rPr>
                <w:rFonts w:ascii="仿宋_GB2312" w:eastAsia="仿宋_GB2312" w:cs="仿宋_GB2312"/>
                <w:color w:val="000000" w:themeColor="text1"/>
                <w:kern w:val="0"/>
                <w:sz w:val="18"/>
                <w:szCs w:val="18"/>
              </w:rPr>
              <w:t>2000</w:t>
            </w:r>
            <w:r>
              <w:rPr>
                <w:rFonts w:hint="eastAsia" w:ascii="仿宋_GB2312" w:eastAsia="仿宋_GB2312" w:cs="仿宋_GB2312"/>
                <w:color w:val="000000" w:themeColor="text1"/>
                <w:kern w:val="0"/>
                <w:sz w:val="18"/>
                <w:szCs w:val="18"/>
              </w:rPr>
              <w:t>元以下罚款。</w:t>
            </w:r>
          </w:p>
          <w:p w14:paraId="0E50CDD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392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71DCB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66971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96846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52058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99B1E1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3E40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8D04E45">
            <w:pPr>
              <w:rPr>
                <w:color w:val="000000" w:themeColor="text1"/>
              </w:rPr>
            </w:pPr>
          </w:p>
        </w:tc>
        <w:tc>
          <w:tcPr>
            <w:tcW w:w="1110" w:type="dxa"/>
            <w:vAlign w:val="center"/>
          </w:tcPr>
          <w:p w14:paraId="7C15E71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58D3B8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718AC14">
            <w:pPr>
              <w:jc w:val="center"/>
              <w:rPr>
                <w:rFonts w:ascii="仿宋_GB2312" w:hAnsi="黑体" w:eastAsia="仿宋_GB2312" w:cs="黑体"/>
                <w:color w:val="000000" w:themeColor="text1"/>
                <w:sz w:val="18"/>
                <w:szCs w:val="18"/>
              </w:rPr>
            </w:pPr>
          </w:p>
        </w:tc>
        <w:tc>
          <w:tcPr>
            <w:tcW w:w="1406" w:type="dxa"/>
            <w:vAlign w:val="center"/>
          </w:tcPr>
          <w:p w14:paraId="31DA60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43D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D741B82">
            <w:pPr>
              <w:rPr>
                <w:color w:val="000000" w:themeColor="text1"/>
              </w:rPr>
            </w:pPr>
          </w:p>
        </w:tc>
        <w:tc>
          <w:tcPr>
            <w:tcW w:w="1110" w:type="dxa"/>
            <w:vAlign w:val="center"/>
          </w:tcPr>
          <w:p w14:paraId="1432CF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C92A33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5383BA4">
            <w:pPr>
              <w:jc w:val="center"/>
              <w:rPr>
                <w:rFonts w:ascii="仿宋_GB2312" w:hAnsi="黑体" w:eastAsia="仿宋_GB2312" w:cs="黑体"/>
                <w:color w:val="000000" w:themeColor="text1"/>
                <w:sz w:val="18"/>
                <w:szCs w:val="18"/>
              </w:rPr>
            </w:pPr>
          </w:p>
        </w:tc>
        <w:tc>
          <w:tcPr>
            <w:tcW w:w="1406" w:type="dxa"/>
            <w:vAlign w:val="center"/>
          </w:tcPr>
          <w:p w14:paraId="6CB8279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A20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3D7C837">
            <w:pPr>
              <w:rPr>
                <w:color w:val="000000" w:themeColor="text1"/>
              </w:rPr>
            </w:pPr>
          </w:p>
        </w:tc>
        <w:tc>
          <w:tcPr>
            <w:tcW w:w="1110" w:type="dxa"/>
            <w:vAlign w:val="center"/>
          </w:tcPr>
          <w:p w14:paraId="57766B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38390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92847C4">
            <w:pPr>
              <w:jc w:val="center"/>
              <w:rPr>
                <w:rFonts w:ascii="仿宋_GB2312" w:hAnsi="黑体" w:eastAsia="仿宋_GB2312" w:cs="黑体"/>
                <w:color w:val="000000" w:themeColor="text1"/>
                <w:sz w:val="18"/>
                <w:szCs w:val="18"/>
              </w:rPr>
            </w:pPr>
          </w:p>
        </w:tc>
        <w:tc>
          <w:tcPr>
            <w:tcW w:w="1406" w:type="dxa"/>
            <w:vAlign w:val="center"/>
          </w:tcPr>
          <w:p w14:paraId="42767A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007B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BB0C3F4">
            <w:pPr>
              <w:rPr>
                <w:color w:val="000000" w:themeColor="text1"/>
              </w:rPr>
            </w:pPr>
          </w:p>
        </w:tc>
        <w:tc>
          <w:tcPr>
            <w:tcW w:w="1110" w:type="dxa"/>
            <w:vAlign w:val="center"/>
          </w:tcPr>
          <w:p w14:paraId="5EA407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54FABD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DA4D4C1">
            <w:pPr>
              <w:jc w:val="center"/>
              <w:rPr>
                <w:rFonts w:ascii="仿宋_GB2312" w:hAnsi="黑体" w:eastAsia="仿宋_GB2312" w:cs="黑体"/>
                <w:color w:val="000000" w:themeColor="text1"/>
                <w:sz w:val="18"/>
                <w:szCs w:val="18"/>
              </w:rPr>
            </w:pPr>
          </w:p>
        </w:tc>
        <w:tc>
          <w:tcPr>
            <w:tcW w:w="1406" w:type="dxa"/>
            <w:vAlign w:val="center"/>
          </w:tcPr>
          <w:p w14:paraId="6C699B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F71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7C5C2D4">
            <w:pPr>
              <w:rPr>
                <w:color w:val="000000" w:themeColor="text1"/>
              </w:rPr>
            </w:pPr>
          </w:p>
        </w:tc>
        <w:tc>
          <w:tcPr>
            <w:tcW w:w="1110" w:type="dxa"/>
            <w:vAlign w:val="center"/>
          </w:tcPr>
          <w:p w14:paraId="5113C9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DB8680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5F4C264">
            <w:pPr>
              <w:jc w:val="center"/>
              <w:rPr>
                <w:rFonts w:ascii="仿宋_GB2312" w:hAnsi="黑体" w:eastAsia="仿宋_GB2312" w:cs="黑体"/>
                <w:color w:val="000000" w:themeColor="text1"/>
                <w:sz w:val="18"/>
                <w:szCs w:val="18"/>
              </w:rPr>
            </w:pPr>
          </w:p>
        </w:tc>
        <w:tc>
          <w:tcPr>
            <w:tcW w:w="1406" w:type="dxa"/>
            <w:vAlign w:val="center"/>
          </w:tcPr>
          <w:p w14:paraId="746D4AB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297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524436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5AEF59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099C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A2ACB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B2FFA3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F9F5F6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244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9F6C2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CA677A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98E37B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85F5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564CE4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797A2FC">
            <w:pPr>
              <w:widowControl/>
              <w:jc w:val="left"/>
              <w:textAlignment w:val="center"/>
              <w:rPr>
                <w:rFonts w:ascii="黑体" w:eastAsia="黑体" w:cs="黑体"/>
                <w:color w:val="000000" w:themeColor="text1"/>
                <w:kern w:val="0"/>
                <w:sz w:val="18"/>
                <w:szCs w:val="18"/>
              </w:rPr>
            </w:pPr>
          </w:p>
        </w:tc>
      </w:tr>
    </w:tbl>
    <w:p w14:paraId="05CD19B2">
      <w:pPr>
        <w:rPr>
          <w:color w:val="000000" w:themeColor="text1"/>
          <w:sz w:val="24"/>
        </w:rPr>
      </w:pPr>
    </w:p>
    <w:p w14:paraId="4C413FC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608A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FE9A1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4ABB0BE">
            <w:pPr>
              <w:jc w:val="center"/>
              <w:rPr>
                <w:rFonts w:ascii="黑体" w:eastAsia="黑体" w:cs="黑体"/>
                <w:b/>
                <w:bCs/>
                <w:color w:val="000000" w:themeColor="text1"/>
                <w:szCs w:val="21"/>
              </w:rPr>
            </w:pPr>
            <w:r>
              <w:rPr>
                <w:rFonts w:ascii="黑体" w:eastAsia="黑体" w:cs="黑体"/>
                <w:b/>
                <w:bCs/>
                <w:color w:val="000000" w:themeColor="text1"/>
                <w:szCs w:val="21"/>
              </w:rPr>
              <w:t>90</w:t>
            </w:r>
          </w:p>
        </w:tc>
        <w:tc>
          <w:tcPr>
            <w:tcW w:w="1691" w:type="dxa"/>
            <w:vAlign w:val="center"/>
          </w:tcPr>
          <w:p w14:paraId="5C562F8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B102BE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0DA95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FBE7A6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E4B9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2DAAA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22B28F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对道路运输货运和物流运营单位未实行安全查验制度，对客户身份进行查验等行为的行政处罚</w:t>
            </w:r>
          </w:p>
        </w:tc>
      </w:tr>
      <w:tr w14:paraId="40E43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E9FFF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491364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461E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D2C7B1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3A3044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反恐怖主义法》第八十五条铁路、公路、水上、航空的货运和邮政、快递等物流运营单位有下列情形之一的，由主管部门处十万元以上五十万元以下罚款，并对其直接负责的主管人员和其他直接责任人员处十万元以下罚款：（一）未实行安全查验制度，对客户身份进行查验，或者未依照规定对运输、寄递物品进行安全检查或者开封验视的；（二）对禁止运输、寄递，存在重大安全隐患，或者客户拒绝安全查验的物品予以运输、寄递的；（三）未实行运输、寄递客户身份、物品信息登记制度的。第九十三条单位违反本法规定，情节严重的，由主管部门责令停止从事相关业务、提供相关服务或者责令停产停业；造成严重后果的，吊销有关证照或者撤销登记。</w:t>
            </w:r>
          </w:p>
          <w:p w14:paraId="54C196C0">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51AE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012D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5264D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BB405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1A34D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B6E0C4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711F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5168ACD">
            <w:pPr>
              <w:rPr>
                <w:color w:val="000000" w:themeColor="text1"/>
              </w:rPr>
            </w:pPr>
          </w:p>
        </w:tc>
        <w:tc>
          <w:tcPr>
            <w:tcW w:w="1110" w:type="dxa"/>
            <w:vAlign w:val="center"/>
          </w:tcPr>
          <w:p w14:paraId="1B930B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FACB75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EB1C246">
            <w:pPr>
              <w:jc w:val="center"/>
              <w:rPr>
                <w:rFonts w:ascii="仿宋_GB2312" w:hAnsi="黑体" w:eastAsia="仿宋_GB2312" w:cs="黑体"/>
                <w:color w:val="000000" w:themeColor="text1"/>
                <w:sz w:val="18"/>
                <w:szCs w:val="18"/>
              </w:rPr>
            </w:pPr>
          </w:p>
        </w:tc>
        <w:tc>
          <w:tcPr>
            <w:tcW w:w="1406" w:type="dxa"/>
            <w:vAlign w:val="center"/>
          </w:tcPr>
          <w:p w14:paraId="2EF28B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B12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29188AB">
            <w:pPr>
              <w:rPr>
                <w:color w:val="000000" w:themeColor="text1"/>
              </w:rPr>
            </w:pPr>
          </w:p>
        </w:tc>
        <w:tc>
          <w:tcPr>
            <w:tcW w:w="1110" w:type="dxa"/>
            <w:vAlign w:val="center"/>
          </w:tcPr>
          <w:p w14:paraId="5C998B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E067C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873A31C">
            <w:pPr>
              <w:jc w:val="center"/>
              <w:rPr>
                <w:rFonts w:ascii="仿宋_GB2312" w:hAnsi="黑体" w:eastAsia="仿宋_GB2312" w:cs="黑体"/>
                <w:color w:val="000000" w:themeColor="text1"/>
                <w:sz w:val="18"/>
                <w:szCs w:val="18"/>
              </w:rPr>
            </w:pPr>
          </w:p>
        </w:tc>
        <w:tc>
          <w:tcPr>
            <w:tcW w:w="1406" w:type="dxa"/>
            <w:vAlign w:val="center"/>
          </w:tcPr>
          <w:p w14:paraId="5E1379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AD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1D99B41">
            <w:pPr>
              <w:rPr>
                <w:color w:val="000000" w:themeColor="text1"/>
              </w:rPr>
            </w:pPr>
          </w:p>
        </w:tc>
        <w:tc>
          <w:tcPr>
            <w:tcW w:w="1110" w:type="dxa"/>
            <w:vAlign w:val="center"/>
          </w:tcPr>
          <w:p w14:paraId="2A318E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988111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7156A96">
            <w:pPr>
              <w:jc w:val="center"/>
              <w:rPr>
                <w:rFonts w:ascii="仿宋_GB2312" w:hAnsi="黑体" w:eastAsia="仿宋_GB2312" w:cs="黑体"/>
                <w:color w:val="000000" w:themeColor="text1"/>
                <w:sz w:val="18"/>
                <w:szCs w:val="18"/>
              </w:rPr>
            </w:pPr>
          </w:p>
        </w:tc>
        <w:tc>
          <w:tcPr>
            <w:tcW w:w="1406" w:type="dxa"/>
            <w:vAlign w:val="center"/>
          </w:tcPr>
          <w:p w14:paraId="2161F9A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416C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FBE0CD2">
            <w:pPr>
              <w:rPr>
                <w:color w:val="000000" w:themeColor="text1"/>
              </w:rPr>
            </w:pPr>
          </w:p>
        </w:tc>
        <w:tc>
          <w:tcPr>
            <w:tcW w:w="1110" w:type="dxa"/>
            <w:vAlign w:val="center"/>
          </w:tcPr>
          <w:p w14:paraId="5D7721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BA6D3C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108CE19">
            <w:pPr>
              <w:jc w:val="center"/>
              <w:rPr>
                <w:rFonts w:ascii="仿宋_GB2312" w:hAnsi="黑体" w:eastAsia="仿宋_GB2312" w:cs="黑体"/>
                <w:color w:val="000000" w:themeColor="text1"/>
                <w:sz w:val="18"/>
                <w:szCs w:val="18"/>
              </w:rPr>
            </w:pPr>
          </w:p>
        </w:tc>
        <w:tc>
          <w:tcPr>
            <w:tcW w:w="1406" w:type="dxa"/>
            <w:vAlign w:val="center"/>
          </w:tcPr>
          <w:p w14:paraId="274BEB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D3F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0B3DFC8">
            <w:pPr>
              <w:rPr>
                <w:color w:val="000000" w:themeColor="text1"/>
              </w:rPr>
            </w:pPr>
          </w:p>
        </w:tc>
        <w:tc>
          <w:tcPr>
            <w:tcW w:w="1110" w:type="dxa"/>
            <w:vAlign w:val="center"/>
          </w:tcPr>
          <w:p w14:paraId="44E77F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E22EC6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887CF08">
            <w:pPr>
              <w:jc w:val="center"/>
              <w:rPr>
                <w:rFonts w:ascii="仿宋_GB2312" w:hAnsi="黑体" w:eastAsia="仿宋_GB2312" w:cs="黑体"/>
                <w:color w:val="000000" w:themeColor="text1"/>
                <w:sz w:val="18"/>
                <w:szCs w:val="18"/>
              </w:rPr>
            </w:pPr>
          </w:p>
        </w:tc>
        <w:tc>
          <w:tcPr>
            <w:tcW w:w="1406" w:type="dxa"/>
            <w:vAlign w:val="center"/>
          </w:tcPr>
          <w:p w14:paraId="2EED82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8C1E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00D143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608583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FF6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34C66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58D917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53CFF0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AFDF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4A749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230D0A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1D4D3E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317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B68E2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3B25D94">
            <w:pPr>
              <w:widowControl/>
              <w:jc w:val="left"/>
              <w:textAlignment w:val="center"/>
              <w:rPr>
                <w:rFonts w:ascii="黑体" w:eastAsia="黑体" w:cs="黑体"/>
                <w:color w:val="000000" w:themeColor="text1"/>
                <w:kern w:val="0"/>
                <w:sz w:val="18"/>
                <w:szCs w:val="18"/>
              </w:rPr>
            </w:pPr>
          </w:p>
        </w:tc>
      </w:tr>
    </w:tbl>
    <w:p w14:paraId="6DED3B77">
      <w:pPr>
        <w:rPr>
          <w:color w:val="000000" w:themeColor="text1"/>
          <w:sz w:val="24"/>
        </w:rPr>
      </w:pPr>
    </w:p>
    <w:p w14:paraId="20D2749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0D16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2A4C1B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092EA32">
            <w:pPr>
              <w:jc w:val="center"/>
              <w:rPr>
                <w:rFonts w:ascii="黑体" w:eastAsia="黑体" w:cs="黑体"/>
                <w:b/>
                <w:bCs/>
                <w:color w:val="000000" w:themeColor="text1"/>
                <w:szCs w:val="21"/>
              </w:rPr>
            </w:pPr>
            <w:r>
              <w:rPr>
                <w:rFonts w:ascii="黑体" w:eastAsia="黑体" w:cs="黑体"/>
                <w:b/>
                <w:bCs/>
                <w:color w:val="000000" w:themeColor="text1"/>
                <w:szCs w:val="21"/>
              </w:rPr>
              <w:t>91</w:t>
            </w:r>
          </w:p>
        </w:tc>
        <w:tc>
          <w:tcPr>
            <w:tcW w:w="1691" w:type="dxa"/>
            <w:vAlign w:val="center"/>
          </w:tcPr>
          <w:p w14:paraId="19734B5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FF036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75924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BD455C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345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67810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8C74E1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对长途客运、机动车租赁等业务经营者、服务提供者未按规定对客户身份进行查验，或者对身份不明、拒绝身份查验的客户提供服务等行为的行政处罚</w:t>
            </w:r>
          </w:p>
        </w:tc>
      </w:tr>
      <w:tr w14:paraId="25CA8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B58969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15790B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31E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5B41A8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EEECE3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反恐怖主义法》第八十六条电信、互联网、金融业务经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对其直接负责的主管人员和其他直接责任人员，处十万元以上五十万元以下罚款。住宿、长途客运、机动车租赁等业务经营者、服务提供者有前款规定情形的，由主管部门处十万元以上五十万元以下罚款，并对其直接负责的主管人员和其他直接责任人员处十万元以下罚款。第九十三条单位违反本法规定，情节严重的，由主管部门责令停止从事相关业务、提供相关服务或者责令停产停业；造成严重后果的，吊销有关证照或者撤销登记。</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《道路旅客运输及客运站管理规定》（中华人民共和国交通运输部令</w:t>
            </w:r>
            <w:r>
              <w:rPr>
                <w:rFonts w:ascii="仿宋_GB2312" w:eastAsia="仿宋_GB2312" w:cs="仿宋_GB2312"/>
                <w:color w:val="000000" w:themeColor="text1"/>
                <w:kern w:val="0"/>
                <w:sz w:val="18"/>
                <w:szCs w:val="18"/>
              </w:rPr>
              <w:t>2023</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18</w:t>
            </w:r>
            <w:r>
              <w:rPr>
                <w:rFonts w:hint="eastAsia" w:ascii="仿宋_GB2312" w:eastAsia="仿宋_GB2312" w:cs="仿宋_GB2312"/>
                <w:color w:val="000000" w:themeColor="text1"/>
                <w:kern w:val="0"/>
                <w:sz w:val="18"/>
                <w:szCs w:val="18"/>
              </w:rPr>
              <w:t>号）第九十八条一类、二类客运班线的经营者或者其委托的售票单位、客运站经营者未按照规定对旅客身份进行查验，或者对身份不明、拒绝提供身份信息的旅客提供服务的，由交通运输主管部门处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万元以下的罚款，并对其直接负责的主管人员和其他直接责任人员处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万元以下的罚款；情节严重的，由交通运输主管部门责令其停止从事相关道路旅客运输或者客运站经营业务；造成严重后果的，由原许可机关吊销有关道路旅客运输或者客运站经营许可证件。</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《小微型客车租赁经营服务管理办法》（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17</w:t>
            </w:r>
            <w:r>
              <w:rPr>
                <w:rFonts w:hint="eastAsia" w:ascii="仿宋_GB2312" w:eastAsia="仿宋_GB2312" w:cs="仿宋_GB2312"/>
                <w:color w:val="000000" w:themeColor="text1"/>
                <w:kern w:val="0"/>
                <w:sz w:val="18"/>
                <w:szCs w:val="18"/>
              </w:rPr>
              <w:t>号）第二十六条小微型客车租赁经营者和受委托的电子商务平台经营者，违反国家反恐怖、道路运输经营、网络安全、个人信息保护、数据安全、电子商务等方面的法律法规，按照相关规定进行处罚。</w:t>
            </w:r>
          </w:p>
          <w:p w14:paraId="67F470D7">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E978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13A88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EC0BE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BE9F2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294EB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70FAA2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C7C5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70" w:hRule="atLeast"/>
          <w:jc w:val="center"/>
        </w:trPr>
        <w:tc>
          <w:tcPr>
            <w:tcW w:w="943" w:type="dxa"/>
            <w:vMerge w:val="continue"/>
            <w:vAlign w:val="center"/>
          </w:tcPr>
          <w:p w14:paraId="6F3AA7C1">
            <w:pPr>
              <w:rPr>
                <w:color w:val="000000" w:themeColor="text1"/>
              </w:rPr>
            </w:pPr>
          </w:p>
        </w:tc>
        <w:tc>
          <w:tcPr>
            <w:tcW w:w="1110" w:type="dxa"/>
            <w:vAlign w:val="center"/>
          </w:tcPr>
          <w:p w14:paraId="2717B0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D47B3E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97B2011">
            <w:pPr>
              <w:jc w:val="center"/>
              <w:rPr>
                <w:rFonts w:ascii="仿宋_GB2312" w:hAnsi="黑体" w:eastAsia="仿宋_GB2312" w:cs="黑体"/>
                <w:color w:val="000000" w:themeColor="text1"/>
                <w:sz w:val="18"/>
                <w:szCs w:val="18"/>
              </w:rPr>
            </w:pPr>
          </w:p>
        </w:tc>
        <w:tc>
          <w:tcPr>
            <w:tcW w:w="1406" w:type="dxa"/>
            <w:vAlign w:val="center"/>
          </w:tcPr>
          <w:p w14:paraId="3846D0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4A8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2" w:hRule="atLeast"/>
          <w:jc w:val="center"/>
        </w:trPr>
        <w:tc>
          <w:tcPr>
            <w:tcW w:w="943" w:type="dxa"/>
            <w:vMerge w:val="continue"/>
            <w:vAlign w:val="center"/>
          </w:tcPr>
          <w:p w14:paraId="152EF0A6">
            <w:pPr>
              <w:rPr>
                <w:color w:val="000000" w:themeColor="text1"/>
              </w:rPr>
            </w:pPr>
          </w:p>
        </w:tc>
        <w:tc>
          <w:tcPr>
            <w:tcW w:w="1110" w:type="dxa"/>
            <w:vAlign w:val="center"/>
          </w:tcPr>
          <w:p w14:paraId="029EF8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864B9D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38EAEE2">
            <w:pPr>
              <w:jc w:val="center"/>
              <w:rPr>
                <w:rFonts w:ascii="仿宋_GB2312" w:hAnsi="黑体" w:eastAsia="仿宋_GB2312" w:cs="黑体"/>
                <w:color w:val="000000" w:themeColor="text1"/>
                <w:sz w:val="18"/>
                <w:szCs w:val="18"/>
              </w:rPr>
            </w:pPr>
          </w:p>
        </w:tc>
        <w:tc>
          <w:tcPr>
            <w:tcW w:w="1406" w:type="dxa"/>
            <w:vAlign w:val="center"/>
          </w:tcPr>
          <w:p w14:paraId="54B2DE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DEB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3" w:hRule="atLeast"/>
          <w:jc w:val="center"/>
        </w:trPr>
        <w:tc>
          <w:tcPr>
            <w:tcW w:w="943" w:type="dxa"/>
            <w:vMerge w:val="continue"/>
            <w:vAlign w:val="center"/>
          </w:tcPr>
          <w:p w14:paraId="3D774A53">
            <w:pPr>
              <w:rPr>
                <w:color w:val="000000" w:themeColor="text1"/>
              </w:rPr>
            </w:pPr>
          </w:p>
        </w:tc>
        <w:tc>
          <w:tcPr>
            <w:tcW w:w="1110" w:type="dxa"/>
            <w:vAlign w:val="center"/>
          </w:tcPr>
          <w:p w14:paraId="2EBDCE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6556FB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B5A475F">
            <w:pPr>
              <w:jc w:val="center"/>
              <w:rPr>
                <w:rFonts w:ascii="仿宋_GB2312" w:hAnsi="黑体" w:eastAsia="仿宋_GB2312" w:cs="黑体"/>
                <w:color w:val="000000" w:themeColor="text1"/>
                <w:sz w:val="18"/>
                <w:szCs w:val="18"/>
              </w:rPr>
            </w:pPr>
          </w:p>
        </w:tc>
        <w:tc>
          <w:tcPr>
            <w:tcW w:w="1406" w:type="dxa"/>
            <w:vAlign w:val="center"/>
          </w:tcPr>
          <w:p w14:paraId="511A44D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2B73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FB096CE">
            <w:pPr>
              <w:rPr>
                <w:color w:val="000000" w:themeColor="text1"/>
              </w:rPr>
            </w:pPr>
          </w:p>
        </w:tc>
        <w:tc>
          <w:tcPr>
            <w:tcW w:w="1110" w:type="dxa"/>
            <w:vAlign w:val="center"/>
          </w:tcPr>
          <w:p w14:paraId="2D00C6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FD0F0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BF51F7A">
            <w:pPr>
              <w:jc w:val="center"/>
              <w:rPr>
                <w:rFonts w:ascii="仿宋_GB2312" w:hAnsi="黑体" w:eastAsia="仿宋_GB2312" w:cs="黑体"/>
                <w:color w:val="000000" w:themeColor="text1"/>
                <w:sz w:val="18"/>
                <w:szCs w:val="18"/>
              </w:rPr>
            </w:pPr>
          </w:p>
        </w:tc>
        <w:tc>
          <w:tcPr>
            <w:tcW w:w="1406" w:type="dxa"/>
            <w:vAlign w:val="center"/>
          </w:tcPr>
          <w:p w14:paraId="407F75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888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4" w:hRule="atLeast"/>
          <w:jc w:val="center"/>
        </w:trPr>
        <w:tc>
          <w:tcPr>
            <w:tcW w:w="943" w:type="dxa"/>
            <w:vMerge w:val="continue"/>
            <w:vAlign w:val="center"/>
          </w:tcPr>
          <w:p w14:paraId="21A10F8D">
            <w:pPr>
              <w:rPr>
                <w:color w:val="000000" w:themeColor="text1"/>
              </w:rPr>
            </w:pPr>
          </w:p>
        </w:tc>
        <w:tc>
          <w:tcPr>
            <w:tcW w:w="1110" w:type="dxa"/>
            <w:vAlign w:val="center"/>
          </w:tcPr>
          <w:p w14:paraId="143A7A4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AD97E2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1376930">
            <w:pPr>
              <w:jc w:val="center"/>
              <w:rPr>
                <w:rFonts w:ascii="仿宋_GB2312" w:hAnsi="黑体" w:eastAsia="仿宋_GB2312" w:cs="黑体"/>
                <w:color w:val="000000" w:themeColor="text1"/>
                <w:sz w:val="18"/>
                <w:szCs w:val="18"/>
              </w:rPr>
            </w:pPr>
          </w:p>
        </w:tc>
        <w:tc>
          <w:tcPr>
            <w:tcW w:w="1406" w:type="dxa"/>
            <w:vAlign w:val="center"/>
          </w:tcPr>
          <w:p w14:paraId="53B2DDF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941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29" w:hRule="atLeast"/>
          <w:jc w:val="center"/>
        </w:trPr>
        <w:tc>
          <w:tcPr>
            <w:tcW w:w="943" w:type="dxa"/>
            <w:vAlign w:val="center"/>
          </w:tcPr>
          <w:p w14:paraId="1835A87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78922D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FB82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65E6A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9860D4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AABCB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867A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1" w:hRule="atLeast"/>
          <w:jc w:val="center"/>
        </w:trPr>
        <w:tc>
          <w:tcPr>
            <w:tcW w:w="943" w:type="dxa"/>
            <w:vAlign w:val="center"/>
          </w:tcPr>
          <w:p w14:paraId="1053FD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BFF8E1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35EC3E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C787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72" w:hRule="atLeast"/>
          <w:jc w:val="center"/>
        </w:trPr>
        <w:tc>
          <w:tcPr>
            <w:tcW w:w="943" w:type="dxa"/>
            <w:vAlign w:val="center"/>
          </w:tcPr>
          <w:p w14:paraId="4BD3B22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F93FD43">
            <w:pPr>
              <w:widowControl/>
              <w:jc w:val="left"/>
              <w:textAlignment w:val="center"/>
              <w:rPr>
                <w:rFonts w:ascii="黑体" w:eastAsia="黑体" w:cs="黑体"/>
                <w:color w:val="000000" w:themeColor="text1"/>
                <w:kern w:val="0"/>
                <w:sz w:val="18"/>
                <w:szCs w:val="18"/>
              </w:rPr>
            </w:pPr>
          </w:p>
        </w:tc>
      </w:tr>
    </w:tbl>
    <w:p w14:paraId="3B5D71CC">
      <w:pPr>
        <w:rPr>
          <w:color w:val="000000" w:themeColor="text1"/>
          <w:sz w:val="24"/>
        </w:rPr>
      </w:pPr>
    </w:p>
    <w:p w14:paraId="61E1697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9BC1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0069F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44F1474">
            <w:pPr>
              <w:jc w:val="center"/>
              <w:rPr>
                <w:rFonts w:ascii="黑体" w:eastAsia="黑体" w:cs="黑体"/>
                <w:b/>
                <w:bCs/>
                <w:color w:val="000000" w:themeColor="text1"/>
                <w:szCs w:val="21"/>
              </w:rPr>
            </w:pPr>
            <w:r>
              <w:rPr>
                <w:rFonts w:ascii="黑体" w:eastAsia="黑体" w:cs="黑体"/>
                <w:b/>
                <w:bCs/>
                <w:color w:val="000000" w:themeColor="text1"/>
                <w:szCs w:val="21"/>
              </w:rPr>
              <w:t>92</w:t>
            </w:r>
          </w:p>
        </w:tc>
        <w:tc>
          <w:tcPr>
            <w:tcW w:w="1691" w:type="dxa"/>
            <w:vAlign w:val="center"/>
          </w:tcPr>
          <w:p w14:paraId="63F4235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B2D832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6FB0A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E4C749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5D9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5BDFF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6692A8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对违反规定运输麻醉药品和精神药品行为的行政处罚</w:t>
            </w:r>
          </w:p>
        </w:tc>
      </w:tr>
      <w:tr w14:paraId="6604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9F87A6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DE1247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189C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75" w:hRule="atLeast"/>
          <w:jc w:val="center"/>
        </w:trPr>
        <w:tc>
          <w:tcPr>
            <w:tcW w:w="943" w:type="dxa"/>
            <w:vAlign w:val="center"/>
          </w:tcPr>
          <w:p w14:paraId="4472DF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022343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bookmarkStart w:id="12" w:name="OLE_LINK16"/>
            <w:r>
              <w:rPr>
                <w:rFonts w:hint="eastAsia" w:ascii="仿宋_GB2312" w:eastAsia="仿宋_GB2312" w:cs="仿宋_GB2312"/>
                <w:color w:val="000000" w:themeColor="text1"/>
                <w:kern w:val="0"/>
                <w:sz w:val="18"/>
                <w:szCs w:val="18"/>
              </w:rPr>
              <w:t>麻醉药品和精神药品管理条例</w:t>
            </w:r>
            <w:bookmarkEnd w:id="12"/>
            <w:r>
              <w:rPr>
                <w:rFonts w:hint="eastAsia" w:ascii="仿宋_GB2312" w:eastAsia="仿宋_GB2312" w:cs="仿宋_GB2312"/>
                <w:color w:val="000000" w:themeColor="text1"/>
                <w:kern w:val="0"/>
                <w:sz w:val="18"/>
                <w:szCs w:val="18"/>
              </w:rPr>
              <w:t>》（国务院令第</w:t>
            </w:r>
            <w:r>
              <w:rPr>
                <w:rFonts w:ascii="仿宋_GB2312" w:eastAsia="仿宋_GB2312" w:cs="仿宋_GB2312"/>
                <w:color w:val="000000" w:themeColor="text1"/>
                <w:kern w:val="0"/>
                <w:sz w:val="18"/>
                <w:szCs w:val="18"/>
              </w:rPr>
              <w:t>442</w:t>
            </w:r>
            <w:r>
              <w:rPr>
                <w:rFonts w:hint="eastAsia" w:ascii="仿宋_GB2312" w:eastAsia="仿宋_GB2312" w:cs="仿宋_GB2312"/>
                <w:color w:val="000000" w:themeColor="text1"/>
                <w:kern w:val="0"/>
                <w:sz w:val="18"/>
                <w:szCs w:val="18"/>
              </w:rPr>
              <w:t>号）第七十四条第一款违反本条例的规定运输麻醉药品和精神药品的，由药品监督管理部门和运输管理部门依照各自职责，责令改正，给予警告，处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万元以下罚款。</w:t>
            </w:r>
          </w:p>
          <w:p w14:paraId="60BCD8D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1CA1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49669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0FAEB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AD5D2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B1D31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727256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AEC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D59C51B">
            <w:pPr>
              <w:rPr>
                <w:color w:val="000000" w:themeColor="text1"/>
              </w:rPr>
            </w:pPr>
          </w:p>
        </w:tc>
        <w:tc>
          <w:tcPr>
            <w:tcW w:w="1110" w:type="dxa"/>
            <w:vAlign w:val="center"/>
          </w:tcPr>
          <w:p w14:paraId="3DFE33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FC16BF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F579A44">
            <w:pPr>
              <w:jc w:val="center"/>
              <w:rPr>
                <w:rFonts w:ascii="仿宋_GB2312" w:hAnsi="黑体" w:eastAsia="仿宋_GB2312" w:cs="黑体"/>
                <w:color w:val="000000" w:themeColor="text1"/>
                <w:sz w:val="18"/>
                <w:szCs w:val="18"/>
              </w:rPr>
            </w:pPr>
          </w:p>
        </w:tc>
        <w:tc>
          <w:tcPr>
            <w:tcW w:w="1406" w:type="dxa"/>
            <w:vAlign w:val="center"/>
          </w:tcPr>
          <w:p w14:paraId="1491D7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4A3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8BAC603">
            <w:pPr>
              <w:rPr>
                <w:color w:val="000000" w:themeColor="text1"/>
              </w:rPr>
            </w:pPr>
          </w:p>
        </w:tc>
        <w:tc>
          <w:tcPr>
            <w:tcW w:w="1110" w:type="dxa"/>
            <w:vAlign w:val="center"/>
          </w:tcPr>
          <w:p w14:paraId="47E1DD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ACBCAB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16F79CE">
            <w:pPr>
              <w:jc w:val="center"/>
              <w:rPr>
                <w:rFonts w:ascii="仿宋_GB2312" w:hAnsi="黑体" w:eastAsia="仿宋_GB2312" w:cs="黑体"/>
                <w:color w:val="000000" w:themeColor="text1"/>
                <w:sz w:val="18"/>
                <w:szCs w:val="18"/>
              </w:rPr>
            </w:pPr>
          </w:p>
        </w:tc>
        <w:tc>
          <w:tcPr>
            <w:tcW w:w="1406" w:type="dxa"/>
            <w:vAlign w:val="center"/>
          </w:tcPr>
          <w:p w14:paraId="1E9BBF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973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B18B8F0">
            <w:pPr>
              <w:rPr>
                <w:color w:val="000000" w:themeColor="text1"/>
              </w:rPr>
            </w:pPr>
          </w:p>
        </w:tc>
        <w:tc>
          <w:tcPr>
            <w:tcW w:w="1110" w:type="dxa"/>
            <w:vAlign w:val="center"/>
          </w:tcPr>
          <w:p w14:paraId="0D93FC5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1F6F97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4EC82E6">
            <w:pPr>
              <w:jc w:val="center"/>
              <w:rPr>
                <w:rFonts w:ascii="仿宋_GB2312" w:hAnsi="黑体" w:eastAsia="仿宋_GB2312" w:cs="黑体"/>
                <w:color w:val="000000" w:themeColor="text1"/>
                <w:sz w:val="18"/>
                <w:szCs w:val="18"/>
              </w:rPr>
            </w:pPr>
          </w:p>
        </w:tc>
        <w:tc>
          <w:tcPr>
            <w:tcW w:w="1406" w:type="dxa"/>
            <w:vAlign w:val="center"/>
          </w:tcPr>
          <w:p w14:paraId="2FCB11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1D6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5D6A425">
            <w:pPr>
              <w:rPr>
                <w:color w:val="000000" w:themeColor="text1"/>
              </w:rPr>
            </w:pPr>
          </w:p>
        </w:tc>
        <w:tc>
          <w:tcPr>
            <w:tcW w:w="1110" w:type="dxa"/>
            <w:vAlign w:val="center"/>
          </w:tcPr>
          <w:p w14:paraId="54D26BD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AA24DC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3B66C4E">
            <w:pPr>
              <w:jc w:val="center"/>
              <w:rPr>
                <w:rFonts w:ascii="仿宋_GB2312" w:hAnsi="黑体" w:eastAsia="仿宋_GB2312" w:cs="黑体"/>
                <w:color w:val="000000" w:themeColor="text1"/>
                <w:sz w:val="18"/>
                <w:szCs w:val="18"/>
              </w:rPr>
            </w:pPr>
          </w:p>
        </w:tc>
        <w:tc>
          <w:tcPr>
            <w:tcW w:w="1406" w:type="dxa"/>
            <w:vAlign w:val="center"/>
          </w:tcPr>
          <w:p w14:paraId="3A9C434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32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4A90C66">
            <w:pPr>
              <w:rPr>
                <w:color w:val="000000" w:themeColor="text1"/>
              </w:rPr>
            </w:pPr>
          </w:p>
        </w:tc>
        <w:tc>
          <w:tcPr>
            <w:tcW w:w="1110" w:type="dxa"/>
            <w:vAlign w:val="center"/>
          </w:tcPr>
          <w:p w14:paraId="0DFD21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883B70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D372FE3">
            <w:pPr>
              <w:jc w:val="center"/>
              <w:rPr>
                <w:rFonts w:ascii="仿宋_GB2312" w:hAnsi="黑体" w:eastAsia="仿宋_GB2312" w:cs="黑体"/>
                <w:color w:val="000000" w:themeColor="text1"/>
                <w:sz w:val="18"/>
                <w:szCs w:val="18"/>
              </w:rPr>
            </w:pPr>
          </w:p>
        </w:tc>
        <w:tc>
          <w:tcPr>
            <w:tcW w:w="1406" w:type="dxa"/>
            <w:vAlign w:val="center"/>
          </w:tcPr>
          <w:p w14:paraId="2EDD79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2C9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FE406E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22E013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9303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1EAC6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20F1B2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0A1BC2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5BF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94EE4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3FF5EA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684A12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93D1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C75FB3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4C2DDC2">
            <w:pPr>
              <w:widowControl/>
              <w:jc w:val="left"/>
              <w:textAlignment w:val="center"/>
              <w:rPr>
                <w:rFonts w:ascii="黑体" w:eastAsia="黑体" w:cs="黑体"/>
                <w:color w:val="000000" w:themeColor="text1"/>
                <w:kern w:val="0"/>
                <w:sz w:val="18"/>
                <w:szCs w:val="18"/>
              </w:rPr>
            </w:pPr>
          </w:p>
        </w:tc>
      </w:tr>
    </w:tbl>
    <w:p w14:paraId="7BFE92A8">
      <w:pPr>
        <w:pStyle w:val="8"/>
        <w:snapToGrid w:val="0"/>
        <w:spacing w:before="0" w:beforeAutospacing="0" w:after="0" w:afterAutospacing="0" w:line="240" w:lineRule="atLeast"/>
        <w:jc w:val="both"/>
        <w:rPr>
          <w:color w:val="000000" w:themeColor="text1"/>
          <w:sz w:val="11"/>
          <w:szCs w:val="11"/>
        </w:rPr>
      </w:pPr>
    </w:p>
    <w:p w14:paraId="44A5080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BAC9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524A7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8714983">
            <w:pPr>
              <w:jc w:val="center"/>
              <w:rPr>
                <w:rFonts w:ascii="黑体" w:eastAsia="黑体" w:cs="黑体"/>
                <w:b/>
                <w:bCs/>
                <w:color w:val="000000" w:themeColor="text1"/>
                <w:szCs w:val="21"/>
              </w:rPr>
            </w:pPr>
            <w:r>
              <w:rPr>
                <w:rFonts w:ascii="黑体" w:eastAsia="黑体" w:cs="黑体"/>
                <w:b/>
                <w:bCs/>
                <w:color w:val="000000" w:themeColor="text1"/>
                <w:szCs w:val="21"/>
              </w:rPr>
              <w:t>93</w:t>
            </w:r>
          </w:p>
        </w:tc>
        <w:tc>
          <w:tcPr>
            <w:tcW w:w="1691" w:type="dxa"/>
            <w:vAlign w:val="center"/>
          </w:tcPr>
          <w:p w14:paraId="726DB8D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346B0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B1582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3830A6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2517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B8836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B1E352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对交通运输领域建设工程项目未经交通主管部门批准或未取得施工许可证擅自进行施工行为的行政处罚</w:t>
            </w:r>
          </w:p>
        </w:tc>
      </w:tr>
      <w:tr w14:paraId="2196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438C56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4B0C26A">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BDE9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1608B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A92C45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w:t>
            </w:r>
            <w:bookmarkStart w:id="13" w:name="OLE_LINK17"/>
            <w:r>
              <w:rPr>
                <w:rFonts w:hint="eastAsia" w:ascii="仿宋_GB2312" w:eastAsia="仿宋_GB2312" w:cs="仿宋_GB2312"/>
                <w:color w:val="000000" w:themeColor="text1"/>
                <w:kern w:val="0"/>
                <w:sz w:val="18"/>
                <w:szCs w:val="18"/>
              </w:rPr>
              <w:t>中华人民共和国公路法</w:t>
            </w:r>
            <w:bookmarkEnd w:id="13"/>
            <w:r>
              <w:rPr>
                <w:rFonts w:hint="eastAsia" w:ascii="仿宋_GB2312" w:eastAsia="仿宋_GB2312" w:cs="仿宋_GB2312"/>
                <w:color w:val="000000" w:themeColor="text1"/>
                <w:kern w:val="0"/>
                <w:sz w:val="18"/>
                <w:szCs w:val="18"/>
              </w:rPr>
              <w:t>》（国家主席令【</w:t>
            </w:r>
            <w:r>
              <w:rPr>
                <w:rFonts w:ascii="仿宋_GB2312" w:eastAsia="仿宋_GB2312" w:cs="仿宋_GB2312"/>
                <w:color w:val="000000" w:themeColor="text1"/>
                <w:kern w:val="0"/>
                <w:sz w:val="18"/>
                <w:szCs w:val="18"/>
              </w:rPr>
              <w:t>97</w:t>
            </w:r>
            <w:r>
              <w:rPr>
                <w:rFonts w:hint="eastAsia" w:ascii="仿宋_GB2312" w:eastAsia="仿宋_GB2312" w:cs="仿宋_GB2312"/>
                <w:color w:val="000000" w:themeColor="text1"/>
                <w:kern w:val="0"/>
                <w:sz w:val="18"/>
                <w:szCs w:val="18"/>
              </w:rPr>
              <w:t>】第</w:t>
            </w:r>
            <w:r>
              <w:rPr>
                <w:rFonts w:ascii="仿宋_GB2312" w:eastAsia="仿宋_GB2312" w:cs="仿宋_GB2312"/>
                <w:color w:val="000000" w:themeColor="text1"/>
                <w:kern w:val="0"/>
                <w:sz w:val="18"/>
                <w:szCs w:val="18"/>
              </w:rPr>
              <w:t>86</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日第五次修改）第七十五条违反本法第二十五条规定，未经有关交通主管部门批准擅自施工的，交通主管部门可以责令停止施工，并可以处五万元以下的罚款</w:t>
            </w:r>
            <w:r>
              <w:rPr>
                <w:rFonts w:hint="eastAsia" w:ascii="MS Mincho" w:hAnsi="MS Mincho" w:eastAsia="MS Mincho" w:cs="MS Mincho"/>
                <w:color w:val="000000" w:themeColor="text1"/>
                <w:kern w:val="0"/>
                <w:sz w:val="18"/>
                <w:szCs w:val="18"/>
              </w:rPr>
              <w:t>｡</w:t>
            </w:r>
            <w:r>
              <w:rPr>
                <w:rFonts w:ascii="仿宋_GB2312" w:eastAsia="仿宋_GB2312" w:cs="仿宋_GB2312"/>
                <w:color w:val="000000" w:themeColor="text1"/>
                <w:kern w:val="0"/>
                <w:sz w:val="18"/>
                <w:szCs w:val="18"/>
              </w:rPr>
              <w:t xml:space="preserve"> 2.</w:t>
            </w:r>
            <w:r>
              <w:rPr>
                <w:rFonts w:hint="eastAsia" w:ascii="仿宋_GB2312" w:eastAsia="仿宋_GB2312" w:cs="仿宋_GB2312"/>
                <w:color w:val="000000" w:themeColor="text1"/>
                <w:kern w:val="0"/>
                <w:sz w:val="18"/>
                <w:szCs w:val="18"/>
              </w:rPr>
              <w:t>《</w:t>
            </w:r>
            <w:bookmarkStart w:id="14" w:name="OLE_LINK18"/>
            <w:r>
              <w:rPr>
                <w:rFonts w:hint="eastAsia" w:ascii="仿宋_GB2312" w:eastAsia="仿宋_GB2312" w:cs="仿宋_GB2312"/>
                <w:color w:val="000000" w:themeColor="text1"/>
                <w:kern w:val="0"/>
                <w:sz w:val="18"/>
                <w:szCs w:val="18"/>
              </w:rPr>
              <w:t>建设工程质量管理条例</w:t>
            </w:r>
            <w:bookmarkEnd w:id="14"/>
            <w:r>
              <w:rPr>
                <w:rFonts w:hint="eastAsia" w:ascii="仿宋_GB2312" w:eastAsia="仿宋_GB2312" w:cs="仿宋_GB2312"/>
                <w:color w:val="000000" w:themeColor="text1"/>
                <w:kern w:val="0"/>
                <w:sz w:val="18"/>
                <w:szCs w:val="18"/>
              </w:rPr>
              <w:t>》（国务院令第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号）第五十七条　违反本条例规定，建设单位未取得施工许可证或者开工报告未经批准，擅自施工的，责令停止施工，限期改正，处工程合同价款百分之一以上百分之二以下的罚款。</w:t>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水运建设市场监督管理办法》第三十九条违反国家关于基本建设程序相关规定，项目单位未取得施工许可证或者开工报告未经批准，擅自施工的，依据《建设工程质量管理条例》第五十七条规定，责令停止施工，限期改正，按照以下标准处以罚款：</w:t>
            </w:r>
            <w:r>
              <w:rPr>
                <w:rFonts w:ascii="仿宋" w:hAnsi="仿宋" w:eastAsia="仿宋" w:cs="宋体"/>
                <w:color w:val="000000" w:themeColor="text1"/>
                <w:kern w:val="0"/>
                <w:sz w:val="18"/>
                <w:szCs w:val="18"/>
              </w:rPr>
              <w:t>(</w:t>
            </w:r>
            <w:r>
              <w:rPr>
                <w:rFonts w:hint="eastAsia" w:ascii="仿宋" w:hAnsi="仿宋" w:eastAsia="仿宋" w:cs="宋体"/>
                <w:color w:val="000000" w:themeColor="text1"/>
                <w:kern w:val="0"/>
                <w:sz w:val="18"/>
                <w:szCs w:val="18"/>
              </w:rPr>
              <w:t>一</w:t>
            </w:r>
            <w:r>
              <w:rPr>
                <w:rFonts w:ascii="仿宋" w:hAnsi="仿宋" w:eastAsia="仿宋" w:cs="宋体"/>
                <w:color w:val="000000" w:themeColor="text1"/>
                <w:kern w:val="0"/>
                <w:sz w:val="18"/>
                <w:szCs w:val="18"/>
              </w:rPr>
              <w:t>)</w:t>
            </w:r>
            <w:r>
              <w:rPr>
                <w:rFonts w:hint="eastAsia" w:ascii="仿宋" w:hAnsi="仿宋" w:eastAsia="仿宋" w:cs="宋体"/>
                <w:color w:val="000000" w:themeColor="text1"/>
                <w:kern w:val="0"/>
                <w:sz w:val="18"/>
                <w:szCs w:val="18"/>
              </w:rPr>
              <w:t>已通过项目审批、核准或者设计审批手续，但是未取得施工许可证或者开工报告未经批准，擅自施工的，处工程合同价款</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以上</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以下的罚款</w:t>
            </w:r>
            <w:r>
              <w:rPr>
                <w:rFonts w:ascii="仿宋" w:hAnsi="仿宋" w:eastAsia="仿宋" w:cs="宋体"/>
                <w:color w:val="000000" w:themeColor="text1"/>
                <w:kern w:val="0"/>
                <w:sz w:val="18"/>
                <w:szCs w:val="18"/>
              </w:rPr>
              <w:t>;(</w:t>
            </w:r>
            <w:r>
              <w:rPr>
                <w:rFonts w:hint="eastAsia" w:ascii="仿宋" w:hAnsi="仿宋" w:eastAsia="仿宋" w:cs="宋体"/>
                <w:color w:val="000000" w:themeColor="text1"/>
                <w:kern w:val="0"/>
                <w:sz w:val="18"/>
                <w:szCs w:val="18"/>
              </w:rPr>
              <w:t>二</w:t>
            </w:r>
            <w:r>
              <w:rPr>
                <w:rFonts w:ascii="仿宋" w:hAnsi="仿宋" w:eastAsia="仿宋" w:cs="宋体"/>
                <w:color w:val="000000" w:themeColor="text1"/>
                <w:kern w:val="0"/>
                <w:sz w:val="18"/>
                <w:szCs w:val="18"/>
              </w:rPr>
              <w:t>)</w:t>
            </w:r>
            <w:r>
              <w:rPr>
                <w:rFonts w:hint="eastAsia" w:ascii="仿宋" w:hAnsi="仿宋" w:eastAsia="仿宋" w:cs="宋体"/>
                <w:color w:val="000000" w:themeColor="text1"/>
                <w:kern w:val="0"/>
                <w:sz w:val="18"/>
                <w:szCs w:val="18"/>
              </w:rPr>
              <w:t>未取得项目审批、核准或者设计审批，擅自施工的，处工程合同价款</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以上</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以下的罚款。</w:t>
            </w:r>
          </w:p>
          <w:p w14:paraId="55DC8C7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FE20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66F53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9B68F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2DADF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C57D0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38134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5C4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40" w:hRule="atLeast"/>
          <w:jc w:val="center"/>
        </w:trPr>
        <w:tc>
          <w:tcPr>
            <w:tcW w:w="943" w:type="dxa"/>
            <w:vMerge w:val="continue"/>
            <w:vAlign w:val="center"/>
          </w:tcPr>
          <w:p w14:paraId="0C438CAB">
            <w:pPr>
              <w:rPr>
                <w:color w:val="000000" w:themeColor="text1"/>
              </w:rPr>
            </w:pPr>
          </w:p>
        </w:tc>
        <w:tc>
          <w:tcPr>
            <w:tcW w:w="1110" w:type="dxa"/>
            <w:vAlign w:val="center"/>
          </w:tcPr>
          <w:p w14:paraId="0FC1EF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40080F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917BFDE">
            <w:pPr>
              <w:jc w:val="center"/>
              <w:rPr>
                <w:rFonts w:ascii="仿宋_GB2312" w:hAnsi="黑体" w:eastAsia="仿宋_GB2312" w:cs="黑体"/>
                <w:color w:val="000000" w:themeColor="text1"/>
                <w:sz w:val="18"/>
                <w:szCs w:val="18"/>
              </w:rPr>
            </w:pPr>
          </w:p>
        </w:tc>
        <w:tc>
          <w:tcPr>
            <w:tcW w:w="1406" w:type="dxa"/>
            <w:vAlign w:val="center"/>
          </w:tcPr>
          <w:p w14:paraId="71852DF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0E8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1" w:hRule="atLeast"/>
          <w:jc w:val="center"/>
        </w:trPr>
        <w:tc>
          <w:tcPr>
            <w:tcW w:w="943" w:type="dxa"/>
            <w:vMerge w:val="continue"/>
            <w:vAlign w:val="center"/>
          </w:tcPr>
          <w:p w14:paraId="701B3BB5">
            <w:pPr>
              <w:rPr>
                <w:color w:val="000000" w:themeColor="text1"/>
              </w:rPr>
            </w:pPr>
          </w:p>
        </w:tc>
        <w:tc>
          <w:tcPr>
            <w:tcW w:w="1110" w:type="dxa"/>
            <w:vAlign w:val="center"/>
          </w:tcPr>
          <w:p w14:paraId="310A12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4452C9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8FB8B46">
            <w:pPr>
              <w:jc w:val="center"/>
              <w:rPr>
                <w:rFonts w:ascii="仿宋_GB2312" w:hAnsi="黑体" w:eastAsia="仿宋_GB2312" w:cs="黑体"/>
                <w:color w:val="000000" w:themeColor="text1"/>
                <w:sz w:val="18"/>
                <w:szCs w:val="18"/>
              </w:rPr>
            </w:pPr>
          </w:p>
        </w:tc>
        <w:tc>
          <w:tcPr>
            <w:tcW w:w="1406" w:type="dxa"/>
            <w:vAlign w:val="center"/>
          </w:tcPr>
          <w:p w14:paraId="21F417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F401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0EC3570">
            <w:pPr>
              <w:rPr>
                <w:color w:val="000000" w:themeColor="text1"/>
              </w:rPr>
            </w:pPr>
          </w:p>
        </w:tc>
        <w:tc>
          <w:tcPr>
            <w:tcW w:w="1110" w:type="dxa"/>
            <w:vAlign w:val="center"/>
          </w:tcPr>
          <w:p w14:paraId="06D18C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352BCB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2E15802">
            <w:pPr>
              <w:jc w:val="center"/>
              <w:rPr>
                <w:rFonts w:ascii="仿宋_GB2312" w:hAnsi="黑体" w:eastAsia="仿宋_GB2312" w:cs="黑体"/>
                <w:color w:val="000000" w:themeColor="text1"/>
                <w:sz w:val="18"/>
                <w:szCs w:val="18"/>
              </w:rPr>
            </w:pPr>
          </w:p>
        </w:tc>
        <w:tc>
          <w:tcPr>
            <w:tcW w:w="1406" w:type="dxa"/>
            <w:vAlign w:val="center"/>
          </w:tcPr>
          <w:p w14:paraId="188E03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9E32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A3150B9">
            <w:pPr>
              <w:rPr>
                <w:color w:val="000000" w:themeColor="text1"/>
              </w:rPr>
            </w:pPr>
          </w:p>
        </w:tc>
        <w:tc>
          <w:tcPr>
            <w:tcW w:w="1110" w:type="dxa"/>
            <w:vAlign w:val="center"/>
          </w:tcPr>
          <w:p w14:paraId="5E52B6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9CB3F4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5EC868F">
            <w:pPr>
              <w:jc w:val="center"/>
              <w:rPr>
                <w:rFonts w:ascii="仿宋_GB2312" w:hAnsi="黑体" w:eastAsia="仿宋_GB2312" w:cs="黑体"/>
                <w:color w:val="000000" w:themeColor="text1"/>
                <w:sz w:val="18"/>
                <w:szCs w:val="18"/>
              </w:rPr>
            </w:pPr>
          </w:p>
        </w:tc>
        <w:tc>
          <w:tcPr>
            <w:tcW w:w="1406" w:type="dxa"/>
            <w:vAlign w:val="center"/>
          </w:tcPr>
          <w:p w14:paraId="0E99D8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B7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4" w:hRule="atLeast"/>
          <w:jc w:val="center"/>
        </w:trPr>
        <w:tc>
          <w:tcPr>
            <w:tcW w:w="943" w:type="dxa"/>
            <w:vMerge w:val="continue"/>
            <w:vAlign w:val="center"/>
          </w:tcPr>
          <w:p w14:paraId="5C9E29EF">
            <w:pPr>
              <w:rPr>
                <w:color w:val="000000" w:themeColor="text1"/>
              </w:rPr>
            </w:pPr>
          </w:p>
        </w:tc>
        <w:tc>
          <w:tcPr>
            <w:tcW w:w="1110" w:type="dxa"/>
            <w:vAlign w:val="center"/>
          </w:tcPr>
          <w:p w14:paraId="0AB5B6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72325C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2C2DADF">
            <w:pPr>
              <w:jc w:val="center"/>
              <w:rPr>
                <w:rFonts w:ascii="仿宋_GB2312" w:hAnsi="黑体" w:eastAsia="仿宋_GB2312" w:cs="黑体"/>
                <w:color w:val="000000" w:themeColor="text1"/>
                <w:sz w:val="18"/>
                <w:szCs w:val="18"/>
              </w:rPr>
            </w:pPr>
          </w:p>
        </w:tc>
        <w:tc>
          <w:tcPr>
            <w:tcW w:w="1406" w:type="dxa"/>
            <w:vAlign w:val="center"/>
          </w:tcPr>
          <w:p w14:paraId="18DF63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FC5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C5A03C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ACD0FA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0979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97E3F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A970D9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A32FBA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2EEE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6A47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A86841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9FA1D9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9D1C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4BCA85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B348672">
            <w:pPr>
              <w:widowControl/>
              <w:jc w:val="left"/>
              <w:textAlignment w:val="center"/>
              <w:rPr>
                <w:rFonts w:ascii="黑体" w:eastAsia="黑体" w:cs="黑体"/>
                <w:color w:val="000000" w:themeColor="text1"/>
                <w:kern w:val="0"/>
                <w:sz w:val="18"/>
                <w:szCs w:val="18"/>
              </w:rPr>
            </w:pPr>
          </w:p>
        </w:tc>
      </w:tr>
    </w:tbl>
    <w:p w14:paraId="4C22924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D4DD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75D04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762BF03">
            <w:pPr>
              <w:jc w:val="center"/>
              <w:rPr>
                <w:rFonts w:ascii="黑体" w:eastAsia="黑体" w:cs="黑体"/>
                <w:b/>
                <w:bCs/>
                <w:color w:val="000000" w:themeColor="text1"/>
                <w:szCs w:val="21"/>
              </w:rPr>
            </w:pPr>
            <w:r>
              <w:rPr>
                <w:rFonts w:ascii="黑体" w:eastAsia="黑体" w:cs="黑体"/>
                <w:b/>
                <w:bCs/>
                <w:color w:val="000000" w:themeColor="text1"/>
                <w:szCs w:val="21"/>
              </w:rPr>
              <w:t>94</w:t>
            </w:r>
          </w:p>
        </w:tc>
        <w:tc>
          <w:tcPr>
            <w:tcW w:w="1691" w:type="dxa"/>
            <w:vAlign w:val="center"/>
          </w:tcPr>
          <w:p w14:paraId="78902F6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F02BED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22A9E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8D25D4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75BF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6F482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24393C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对交通运输领域建设工程项目未组织验收、验收不合格擅自交付使用、对不合格的工程按照合格工程验收的行为的行政处罚</w:t>
            </w:r>
          </w:p>
        </w:tc>
      </w:tr>
      <w:tr w14:paraId="6317E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16589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5A5C54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5F02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0306D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C720C5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号）第五十八条　违反本条例规定，建设单位有下列行为之一的，责令改正，处工程合同价款百分之二以上百分之四以下的罚款；造成损失的，依法承担赔偿责任；</w:t>
            </w:r>
          </w:p>
          <w:p w14:paraId="13CED54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（一）未组织竣工验收，擅自交付使用的；（二）验收不合格，擅自交付使用的；（三）对不合格的建设工程按照合格工程验收的。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《港口工程建设管理规定》</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第七十条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项目单位有下列行为之一的，由所在地港口行政管理部门责令停止使用，处工程合同价款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以下的罚款：（一）未组织竣工验收或者验收不合格，擅自交付使用的；（二）对不符合竣工验收条件和要求的项目按照合格项目验收的。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《公路建设监督管理办法》（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号）第四十条　违反本办法第十五条规定，未组织项目交工验收或验收不合格擅自交付使用的，责令改正并停止使用，处工程合同价款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％以下的罚款；对收费公路项目应当停止收费。</w:t>
            </w:r>
            <w:r>
              <w:rPr>
                <w:rFonts w:ascii="仿宋" w:hAnsi="仿宋" w:eastAsia="仿宋" w:cs="宋体"/>
                <w:color w:val="000000" w:themeColor="text1"/>
                <w:kern w:val="0"/>
                <w:sz w:val="18"/>
                <w:szCs w:val="18"/>
              </w:rPr>
              <w:t>4.</w:t>
            </w:r>
            <w:r>
              <w:rPr>
                <w:rFonts w:hint="eastAsia" w:ascii="仿宋" w:hAnsi="仿宋" w:eastAsia="仿宋" w:cs="宋体"/>
                <w:color w:val="000000" w:themeColor="text1"/>
                <w:kern w:val="0"/>
                <w:sz w:val="18"/>
                <w:szCs w:val="18"/>
              </w:rPr>
              <w:t>《航道工程建设管理规定》第七十七条航道工程建设项目未组织竣工验收或者验收不合格，项目单位擅自交付使用的，由具体负责监督管理的交通运输主管部门责令改正，处工程合同价款</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以上</w:t>
            </w:r>
            <w:r>
              <w:rPr>
                <w:rFonts w:ascii="仿宋" w:hAnsi="仿宋" w:eastAsia="仿宋" w:cs="宋体"/>
                <w:color w:val="000000" w:themeColor="text1"/>
                <w:kern w:val="0"/>
                <w:sz w:val="18"/>
                <w:szCs w:val="18"/>
              </w:rPr>
              <w:t>4%</w:t>
            </w:r>
            <w:r>
              <w:rPr>
                <w:rFonts w:hint="eastAsia" w:ascii="仿宋" w:hAnsi="仿宋" w:eastAsia="仿宋" w:cs="宋体"/>
                <w:color w:val="000000" w:themeColor="text1"/>
                <w:kern w:val="0"/>
                <w:sz w:val="18"/>
                <w:szCs w:val="18"/>
              </w:rPr>
              <w:t>以下的罚款。</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河北省地方铁路条例》第四十一条违反本条例第十九条规定，地方铁路建设项目未经验收或者验收不合格交付使用的，由省铁路管理机构责令停止使用，处工程合同价款百分之二以上百分之四以下的罚款；造成损失的，依法承担赔偿责任。</w:t>
            </w:r>
          </w:p>
          <w:p w14:paraId="260B7D61">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6197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AA001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2752B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E3B00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4CA3E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85401B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9990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5" w:hRule="atLeast"/>
          <w:jc w:val="center"/>
        </w:trPr>
        <w:tc>
          <w:tcPr>
            <w:tcW w:w="943" w:type="dxa"/>
            <w:vMerge w:val="continue"/>
            <w:vAlign w:val="center"/>
          </w:tcPr>
          <w:p w14:paraId="1D707A64">
            <w:pPr>
              <w:rPr>
                <w:color w:val="000000" w:themeColor="text1"/>
              </w:rPr>
            </w:pPr>
          </w:p>
        </w:tc>
        <w:tc>
          <w:tcPr>
            <w:tcW w:w="1110" w:type="dxa"/>
            <w:vAlign w:val="center"/>
          </w:tcPr>
          <w:p w14:paraId="642D3D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048FFA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828A3F9">
            <w:pPr>
              <w:jc w:val="center"/>
              <w:rPr>
                <w:rFonts w:ascii="仿宋_GB2312" w:hAnsi="黑体" w:eastAsia="仿宋_GB2312" w:cs="黑体"/>
                <w:color w:val="000000" w:themeColor="text1"/>
                <w:sz w:val="18"/>
                <w:szCs w:val="18"/>
              </w:rPr>
            </w:pPr>
          </w:p>
        </w:tc>
        <w:tc>
          <w:tcPr>
            <w:tcW w:w="1406" w:type="dxa"/>
            <w:vAlign w:val="center"/>
          </w:tcPr>
          <w:p w14:paraId="7ACC65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9D7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48" w:hRule="atLeast"/>
          <w:jc w:val="center"/>
        </w:trPr>
        <w:tc>
          <w:tcPr>
            <w:tcW w:w="943" w:type="dxa"/>
            <w:vMerge w:val="continue"/>
            <w:vAlign w:val="center"/>
          </w:tcPr>
          <w:p w14:paraId="24EDE45A">
            <w:pPr>
              <w:rPr>
                <w:color w:val="000000" w:themeColor="text1"/>
              </w:rPr>
            </w:pPr>
          </w:p>
        </w:tc>
        <w:tc>
          <w:tcPr>
            <w:tcW w:w="1110" w:type="dxa"/>
            <w:vAlign w:val="center"/>
          </w:tcPr>
          <w:p w14:paraId="6E772B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64D11E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F6BF16F">
            <w:pPr>
              <w:jc w:val="center"/>
              <w:rPr>
                <w:rFonts w:ascii="仿宋_GB2312" w:hAnsi="黑体" w:eastAsia="仿宋_GB2312" w:cs="黑体"/>
                <w:color w:val="000000" w:themeColor="text1"/>
                <w:sz w:val="18"/>
                <w:szCs w:val="18"/>
              </w:rPr>
            </w:pPr>
          </w:p>
        </w:tc>
        <w:tc>
          <w:tcPr>
            <w:tcW w:w="1406" w:type="dxa"/>
            <w:vAlign w:val="center"/>
          </w:tcPr>
          <w:p w14:paraId="62A114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B0E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BA53731">
            <w:pPr>
              <w:rPr>
                <w:color w:val="000000" w:themeColor="text1"/>
              </w:rPr>
            </w:pPr>
          </w:p>
        </w:tc>
        <w:tc>
          <w:tcPr>
            <w:tcW w:w="1110" w:type="dxa"/>
            <w:vAlign w:val="center"/>
          </w:tcPr>
          <w:p w14:paraId="2CDB9D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77E409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C02803B">
            <w:pPr>
              <w:jc w:val="center"/>
              <w:rPr>
                <w:rFonts w:ascii="仿宋_GB2312" w:hAnsi="黑体" w:eastAsia="仿宋_GB2312" w:cs="黑体"/>
                <w:color w:val="000000" w:themeColor="text1"/>
                <w:sz w:val="18"/>
                <w:szCs w:val="18"/>
              </w:rPr>
            </w:pPr>
          </w:p>
        </w:tc>
        <w:tc>
          <w:tcPr>
            <w:tcW w:w="1406" w:type="dxa"/>
            <w:vAlign w:val="center"/>
          </w:tcPr>
          <w:p w14:paraId="697F21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87FD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3A67E49">
            <w:pPr>
              <w:rPr>
                <w:color w:val="000000" w:themeColor="text1"/>
              </w:rPr>
            </w:pPr>
          </w:p>
        </w:tc>
        <w:tc>
          <w:tcPr>
            <w:tcW w:w="1110" w:type="dxa"/>
            <w:vAlign w:val="center"/>
          </w:tcPr>
          <w:p w14:paraId="56F188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BC21C3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0DAD180">
            <w:pPr>
              <w:jc w:val="center"/>
              <w:rPr>
                <w:rFonts w:ascii="仿宋_GB2312" w:hAnsi="黑体" w:eastAsia="仿宋_GB2312" w:cs="黑体"/>
                <w:color w:val="000000" w:themeColor="text1"/>
                <w:sz w:val="18"/>
                <w:szCs w:val="18"/>
              </w:rPr>
            </w:pPr>
          </w:p>
        </w:tc>
        <w:tc>
          <w:tcPr>
            <w:tcW w:w="1406" w:type="dxa"/>
            <w:vAlign w:val="center"/>
          </w:tcPr>
          <w:p w14:paraId="2F73ED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C32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5" w:hRule="atLeast"/>
          <w:jc w:val="center"/>
        </w:trPr>
        <w:tc>
          <w:tcPr>
            <w:tcW w:w="943" w:type="dxa"/>
            <w:vMerge w:val="continue"/>
            <w:vAlign w:val="center"/>
          </w:tcPr>
          <w:p w14:paraId="36869EFB">
            <w:pPr>
              <w:rPr>
                <w:color w:val="000000" w:themeColor="text1"/>
              </w:rPr>
            </w:pPr>
          </w:p>
        </w:tc>
        <w:tc>
          <w:tcPr>
            <w:tcW w:w="1110" w:type="dxa"/>
            <w:vAlign w:val="center"/>
          </w:tcPr>
          <w:p w14:paraId="789D05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08AD15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E24334A">
            <w:pPr>
              <w:jc w:val="center"/>
              <w:rPr>
                <w:rFonts w:ascii="仿宋_GB2312" w:hAnsi="黑体" w:eastAsia="仿宋_GB2312" w:cs="黑体"/>
                <w:color w:val="000000" w:themeColor="text1"/>
                <w:sz w:val="18"/>
                <w:szCs w:val="18"/>
              </w:rPr>
            </w:pPr>
          </w:p>
        </w:tc>
        <w:tc>
          <w:tcPr>
            <w:tcW w:w="1406" w:type="dxa"/>
            <w:vAlign w:val="center"/>
          </w:tcPr>
          <w:p w14:paraId="21B9AF8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135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83" w:hRule="atLeast"/>
          <w:jc w:val="center"/>
        </w:trPr>
        <w:tc>
          <w:tcPr>
            <w:tcW w:w="943" w:type="dxa"/>
            <w:vAlign w:val="center"/>
          </w:tcPr>
          <w:p w14:paraId="41C89DA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22EA6D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FBF1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70C93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3C360A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799A74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B632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5AB6D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DFC9F1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DFA1E7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9331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4D44166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093D128">
            <w:pPr>
              <w:widowControl/>
              <w:jc w:val="left"/>
              <w:textAlignment w:val="center"/>
              <w:rPr>
                <w:rFonts w:ascii="黑体" w:eastAsia="黑体" w:cs="黑体"/>
                <w:color w:val="000000" w:themeColor="text1"/>
                <w:kern w:val="0"/>
                <w:sz w:val="18"/>
                <w:szCs w:val="18"/>
              </w:rPr>
            </w:pPr>
          </w:p>
        </w:tc>
      </w:tr>
    </w:tbl>
    <w:p w14:paraId="158FC323">
      <w:pPr>
        <w:widowControl/>
        <w:tabs>
          <w:tab w:val="left" w:pos="6140"/>
        </w:tabs>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5683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9A885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DDBE4EE">
            <w:pPr>
              <w:jc w:val="center"/>
              <w:rPr>
                <w:rFonts w:ascii="黑体" w:eastAsia="黑体" w:cs="黑体"/>
                <w:b/>
                <w:bCs/>
                <w:color w:val="000000" w:themeColor="text1"/>
                <w:szCs w:val="21"/>
              </w:rPr>
            </w:pPr>
            <w:r>
              <w:rPr>
                <w:rFonts w:ascii="黑体" w:eastAsia="黑体" w:cs="黑体"/>
                <w:b/>
                <w:bCs/>
                <w:color w:val="000000" w:themeColor="text1"/>
                <w:szCs w:val="21"/>
              </w:rPr>
              <w:t>95</w:t>
            </w:r>
          </w:p>
        </w:tc>
        <w:tc>
          <w:tcPr>
            <w:tcW w:w="1691" w:type="dxa"/>
            <w:vAlign w:val="center"/>
          </w:tcPr>
          <w:p w14:paraId="2144DD6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0AFE4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51F05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76F957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454E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230FD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3C076D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对交通运输领域建设工程项目施工图设计未经批准，擅自开工建设行为的行政处罚</w:t>
            </w:r>
          </w:p>
        </w:tc>
      </w:tr>
      <w:tr w14:paraId="0925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DC68CD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E515D8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FD69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C46DA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089A10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113AE4EC">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号）第五十六条第四项违反本条例规定，建设单位有下列行为之一的，责令改正，处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万元以下的罚款：（四）施工图设计文件未经审查或者审查不合格，擅自施工的；</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《港口工程建设管理规定》第六十九条项目单位有下列行为之一的，由所在地港口行政管理部门责令改正，处</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万以上</w:t>
            </w:r>
            <w:r>
              <w:rPr>
                <w:rFonts w:ascii="仿宋" w:hAnsi="仿宋" w:eastAsia="仿宋" w:cs="宋体"/>
                <w:color w:val="000000" w:themeColor="text1"/>
                <w:kern w:val="0"/>
                <w:sz w:val="18"/>
                <w:szCs w:val="18"/>
              </w:rPr>
              <w:t>50</w:t>
            </w:r>
            <w:r>
              <w:rPr>
                <w:rFonts w:hint="eastAsia" w:ascii="仿宋" w:hAnsi="仿宋" w:eastAsia="仿宋" w:cs="宋体"/>
                <w:color w:val="000000" w:themeColor="text1"/>
                <w:kern w:val="0"/>
                <w:sz w:val="18"/>
                <w:szCs w:val="18"/>
              </w:rPr>
              <w:t>万以下的罚款：（一）施工图设计未经批准，擅自开工建设的；（二）施工图设计经批准后，对本规定第三十一条、第三十二条规定的情形擅自作出变更或者采取肢解变更内容等方式规避审批并开工建设的。</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《航道工程建设管理规定》第七十六条施工图设计未经审查或者审查不合格，擅自施工的，由具体负责监督管理的交通运输主管部门责令改正，处</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50</w:t>
            </w:r>
            <w:r>
              <w:rPr>
                <w:rFonts w:hint="eastAsia" w:ascii="仿宋" w:hAnsi="仿宋" w:eastAsia="仿宋" w:cs="宋体"/>
                <w:color w:val="000000" w:themeColor="text1"/>
                <w:kern w:val="0"/>
                <w:sz w:val="18"/>
                <w:szCs w:val="18"/>
              </w:rPr>
              <w:t>万元以下罚款。</w:t>
            </w:r>
          </w:p>
          <w:p w14:paraId="222C785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1A61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DF787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62182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8CA1D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C4E56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50B7AF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3633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2F386C5">
            <w:pPr>
              <w:rPr>
                <w:color w:val="000000" w:themeColor="text1"/>
              </w:rPr>
            </w:pPr>
          </w:p>
        </w:tc>
        <w:tc>
          <w:tcPr>
            <w:tcW w:w="1110" w:type="dxa"/>
            <w:vAlign w:val="center"/>
          </w:tcPr>
          <w:p w14:paraId="2FA43F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BAB5A1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12B396E">
            <w:pPr>
              <w:jc w:val="center"/>
              <w:rPr>
                <w:rFonts w:ascii="仿宋_GB2312" w:hAnsi="黑体" w:eastAsia="仿宋_GB2312" w:cs="黑体"/>
                <w:color w:val="000000" w:themeColor="text1"/>
                <w:sz w:val="18"/>
                <w:szCs w:val="18"/>
              </w:rPr>
            </w:pPr>
          </w:p>
        </w:tc>
        <w:tc>
          <w:tcPr>
            <w:tcW w:w="1406" w:type="dxa"/>
            <w:vAlign w:val="center"/>
          </w:tcPr>
          <w:p w14:paraId="738D2F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E13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F58F988">
            <w:pPr>
              <w:rPr>
                <w:color w:val="000000" w:themeColor="text1"/>
              </w:rPr>
            </w:pPr>
          </w:p>
        </w:tc>
        <w:tc>
          <w:tcPr>
            <w:tcW w:w="1110" w:type="dxa"/>
            <w:vAlign w:val="center"/>
          </w:tcPr>
          <w:p w14:paraId="0B7B5D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95878F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B9CA8F4">
            <w:pPr>
              <w:jc w:val="center"/>
              <w:rPr>
                <w:rFonts w:ascii="仿宋_GB2312" w:hAnsi="黑体" w:eastAsia="仿宋_GB2312" w:cs="黑体"/>
                <w:color w:val="000000" w:themeColor="text1"/>
                <w:sz w:val="18"/>
                <w:szCs w:val="18"/>
              </w:rPr>
            </w:pPr>
          </w:p>
        </w:tc>
        <w:tc>
          <w:tcPr>
            <w:tcW w:w="1406" w:type="dxa"/>
            <w:vAlign w:val="center"/>
          </w:tcPr>
          <w:p w14:paraId="073B40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3ED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69070C2">
            <w:pPr>
              <w:rPr>
                <w:color w:val="000000" w:themeColor="text1"/>
              </w:rPr>
            </w:pPr>
          </w:p>
        </w:tc>
        <w:tc>
          <w:tcPr>
            <w:tcW w:w="1110" w:type="dxa"/>
            <w:vAlign w:val="center"/>
          </w:tcPr>
          <w:p w14:paraId="351AAE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7AC3F5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7D5C4A1">
            <w:pPr>
              <w:jc w:val="center"/>
              <w:rPr>
                <w:rFonts w:ascii="仿宋_GB2312" w:hAnsi="黑体" w:eastAsia="仿宋_GB2312" w:cs="黑体"/>
                <w:color w:val="000000" w:themeColor="text1"/>
                <w:sz w:val="18"/>
                <w:szCs w:val="18"/>
              </w:rPr>
            </w:pPr>
          </w:p>
        </w:tc>
        <w:tc>
          <w:tcPr>
            <w:tcW w:w="1406" w:type="dxa"/>
            <w:vAlign w:val="center"/>
          </w:tcPr>
          <w:p w14:paraId="0E1C14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BADC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F7A24AC">
            <w:pPr>
              <w:rPr>
                <w:color w:val="000000" w:themeColor="text1"/>
              </w:rPr>
            </w:pPr>
          </w:p>
        </w:tc>
        <w:tc>
          <w:tcPr>
            <w:tcW w:w="1110" w:type="dxa"/>
            <w:vAlign w:val="center"/>
          </w:tcPr>
          <w:p w14:paraId="1170DE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462F7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5822FE0">
            <w:pPr>
              <w:jc w:val="center"/>
              <w:rPr>
                <w:rFonts w:ascii="仿宋_GB2312" w:hAnsi="黑体" w:eastAsia="仿宋_GB2312" w:cs="黑体"/>
                <w:color w:val="000000" w:themeColor="text1"/>
                <w:sz w:val="18"/>
                <w:szCs w:val="18"/>
              </w:rPr>
            </w:pPr>
          </w:p>
        </w:tc>
        <w:tc>
          <w:tcPr>
            <w:tcW w:w="1406" w:type="dxa"/>
            <w:vAlign w:val="center"/>
          </w:tcPr>
          <w:p w14:paraId="2EA236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1FC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9259743">
            <w:pPr>
              <w:rPr>
                <w:color w:val="000000" w:themeColor="text1"/>
              </w:rPr>
            </w:pPr>
          </w:p>
        </w:tc>
        <w:tc>
          <w:tcPr>
            <w:tcW w:w="1110" w:type="dxa"/>
            <w:vAlign w:val="center"/>
          </w:tcPr>
          <w:p w14:paraId="7C369D0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72A5E3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90DDD03">
            <w:pPr>
              <w:jc w:val="center"/>
              <w:rPr>
                <w:rFonts w:ascii="仿宋_GB2312" w:hAnsi="黑体" w:eastAsia="仿宋_GB2312" w:cs="黑体"/>
                <w:color w:val="000000" w:themeColor="text1"/>
                <w:sz w:val="18"/>
                <w:szCs w:val="18"/>
              </w:rPr>
            </w:pPr>
          </w:p>
        </w:tc>
        <w:tc>
          <w:tcPr>
            <w:tcW w:w="1406" w:type="dxa"/>
            <w:vAlign w:val="center"/>
          </w:tcPr>
          <w:p w14:paraId="2DC9661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7D7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FB958A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73CE56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2454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45923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0C895D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A31667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81A5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979AA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E24196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451B61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8856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A77F57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14B6972">
            <w:pPr>
              <w:widowControl/>
              <w:jc w:val="left"/>
              <w:textAlignment w:val="center"/>
              <w:rPr>
                <w:rFonts w:ascii="黑体" w:eastAsia="黑体" w:cs="黑体"/>
                <w:color w:val="000000" w:themeColor="text1"/>
                <w:kern w:val="0"/>
                <w:sz w:val="18"/>
                <w:szCs w:val="18"/>
              </w:rPr>
            </w:pPr>
          </w:p>
        </w:tc>
      </w:tr>
    </w:tbl>
    <w:p w14:paraId="32DB058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96B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DD97C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7CC1D34">
            <w:pPr>
              <w:jc w:val="center"/>
              <w:rPr>
                <w:rFonts w:ascii="黑体" w:eastAsia="黑体" w:cs="黑体"/>
                <w:b/>
                <w:bCs/>
                <w:color w:val="000000" w:themeColor="text1"/>
                <w:szCs w:val="21"/>
              </w:rPr>
            </w:pPr>
            <w:r>
              <w:rPr>
                <w:rFonts w:ascii="黑体" w:eastAsia="黑体" w:cs="黑体"/>
                <w:b/>
                <w:bCs/>
                <w:color w:val="000000" w:themeColor="text1"/>
                <w:szCs w:val="21"/>
              </w:rPr>
              <w:t>96</w:t>
            </w:r>
          </w:p>
        </w:tc>
        <w:tc>
          <w:tcPr>
            <w:tcW w:w="1691" w:type="dxa"/>
            <w:vAlign w:val="center"/>
          </w:tcPr>
          <w:p w14:paraId="7682045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BE2278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9F268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7EBA6F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24ED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3BCE0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11813F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对交通运输领域建设工程项目必须实行工程监理而未实行工程监理行为的行政处罚</w:t>
            </w:r>
          </w:p>
        </w:tc>
      </w:tr>
      <w:tr w14:paraId="637A9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2EF8B2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75C018A">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085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46093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9186DB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号）第五十六条第（五）项违反本条例规定，建设单位有下列行为之一的，责令改正，处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万元以下的罚款：（五）建设项目必须实行工程监理而未实行工程监理的。</w:t>
            </w:r>
          </w:p>
          <w:p w14:paraId="24211F49">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6E009A75">
            <w:pPr>
              <w:spacing w:line="240" w:lineRule="exact"/>
              <w:rPr>
                <w:rFonts w:ascii="仿宋_GB2312" w:eastAsia="仿宋_GB2312" w:cs="黑体"/>
                <w:b/>
                <w:bCs/>
                <w:color w:val="000000" w:themeColor="text1"/>
                <w:szCs w:val="21"/>
              </w:rPr>
            </w:pPr>
          </w:p>
        </w:tc>
      </w:tr>
      <w:tr w14:paraId="0ECD3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321DB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3B309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8F410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8B8FE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28707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5FE0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3241615">
            <w:pPr>
              <w:rPr>
                <w:color w:val="000000" w:themeColor="text1"/>
              </w:rPr>
            </w:pPr>
          </w:p>
        </w:tc>
        <w:tc>
          <w:tcPr>
            <w:tcW w:w="1110" w:type="dxa"/>
            <w:vAlign w:val="center"/>
          </w:tcPr>
          <w:p w14:paraId="004839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A0E7A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E82898E">
            <w:pPr>
              <w:jc w:val="center"/>
              <w:rPr>
                <w:rFonts w:ascii="仿宋_GB2312" w:hAnsi="黑体" w:eastAsia="仿宋_GB2312" w:cs="黑体"/>
                <w:color w:val="000000" w:themeColor="text1"/>
                <w:sz w:val="18"/>
                <w:szCs w:val="18"/>
              </w:rPr>
            </w:pPr>
          </w:p>
        </w:tc>
        <w:tc>
          <w:tcPr>
            <w:tcW w:w="1406" w:type="dxa"/>
            <w:vAlign w:val="center"/>
          </w:tcPr>
          <w:p w14:paraId="1037AA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097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326B90E">
            <w:pPr>
              <w:rPr>
                <w:color w:val="000000" w:themeColor="text1"/>
              </w:rPr>
            </w:pPr>
          </w:p>
        </w:tc>
        <w:tc>
          <w:tcPr>
            <w:tcW w:w="1110" w:type="dxa"/>
            <w:vAlign w:val="center"/>
          </w:tcPr>
          <w:p w14:paraId="7CCED8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92A501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EB4BE10">
            <w:pPr>
              <w:jc w:val="center"/>
              <w:rPr>
                <w:rFonts w:ascii="仿宋_GB2312" w:hAnsi="黑体" w:eastAsia="仿宋_GB2312" w:cs="黑体"/>
                <w:color w:val="000000" w:themeColor="text1"/>
                <w:sz w:val="18"/>
                <w:szCs w:val="18"/>
              </w:rPr>
            </w:pPr>
          </w:p>
        </w:tc>
        <w:tc>
          <w:tcPr>
            <w:tcW w:w="1406" w:type="dxa"/>
            <w:vAlign w:val="center"/>
          </w:tcPr>
          <w:p w14:paraId="09FC0B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2F9C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C6AE9C3">
            <w:pPr>
              <w:rPr>
                <w:color w:val="000000" w:themeColor="text1"/>
              </w:rPr>
            </w:pPr>
          </w:p>
        </w:tc>
        <w:tc>
          <w:tcPr>
            <w:tcW w:w="1110" w:type="dxa"/>
            <w:vAlign w:val="center"/>
          </w:tcPr>
          <w:p w14:paraId="3FDEA9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50F54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954E3D0">
            <w:pPr>
              <w:jc w:val="center"/>
              <w:rPr>
                <w:rFonts w:ascii="仿宋_GB2312" w:hAnsi="黑体" w:eastAsia="仿宋_GB2312" w:cs="黑体"/>
                <w:color w:val="000000" w:themeColor="text1"/>
                <w:sz w:val="18"/>
                <w:szCs w:val="18"/>
              </w:rPr>
            </w:pPr>
          </w:p>
        </w:tc>
        <w:tc>
          <w:tcPr>
            <w:tcW w:w="1406" w:type="dxa"/>
            <w:vAlign w:val="center"/>
          </w:tcPr>
          <w:p w14:paraId="5B597BB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82D5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B4B6C56">
            <w:pPr>
              <w:rPr>
                <w:color w:val="000000" w:themeColor="text1"/>
              </w:rPr>
            </w:pPr>
          </w:p>
        </w:tc>
        <w:tc>
          <w:tcPr>
            <w:tcW w:w="1110" w:type="dxa"/>
            <w:vAlign w:val="center"/>
          </w:tcPr>
          <w:p w14:paraId="7BE4974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4F3DF8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0BD200B">
            <w:pPr>
              <w:jc w:val="center"/>
              <w:rPr>
                <w:rFonts w:ascii="仿宋_GB2312" w:hAnsi="黑体" w:eastAsia="仿宋_GB2312" w:cs="黑体"/>
                <w:color w:val="000000" w:themeColor="text1"/>
                <w:sz w:val="18"/>
                <w:szCs w:val="18"/>
              </w:rPr>
            </w:pPr>
          </w:p>
        </w:tc>
        <w:tc>
          <w:tcPr>
            <w:tcW w:w="1406" w:type="dxa"/>
            <w:vAlign w:val="center"/>
          </w:tcPr>
          <w:p w14:paraId="7B1A20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81C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8AB7A08">
            <w:pPr>
              <w:rPr>
                <w:color w:val="000000" w:themeColor="text1"/>
              </w:rPr>
            </w:pPr>
          </w:p>
        </w:tc>
        <w:tc>
          <w:tcPr>
            <w:tcW w:w="1110" w:type="dxa"/>
            <w:vAlign w:val="center"/>
          </w:tcPr>
          <w:p w14:paraId="2079C9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49E62A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7BA0A9">
            <w:pPr>
              <w:jc w:val="center"/>
              <w:rPr>
                <w:rFonts w:ascii="仿宋_GB2312" w:hAnsi="黑体" w:eastAsia="仿宋_GB2312" w:cs="黑体"/>
                <w:color w:val="000000" w:themeColor="text1"/>
                <w:sz w:val="18"/>
                <w:szCs w:val="18"/>
              </w:rPr>
            </w:pPr>
          </w:p>
        </w:tc>
        <w:tc>
          <w:tcPr>
            <w:tcW w:w="1406" w:type="dxa"/>
            <w:vAlign w:val="center"/>
          </w:tcPr>
          <w:p w14:paraId="5D7F06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B1A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4D01EB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D1F4EF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AF85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824EB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6F7197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59DFAC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8D7F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F7952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338A22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D9412D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A3AB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963591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849508C">
            <w:pPr>
              <w:widowControl/>
              <w:jc w:val="left"/>
              <w:textAlignment w:val="center"/>
              <w:rPr>
                <w:rFonts w:ascii="黑体" w:eastAsia="黑体" w:cs="黑体"/>
                <w:color w:val="000000" w:themeColor="text1"/>
                <w:kern w:val="0"/>
                <w:sz w:val="18"/>
                <w:szCs w:val="18"/>
              </w:rPr>
            </w:pPr>
          </w:p>
        </w:tc>
      </w:tr>
    </w:tbl>
    <w:p w14:paraId="135AA879">
      <w:pPr>
        <w:rPr>
          <w:color w:val="000000" w:themeColor="text1"/>
          <w:sz w:val="24"/>
        </w:rPr>
      </w:pPr>
    </w:p>
    <w:p w14:paraId="7B1CCE20">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4567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7A6C5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E757FB9">
            <w:pPr>
              <w:jc w:val="center"/>
              <w:rPr>
                <w:rFonts w:ascii="黑体" w:eastAsia="黑体" w:cs="黑体"/>
                <w:b/>
                <w:bCs/>
                <w:color w:val="000000" w:themeColor="text1"/>
                <w:szCs w:val="21"/>
              </w:rPr>
            </w:pPr>
            <w:r>
              <w:rPr>
                <w:rFonts w:ascii="黑体" w:eastAsia="黑体" w:cs="黑体"/>
                <w:b/>
                <w:bCs/>
                <w:color w:val="000000" w:themeColor="text1"/>
                <w:szCs w:val="21"/>
              </w:rPr>
              <w:t>97</w:t>
            </w:r>
          </w:p>
        </w:tc>
        <w:tc>
          <w:tcPr>
            <w:tcW w:w="1691" w:type="dxa"/>
            <w:vAlign w:val="center"/>
          </w:tcPr>
          <w:p w14:paraId="3F3D5B9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0D9457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0FAEA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DBF958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1B6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27408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A5E8E1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对交通运输领域建设工程项目施工单位在工程上使用或安装未经监理工程师签认的建筑材料、构件和设备行为的行政处罚</w:t>
            </w:r>
          </w:p>
        </w:tc>
      </w:tr>
      <w:tr w14:paraId="58D17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51724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D9F702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0078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E16EE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B0270A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三十七条工程监理单位应当选派具备相应资格的总监理工程师和监理工程师进驻施工现场。未经监理工程师签字，建筑材料、建筑构配件和设备不得在工程上使用或者安装，施工单位不得进行下一道工序的施工。未经总监理工程师签字，建设单位不拨付工程款，不进行竣工验收。</w:t>
            </w:r>
          </w:p>
          <w:p w14:paraId="07F1E870">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《公路建设监督管理办法》（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号）第四十四条违反本办法第二十三条规定，监理单位将不合格的工程、建筑材料、构件和设备按合格予以签认的，责令改正，可给予警告处罚，情节严重的，处</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100</w:t>
            </w:r>
            <w:r>
              <w:rPr>
                <w:rFonts w:hint="eastAsia" w:ascii="仿宋_GB2312" w:eastAsia="仿宋_GB2312" w:cs="仿宋_GB2312"/>
                <w:color w:val="000000" w:themeColor="text1"/>
                <w:kern w:val="0"/>
                <w:sz w:val="18"/>
                <w:szCs w:val="18"/>
              </w:rPr>
              <w:t>万元以下罚款；施工单位在工程上使用或安装未经监理签认的建筑材料、构件和设备的，责令改正，可给予警告处罚，情节严重的，处工程合同价款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以下的罚款。</w:t>
            </w:r>
          </w:p>
          <w:p w14:paraId="7BF8EBF3">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2C84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50A0F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5FFE4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E1E28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CA180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8286E1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AFE8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5" w:hRule="atLeast"/>
          <w:jc w:val="center"/>
        </w:trPr>
        <w:tc>
          <w:tcPr>
            <w:tcW w:w="943" w:type="dxa"/>
            <w:vMerge w:val="continue"/>
            <w:vAlign w:val="center"/>
          </w:tcPr>
          <w:p w14:paraId="36FBF185">
            <w:pPr>
              <w:rPr>
                <w:color w:val="000000" w:themeColor="text1"/>
              </w:rPr>
            </w:pPr>
          </w:p>
        </w:tc>
        <w:tc>
          <w:tcPr>
            <w:tcW w:w="1110" w:type="dxa"/>
            <w:vAlign w:val="center"/>
          </w:tcPr>
          <w:p w14:paraId="6C1648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E36869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2E95349">
            <w:pPr>
              <w:jc w:val="center"/>
              <w:rPr>
                <w:rFonts w:ascii="仿宋_GB2312" w:hAnsi="黑体" w:eastAsia="仿宋_GB2312" w:cs="黑体"/>
                <w:color w:val="000000" w:themeColor="text1"/>
                <w:sz w:val="18"/>
                <w:szCs w:val="18"/>
              </w:rPr>
            </w:pPr>
          </w:p>
        </w:tc>
        <w:tc>
          <w:tcPr>
            <w:tcW w:w="1406" w:type="dxa"/>
            <w:vAlign w:val="center"/>
          </w:tcPr>
          <w:p w14:paraId="027247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EE6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1" w:hRule="atLeast"/>
          <w:jc w:val="center"/>
        </w:trPr>
        <w:tc>
          <w:tcPr>
            <w:tcW w:w="943" w:type="dxa"/>
            <w:vMerge w:val="continue"/>
            <w:vAlign w:val="center"/>
          </w:tcPr>
          <w:p w14:paraId="47FE1C57">
            <w:pPr>
              <w:rPr>
                <w:color w:val="000000" w:themeColor="text1"/>
              </w:rPr>
            </w:pPr>
          </w:p>
        </w:tc>
        <w:tc>
          <w:tcPr>
            <w:tcW w:w="1110" w:type="dxa"/>
            <w:vAlign w:val="center"/>
          </w:tcPr>
          <w:p w14:paraId="5878D6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9F409D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A0F0B6F">
            <w:pPr>
              <w:jc w:val="center"/>
              <w:rPr>
                <w:rFonts w:ascii="仿宋_GB2312" w:hAnsi="黑体" w:eastAsia="仿宋_GB2312" w:cs="黑体"/>
                <w:color w:val="000000" w:themeColor="text1"/>
                <w:sz w:val="18"/>
                <w:szCs w:val="18"/>
              </w:rPr>
            </w:pPr>
          </w:p>
        </w:tc>
        <w:tc>
          <w:tcPr>
            <w:tcW w:w="1406" w:type="dxa"/>
            <w:vAlign w:val="center"/>
          </w:tcPr>
          <w:p w14:paraId="19FF40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9B4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13EB191">
            <w:pPr>
              <w:rPr>
                <w:color w:val="000000" w:themeColor="text1"/>
              </w:rPr>
            </w:pPr>
          </w:p>
        </w:tc>
        <w:tc>
          <w:tcPr>
            <w:tcW w:w="1110" w:type="dxa"/>
            <w:vAlign w:val="center"/>
          </w:tcPr>
          <w:p w14:paraId="0A6FDB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03941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9CEF857">
            <w:pPr>
              <w:jc w:val="center"/>
              <w:rPr>
                <w:rFonts w:ascii="仿宋_GB2312" w:hAnsi="黑体" w:eastAsia="仿宋_GB2312" w:cs="黑体"/>
                <w:color w:val="000000" w:themeColor="text1"/>
                <w:sz w:val="18"/>
                <w:szCs w:val="18"/>
              </w:rPr>
            </w:pPr>
          </w:p>
        </w:tc>
        <w:tc>
          <w:tcPr>
            <w:tcW w:w="1406" w:type="dxa"/>
            <w:vAlign w:val="center"/>
          </w:tcPr>
          <w:p w14:paraId="254CF8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7C1E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F855E9E">
            <w:pPr>
              <w:rPr>
                <w:color w:val="000000" w:themeColor="text1"/>
              </w:rPr>
            </w:pPr>
          </w:p>
        </w:tc>
        <w:tc>
          <w:tcPr>
            <w:tcW w:w="1110" w:type="dxa"/>
            <w:vAlign w:val="center"/>
          </w:tcPr>
          <w:p w14:paraId="570B0C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5F202E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D7D4AC3">
            <w:pPr>
              <w:jc w:val="center"/>
              <w:rPr>
                <w:rFonts w:ascii="仿宋_GB2312" w:hAnsi="黑体" w:eastAsia="仿宋_GB2312" w:cs="黑体"/>
                <w:color w:val="000000" w:themeColor="text1"/>
                <w:sz w:val="18"/>
                <w:szCs w:val="18"/>
              </w:rPr>
            </w:pPr>
          </w:p>
        </w:tc>
        <w:tc>
          <w:tcPr>
            <w:tcW w:w="1406" w:type="dxa"/>
            <w:vAlign w:val="center"/>
          </w:tcPr>
          <w:p w14:paraId="47038B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D02A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6" w:hRule="atLeast"/>
          <w:jc w:val="center"/>
        </w:trPr>
        <w:tc>
          <w:tcPr>
            <w:tcW w:w="943" w:type="dxa"/>
            <w:vMerge w:val="continue"/>
            <w:vAlign w:val="center"/>
          </w:tcPr>
          <w:p w14:paraId="175F898E">
            <w:pPr>
              <w:rPr>
                <w:color w:val="000000" w:themeColor="text1"/>
              </w:rPr>
            </w:pPr>
          </w:p>
        </w:tc>
        <w:tc>
          <w:tcPr>
            <w:tcW w:w="1110" w:type="dxa"/>
            <w:vAlign w:val="center"/>
          </w:tcPr>
          <w:p w14:paraId="34A2C4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C205E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CC16916">
            <w:pPr>
              <w:jc w:val="center"/>
              <w:rPr>
                <w:rFonts w:ascii="仿宋_GB2312" w:hAnsi="黑体" w:eastAsia="仿宋_GB2312" w:cs="黑体"/>
                <w:color w:val="000000" w:themeColor="text1"/>
                <w:sz w:val="18"/>
                <w:szCs w:val="18"/>
              </w:rPr>
            </w:pPr>
          </w:p>
        </w:tc>
        <w:tc>
          <w:tcPr>
            <w:tcW w:w="1406" w:type="dxa"/>
            <w:vAlign w:val="center"/>
          </w:tcPr>
          <w:p w14:paraId="18CC12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20E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BE1AF1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6C7985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C3F1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6DC39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D66433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A31719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E09C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F1E26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07F01A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09DEE8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81DB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50" w:hRule="atLeast"/>
          <w:jc w:val="center"/>
        </w:trPr>
        <w:tc>
          <w:tcPr>
            <w:tcW w:w="943" w:type="dxa"/>
            <w:vAlign w:val="center"/>
          </w:tcPr>
          <w:p w14:paraId="6D4DA15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EE3935D">
            <w:pPr>
              <w:widowControl/>
              <w:jc w:val="left"/>
              <w:textAlignment w:val="center"/>
              <w:rPr>
                <w:rFonts w:ascii="黑体" w:eastAsia="黑体" w:cs="黑体"/>
                <w:color w:val="000000" w:themeColor="text1"/>
                <w:kern w:val="0"/>
                <w:sz w:val="18"/>
                <w:szCs w:val="18"/>
              </w:rPr>
            </w:pPr>
          </w:p>
        </w:tc>
      </w:tr>
    </w:tbl>
    <w:p w14:paraId="6D5B14A2">
      <w:pPr>
        <w:widowControl/>
        <w:jc w:val="center"/>
        <w:textAlignment w:val="center"/>
        <w:rPr>
          <w:rFonts w:ascii="方正小标宋简体" w:eastAsia="方正小标宋简体" w:cs="方正小标宋简体"/>
          <w:color w:val="000000" w:themeColor="text1"/>
          <w:kern w:val="0"/>
          <w:sz w:val="44"/>
          <w:szCs w:val="44"/>
        </w:rPr>
      </w:pPr>
    </w:p>
    <w:p w14:paraId="579F6AA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EBCA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837B7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52268F3">
            <w:pPr>
              <w:jc w:val="center"/>
              <w:rPr>
                <w:rFonts w:ascii="黑体" w:eastAsia="黑体" w:cs="黑体"/>
                <w:b/>
                <w:bCs/>
                <w:color w:val="000000" w:themeColor="text1"/>
                <w:szCs w:val="21"/>
              </w:rPr>
            </w:pPr>
            <w:r>
              <w:rPr>
                <w:rFonts w:ascii="黑体" w:eastAsia="黑体" w:cs="黑体"/>
                <w:b/>
                <w:bCs/>
                <w:color w:val="000000" w:themeColor="text1"/>
                <w:szCs w:val="21"/>
              </w:rPr>
              <w:t>98</w:t>
            </w:r>
          </w:p>
        </w:tc>
        <w:tc>
          <w:tcPr>
            <w:tcW w:w="1691" w:type="dxa"/>
            <w:vAlign w:val="center"/>
          </w:tcPr>
          <w:p w14:paraId="0A05080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84698F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3281CE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3D4190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4F6E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DAD36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9CEE78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对交通运输领域建设工程项目建设单位将建设工程发包给不具有相应资质等级的勘察、设计、施工单位或者委托给不具有相应资质等级的工程监理单位的行为的行政处罚</w:t>
            </w:r>
          </w:p>
        </w:tc>
      </w:tr>
      <w:tr w14:paraId="3568E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2872D4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CFA479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7C9A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D6653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27006C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号）第五十四条建设单位将建设工程发包给不具有相应资质等级的勘察、设计、施工单位或者委托给不具有相应资质等级的工程监理单位的，责令改正，处</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100</w:t>
            </w:r>
            <w:r>
              <w:rPr>
                <w:rFonts w:hint="eastAsia" w:ascii="仿宋_GB2312" w:eastAsia="仿宋_GB2312" w:cs="仿宋_GB2312"/>
                <w:color w:val="000000" w:themeColor="text1"/>
                <w:kern w:val="0"/>
                <w:sz w:val="18"/>
                <w:szCs w:val="18"/>
              </w:rPr>
              <w:t>万元以下的罚款。</w:t>
            </w:r>
          </w:p>
          <w:p w14:paraId="71AC6C30">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4EF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8354F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0413C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3EFDC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45CFE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D8EDC7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4A5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24389B7">
            <w:pPr>
              <w:rPr>
                <w:color w:val="000000" w:themeColor="text1"/>
              </w:rPr>
            </w:pPr>
          </w:p>
        </w:tc>
        <w:tc>
          <w:tcPr>
            <w:tcW w:w="1110" w:type="dxa"/>
            <w:vAlign w:val="center"/>
          </w:tcPr>
          <w:p w14:paraId="517229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777DA0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69B06BB">
            <w:pPr>
              <w:jc w:val="center"/>
              <w:rPr>
                <w:rFonts w:ascii="仿宋_GB2312" w:hAnsi="黑体" w:eastAsia="仿宋_GB2312" w:cs="黑体"/>
                <w:color w:val="000000" w:themeColor="text1"/>
                <w:sz w:val="18"/>
                <w:szCs w:val="18"/>
              </w:rPr>
            </w:pPr>
          </w:p>
        </w:tc>
        <w:tc>
          <w:tcPr>
            <w:tcW w:w="1406" w:type="dxa"/>
            <w:vAlign w:val="center"/>
          </w:tcPr>
          <w:p w14:paraId="00E0B1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5C2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57F9A6D">
            <w:pPr>
              <w:rPr>
                <w:color w:val="000000" w:themeColor="text1"/>
              </w:rPr>
            </w:pPr>
          </w:p>
        </w:tc>
        <w:tc>
          <w:tcPr>
            <w:tcW w:w="1110" w:type="dxa"/>
            <w:vAlign w:val="center"/>
          </w:tcPr>
          <w:p w14:paraId="5878E5A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3F9491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6177E77">
            <w:pPr>
              <w:jc w:val="center"/>
              <w:rPr>
                <w:rFonts w:ascii="仿宋_GB2312" w:hAnsi="黑体" w:eastAsia="仿宋_GB2312" w:cs="黑体"/>
                <w:color w:val="000000" w:themeColor="text1"/>
                <w:sz w:val="18"/>
                <w:szCs w:val="18"/>
              </w:rPr>
            </w:pPr>
          </w:p>
        </w:tc>
        <w:tc>
          <w:tcPr>
            <w:tcW w:w="1406" w:type="dxa"/>
            <w:vAlign w:val="center"/>
          </w:tcPr>
          <w:p w14:paraId="288D30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BF5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E056D69">
            <w:pPr>
              <w:rPr>
                <w:color w:val="000000" w:themeColor="text1"/>
              </w:rPr>
            </w:pPr>
          </w:p>
        </w:tc>
        <w:tc>
          <w:tcPr>
            <w:tcW w:w="1110" w:type="dxa"/>
            <w:vAlign w:val="center"/>
          </w:tcPr>
          <w:p w14:paraId="144156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CB3AF0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3205F03">
            <w:pPr>
              <w:jc w:val="center"/>
              <w:rPr>
                <w:rFonts w:ascii="仿宋_GB2312" w:hAnsi="黑体" w:eastAsia="仿宋_GB2312" w:cs="黑体"/>
                <w:color w:val="000000" w:themeColor="text1"/>
                <w:sz w:val="18"/>
                <w:szCs w:val="18"/>
              </w:rPr>
            </w:pPr>
          </w:p>
        </w:tc>
        <w:tc>
          <w:tcPr>
            <w:tcW w:w="1406" w:type="dxa"/>
            <w:vAlign w:val="center"/>
          </w:tcPr>
          <w:p w14:paraId="61CA578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61FC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8427393">
            <w:pPr>
              <w:rPr>
                <w:color w:val="000000" w:themeColor="text1"/>
              </w:rPr>
            </w:pPr>
          </w:p>
        </w:tc>
        <w:tc>
          <w:tcPr>
            <w:tcW w:w="1110" w:type="dxa"/>
            <w:vAlign w:val="center"/>
          </w:tcPr>
          <w:p w14:paraId="4CBFA26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5BFCB0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8023433">
            <w:pPr>
              <w:jc w:val="center"/>
              <w:rPr>
                <w:rFonts w:ascii="仿宋_GB2312" w:hAnsi="黑体" w:eastAsia="仿宋_GB2312" w:cs="黑体"/>
                <w:color w:val="000000" w:themeColor="text1"/>
                <w:sz w:val="18"/>
                <w:szCs w:val="18"/>
              </w:rPr>
            </w:pPr>
          </w:p>
        </w:tc>
        <w:tc>
          <w:tcPr>
            <w:tcW w:w="1406" w:type="dxa"/>
            <w:vAlign w:val="center"/>
          </w:tcPr>
          <w:p w14:paraId="4680CC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3296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B944D83">
            <w:pPr>
              <w:rPr>
                <w:color w:val="000000" w:themeColor="text1"/>
              </w:rPr>
            </w:pPr>
          </w:p>
        </w:tc>
        <w:tc>
          <w:tcPr>
            <w:tcW w:w="1110" w:type="dxa"/>
            <w:vAlign w:val="center"/>
          </w:tcPr>
          <w:p w14:paraId="3A7BB2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C4B527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A3F505D">
            <w:pPr>
              <w:jc w:val="center"/>
              <w:rPr>
                <w:rFonts w:ascii="仿宋_GB2312" w:hAnsi="黑体" w:eastAsia="仿宋_GB2312" w:cs="黑体"/>
                <w:color w:val="000000" w:themeColor="text1"/>
                <w:sz w:val="18"/>
                <w:szCs w:val="18"/>
              </w:rPr>
            </w:pPr>
          </w:p>
        </w:tc>
        <w:tc>
          <w:tcPr>
            <w:tcW w:w="1406" w:type="dxa"/>
            <w:vAlign w:val="center"/>
          </w:tcPr>
          <w:p w14:paraId="5790FF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02D1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41413C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6263A4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7A1C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12ADB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63EE0F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64C241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97F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5976F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650744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4431A4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2ECB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B665D4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8EB82CF">
            <w:pPr>
              <w:widowControl/>
              <w:jc w:val="left"/>
              <w:textAlignment w:val="center"/>
              <w:rPr>
                <w:rFonts w:ascii="黑体" w:eastAsia="黑体" w:cs="黑体"/>
                <w:color w:val="000000" w:themeColor="text1"/>
                <w:kern w:val="0"/>
                <w:sz w:val="18"/>
                <w:szCs w:val="18"/>
              </w:rPr>
            </w:pPr>
          </w:p>
        </w:tc>
      </w:tr>
    </w:tbl>
    <w:p w14:paraId="4DE005C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32BA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35BB0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69E0CA5">
            <w:pPr>
              <w:jc w:val="center"/>
              <w:rPr>
                <w:rFonts w:ascii="黑体" w:eastAsia="黑体" w:cs="黑体"/>
                <w:b/>
                <w:bCs/>
                <w:color w:val="000000" w:themeColor="text1"/>
                <w:szCs w:val="21"/>
              </w:rPr>
            </w:pPr>
            <w:r>
              <w:rPr>
                <w:rFonts w:ascii="黑体" w:eastAsia="黑体" w:cs="黑体"/>
                <w:b/>
                <w:bCs/>
                <w:color w:val="000000" w:themeColor="text1"/>
                <w:szCs w:val="21"/>
              </w:rPr>
              <w:t>99</w:t>
            </w:r>
          </w:p>
        </w:tc>
        <w:tc>
          <w:tcPr>
            <w:tcW w:w="1691" w:type="dxa"/>
            <w:vAlign w:val="center"/>
          </w:tcPr>
          <w:p w14:paraId="3304015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FECA19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BF792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C1FDA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B6A9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0FD37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25DA5A7">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对交通运输领域建设工程项目建设单位任意压缩合理工期行为的行政处罚</w:t>
            </w:r>
          </w:p>
        </w:tc>
      </w:tr>
      <w:tr w14:paraId="2271D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571158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C8A6E2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1829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392BF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54EFD9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号）第五十六条第二项　违反本条例规定，建设单位有下列行为之一的，责令改正，处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万元以下的罚款：（二）任意压缩合理工期的；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号）第五十五条第二项　违反本条例的规定，建设单位有下列行为之一的，责令限期改正，处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要求施工单位压缩合同约定的工期的。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《公路建设监督管理办法》（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号）第四十一条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违反本办法第十九条规定，项目法人随意压缩工期，侵犯他人合法权益的，责令限期改正，可处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万元以下的罚款；造成严重后果的，对全部或部分使用财政性资金的项目，可暂停项目执行或暂缓资金拨付。</w:t>
            </w:r>
          </w:p>
          <w:p w14:paraId="21EC974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950B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844CE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F71E2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C9C29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C928D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9A5780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F015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D44A534">
            <w:pPr>
              <w:rPr>
                <w:color w:val="000000" w:themeColor="text1"/>
              </w:rPr>
            </w:pPr>
          </w:p>
        </w:tc>
        <w:tc>
          <w:tcPr>
            <w:tcW w:w="1110" w:type="dxa"/>
            <w:vAlign w:val="center"/>
          </w:tcPr>
          <w:p w14:paraId="0E6661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73049D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9757349">
            <w:pPr>
              <w:jc w:val="center"/>
              <w:rPr>
                <w:rFonts w:ascii="仿宋_GB2312" w:hAnsi="黑体" w:eastAsia="仿宋_GB2312" w:cs="黑体"/>
                <w:color w:val="000000" w:themeColor="text1"/>
                <w:sz w:val="18"/>
                <w:szCs w:val="18"/>
              </w:rPr>
            </w:pPr>
          </w:p>
        </w:tc>
        <w:tc>
          <w:tcPr>
            <w:tcW w:w="1406" w:type="dxa"/>
            <w:vAlign w:val="center"/>
          </w:tcPr>
          <w:p w14:paraId="6A821D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A43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4101468">
            <w:pPr>
              <w:rPr>
                <w:color w:val="000000" w:themeColor="text1"/>
              </w:rPr>
            </w:pPr>
          </w:p>
        </w:tc>
        <w:tc>
          <w:tcPr>
            <w:tcW w:w="1110" w:type="dxa"/>
            <w:vAlign w:val="center"/>
          </w:tcPr>
          <w:p w14:paraId="5A9CCC1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B10024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84381B5">
            <w:pPr>
              <w:jc w:val="center"/>
              <w:rPr>
                <w:rFonts w:ascii="仿宋_GB2312" w:hAnsi="黑体" w:eastAsia="仿宋_GB2312" w:cs="黑体"/>
                <w:color w:val="000000" w:themeColor="text1"/>
                <w:sz w:val="18"/>
                <w:szCs w:val="18"/>
              </w:rPr>
            </w:pPr>
          </w:p>
        </w:tc>
        <w:tc>
          <w:tcPr>
            <w:tcW w:w="1406" w:type="dxa"/>
            <w:vAlign w:val="center"/>
          </w:tcPr>
          <w:p w14:paraId="2892C8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945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8C57ACF">
            <w:pPr>
              <w:rPr>
                <w:color w:val="000000" w:themeColor="text1"/>
              </w:rPr>
            </w:pPr>
          </w:p>
        </w:tc>
        <w:tc>
          <w:tcPr>
            <w:tcW w:w="1110" w:type="dxa"/>
            <w:vAlign w:val="center"/>
          </w:tcPr>
          <w:p w14:paraId="5E44D1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3E818A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2EF7D5D">
            <w:pPr>
              <w:jc w:val="center"/>
              <w:rPr>
                <w:rFonts w:ascii="仿宋_GB2312" w:hAnsi="黑体" w:eastAsia="仿宋_GB2312" w:cs="黑体"/>
                <w:color w:val="000000" w:themeColor="text1"/>
                <w:sz w:val="18"/>
                <w:szCs w:val="18"/>
              </w:rPr>
            </w:pPr>
          </w:p>
        </w:tc>
        <w:tc>
          <w:tcPr>
            <w:tcW w:w="1406" w:type="dxa"/>
            <w:vAlign w:val="center"/>
          </w:tcPr>
          <w:p w14:paraId="2ABAEF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A41F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92A1BF7">
            <w:pPr>
              <w:rPr>
                <w:color w:val="000000" w:themeColor="text1"/>
              </w:rPr>
            </w:pPr>
          </w:p>
        </w:tc>
        <w:tc>
          <w:tcPr>
            <w:tcW w:w="1110" w:type="dxa"/>
            <w:vAlign w:val="center"/>
          </w:tcPr>
          <w:p w14:paraId="6E5DC7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FEDFC0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1524942">
            <w:pPr>
              <w:jc w:val="center"/>
              <w:rPr>
                <w:rFonts w:ascii="仿宋_GB2312" w:hAnsi="黑体" w:eastAsia="仿宋_GB2312" w:cs="黑体"/>
                <w:color w:val="000000" w:themeColor="text1"/>
                <w:sz w:val="18"/>
                <w:szCs w:val="18"/>
              </w:rPr>
            </w:pPr>
          </w:p>
        </w:tc>
        <w:tc>
          <w:tcPr>
            <w:tcW w:w="1406" w:type="dxa"/>
            <w:vAlign w:val="center"/>
          </w:tcPr>
          <w:p w14:paraId="1A0D501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86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7A6283E">
            <w:pPr>
              <w:rPr>
                <w:color w:val="000000" w:themeColor="text1"/>
              </w:rPr>
            </w:pPr>
          </w:p>
        </w:tc>
        <w:tc>
          <w:tcPr>
            <w:tcW w:w="1110" w:type="dxa"/>
            <w:vAlign w:val="center"/>
          </w:tcPr>
          <w:p w14:paraId="52CD9B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E6011B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1C17BC1">
            <w:pPr>
              <w:jc w:val="center"/>
              <w:rPr>
                <w:rFonts w:ascii="仿宋_GB2312" w:hAnsi="黑体" w:eastAsia="仿宋_GB2312" w:cs="黑体"/>
                <w:color w:val="000000" w:themeColor="text1"/>
                <w:sz w:val="18"/>
                <w:szCs w:val="18"/>
              </w:rPr>
            </w:pPr>
          </w:p>
        </w:tc>
        <w:tc>
          <w:tcPr>
            <w:tcW w:w="1406" w:type="dxa"/>
            <w:vAlign w:val="center"/>
          </w:tcPr>
          <w:p w14:paraId="64DEB8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A709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176A26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AAF0B4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0D92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BF274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A5FCF7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AAC2F4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0F34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24729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DAC595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D9B46F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5BE6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406E053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BBED0D6">
            <w:pPr>
              <w:widowControl/>
              <w:jc w:val="left"/>
              <w:textAlignment w:val="center"/>
              <w:rPr>
                <w:rFonts w:ascii="黑体" w:eastAsia="黑体" w:cs="黑体"/>
                <w:color w:val="000000" w:themeColor="text1"/>
                <w:kern w:val="0"/>
                <w:sz w:val="18"/>
                <w:szCs w:val="18"/>
              </w:rPr>
            </w:pPr>
          </w:p>
        </w:tc>
      </w:tr>
    </w:tbl>
    <w:p w14:paraId="64BCAEB1">
      <w:pPr>
        <w:rPr>
          <w:color w:val="000000" w:themeColor="text1"/>
          <w:sz w:val="24"/>
        </w:rPr>
      </w:pPr>
    </w:p>
    <w:p w14:paraId="5B78055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D943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C8655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CBAF06D">
            <w:pPr>
              <w:jc w:val="center"/>
              <w:rPr>
                <w:rFonts w:ascii="黑体" w:eastAsia="黑体" w:cs="黑体"/>
                <w:b/>
                <w:bCs/>
                <w:color w:val="000000" w:themeColor="text1"/>
                <w:szCs w:val="21"/>
              </w:rPr>
            </w:pPr>
            <w:r>
              <w:rPr>
                <w:rFonts w:ascii="黑体" w:eastAsia="黑体" w:cs="黑体"/>
                <w:b/>
                <w:bCs/>
                <w:color w:val="000000" w:themeColor="text1"/>
                <w:szCs w:val="21"/>
              </w:rPr>
              <w:t>100</w:t>
            </w:r>
          </w:p>
        </w:tc>
        <w:tc>
          <w:tcPr>
            <w:tcW w:w="1691" w:type="dxa"/>
            <w:vAlign w:val="center"/>
          </w:tcPr>
          <w:p w14:paraId="534EB69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CB5E7E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6D48D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3A04FA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1C1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C117F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C9E739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对交通运输领域建设工程项目建设单位未按照国家规定办理工程质量监督手续的行政处罚</w:t>
            </w:r>
          </w:p>
        </w:tc>
      </w:tr>
      <w:tr w14:paraId="21193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B7CC66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B20274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95E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E54F7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971E51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号）第五十六条第六项违反本条例规定，建设单位有下列行为之一的，责令改正，处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万元以下的罚款：（六）未按照国家规定办理工程质量监督手续的。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w:t>
            </w:r>
            <w:bookmarkStart w:id="15" w:name="OLE_LINK19"/>
            <w:r>
              <w:rPr>
                <w:rFonts w:hint="eastAsia" w:ascii="仿宋_GB2312" w:eastAsia="仿宋_GB2312" w:cs="仿宋_GB2312"/>
                <w:color w:val="000000" w:themeColor="text1"/>
                <w:kern w:val="0"/>
                <w:sz w:val="18"/>
                <w:szCs w:val="18"/>
              </w:rPr>
              <w:t>公路水运工程质量监督管理规定</w:t>
            </w:r>
            <w:bookmarkEnd w:id="15"/>
            <w:r>
              <w:rPr>
                <w:rFonts w:hint="eastAsia" w:ascii="仿宋_GB2312" w:eastAsia="仿宋_GB2312" w:cs="仿宋_GB2312"/>
                <w:color w:val="000000" w:themeColor="text1"/>
                <w:kern w:val="0"/>
                <w:sz w:val="18"/>
                <w:szCs w:val="18"/>
              </w:rPr>
              <w:t>》（中华人民共和国交通运输部令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号）第四十五条违反本规定第二十二条规定，建设单位未按照规定办理工程质量监督手续的，依照《建设工程质量管理条例》（国务院令第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号）第五十六条规定，责令改正，按以下标准处以罚款：（一）未造成工程质量事故的，处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万元以下的罚款；（二）造成工程质量一般事故的，处</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40</w:t>
            </w:r>
            <w:r>
              <w:rPr>
                <w:rFonts w:hint="eastAsia" w:ascii="仿宋_GB2312" w:eastAsia="仿宋_GB2312" w:cs="仿宋_GB2312"/>
                <w:color w:val="000000" w:themeColor="text1"/>
                <w:kern w:val="0"/>
                <w:sz w:val="18"/>
                <w:szCs w:val="18"/>
              </w:rPr>
              <w:t>万元以下的罚款；（三）造成工程质量较大及以上等级事故的，处</w:t>
            </w:r>
            <w:r>
              <w:rPr>
                <w:rFonts w:ascii="仿宋_GB2312" w:eastAsia="仿宋_GB2312" w:cs="仿宋_GB2312"/>
                <w:color w:val="000000" w:themeColor="text1"/>
                <w:kern w:val="0"/>
                <w:sz w:val="18"/>
                <w:szCs w:val="18"/>
              </w:rPr>
              <w:t>40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万元以下的罚款。第四十六条依照《建设工程质量管理条例》（国务院令第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号）规定给予单位罚款处罚的，对单位直接负责的主管人员和其他直接责任人员处单位罚款数额</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以下的罚款。</w:t>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河北省地方铁路条例》第十五条省铁路管理机构依法对地方铁路建设工程质量实施监督。铁路建设单位应当在工程项目开工前，依照国家有关规定办理工程质量监督手续。第四十条：违反本条例第十五条规定，未按照国家有关规定办理工程质量监督手续的，由省铁路管理机构责令改正，并处二十万元以上五十万元以下的罚款。</w:t>
            </w:r>
          </w:p>
          <w:p w14:paraId="0159D9C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23D4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B3ECB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4939C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1D6E3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00F1B1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812374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5FCB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9E77BEB">
            <w:pPr>
              <w:rPr>
                <w:color w:val="000000" w:themeColor="text1"/>
              </w:rPr>
            </w:pPr>
          </w:p>
        </w:tc>
        <w:tc>
          <w:tcPr>
            <w:tcW w:w="1110" w:type="dxa"/>
            <w:vAlign w:val="center"/>
          </w:tcPr>
          <w:p w14:paraId="67AA5F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9AFDCB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C19F981">
            <w:pPr>
              <w:jc w:val="center"/>
              <w:rPr>
                <w:rFonts w:ascii="仿宋_GB2312" w:hAnsi="黑体" w:eastAsia="仿宋_GB2312" w:cs="黑体"/>
                <w:color w:val="000000" w:themeColor="text1"/>
                <w:sz w:val="18"/>
                <w:szCs w:val="18"/>
              </w:rPr>
            </w:pPr>
          </w:p>
        </w:tc>
        <w:tc>
          <w:tcPr>
            <w:tcW w:w="1406" w:type="dxa"/>
            <w:vAlign w:val="center"/>
          </w:tcPr>
          <w:p w14:paraId="7E90F0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AF2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0FFFB10">
            <w:pPr>
              <w:rPr>
                <w:color w:val="000000" w:themeColor="text1"/>
              </w:rPr>
            </w:pPr>
          </w:p>
        </w:tc>
        <w:tc>
          <w:tcPr>
            <w:tcW w:w="1110" w:type="dxa"/>
            <w:vAlign w:val="center"/>
          </w:tcPr>
          <w:p w14:paraId="2343E8D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F466C4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506E685">
            <w:pPr>
              <w:jc w:val="center"/>
              <w:rPr>
                <w:rFonts w:ascii="仿宋_GB2312" w:hAnsi="黑体" w:eastAsia="仿宋_GB2312" w:cs="黑体"/>
                <w:color w:val="000000" w:themeColor="text1"/>
                <w:sz w:val="18"/>
                <w:szCs w:val="18"/>
              </w:rPr>
            </w:pPr>
          </w:p>
        </w:tc>
        <w:tc>
          <w:tcPr>
            <w:tcW w:w="1406" w:type="dxa"/>
            <w:vAlign w:val="center"/>
          </w:tcPr>
          <w:p w14:paraId="6F3D4B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464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B0C2EB1">
            <w:pPr>
              <w:rPr>
                <w:color w:val="000000" w:themeColor="text1"/>
              </w:rPr>
            </w:pPr>
          </w:p>
        </w:tc>
        <w:tc>
          <w:tcPr>
            <w:tcW w:w="1110" w:type="dxa"/>
            <w:vAlign w:val="center"/>
          </w:tcPr>
          <w:p w14:paraId="6BE41C0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F5FBBF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1F028A1">
            <w:pPr>
              <w:jc w:val="center"/>
              <w:rPr>
                <w:rFonts w:ascii="仿宋_GB2312" w:hAnsi="黑体" w:eastAsia="仿宋_GB2312" w:cs="黑体"/>
                <w:color w:val="000000" w:themeColor="text1"/>
                <w:sz w:val="18"/>
                <w:szCs w:val="18"/>
              </w:rPr>
            </w:pPr>
          </w:p>
        </w:tc>
        <w:tc>
          <w:tcPr>
            <w:tcW w:w="1406" w:type="dxa"/>
            <w:vAlign w:val="center"/>
          </w:tcPr>
          <w:p w14:paraId="572CBB2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8910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B725455">
            <w:pPr>
              <w:rPr>
                <w:color w:val="000000" w:themeColor="text1"/>
              </w:rPr>
            </w:pPr>
          </w:p>
        </w:tc>
        <w:tc>
          <w:tcPr>
            <w:tcW w:w="1110" w:type="dxa"/>
            <w:vAlign w:val="center"/>
          </w:tcPr>
          <w:p w14:paraId="390F5F8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F7FDD1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07B3AE9">
            <w:pPr>
              <w:jc w:val="center"/>
              <w:rPr>
                <w:rFonts w:ascii="仿宋_GB2312" w:hAnsi="黑体" w:eastAsia="仿宋_GB2312" w:cs="黑体"/>
                <w:color w:val="000000" w:themeColor="text1"/>
                <w:sz w:val="18"/>
                <w:szCs w:val="18"/>
              </w:rPr>
            </w:pPr>
          </w:p>
        </w:tc>
        <w:tc>
          <w:tcPr>
            <w:tcW w:w="1406" w:type="dxa"/>
            <w:vAlign w:val="center"/>
          </w:tcPr>
          <w:p w14:paraId="699BF6F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207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4" w:hRule="atLeast"/>
          <w:jc w:val="center"/>
        </w:trPr>
        <w:tc>
          <w:tcPr>
            <w:tcW w:w="943" w:type="dxa"/>
            <w:vMerge w:val="continue"/>
            <w:vAlign w:val="center"/>
          </w:tcPr>
          <w:p w14:paraId="0890A302">
            <w:pPr>
              <w:rPr>
                <w:color w:val="000000" w:themeColor="text1"/>
              </w:rPr>
            </w:pPr>
          </w:p>
        </w:tc>
        <w:tc>
          <w:tcPr>
            <w:tcW w:w="1110" w:type="dxa"/>
            <w:vAlign w:val="center"/>
          </w:tcPr>
          <w:p w14:paraId="0141CC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CAF43B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5AEA016">
            <w:pPr>
              <w:jc w:val="center"/>
              <w:rPr>
                <w:rFonts w:ascii="仿宋_GB2312" w:hAnsi="黑体" w:eastAsia="仿宋_GB2312" w:cs="黑体"/>
                <w:color w:val="000000" w:themeColor="text1"/>
                <w:sz w:val="18"/>
                <w:szCs w:val="18"/>
              </w:rPr>
            </w:pPr>
          </w:p>
        </w:tc>
        <w:tc>
          <w:tcPr>
            <w:tcW w:w="1406" w:type="dxa"/>
            <w:vAlign w:val="center"/>
          </w:tcPr>
          <w:p w14:paraId="14DD39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E73C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15" w:hRule="atLeast"/>
          <w:jc w:val="center"/>
        </w:trPr>
        <w:tc>
          <w:tcPr>
            <w:tcW w:w="943" w:type="dxa"/>
            <w:vAlign w:val="center"/>
          </w:tcPr>
          <w:p w14:paraId="2A2A712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E1610D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CA79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28C9B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A744CF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E1EAB3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0F11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2AD3C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AD266B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B3C734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338E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37B9A75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26114A8">
            <w:pPr>
              <w:widowControl/>
              <w:jc w:val="left"/>
              <w:textAlignment w:val="center"/>
              <w:rPr>
                <w:rFonts w:ascii="黑体" w:eastAsia="黑体" w:cs="黑体"/>
                <w:color w:val="000000" w:themeColor="text1"/>
                <w:kern w:val="0"/>
                <w:sz w:val="18"/>
                <w:szCs w:val="18"/>
              </w:rPr>
            </w:pPr>
          </w:p>
        </w:tc>
      </w:tr>
    </w:tbl>
    <w:p w14:paraId="2526961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D4A4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C56DB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54ED5EB">
            <w:pPr>
              <w:jc w:val="center"/>
              <w:rPr>
                <w:rFonts w:ascii="黑体" w:eastAsia="黑体" w:cs="黑体"/>
                <w:b/>
                <w:bCs/>
                <w:color w:val="000000" w:themeColor="text1"/>
                <w:szCs w:val="21"/>
              </w:rPr>
            </w:pPr>
            <w:r>
              <w:rPr>
                <w:rFonts w:ascii="黑体" w:eastAsia="黑体" w:cs="黑体"/>
                <w:b/>
                <w:bCs/>
                <w:color w:val="000000" w:themeColor="text1"/>
                <w:szCs w:val="21"/>
              </w:rPr>
              <w:t>101</w:t>
            </w:r>
          </w:p>
        </w:tc>
        <w:tc>
          <w:tcPr>
            <w:tcW w:w="1691" w:type="dxa"/>
            <w:vAlign w:val="center"/>
          </w:tcPr>
          <w:p w14:paraId="5A78261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8D2AB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93703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91451B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9E7C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E13DA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6CF4C9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对交通运输领域建设工程项目建设单位未按规定移交建设项目档案行为的行政处罚</w:t>
            </w:r>
          </w:p>
        </w:tc>
      </w:tr>
      <w:tr w14:paraId="796BD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EA8590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88E0F0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A4B5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D4C18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BD4DE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号）第五十九条违反本条例规定，建设工程竣工验收后，建设单位未向建设行政主管部门或者其他有关部门移交建设项目档案的，责令改正，处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w:t>
            </w:r>
          </w:p>
          <w:p w14:paraId="06E1E30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AC5EC32">
            <w:pPr>
              <w:spacing w:line="240" w:lineRule="exact"/>
              <w:rPr>
                <w:rFonts w:ascii="仿宋_GB2312" w:eastAsia="仿宋_GB2312" w:cs="黑体"/>
                <w:b/>
                <w:bCs/>
                <w:color w:val="000000" w:themeColor="text1"/>
                <w:szCs w:val="21"/>
              </w:rPr>
            </w:pPr>
          </w:p>
        </w:tc>
      </w:tr>
      <w:tr w14:paraId="4FF06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BE6B5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F52FB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A453C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ED73C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F518C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649D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FA39C5E">
            <w:pPr>
              <w:rPr>
                <w:color w:val="000000" w:themeColor="text1"/>
              </w:rPr>
            </w:pPr>
          </w:p>
        </w:tc>
        <w:tc>
          <w:tcPr>
            <w:tcW w:w="1110" w:type="dxa"/>
            <w:vAlign w:val="center"/>
          </w:tcPr>
          <w:p w14:paraId="265A89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B232E9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8383F99">
            <w:pPr>
              <w:jc w:val="center"/>
              <w:rPr>
                <w:rFonts w:ascii="仿宋_GB2312" w:hAnsi="黑体" w:eastAsia="仿宋_GB2312" w:cs="黑体"/>
                <w:color w:val="000000" w:themeColor="text1"/>
                <w:sz w:val="18"/>
                <w:szCs w:val="18"/>
              </w:rPr>
            </w:pPr>
          </w:p>
        </w:tc>
        <w:tc>
          <w:tcPr>
            <w:tcW w:w="1406" w:type="dxa"/>
            <w:vAlign w:val="center"/>
          </w:tcPr>
          <w:p w14:paraId="057459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7F8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52AEFBE">
            <w:pPr>
              <w:rPr>
                <w:color w:val="000000" w:themeColor="text1"/>
              </w:rPr>
            </w:pPr>
          </w:p>
        </w:tc>
        <w:tc>
          <w:tcPr>
            <w:tcW w:w="1110" w:type="dxa"/>
            <w:vAlign w:val="center"/>
          </w:tcPr>
          <w:p w14:paraId="5A1E148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606838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8D018ED">
            <w:pPr>
              <w:jc w:val="center"/>
              <w:rPr>
                <w:rFonts w:ascii="仿宋_GB2312" w:hAnsi="黑体" w:eastAsia="仿宋_GB2312" w:cs="黑体"/>
                <w:color w:val="000000" w:themeColor="text1"/>
                <w:sz w:val="18"/>
                <w:szCs w:val="18"/>
              </w:rPr>
            </w:pPr>
          </w:p>
        </w:tc>
        <w:tc>
          <w:tcPr>
            <w:tcW w:w="1406" w:type="dxa"/>
            <w:vAlign w:val="center"/>
          </w:tcPr>
          <w:p w14:paraId="7B7832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59C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9C665B1">
            <w:pPr>
              <w:rPr>
                <w:color w:val="000000" w:themeColor="text1"/>
              </w:rPr>
            </w:pPr>
          </w:p>
        </w:tc>
        <w:tc>
          <w:tcPr>
            <w:tcW w:w="1110" w:type="dxa"/>
            <w:vAlign w:val="center"/>
          </w:tcPr>
          <w:p w14:paraId="7FB8CA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CF376F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DCC0DBB">
            <w:pPr>
              <w:jc w:val="center"/>
              <w:rPr>
                <w:rFonts w:ascii="仿宋_GB2312" w:hAnsi="黑体" w:eastAsia="仿宋_GB2312" w:cs="黑体"/>
                <w:color w:val="000000" w:themeColor="text1"/>
                <w:sz w:val="18"/>
                <w:szCs w:val="18"/>
              </w:rPr>
            </w:pPr>
          </w:p>
        </w:tc>
        <w:tc>
          <w:tcPr>
            <w:tcW w:w="1406" w:type="dxa"/>
            <w:vAlign w:val="center"/>
          </w:tcPr>
          <w:p w14:paraId="51611D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6121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EC63D75">
            <w:pPr>
              <w:rPr>
                <w:color w:val="000000" w:themeColor="text1"/>
              </w:rPr>
            </w:pPr>
          </w:p>
        </w:tc>
        <w:tc>
          <w:tcPr>
            <w:tcW w:w="1110" w:type="dxa"/>
            <w:vAlign w:val="center"/>
          </w:tcPr>
          <w:p w14:paraId="1EEE37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0D1443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B8B0D67">
            <w:pPr>
              <w:jc w:val="center"/>
              <w:rPr>
                <w:rFonts w:ascii="仿宋_GB2312" w:hAnsi="黑体" w:eastAsia="仿宋_GB2312" w:cs="黑体"/>
                <w:color w:val="000000" w:themeColor="text1"/>
                <w:sz w:val="18"/>
                <w:szCs w:val="18"/>
              </w:rPr>
            </w:pPr>
          </w:p>
        </w:tc>
        <w:tc>
          <w:tcPr>
            <w:tcW w:w="1406" w:type="dxa"/>
            <w:vAlign w:val="center"/>
          </w:tcPr>
          <w:p w14:paraId="3BC988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F51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E15F2B6">
            <w:pPr>
              <w:rPr>
                <w:color w:val="000000" w:themeColor="text1"/>
              </w:rPr>
            </w:pPr>
          </w:p>
        </w:tc>
        <w:tc>
          <w:tcPr>
            <w:tcW w:w="1110" w:type="dxa"/>
            <w:vAlign w:val="center"/>
          </w:tcPr>
          <w:p w14:paraId="05B44D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43A361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5F5E239">
            <w:pPr>
              <w:jc w:val="center"/>
              <w:rPr>
                <w:rFonts w:ascii="仿宋_GB2312" w:hAnsi="黑体" w:eastAsia="仿宋_GB2312" w:cs="黑体"/>
                <w:color w:val="000000" w:themeColor="text1"/>
                <w:sz w:val="18"/>
                <w:szCs w:val="18"/>
              </w:rPr>
            </w:pPr>
          </w:p>
        </w:tc>
        <w:tc>
          <w:tcPr>
            <w:tcW w:w="1406" w:type="dxa"/>
            <w:vAlign w:val="center"/>
          </w:tcPr>
          <w:p w14:paraId="6ED397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EF9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E27F96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575A38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C67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4BE86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B92A0F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82FA88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071F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0B284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DB42EE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8F43A5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2CB3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CB64DB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E7C7E84">
            <w:pPr>
              <w:widowControl/>
              <w:jc w:val="left"/>
              <w:textAlignment w:val="center"/>
              <w:rPr>
                <w:rFonts w:ascii="黑体" w:eastAsia="黑体" w:cs="黑体"/>
                <w:color w:val="000000" w:themeColor="text1"/>
                <w:kern w:val="0"/>
                <w:sz w:val="18"/>
                <w:szCs w:val="18"/>
              </w:rPr>
            </w:pPr>
          </w:p>
        </w:tc>
      </w:tr>
    </w:tbl>
    <w:p w14:paraId="0F42844B">
      <w:pPr>
        <w:pStyle w:val="8"/>
        <w:snapToGrid w:val="0"/>
        <w:spacing w:before="0" w:beforeAutospacing="0" w:after="0" w:afterAutospacing="0" w:line="240" w:lineRule="atLeast"/>
        <w:jc w:val="both"/>
        <w:rPr>
          <w:color w:val="000000" w:themeColor="text1"/>
          <w:sz w:val="11"/>
          <w:szCs w:val="11"/>
        </w:rPr>
      </w:pPr>
    </w:p>
    <w:p w14:paraId="7153D64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D8E5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1B788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A1611F6">
            <w:pPr>
              <w:jc w:val="center"/>
              <w:rPr>
                <w:rFonts w:ascii="黑体" w:eastAsia="黑体" w:cs="黑体"/>
                <w:b/>
                <w:bCs/>
                <w:color w:val="000000" w:themeColor="text1"/>
                <w:szCs w:val="21"/>
              </w:rPr>
            </w:pPr>
            <w:r>
              <w:rPr>
                <w:rFonts w:ascii="黑体" w:eastAsia="黑体" w:cs="黑体"/>
                <w:b/>
                <w:bCs/>
                <w:color w:val="000000" w:themeColor="text1"/>
                <w:szCs w:val="21"/>
              </w:rPr>
              <w:t>102</w:t>
            </w:r>
          </w:p>
        </w:tc>
        <w:tc>
          <w:tcPr>
            <w:tcW w:w="1691" w:type="dxa"/>
            <w:vAlign w:val="center"/>
          </w:tcPr>
          <w:p w14:paraId="60161EF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860F8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24A94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69C8AD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0A92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60510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CE34460">
            <w:pPr>
              <w:widowControl/>
              <w:jc w:val="center"/>
              <w:textAlignment w:val="center"/>
              <w:rPr>
                <w:rFonts w:ascii="仿宋_GB2312" w:eastAsia="仿宋_GB2312" w:cs="仿宋_GB2312"/>
                <w:color w:val="000000" w:themeColor="text1"/>
                <w:kern w:val="0"/>
                <w:sz w:val="18"/>
                <w:szCs w:val="18"/>
              </w:rPr>
            </w:pPr>
            <w:bookmarkStart w:id="16" w:name="OLE_LINK25"/>
            <w:bookmarkStart w:id="17" w:name="OLE_LINK26"/>
            <w:r>
              <w:rPr>
                <w:rFonts w:hint="eastAsia" w:ascii="仿宋_GB2312" w:eastAsia="仿宋_GB2312" w:cs="仿宋_GB2312"/>
                <w:color w:val="000000" w:themeColor="text1"/>
                <w:kern w:val="0"/>
                <w:sz w:val="18"/>
                <w:szCs w:val="18"/>
              </w:rPr>
              <w:t>对交通运输领域建设工程项目建设单位未按照国家规定将竣工验收报告、有关认可文件或者准许使用文件报送备案的行政处罚</w:t>
            </w:r>
            <w:bookmarkEnd w:id="16"/>
            <w:bookmarkEnd w:id="17"/>
          </w:p>
        </w:tc>
      </w:tr>
      <w:tr w14:paraId="2004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610CC2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78CDD0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39AF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8B707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9AC5C4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号）第五十六条第八项　违反本条例规定，建设单位有下列行为之一的，责令改正，处２０万元以上５０万元以下的罚款：（八）未按照国家规定将竣工验收报告、有关认可文件或者准许使用文件报送备案的。</w:t>
            </w:r>
          </w:p>
          <w:p w14:paraId="24FDE60B">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A456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57CE3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5685F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43DEC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C2DA7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86B6FB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4F6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42444E3">
            <w:pPr>
              <w:rPr>
                <w:color w:val="000000" w:themeColor="text1"/>
              </w:rPr>
            </w:pPr>
          </w:p>
        </w:tc>
        <w:tc>
          <w:tcPr>
            <w:tcW w:w="1110" w:type="dxa"/>
            <w:vAlign w:val="center"/>
          </w:tcPr>
          <w:p w14:paraId="45F60F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824B97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BBD6DB7">
            <w:pPr>
              <w:jc w:val="center"/>
              <w:rPr>
                <w:rFonts w:ascii="仿宋_GB2312" w:hAnsi="黑体" w:eastAsia="仿宋_GB2312" w:cs="黑体"/>
                <w:color w:val="000000" w:themeColor="text1"/>
                <w:sz w:val="18"/>
                <w:szCs w:val="18"/>
              </w:rPr>
            </w:pPr>
          </w:p>
        </w:tc>
        <w:tc>
          <w:tcPr>
            <w:tcW w:w="1406" w:type="dxa"/>
            <w:vAlign w:val="center"/>
          </w:tcPr>
          <w:p w14:paraId="1BB2F8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70D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4A3D0E2">
            <w:pPr>
              <w:rPr>
                <w:color w:val="000000" w:themeColor="text1"/>
              </w:rPr>
            </w:pPr>
          </w:p>
        </w:tc>
        <w:tc>
          <w:tcPr>
            <w:tcW w:w="1110" w:type="dxa"/>
            <w:vAlign w:val="center"/>
          </w:tcPr>
          <w:p w14:paraId="11C07F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7C2B83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E54434A">
            <w:pPr>
              <w:jc w:val="center"/>
              <w:rPr>
                <w:rFonts w:ascii="仿宋_GB2312" w:hAnsi="黑体" w:eastAsia="仿宋_GB2312" w:cs="黑体"/>
                <w:color w:val="000000" w:themeColor="text1"/>
                <w:sz w:val="18"/>
                <w:szCs w:val="18"/>
              </w:rPr>
            </w:pPr>
          </w:p>
        </w:tc>
        <w:tc>
          <w:tcPr>
            <w:tcW w:w="1406" w:type="dxa"/>
            <w:vAlign w:val="center"/>
          </w:tcPr>
          <w:p w14:paraId="19CCD4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09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37EE2C6">
            <w:pPr>
              <w:rPr>
                <w:color w:val="000000" w:themeColor="text1"/>
              </w:rPr>
            </w:pPr>
          </w:p>
        </w:tc>
        <w:tc>
          <w:tcPr>
            <w:tcW w:w="1110" w:type="dxa"/>
            <w:vAlign w:val="center"/>
          </w:tcPr>
          <w:p w14:paraId="0E205B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B410A0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1921DBE">
            <w:pPr>
              <w:jc w:val="center"/>
              <w:rPr>
                <w:rFonts w:ascii="仿宋_GB2312" w:hAnsi="黑体" w:eastAsia="仿宋_GB2312" w:cs="黑体"/>
                <w:color w:val="000000" w:themeColor="text1"/>
                <w:sz w:val="18"/>
                <w:szCs w:val="18"/>
              </w:rPr>
            </w:pPr>
          </w:p>
        </w:tc>
        <w:tc>
          <w:tcPr>
            <w:tcW w:w="1406" w:type="dxa"/>
            <w:vAlign w:val="center"/>
          </w:tcPr>
          <w:p w14:paraId="417D27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544A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C5250C7">
            <w:pPr>
              <w:rPr>
                <w:color w:val="000000" w:themeColor="text1"/>
              </w:rPr>
            </w:pPr>
          </w:p>
        </w:tc>
        <w:tc>
          <w:tcPr>
            <w:tcW w:w="1110" w:type="dxa"/>
            <w:vAlign w:val="center"/>
          </w:tcPr>
          <w:p w14:paraId="4226D8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B025F7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F488F1F">
            <w:pPr>
              <w:jc w:val="center"/>
              <w:rPr>
                <w:rFonts w:ascii="仿宋_GB2312" w:hAnsi="黑体" w:eastAsia="仿宋_GB2312" w:cs="黑体"/>
                <w:color w:val="000000" w:themeColor="text1"/>
                <w:sz w:val="18"/>
                <w:szCs w:val="18"/>
              </w:rPr>
            </w:pPr>
          </w:p>
        </w:tc>
        <w:tc>
          <w:tcPr>
            <w:tcW w:w="1406" w:type="dxa"/>
            <w:vAlign w:val="center"/>
          </w:tcPr>
          <w:p w14:paraId="1D794B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CE8A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E840B62">
            <w:pPr>
              <w:rPr>
                <w:color w:val="000000" w:themeColor="text1"/>
              </w:rPr>
            </w:pPr>
          </w:p>
        </w:tc>
        <w:tc>
          <w:tcPr>
            <w:tcW w:w="1110" w:type="dxa"/>
            <w:vAlign w:val="center"/>
          </w:tcPr>
          <w:p w14:paraId="68AC2E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13EE98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42BAFA3">
            <w:pPr>
              <w:jc w:val="center"/>
              <w:rPr>
                <w:rFonts w:ascii="仿宋_GB2312" w:hAnsi="黑体" w:eastAsia="仿宋_GB2312" w:cs="黑体"/>
                <w:color w:val="000000" w:themeColor="text1"/>
                <w:sz w:val="18"/>
                <w:szCs w:val="18"/>
              </w:rPr>
            </w:pPr>
          </w:p>
        </w:tc>
        <w:tc>
          <w:tcPr>
            <w:tcW w:w="1406" w:type="dxa"/>
            <w:vAlign w:val="center"/>
          </w:tcPr>
          <w:p w14:paraId="11BF5E1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88C5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E953E8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1079B5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4F75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30C2C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BA2A23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909BD5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5ADE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0D2D5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EE88BE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635ED1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0243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4" w:hRule="atLeast"/>
          <w:jc w:val="center"/>
        </w:trPr>
        <w:tc>
          <w:tcPr>
            <w:tcW w:w="943" w:type="dxa"/>
            <w:vAlign w:val="center"/>
          </w:tcPr>
          <w:p w14:paraId="091BCF1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6FBB0DE">
            <w:pPr>
              <w:widowControl/>
              <w:jc w:val="left"/>
              <w:textAlignment w:val="center"/>
              <w:rPr>
                <w:rFonts w:ascii="黑体" w:eastAsia="黑体" w:cs="黑体"/>
                <w:color w:val="000000" w:themeColor="text1"/>
                <w:kern w:val="0"/>
                <w:sz w:val="18"/>
                <w:szCs w:val="18"/>
              </w:rPr>
            </w:pPr>
          </w:p>
        </w:tc>
      </w:tr>
    </w:tbl>
    <w:p w14:paraId="1A10B0BC">
      <w:pPr>
        <w:rPr>
          <w:color w:val="000000" w:themeColor="text1"/>
          <w:sz w:val="24"/>
        </w:rPr>
      </w:pPr>
    </w:p>
    <w:p w14:paraId="7653E24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FA3A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89880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F0F762D">
            <w:pPr>
              <w:jc w:val="center"/>
              <w:rPr>
                <w:rFonts w:ascii="黑体" w:eastAsia="黑体" w:cs="黑体"/>
                <w:b/>
                <w:bCs/>
                <w:color w:val="000000" w:themeColor="text1"/>
                <w:szCs w:val="21"/>
              </w:rPr>
            </w:pPr>
            <w:r>
              <w:rPr>
                <w:rFonts w:ascii="黑体" w:eastAsia="黑体" w:cs="黑体"/>
                <w:b/>
                <w:bCs/>
                <w:color w:val="000000" w:themeColor="text1"/>
                <w:szCs w:val="21"/>
              </w:rPr>
              <w:t>103</w:t>
            </w:r>
          </w:p>
        </w:tc>
        <w:tc>
          <w:tcPr>
            <w:tcW w:w="1691" w:type="dxa"/>
            <w:vAlign w:val="center"/>
          </w:tcPr>
          <w:p w14:paraId="788B6C9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BA8595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E0391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55C803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92C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4D11E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DDF9EC1">
            <w:pPr>
              <w:widowControl/>
              <w:jc w:val="center"/>
              <w:textAlignment w:val="center"/>
              <w:rPr>
                <w:rFonts w:ascii="仿宋_GB2312" w:eastAsia="仿宋_GB2312" w:cs="仿宋_GB2312"/>
                <w:color w:val="000000" w:themeColor="text1"/>
                <w:kern w:val="0"/>
                <w:sz w:val="18"/>
                <w:szCs w:val="18"/>
              </w:rPr>
            </w:pPr>
            <w:bookmarkStart w:id="18" w:name="OLE_LINK27"/>
            <w:r>
              <w:rPr>
                <w:rFonts w:hint="eastAsia" w:ascii="仿宋" w:hAnsi="仿宋" w:eastAsia="仿宋" w:cs="宋体"/>
                <w:color w:val="000000" w:themeColor="text1"/>
                <w:kern w:val="0"/>
                <w:sz w:val="18"/>
                <w:szCs w:val="18"/>
              </w:rPr>
              <w:t>对交通运输领域建设工程项目建设单位迫使承包方以低于成本的价格竞标；明示或者暗示设计单位或者施工单位违反工程建设强制性标准，降低工程质量的；明示或者暗示施工单位使用不合格的建筑材料、建筑构配件和设备的行为的行政处罚</w:t>
            </w:r>
            <w:bookmarkEnd w:id="18"/>
          </w:p>
        </w:tc>
      </w:tr>
      <w:tr w14:paraId="25EBD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42BE4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47993F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5FAE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888E1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1063F0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号）第五十六条第一项、第三项和第七项　违反本条例规定，建设单位有下列行为之一的，责令改正，处２０万元以上５０万元以下的罚款：（一）迫使承包方以低于成本的价格竞标的；（三）明示或者暗示设计单位或者施工单位违反工程建设强制性标准，降低工程质量的；（七）明示或者暗示施工单位使用不合格的建筑材料、建筑构配件和设备的；</w:t>
            </w:r>
          </w:p>
          <w:p w14:paraId="2E6CCE6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CB1A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D9A63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F0E95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41FE0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0C6F2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46C2AE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9F03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A3131BD">
            <w:pPr>
              <w:rPr>
                <w:color w:val="000000" w:themeColor="text1"/>
              </w:rPr>
            </w:pPr>
          </w:p>
        </w:tc>
        <w:tc>
          <w:tcPr>
            <w:tcW w:w="1110" w:type="dxa"/>
            <w:vAlign w:val="center"/>
          </w:tcPr>
          <w:p w14:paraId="796DC0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9C046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9882C5F">
            <w:pPr>
              <w:jc w:val="center"/>
              <w:rPr>
                <w:rFonts w:ascii="仿宋_GB2312" w:hAnsi="黑体" w:eastAsia="仿宋_GB2312" w:cs="黑体"/>
                <w:color w:val="000000" w:themeColor="text1"/>
                <w:sz w:val="18"/>
                <w:szCs w:val="18"/>
              </w:rPr>
            </w:pPr>
          </w:p>
        </w:tc>
        <w:tc>
          <w:tcPr>
            <w:tcW w:w="1406" w:type="dxa"/>
            <w:vAlign w:val="center"/>
          </w:tcPr>
          <w:p w14:paraId="56F1CF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7B2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4634FE0">
            <w:pPr>
              <w:rPr>
                <w:color w:val="000000" w:themeColor="text1"/>
              </w:rPr>
            </w:pPr>
          </w:p>
        </w:tc>
        <w:tc>
          <w:tcPr>
            <w:tcW w:w="1110" w:type="dxa"/>
            <w:vAlign w:val="center"/>
          </w:tcPr>
          <w:p w14:paraId="3B8217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6DEB09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12C1C0D">
            <w:pPr>
              <w:jc w:val="center"/>
              <w:rPr>
                <w:rFonts w:ascii="仿宋_GB2312" w:hAnsi="黑体" w:eastAsia="仿宋_GB2312" w:cs="黑体"/>
                <w:color w:val="000000" w:themeColor="text1"/>
                <w:sz w:val="18"/>
                <w:szCs w:val="18"/>
              </w:rPr>
            </w:pPr>
          </w:p>
        </w:tc>
        <w:tc>
          <w:tcPr>
            <w:tcW w:w="1406" w:type="dxa"/>
            <w:vAlign w:val="center"/>
          </w:tcPr>
          <w:p w14:paraId="431C78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C53A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EE89E9A">
            <w:pPr>
              <w:rPr>
                <w:color w:val="000000" w:themeColor="text1"/>
              </w:rPr>
            </w:pPr>
          </w:p>
        </w:tc>
        <w:tc>
          <w:tcPr>
            <w:tcW w:w="1110" w:type="dxa"/>
            <w:vAlign w:val="center"/>
          </w:tcPr>
          <w:p w14:paraId="7F0CE0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B7296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C835CFB">
            <w:pPr>
              <w:jc w:val="center"/>
              <w:rPr>
                <w:rFonts w:ascii="仿宋_GB2312" w:hAnsi="黑体" w:eastAsia="仿宋_GB2312" w:cs="黑体"/>
                <w:color w:val="000000" w:themeColor="text1"/>
                <w:sz w:val="18"/>
                <w:szCs w:val="18"/>
              </w:rPr>
            </w:pPr>
          </w:p>
        </w:tc>
        <w:tc>
          <w:tcPr>
            <w:tcW w:w="1406" w:type="dxa"/>
            <w:vAlign w:val="center"/>
          </w:tcPr>
          <w:p w14:paraId="2CCBBC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7BFF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DB9CCD7">
            <w:pPr>
              <w:rPr>
                <w:color w:val="000000" w:themeColor="text1"/>
              </w:rPr>
            </w:pPr>
          </w:p>
        </w:tc>
        <w:tc>
          <w:tcPr>
            <w:tcW w:w="1110" w:type="dxa"/>
            <w:vAlign w:val="center"/>
          </w:tcPr>
          <w:p w14:paraId="5C8D5C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A066FA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BE3FC57">
            <w:pPr>
              <w:jc w:val="center"/>
              <w:rPr>
                <w:rFonts w:ascii="仿宋_GB2312" w:hAnsi="黑体" w:eastAsia="仿宋_GB2312" w:cs="黑体"/>
                <w:color w:val="000000" w:themeColor="text1"/>
                <w:sz w:val="18"/>
                <w:szCs w:val="18"/>
              </w:rPr>
            </w:pPr>
          </w:p>
        </w:tc>
        <w:tc>
          <w:tcPr>
            <w:tcW w:w="1406" w:type="dxa"/>
            <w:vAlign w:val="center"/>
          </w:tcPr>
          <w:p w14:paraId="1A7EBA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786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082BC0E">
            <w:pPr>
              <w:rPr>
                <w:color w:val="000000" w:themeColor="text1"/>
              </w:rPr>
            </w:pPr>
          </w:p>
        </w:tc>
        <w:tc>
          <w:tcPr>
            <w:tcW w:w="1110" w:type="dxa"/>
            <w:vAlign w:val="center"/>
          </w:tcPr>
          <w:p w14:paraId="5FDC4B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5C5B0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786CF20">
            <w:pPr>
              <w:jc w:val="center"/>
              <w:rPr>
                <w:rFonts w:ascii="仿宋_GB2312" w:hAnsi="黑体" w:eastAsia="仿宋_GB2312" w:cs="黑体"/>
                <w:color w:val="000000" w:themeColor="text1"/>
                <w:sz w:val="18"/>
                <w:szCs w:val="18"/>
              </w:rPr>
            </w:pPr>
          </w:p>
        </w:tc>
        <w:tc>
          <w:tcPr>
            <w:tcW w:w="1406" w:type="dxa"/>
            <w:vAlign w:val="center"/>
          </w:tcPr>
          <w:p w14:paraId="4CF1E81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DE6E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5AF96C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A0D24C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45DC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3D384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277C12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8DDCFD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794A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B6233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B05AED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B824FD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C37C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7" w:hRule="atLeast"/>
          <w:jc w:val="center"/>
        </w:trPr>
        <w:tc>
          <w:tcPr>
            <w:tcW w:w="943" w:type="dxa"/>
            <w:vAlign w:val="center"/>
          </w:tcPr>
          <w:p w14:paraId="3ECC48C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5DCC3E3">
            <w:pPr>
              <w:widowControl/>
              <w:jc w:val="left"/>
              <w:textAlignment w:val="center"/>
              <w:rPr>
                <w:rFonts w:ascii="黑体" w:eastAsia="黑体" w:cs="黑体"/>
                <w:color w:val="000000" w:themeColor="text1"/>
                <w:kern w:val="0"/>
                <w:sz w:val="18"/>
                <w:szCs w:val="18"/>
              </w:rPr>
            </w:pPr>
          </w:p>
        </w:tc>
      </w:tr>
    </w:tbl>
    <w:p w14:paraId="1EBF426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FEFF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0EE34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56BBC84">
            <w:pPr>
              <w:jc w:val="center"/>
              <w:rPr>
                <w:rFonts w:ascii="黑体" w:eastAsia="黑体" w:cs="黑体"/>
                <w:b/>
                <w:bCs/>
                <w:color w:val="000000" w:themeColor="text1"/>
                <w:szCs w:val="21"/>
              </w:rPr>
            </w:pPr>
            <w:r>
              <w:rPr>
                <w:rFonts w:ascii="黑体" w:eastAsia="黑体" w:cs="黑体"/>
                <w:b/>
                <w:bCs/>
                <w:color w:val="000000" w:themeColor="text1"/>
                <w:szCs w:val="21"/>
              </w:rPr>
              <w:t>104</w:t>
            </w:r>
          </w:p>
        </w:tc>
        <w:tc>
          <w:tcPr>
            <w:tcW w:w="1691" w:type="dxa"/>
            <w:vAlign w:val="center"/>
          </w:tcPr>
          <w:p w14:paraId="1F672A4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59EABC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A3000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4B7B2E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91FE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C69C4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3D893F7">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对交通运输领域建设工程项目勘察、设计、施工、工程监理单位超越本单位资质等级承揽工程等行为的行政处罚</w:t>
            </w:r>
          </w:p>
        </w:tc>
      </w:tr>
      <w:tr w14:paraId="60501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07396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87F392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222D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AD0B0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CF89D51">
            <w:pPr>
              <w:spacing w:line="240" w:lineRule="exact"/>
              <w:rPr>
                <w:rFonts w:ascii="仿宋" w:hAnsi="仿宋" w:eastAsia="仿宋" w:cs="仿宋_GB2312"/>
                <w:color w:val="000000" w:themeColor="text1"/>
                <w:kern w:val="0"/>
                <w:sz w:val="13"/>
                <w:szCs w:val="13"/>
              </w:rPr>
            </w:pPr>
            <w:r>
              <w:rPr>
                <w:rFonts w:hint="eastAsia" w:ascii="仿宋" w:hAnsi="仿宋" w:eastAsia="仿宋" w:cs="仿宋_GB2312"/>
                <w:color w:val="000000" w:themeColor="text1"/>
                <w:kern w:val="0"/>
                <w:sz w:val="13"/>
                <w:szCs w:val="13"/>
              </w:rPr>
              <w:t>【法律法规】</w:t>
            </w:r>
            <w:r>
              <w:rPr>
                <w:rFonts w:ascii="仿宋" w:hAnsi="仿宋" w:eastAsia="仿宋" w:cs="宋体"/>
                <w:color w:val="000000" w:themeColor="text1"/>
                <w:kern w:val="0"/>
                <w:sz w:val="13"/>
                <w:szCs w:val="13"/>
              </w:rPr>
              <w:t>1.</w:t>
            </w:r>
            <w:r>
              <w:rPr>
                <w:rFonts w:hint="eastAsia" w:ascii="仿宋" w:hAnsi="仿宋" w:eastAsia="仿宋" w:cs="宋体"/>
                <w:color w:val="000000" w:themeColor="text1"/>
                <w:kern w:val="0"/>
                <w:sz w:val="13"/>
                <w:szCs w:val="13"/>
              </w:rPr>
              <w:t>《建设工程质量管理条例》第六十条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百分之二以上百分之四以下的罚款，可以责令停业整顿，降低资质等级；情节严重的，吊销资质证书；有违法所得的，予以没收。未取得资质证书承揽工程的，予以取缔，依照前款规定处以罚款；有违法所得的，予以没收。以欺骗手段取得资质证书承揽工程的，吊销资质证书，依照本条第一款规定处以罚款；有违法所得的，予以没收。　</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《建设工程勘察设计管理条例》第八条　建设工程勘察、设计单位应当在其资质等级许可的范围内承揽建设工程勘察、设计业务。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第三十五条违反本条例第八条规定的，责令停止违法行为，处合同约定的勘察费、设计费</w:t>
            </w:r>
            <w:r>
              <w:rPr>
                <w:rFonts w:ascii="仿宋" w:hAnsi="仿宋" w:eastAsia="仿宋" w:cs="宋体"/>
                <w:color w:val="000000" w:themeColor="text1"/>
                <w:kern w:val="0"/>
                <w:sz w:val="13"/>
                <w:szCs w:val="13"/>
              </w:rPr>
              <w:t>1</w:t>
            </w:r>
            <w:r>
              <w:rPr>
                <w:rFonts w:hint="eastAsia" w:ascii="仿宋" w:hAnsi="仿宋" w:eastAsia="仿宋" w:cs="宋体"/>
                <w:color w:val="000000" w:themeColor="text1"/>
                <w:kern w:val="0"/>
                <w:sz w:val="13"/>
                <w:szCs w:val="13"/>
              </w:rPr>
              <w:t>倍以上</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倍以下的罚款，有违法所得的，予以没收；可以责令停业整顿，降低资质等级；情节严重的，吊销资质证书。未取得资质证书承揽工程的，予以取缔，依照前款规定处以罚款；有违法所得的，予以没收。以欺骗手段取得资质证书承揽工程的，吊销资质证书，依照本条第一款规定处以罚款；有违法所得的，予以没收。</w:t>
            </w:r>
            <w:r>
              <w:rPr>
                <w:rFonts w:ascii="仿宋" w:hAnsi="仿宋" w:eastAsia="仿宋" w:cs="宋体"/>
                <w:color w:val="000000" w:themeColor="text1"/>
                <w:kern w:val="0"/>
                <w:sz w:val="13"/>
                <w:szCs w:val="13"/>
              </w:rPr>
              <w:t xml:space="preserve"> 3.</w:t>
            </w:r>
            <w:r>
              <w:rPr>
                <w:rFonts w:hint="eastAsia" w:ascii="仿宋" w:hAnsi="仿宋" w:eastAsia="仿宋" w:cs="宋体"/>
                <w:color w:val="000000" w:themeColor="text1"/>
                <w:kern w:val="0"/>
                <w:sz w:val="13"/>
                <w:szCs w:val="13"/>
              </w:rPr>
              <w:t>《公路建设监督管理办法》第二十条公路建设从业单位应当依法取得公路工程资质证书并按照资质管理有关规定，在其核定的业务范围内承揽工程，禁止无证或越级承揽工程。公路建设从业单位必须按合同规定履行其义务，禁止转包或违法分包。第四十二条违反本办法第二十条规定，承包单位弄虚作假、无证或越级承揽工程任务的，责令停止违法行为，对勘察、设计单位或工程监理单位处合同约定的勘察费、设计费或监理酬金１倍以上２倍以下的罚款；对施工单位处工程合同价款</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％以上</w:t>
            </w:r>
            <w:r>
              <w:rPr>
                <w:rFonts w:ascii="仿宋" w:hAnsi="仿宋" w:eastAsia="仿宋" w:cs="宋体"/>
                <w:color w:val="000000" w:themeColor="text1"/>
                <w:kern w:val="0"/>
                <w:sz w:val="13"/>
                <w:szCs w:val="13"/>
              </w:rPr>
              <w:t>4</w:t>
            </w:r>
            <w:r>
              <w:rPr>
                <w:rFonts w:hint="eastAsia" w:ascii="仿宋" w:hAnsi="仿宋" w:eastAsia="仿宋" w:cs="宋体"/>
                <w:color w:val="000000" w:themeColor="text1"/>
                <w:kern w:val="0"/>
                <w:sz w:val="13"/>
                <w:szCs w:val="13"/>
              </w:rPr>
              <w:t>％以下的罚款，可以责令停业整顿，降低资质等级；情节严重的，吊销资质证书；有违法所得的，予以没收。承包单位转包或违法分包工程的，责令改正，没收违法所得，对勘察、设计、监理单位处合同约定的勘察费、设计费、监理酬金的</w:t>
            </w:r>
            <w:r>
              <w:rPr>
                <w:rFonts w:ascii="仿宋" w:hAnsi="仿宋" w:eastAsia="仿宋" w:cs="宋体"/>
                <w:color w:val="000000" w:themeColor="text1"/>
                <w:kern w:val="0"/>
                <w:sz w:val="13"/>
                <w:szCs w:val="13"/>
              </w:rPr>
              <w:t>25</w:t>
            </w:r>
            <w:r>
              <w:rPr>
                <w:rFonts w:hint="eastAsia" w:ascii="仿宋" w:hAnsi="仿宋" w:eastAsia="仿宋" w:cs="宋体"/>
                <w:color w:val="000000" w:themeColor="text1"/>
                <w:kern w:val="0"/>
                <w:sz w:val="13"/>
                <w:szCs w:val="13"/>
              </w:rPr>
              <w:t>％以上</w:t>
            </w:r>
            <w:r>
              <w:rPr>
                <w:rFonts w:ascii="仿宋" w:hAnsi="仿宋" w:eastAsia="仿宋" w:cs="宋体"/>
                <w:color w:val="000000" w:themeColor="text1"/>
                <w:kern w:val="0"/>
                <w:sz w:val="13"/>
                <w:szCs w:val="13"/>
              </w:rPr>
              <w:t>50</w:t>
            </w:r>
            <w:r>
              <w:rPr>
                <w:rFonts w:hint="eastAsia" w:ascii="仿宋" w:hAnsi="仿宋" w:eastAsia="仿宋" w:cs="宋体"/>
                <w:color w:val="000000" w:themeColor="text1"/>
                <w:kern w:val="0"/>
                <w:sz w:val="13"/>
                <w:szCs w:val="13"/>
              </w:rPr>
              <w:t>％以下的罚款；对施工单位处工程合同价款</w:t>
            </w:r>
            <w:r>
              <w:rPr>
                <w:rFonts w:ascii="仿宋" w:hAnsi="仿宋" w:eastAsia="仿宋" w:cs="宋体"/>
                <w:color w:val="000000" w:themeColor="text1"/>
                <w:kern w:val="0"/>
                <w:sz w:val="13"/>
                <w:szCs w:val="13"/>
              </w:rPr>
              <w:t>0.5</w:t>
            </w:r>
            <w:r>
              <w:rPr>
                <w:rFonts w:hint="eastAsia" w:ascii="仿宋" w:hAnsi="仿宋" w:eastAsia="仿宋" w:cs="宋体"/>
                <w:color w:val="000000" w:themeColor="text1"/>
                <w:kern w:val="0"/>
                <w:sz w:val="13"/>
                <w:szCs w:val="13"/>
              </w:rPr>
              <w:t>％以上</w:t>
            </w:r>
            <w:r>
              <w:rPr>
                <w:rFonts w:ascii="仿宋" w:hAnsi="仿宋" w:eastAsia="仿宋" w:cs="宋体"/>
                <w:color w:val="000000" w:themeColor="text1"/>
                <w:kern w:val="0"/>
                <w:sz w:val="13"/>
                <w:szCs w:val="13"/>
              </w:rPr>
              <w:t>1</w:t>
            </w:r>
            <w:r>
              <w:rPr>
                <w:rFonts w:hint="eastAsia" w:ascii="仿宋" w:hAnsi="仿宋" w:eastAsia="仿宋" w:cs="宋体"/>
                <w:color w:val="000000" w:themeColor="text1"/>
                <w:kern w:val="0"/>
                <w:sz w:val="13"/>
                <w:szCs w:val="13"/>
              </w:rPr>
              <w:t>％以下的罚款。</w:t>
            </w:r>
          </w:p>
          <w:p w14:paraId="42894BBC">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3"/>
                <w:szCs w:val="13"/>
              </w:rPr>
              <w:t>【三定规定】抚办字【</w:t>
            </w:r>
            <w:r>
              <w:rPr>
                <w:rFonts w:ascii="仿宋" w:hAnsi="仿宋" w:eastAsia="仿宋" w:cs="仿宋_GB2312"/>
                <w:color w:val="000000" w:themeColor="text1"/>
                <w:kern w:val="0"/>
                <w:sz w:val="13"/>
                <w:szCs w:val="13"/>
              </w:rPr>
              <w:t>2019</w:t>
            </w:r>
            <w:r>
              <w:rPr>
                <w:rFonts w:hint="eastAsia" w:ascii="仿宋" w:hAnsi="仿宋" w:eastAsia="仿宋" w:cs="仿宋_GB2312"/>
                <w:color w:val="000000" w:themeColor="text1"/>
                <w:kern w:val="0"/>
                <w:sz w:val="13"/>
                <w:szCs w:val="13"/>
              </w:rPr>
              <w:t>】</w:t>
            </w:r>
            <w:r>
              <w:rPr>
                <w:rFonts w:ascii="仿宋" w:hAnsi="仿宋" w:eastAsia="仿宋" w:cs="仿宋_GB2312"/>
                <w:color w:val="000000" w:themeColor="text1"/>
                <w:kern w:val="0"/>
                <w:sz w:val="13"/>
                <w:szCs w:val="13"/>
              </w:rPr>
              <w:t>11</w:t>
            </w:r>
            <w:r>
              <w:rPr>
                <w:rFonts w:hint="eastAsia" w:ascii="仿宋" w:hAnsi="仿宋" w:eastAsia="仿宋" w:cs="仿宋_GB2312"/>
                <w:color w:val="000000" w:themeColor="text1"/>
                <w:kern w:val="0"/>
                <w:sz w:val="13"/>
                <w:szCs w:val="13"/>
              </w:rPr>
              <w:t>号第三条第八款承担全区公路建设市场监管责任</w:t>
            </w:r>
            <w:r>
              <w:rPr>
                <w:rFonts w:ascii="仿宋" w:hAnsi="仿宋" w:eastAsia="仿宋" w:cs="仿宋_GB2312"/>
                <w:color w:val="000000" w:themeColor="text1"/>
                <w:kern w:val="0"/>
                <w:sz w:val="13"/>
                <w:szCs w:val="13"/>
              </w:rPr>
              <w:t>.</w:t>
            </w:r>
            <w:r>
              <w:rPr>
                <w:rFonts w:hint="eastAsia" w:ascii="仿宋" w:hAnsi="仿宋" w:eastAsia="仿宋" w:cs="仿宋_GB2312"/>
                <w:color w:val="000000" w:themeColor="text1"/>
                <w:kern w:val="0"/>
                <w:sz w:val="13"/>
                <w:szCs w:val="13"/>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B5F9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70DC8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DD225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FAB27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125DC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9ECFF0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3E24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692700E">
            <w:pPr>
              <w:rPr>
                <w:color w:val="000000" w:themeColor="text1"/>
              </w:rPr>
            </w:pPr>
          </w:p>
        </w:tc>
        <w:tc>
          <w:tcPr>
            <w:tcW w:w="1110" w:type="dxa"/>
            <w:vAlign w:val="center"/>
          </w:tcPr>
          <w:p w14:paraId="17B2F4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874062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6064CD5">
            <w:pPr>
              <w:jc w:val="center"/>
              <w:rPr>
                <w:rFonts w:ascii="仿宋_GB2312" w:hAnsi="黑体" w:eastAsia="仿宋_GB2312" w:cs="黑体"/>
                <w:color w:val="000000" w:themeColor="text1"/>
                <w:sz w:val="18"/>
                <w:szCs w:val="18"/>
              </w:rPr>
            </w:pPr>
          </w:p>
        </w:tc>
        <w:tc>
          <w:tcPr>
            <w:tcW w:w="1406" w:type="dxa"/>
            <w:vAlign w:val="center"/>
          </w:tcPr>
          <w:p w14:paraId="3C30CA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DA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C7CBEE0">
            <w:pPr>
              <w:rPr>
                <w:color w:val="000000" w:themeColor="text1"/>
              </w:rPr>
            </w:pPr>
          </w:p>
        </w:tc>
        <w:tc>
          <w:tcPr>
            <w:tcW w:w="1110" w:type="dxa"/>
            <w:vAlign w:val="center"/>
          </w:tcPr>
          <w:p w14:paraId="387054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1D4431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C7E8FFB">
            <w:pPr>
              <w:jc w:val="center"/>
              <w:rPr>
                <w:rFonts w:ascii="仿宋_GB2312" w:hAnsi="黑体" w:eastAsia="仿宋_GB2312" w:cs="黑体"/>
                <w:color w:val="000000" w:themeColor="text1"/>
                <w:sz w:val="18"/>
                <w:szCs w:val="18"/>
              </w:rPr>
            </w:pPr>
          </w:p>
        </w:tc>
        <w:tc>
          <w:tcPr>
            <w:tcW w:w="1406" w:type="dxa"/>
            <w:vAlign w:val="center"/>
          </w:tcPr>
          <w:p w14:paraId="4E39429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2AA5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0A7AAEC">
            <w:pPr>
              <w:rPr>
                <w:color w:val="000000" w:themeColor="text1"/>
              </w:rPr>
            </w:pPr>
          </w:p>
        </w:tc>
        <w:tc>
          <w:tcPr>
            <w:tcW w:w="1110" w:type="dxa"/>
            <w:vAlign w:val="center"/>
          </w:tcPr>
          <w:p w14:paraId="1F7700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70ED9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E2A59A5">
            <w:pPr>
              <w:jc w:val="center"/>
              <w:rPr>
                <w:rFonts w:ascii="仿宋_GB2312" w:hAnsi="黑体" w:eastAsia="仿宋_GB2312" w:cs="黑体"/>
                <w:color w:val="000000" w:themeColor="text1"/>
                <w:sz w:val="18"/>
                <w:szCs w:val="18"/>
              </w:rPr>
            </w:pPr>
          </w:p>
        </w:tc>
        <w:tc>
          <w:tcPr>
            <w:tcW w:w="1406" w:type="dxa"/>
            <w:vAlign w:val="center"/>
          </w:tcPr>
          <w:p w14:paraId="029CB7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CF9B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BADB5F8">
            <w:pPr>
              <w:rPr>
                <w:color w:val="000000" w:themeColor="text1"/>
              </w:rPr>
            </w:pPr>
          </w:p>
        </w:tc>
        <w:tc>
          <w:tcPr>
            <w:tcW w:w="1110" w:type="dxa"/>
            <w:vAlign w:val="center"/>
          </w:tcPr>
          <w:p w14:paraId="07CFAE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DB83C5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FCB3D29">
            <w:pPr>
              <w:jc w:val="center"/>
              <w:rPr>
                <w:rFonts w:ascii="仿宋_GB2312" w:hAnsi="黑体" w:eastAsia="仿宋_GB2312" w:cs="黑体"/>
                <w:color w:val="000000" w:themeColor="text1"/>
                <w:sz w:val="18"/>
                <w:szCs w:val="18"/>
              </w:rPr>
            </w:pPr>
          </w:p>
        </w:tc>
        <w:tc>
          <w:tcPr>
            <w:tcW w:w="1406" w:type="dxa"/>
            <w:vAlign w:val="center"/>
          </w:tcPr>
          <w:p w14:paraId="398AF8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AA8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9" w:hRule="atLeast"/>
          <w:jc w:val="center"/>
        </w:trPr>
        <w:tc>
          <w:tcPr>
            <w:tcW w:w="943" w:type="dxa"/>
            <w:vMerge w:val="continue"/>
            <w:vAlign w:val="center"/>
          </w:tcPr>
          <w:p w14:paraId="51FE7264">
            <w:pPr>
              <w:rPr>
                <w:color w:val="000000" w:themeColor="text1"/>
              </w:rPr>
            </w:pPr>
          </w:p>
        </w:tc>
        <w:tc>
          <w:tcPr>
            <w:tcW w:w="1110" w:type="dxa"/>
            <w:vAlign w:val="center"/>
          </w:tcPr>
          <w:p w14:paraId="038761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E9182A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B436BAA">
            <w:pPr>
              <w:jc w:val="center"/>
              <w:rPr>
                <w:rFonts w:ascii="仿宋_GB2312" w:hAnsi="黑体" w:eastAsia="仿宋_GB2312" w:cs="黑体"/>
                <w:color w:val="000000" w:themeColor="text1"/>
                <w:sz w:val="18"/>
                <w:szCs w:val="18"/>
              </w:rPr>
            </w:pPr>
          </w:p>
        </w:tc>
        <w:tc>
          <w:tcPr>
            <w:tcW w:w="1406" w:type="dxa"/>
            <w:vAlign w:val="center"/>
          </w:tcPr>
          <w:p w14:paraId="2CAFF9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34F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55" w:hRule="atLeast"/>
          <w:jc w:val="center"/>
        </w:trPr>
        <w:tc>
          <w:tcPr>
            <w:tcW w:w="943" w:type="dxa"/>
            <w:vAlign w:val="center"/>
          </w:tcPr>
          <w:p w14:paraId="1C68661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7E87821">
            <w:pPr>
              <w:spacing w:line="240" w:lineRule="exact"/>
              <w:rPr>
                <w:rFonts w:ascii="黑体" w:eastAsia="黑体" w:cs="黑体"/>
                <w:color w:val="000000" w:themeColor="text1"/>
                <w:sz w:val="15"/>
                <w:szCs w:val="15"/>
              </w:rPr>
            </w:pPr>
            <w:r>
              <w:rPr>
                <w:rFonts w:hint="eastAsia" w:ascii="仿宋_GB2312" w:eastAsia="仿宋_GB2312" w:cs="仿宋_GB2312"/>
                <w:color w:val="000000" w:themeColor="text1"/>
                <w:kern w:val="0"/>
                <w:sz w:val="15"/>
                <w:szCs w:val="15"/>
              </w:rPr>
              <w:t>因不履行或不正确履行行政职责，有下列情形的，行政机关及相关工作人员应承担相应责任：</w:t>
            </w:r>
            <w:r>
              <w:rPr>
                <w:rFonts w:ascii="仿宋_GB2312" w:eastAsia="仿宋_GB2312" w:cs="仿宋_GB2312"/>
                <w:color w:val="000000" w:themeColor="text1"/>
                <w:kern w:val="0"/>
                <w:sz w:val="15"/>
                <w:szCs w:val="15"/>
              </w:rPr>
              <w:t>1.</w:t>
            </w:r>
            <w:r>
              <w:rPr>
                <w:rFonts w:hint="eastAsia" w:ascii="仿宋_GB2312" w:eastAsia="仿宋_GB2312" w:cs="仿宋_GB2312"/>
                <w:color w:val="000000" w:themeColor="text1"/>
                <w:kern w:val="0"/>
                <w:sz w:val="15"/>
                <w:szCs w:val="15"/>
              </w:rPr>
              <w:t>没有法律和事实依据实施行政处罚的；</w:t>
            </w: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行政处罚显失公正的；</w:t>
            </w:r>
            <w:r>
              <w:rPr>
                <w:rFonts w:ascii="仿宋_GB2312" w:eastAsia="仿宋_GB2312" w:cs="仿宋_GB2312"/>
                <w:color w:val="000000" w:themeColor="text1"/>
                <w:kern w:val="0"/>
                <w:sz w:val="15"/>
                <w:szCs w:val="15"/>
              </w:rPr>
              <w:t>3.</w:t>
            </w:r>
            <w:r>
              <w:rPr>
                <w:rFonts w:hint="eastAsia" w:ascii="仿宋_GB2312" w:eastAsia="仿宋_GB2312" w:cs="仿宋_GB2312"/>
                <w:color w:val="000000" w:themeColor="text1"/>
                <w:kern w:val="0"/>
                <w:sz w:val="15"/>
                <w:szCs w:val="15"/>
              </w:rPr>
              <w:t>执法人员玩忽职守，对应当予以制止和处罚的违法行为不予制止、处罚，致使职工合法权益遭受损害的；</w:t>
            </w:r>
            <w:r>
              <w:rPr>
                <w:rFonts w:ascii="仿宋_GB2312" w:eastAsia="仿宋_GB2312" w:cs="仿宋_GB2312"/>
                <w:color w:val="000000" w:themeColor="text1"/>
                <w:kern w:val="0"/>
                <w:sz w:val="15"/>
                <w:szCs w:val="15"/>
              </w:rPr>
              <w:t>4.</w:t>
            </w:r>
            <w:r>
              <w:rPr>
                <w:rFonts w:hint="eastAsia" w:ascii="仿宋_GB2312" w:eastAsia="仿宋_GB2312" w:cs="仿宋_GB2312"/>
                <w:color w:val="000000" w:themeColor="text1"/>
                <w:kern w:val="0"/>
                <w:sz w:val="15"/>
                <w:szCs w:val="15"/>
              </w:rPr>
              <w:t>不具备行政执法资格实施行政处罚的；</w:t>
            </w:r>
            <w:r>
              <w:rPr>
                <w:rFonts w:ascii="仿宋_GB2312" w:eastAsia="仿宋_GB2312" w:cs="仿宋_GB2312"/>
                <w:color w:val="000000" w:themeColor="text1"/>
                <w:kern w:val="0"/>
                <w:sz w:val="15"/>
                <w:szCs w:val="15"/>
              </w:rPr>
              <w:t>5.</w:t>
            </w:r>
            <w:r>
              <w:rPr>
                <w:rFonts w:hint="eastAsia" w:ascii="仿宋_GB2312" w:eastAsia="仿宋_GB2312" w:cs="仿宋_GB2312"/>
                <w:color w:val="000000" w:themeColor="text1"/>
                <w:kern w:val="0"/>
                <w:sz w:val="15"/>
                <w:szCs w:val="15"/>
              </w:rPr>
              <w:t>在制止以及查处违法案件中受阻，依照有关规定应当向本级人民政府或者上级主管部门报告而未报告的；</w:t>
            </w:r>
            <w:r>
              <w:rPr>
                <w:rFonts w:ascii="仿宋_GB2312" w:eastAsia="仿宋_GB2312" w:cs="仿宋_GB2312"/>
                <w:color w:val="000000" w:themeColor="text1"/>
                <w:kern w:val="0"/>
                <w:sz w:val="15"/>
                <w:szCs w:val="15"/>
              </w:rPr>
              <w:t>6.</w:t>
            </w:r>
            <w:r>
              <w:rPr>
                <w:rFonts w:hint="eastAsia" w:ascii="仿宋_GB2312" w:eastAsia="仿宋_GB2312" w:cs="仿宋_GB2312"/>
                <w:color w:val="000000" w:themeColor="text1"/>
                <w:kern w:val="0"/>
                <w:sz w:val="15"/>
                <w:szCs w:val="15"/>
              </w:rPr>
              <w:t>应当依法移送追究刑事责任，而未依法移送有权机关的；</w:t>
            </w:r>
            <w:r>
              <w:rPr>
                <w:rFonts w:ascii="仿宋_GB2312" w:eastAsia="仿宋_GB2312" w:cs="仿宋_GB2312"/>
                <w:color w:val="000000" w:themeColor="text1"/>
                <w:kern w:val="0"/>
                <w:sz w:val="15"/>
                <w:szCs w:val="15"/>
              </w:rPr>
              <w:t>7.</w:t>
            </w:r>
            <w:r>
              <w:rPr>
                <w:rFonts w:hint="eastAsia" w:ascii="仿宋_GB2312" w:eastAsia="仿宋_GB2312" w:cs="仿宋_GB2312"/>
                <w:color w:val="000000" w:themeColor="text1"/>
                <w:kern w:val="0"/>
                <w:sz w:val="15"/>
                <w:szCs w:val="15"/>
              </w:rPr>
              <w:t>擅自改变行政处罚种类、幅度的；</w:t>
            </w:r>
            <w:r>
              <w:rPr>
                <w:rFonts w:ascii="仿宋_GB2312" w:eastAsia="仿宋_GB2312" w:cs="仿宋_GB2312"/>
                <w:color w:val="000000" w:themeColor="text1"/>
                <w:kern w:val="0"/>
                <w:sz w:val="15"/>
                <w:szCs w:val="15"/>
              </w:rPr>
              <w:t>8.</w:t>
            </w:r>
            <w:r>
              <w:rPr>
                <w:rFonts w:hint="eastAsia" w:ascii="仿宋_GB2312" w:eastAsia="仿宋_GB2312" w:cs="仿宋_GB2312"/>
                <w:color w:val="000000" w:themeColor="text1"/>
                <w:kern w:val="0"/>
                <w:sz w:val="15"/>
                <w:szCs w:val="15"/>
              </w:rPr>
              <w:t>违反法定的行政处罚程序的；</w:t>
            </w:r>
            <w:r>
              <w:rPr>
                <w:rFonts w:ascii="仿宋_GB2312" w:eastAsia="仿宋_GB2312" w:cs="仿宋_GB2312"/>
                <w:color w:val="000000" w:themeColor="text1"/>
                <w:kern w:val="0"/>
                <w:sz w:val="15"/>
                <w:szCs w:val="15"/>
              </w:rPr>
              <w:t>9.</w:t>
            </w:r>
            <w:r>
              <w:rPr>
                <w:rFonts w:hint="eastAsia" w:ascii="仿宋_GB2312" w:eastAsia="仿宋_GB2312" w:cs="仿宋_GB2312"/>
                <w:color w:val="000000" w:themeColor="text1"/>
                <w:kern w:val="0"/>
                <w:sz w:val="15"/>
                <w:szCs w:val="15"/>
              </w:rPr>
              <w:t>符合听证条件、行政管理相对人要求听证，应予组织听证而不组织听证的；</w:t>
            </w:r>
            <w:r>
              <w:rPr>
                <w:rFonts w:ascii="仿宋_GB2312" w:eastAsia="仿宋_GB2312" w:cs="仿宋_GB2312"/>
                <w:color w:val="000000" w:themeColor="text1"/>
                <w:kern w:val="0"/>
                <w:sz w:val="15"/>
                <w:szCs w:val="15"/>
              </w:rPr>
              <w:t>10.</w:t>
            </w:r>
            <w:r>
              <w:rPr>
                <w:rFonts w:hint="eastAsia" w:ascii="仿宋_GB2312" w:eastAsia="仿宋_GB2312" w:cs="仿宋_GB2312"/>
                <w:color w:val="000000" w:themeColor="text1"/>
                <w:kern w:val="0"/>
                <w:sz w:val="15"/>
                <w:szCs w:val="15"/>
              </w:rPr>
              <w:t>在行政处罚过程中发生腐败行为的；</w:t>
            </w:r>
            <w:r>
              <w:rPr>
                <w:rFonts w:ascii="仿宋_GB2312" w:eastAsia="仿宋_GB2312" w:cs="仿宋_GB2312"/>
                <w:color w:val="000000" w:themeColor="text1"/>
                <w:kern w:val="0"/>
                <w:sz w:val="15"/>
                <w:szCs w:val="15"/>
              </w:rPr>
              <w:t>11.</w:t>
            </w:r>
            <w:r>
              <w:rPr>
                <w:rFonts w:hint="eastAsia" w:ascii="仿宋_GB2312" w:eastAsia="仿宋_GB2312" w:cs="仿宋_GB2312"/>
                <w:color w:val="000000" w:themeColor="text1"/>
                <w:kern w:val="0"/>
                <w:sz w:val="15"/>
                <w:szCs w:val="15"/>
              </w:rPr>
              <w:t>其他违反法律法规规章文件规定的行为。</w:t>
            </w:r>
          </w:p>
        </w:tc>
      </w:tr>
      <w:tr w14:paraId="7E6EA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D8A42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68B173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53A57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DDF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D0175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D44405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9DB073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AA15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19661D6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7EE1C16">
            <w:pPr>
              <w:widowControl/>
              <w:jc w:val="left"/>
              <w:textAlignment w:val="center"/>
              <w:rPr>
                <w:rFonts w:ascii="黑体" w:eastAsia="黑体" w:cs="黑体"/>
                <w:color w:val="000000" w:themeColor="text1"/>
                <w:kern w:val="0"/>
                <w:sz w:val="18"/>
                <w:szCs w:val="18"/>
              </w:rPr>
            </w:pPr>
          </w:p>
        </w:tc>
      </w:tr>
    </w:tbl>
    <w:p w14:paraId="142030C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0E77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EA374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BFCCB9E">
            <w:pPr>
              <w:jc w:val="center"/>
              <w:rPr>
                <w:rFonts w:ascii="黑体" w:eastAsia="黑体" w:cs="黑体"/>
                <w:b/>
                <w:bCs/>
                <w:color w:val="000000" w:themeColor="text1"/>
                <w:szCs w:val="21"/>
              </w:rPr>
            </w:pPr>
            <w:r>
              <w:rPr>
                <w:rFonts w:ascii="黑体" w:eastAsia="黑体" w:cs="黑体"/>
                <w:b/>
                <w:bCs/>
                <w:color w:val="000000" w:themeColor="text1"/>
                <w:szCs w:val="21"/>
              </w:rPr>
              <w:t>105</w:t>
            </w:r>
          </w:p>
        </w:tc>
        <w:tc>
          <w:tcPr>
            <w:tcW w:w="1691" w:type="dxa"/>
            <w:vAlign w:val="center"/>
          </w:tcPr>
          <w:p w14:paraId="4FD830F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E2410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6C702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7FF3A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3747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6E0B4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12034B5">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对交通运输领域建设工程项目从业单位出借资质行为的行政处罚</w:t>
            </w:r>
          </w:p>
        </w:tc>
      </w:tr>
      <w:tr w14:paraId="7ADB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79F58D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AEA957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E315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0E50A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C04CE6A">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《建设工程质量管理条例》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一条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《建设工程勘察设计管理条例》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第八条建设工程勘察、设计单位应当在其资质等级许可的范围内承揽建设工程勘察、设计业务。</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第三十五条第一款违反本条例第八条规定的，责令停止违法行为，处合同约定的勘察费、设计费</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倍以上</w:t>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倍以下的罚款，有违法所得的，予以没收；可以责令停业整顿，降低资质等级；情节严重的，吊销资质证书。</w:t>
            </w:r>
          </w:p>
          <w:p w14:paraId="738C46D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B652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C74B2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4003E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4A00A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9E6A8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A6FB94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32A2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733ACEB">
            <w:pPr>
              <w:rPr>
                <w:color w:val="000000" w:themeColor="text1"/>
              </w:rPr>
            </w:pPr>
          </w:p>
        </w:tc>
        <w:tc>
          <w:tcPr>
            <w:tcW w:w="1110" w:type="dxa"/>
            <w:vAlign w:val="center"/>
          </w:tcPr>
          <w:p w14:paraId="630181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679359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7C4E69E">
            <w:pPr>
              <w:jc w:val="center"/>
              <w:rPr>
                <w:rFonts w:ascii="仿宋_GB2312" w:hAnsi="黑体" w:eastAsia="仿宋_GB2312" w:cs="黑体"/>
                <w:color w:val="000000" w:themeColor="text1"/>
                <w:sz w:val="18"/>
                <w:szCs w:val="18"/>
              </w:rPr>
            </w:pPr>
          </w:p>
        </w:tc>
        <w:tc>
          <w:tcPr>
            <w:tcW w:w="1406" w:type="dxa"/>
            <w:vAlign w:val="center"/>
          </w:tcPr>
          <w:p w14:paraId="16DE1A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A950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B13DC16">
            <w:pPr>
              <w:rPr>
                <w:color w:val="000000" w:themeColor="text1"/>
              </w:rPr>
            </w:pPr>
          </w:p>
        </w:tc>
        <w:tc>
          <w:tcPr>
            <w:tcW w:w="1110" w:type="dxa"/>
            <w:vAlign w:val="center"/>
          </w:tcPr>
          <w:p w14:paraId="408FDAD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A0DF3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1C9EE3D">
            <w:pPr>
              <w:jc w:val="center"/>
              <w:rPr>
                <w:rFonts w:ascii="仿宋_GB2312" w:hAnsi="黑体" w:eastAsia="仿宋_GB2312" w:cs="黑体"/>
                <w:color w:val="000000" w:themeColor="text1"/>
                <w:sz w:val="18"/>
                <w:szCs w:val="18"/>
              </w:rPr>
            </w:pPr>
          </w:p>
        </w:tc>
        <w:tc>
          <w:tcPr>
            <w:tcW w:w="1406" w:type="dxa"/>
            <w:vAlign w:val="center"/>
          </w:tcPr>
          <w:p w14:paraId="3572C10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8F5B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307313A">
            <w:pPr>
              <w:rPr>
                <w:color w:val="000000" w:themeColor="text1"/>
              </w:rPr>
            </w:pPr>
          </w:p>
        </w:tc>
        <w:tc>
          <w:tcPr>
            <w:tcW w:w="1110" w:type="dxa"/>
            <w:vAlign w:val="center"/>
          </w:tcPr>
          <w:p w14:paraId="46DC692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DF7716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9295E24">
            <w:pPr>
              <w:jc w:val="center"/>
              <w:rPr>
                <w:rFonts w:ascii="仿宋_GB2312" w:hAnsi="黑体" w:eastAsia="仿宋_GB2312" w:cs="黑体"/>
                <w:color w:val="000000" w:themeColor="text1"/>
                <w:sz w:val="18"/>
                <w:szCs w:val="18"/>
              </w:rPr>
            </w:pPr>
          </w:p>
        </w:tc>
        <w:tc>
          <w:tcPr>
            <w:tcW w:w="1406" w:type="dxa"/>
            <w:vAlign w:val="center"/>
          </w:tcPr>
          <w:p w14:paraId="632CF4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10F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EBD3A3E">
            <w:pPr>
              <w:rPr>
                <w:color w:val="000000" w:themeColor="text1"/>
              </w:rPr>
            </w:pPr>
          </w:p>
        </w:tc>
        <w:tc>
          <w:tcPr>
            <w:tcW w:w="1110" w:type="dxa"/>
            <w:vAlign w:val="center"/>
          </w:tcPr>
          <w:p w14:paraId="04DA79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3E1DF4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35406CD">
            <w:pPr>
              <w:jc w:val="center"/>
              <w:rPr>
                <w:rFonts w:ascii="仿宋_GB2312" w:hAnsi="黑体" w:eastAsia="仿宋_GB2312" w:cs="黑体"/>
                <w:color w:val="000000" w:themeColor="text1"/>
                <w:sz w:val="18"/>
                <w:szCs w:val="18"/>
              </w:rPr>
            </w:pPr>
          </w:p>
        </w:tc>
        <w:tc>
          <w:tcPr>
            <w:tcW w:w="1406" w:type="dxa"/>
            <w:vAlign w:val="center"/>
          </w:tcPr>
          <w:p w14:paraId="204AB8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E7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0757C2F">
            <w:pPr>
              <w:rPr>
                <w:color w:val="000000" w:themeColor="text1"/>
              </w:rPr>
            </w:pPr>
          </w:p>
        </w:tc>
        <w:tc>
          <w:tcPr>
            <w:tcW w:w="1110" w:type="dxa"/>
            <w:vAlign w:val="center"/>
          </w:tcPr>
          <w:p w14:paraId="5DA855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BBDED5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03D1F58">
            <w:pPr>
              <w:jc w:val="center"/>
              <w:rPr>
                <w:rFonts w:ascii="仿宋_GB2312" w:hAnsi="黑体" w:eastAsia="仿宋_GB2312" w:cs="黑体"/>
                <w:color w:val="000000" w:themeColor="text1"/>
                <w:sz w:val="18"/>
                <w:szCs w:val="18"/>
              </w:rPr>
            </w:pPr>
          </w:p>
        </w:tc>
        <w:tc>
          <w:tcPr>
            <w:tcW w:w="1406" w:type="dxa"/>
            <w:vAlign w:val="center"/>
          </w:tcPr>
          <w:p w14:paraId="38C19A8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0FD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34" w:hRule="atLeast"/>
          <w:jc w:val="center"/>
        </w:trPr>
        <w:tc>
          <w:tcPr>
            <w:tcW w:w="943" w:type="dxa"/>
            <w:vAlign w:val="center"/>
          </w:tcPr>
          <w:p w14:paraId="7402AA4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0E4B0E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3336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572D8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DBD9D0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80BA7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BC58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9462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E3C6FD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ABBB2A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022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00299AC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43F3C8A">
            <w:pPr>
              <w:widowControl/>
              <w:jc w:val="left"/>
              <w:textAlignment w:val="center"/>
              <w:rPr>
                <w:rFonts w:ascii="黑体" w:eastAsia="黑体" w:cs="黑体"/>
                <w:color w:val="000000" w:themeColor="text1"/>
                <w:kern w:val="0"/>
                <w:sz w:val="18"/>
                <w:szCs w:val="18"/>
              </w:rPr>
            </w:pPr>
          </w:p>
        </w:tc>
      </w:tr>
    </w:tbl>
    <w:p w14:paraId="7400D0B7">
      <w:pPr>
        <w:rPr>
          <w:color w:val="000000" w:themeColor="text1"/>
          <w:sz w:val="24"/>
        </w:rPr>
      </w:pPr>
    </w:p>
    <w:p w14:paraId="75CD0CE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EAB8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F0877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374D492">
            <w:pPr>
              <w:jc w:val="center"/>
              <w:rPr>
                <w:rFonts w:ascii="黑体" w:eastAsia="黑体" w:cs="黑体"/>
                <w:b/>
                <w:bCs/>
                <w:color w:val="000000" w:themeColor="text1"/>
                <w:szCs w:val="21"/>
              </w:rPr>
            </w:pPr>
            <w:r>
              <w:rPr>
                <w:rFonts w:ascii="黑体" w:eastAsia="黑体" w:cs="黑体"/>
                <w:b/>
                <w:bCs/>
                <w:color w:val="000000" w:themeColor="text1"/>
                <w:szCs w:val="21"/>
              </w:rPr>
              <w:t>106</w:t>
            </w:r>
          </w:p>
        </w:tc>
        <w:tc>
          <w:tcPr>
            <w:tcW w:w="1691" w:type="dxa"/>
            <w:vAlign w:val="center"/>
          </w:tcPr>
          <w:p w14:paraId="1EE6F43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25E037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AB380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34A856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AC73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6AA78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F135371">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对交通运输领域建设工程项目勘察、设计单位未按照工程建设强制性标准进行勘察、设计等行为的行政处罚</w:t>
            </w:r>
          </w:p>
        </w:tc>
      </w:tr>
      <w:tr w14:paraId="17F0E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99443A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B50827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5E5D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C3A86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7783636">
            <w:pPr>
              <w:spacing w:line="240" w:lineRule="exact"/>
              <w:jc w:val="left"/>
              <w:rPr>
                <w:rFonts w:ascii="仿宋" w:hAnsi="仿宋" w:eastAsia="仿宋" w:cs="宋体"/>
                <w:color w:val="000000" w:themeColor="text1"/>
                <w:kern w:val="0"/>
                <w:sz w:val="13"/>
                <w:szCs w:val="13"/>
              </w:rPr>
            </w:pPr>
            <w:r>
              <w:rPr>
                <w:rFonts w:hint="eastAsia" w:ascii="仿宋_GB2312" w:eastAsia="仿宋_GB2312" w:cs="仿宋_GB2312"/>
                <w:color w:val="000000" w:themeColor="text1"/>
                <w:kern w:val="0"/>
                <w:sz w:val="13"/>
                <w:szCs w:val="13"/>
              </w:rPr>
              <w:t>【法律法规】</w:t>
            </w:r>
            <w:r>
              <w:rPr>
                <w:rFonts w:ascii="仿宋" w:hAnsi="仿宋" w:eastAsia="仿宋" w:cs="宋体"/>
                <w:color w:val="000000" w:themeColor="text1"/>
                <w:kern w:val="0"/>
                <w:sz w:val="13"/>
                <w:szCs w:val="13"/>
              </w:rPr>
              <w:t>1.</w:t>
            </w:r>
            <w:r>
              <w:rPr>
                <w:rFonts w:hint="eastAsia" w:ascii="仿宋" w:hAnsi="仿宋" w:eastAsia="仿宋" w:cs="宋体"/>
                <w:color w:val="000000" w:themeColor="text1"/>
                <w:kern w:val="0"/>
                <w:sz w:val="13"/>
                <w:szCs w:val="13"/>
              </w:rPr>
              <w:t>《建设工程质量管理条例》第六十三条违反本条例规定，有下列行为之一的，责令改正，处</w:t>
            </w:r>
            <w:r>
              <w:rPr>
                <w:rFonts w:ascii="仿宋" w:hAnsi="仿宋" w:eastAsia="仿宋" w:cs="宋体"/>
                <w:color w:val="000000" w:themeColor="text1"/>
                <w:kern w:val="0"/>
                <w:sz w:val="13"/>
                <w:szCs w:val="13"/>
              </w:rPr>
              <w:t>10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30</w:t>
            </w:r>
            <w:r>
              <w:rPr>
                <w:rFonts w:hint="eastAsia" w:ascii="仿宋" w:hAnsi="仿宋" w:eastAsia="仿宋" w:cs="宋体"/>
                <w:color w:val="000000" w:themeColor="text1"/>
                <w:kern w:val="0"/>
                <w:sz w:val="13"/>
                <w:szCs w:val="13"/>
              </w:rPr>
              <w:t>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有前款所列行为，造成工程质量事故的，责令停业整顿，降低资质等级；情节严重的，吊销资质证书；造成损失的，依法承担赔偿责任。</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公路水运工程质量监督管理规定》第三十九条违反本规定第十条规定，勘察、设计单位未按照工程建设强制性标准进行勘察、设计的，设计单位未根据勘察成果文件进行工程设计的，依照《建设工程质量管理条例》第六十三条规定，责令改正，按以下标准处以罚款；造成质量事故的，责令停工整顿：（一）工程尚未开工建设的，处</w:t>
            </w:r>
            <w:r>
              <w:rPr>
                <w:rFonts w:ascii="仿宋" w:hAnsi="仿宋" w:eastAsia="仿宋" w:cs="宋体"/>
                <w:color w:val="000000" w:themeColor="text1"/>
                <w:kern w:val="0"/>
                <w:sz w:val="13"/>
                <w:szCs w:val="13"/>
              </w:rPr>
              <w:t>10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万元以下的罚款；（二）工程已开工建设的，处</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30</w:t>
            </w:r>
            <w:r>
              <w:rPr>
                <w:rFonts w:hint="eastAsia" w:ascii="仿宋" w:hAnsi="仿宋" w:eastAsia="仿宋" w:cs="宋体"/>
                <w:color w:val="000000" w:themeColor="text1"/>
                <w:kern w:val="0"/>
                <w:sz w:val="13"/>
                <w:szCs w:val="13"/>
              </w:rPr>
              <w:t>万元以下的罚款。</w:t>
            </w:r>
            <w:r>
              <w:rPr>
                <w:rFonts w:ascii="仿宋" w:hAnsi="仿宋" w:eastAsia="仿宋" w:cs="宋体"/>
                <w:color w:val="000000" w:themeColor="text1"/>
                <w:kern w:val="0"/>
                <w:sz w:val="13"/>
                <w:szCs w:val="13"/>
              </w:rPr>
              <w:t xml:space="preserve">                                                                                                                                               3.</w:t>
            </w:r>
            <w:r>
              <w:rPr>
                <w:rFonts w:hint="eastAsia" w:ascii="仿宋" w:hAnsi="仿宋" w:eastAsia="仿宋" w:cs="宋体"/>
                <w:color w:val="000000" w:themeColor="text1"/>
                <w:kern w:val="0"/>
                <w:sz w:val="13"/>
                <w:szCs w:val="13"/>
              </w:rPr>
              <w:t>《水运建设市场监督管理办法》第四十条违反国家相关规定和本办法规定，项目单位明示或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一）工程尚未开工建设的，对项目单位处</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30</w:t>
            </w:r>
            <w:r>
              <w:rPr>
                <w:rFonts w:hint="eastAsia" w:ascii="仿宋" w:hAnsi="仿宋" w:eastAsia="仿宋" w:cs="宋体"/>
                <w:color w:val="000000" w:themeColor="text1"/>
                <w:kern w:val="0"/>
                <w:sz w:val="13"/>
                <w:szCs w:val="13"/>
              </w:rPr>
              <w:t>万元以下的罚款；对勘察、设计单位处</w:t>
            </w:r>
            <w:r>
              <w:rPr>
                <w:rFonts w:ascii="仿宋" w:hAnsi="仿宋" w:eastAsia="仿宋" w:cs="宋体"/>
                <w:color w:val="000000" w:themeColor="text1"/>
                <w:kern w:val="0"/>
                <w:sz w:val="13"/>
                <w:szCs w:val="13"/>
              </w:rPr>
              <w:t>10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万元以下的罚款；（二）工程已开工建设的，对项目单位处</w:t>
            </w:r>
            <w:r>
              <w:rPr>
                <w:rFonts w:ascii="仿宋" w:hAnsi="仿宋" w:eastAsia="仿宋" w:cs="宋体"/>
                <w:color w:val="000000" w:themeColor="text1"/>
                <w:kern w:val="0"/>
                <w:sz w:val="13"/>
                <w:szCs w:val="13"/>
              </w:rPr>
              <w:t>30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50</w:t>
            </w:r>
            <w:r>
              <w:rPr>
                <w:rFonts w:hint="eastAsia" w:ascii="仿宋" w:hAnsi="仿宋" w:eastAsia="仿宋" w:cs="宋体"/>
                <w:color w:val="000000" w:themeColor="text1"/>
                <w:kern w:val="0"/>
                <w:sz w:val="13"/>
                <w:szCs w:val="13"/>
              </w:rPr>
              <w:t>万元以下的罚款，对勘察、设计单位处</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30</w:t>
            </w:r>
            <w:r>
              <w:rPr>
                <w:rFonts w:hint="eastAsia" w:ascii="仿宋" w:hAnsi="仿宋" w:eastAsia="仿宋" w:cs="宋体"/>
                <w:color w:val="000000" w:themeColor="text1"/>
                <w:kern w:val="0"/>
                <w:sz w:val="13"/>
                <w:szCs w:val="13"/>
              </w:rPr>
              <w:t>万元以下的罚款；对施工单位处工程合同价款</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以上</w:t>
            </w:r>
            <w:r>
              <w:rPr>
                <w:rFonts w:ascii="仿宋" w:hAnsi="仿宋" w:eastAsia="仿宋" w:cs="宋体"/>
                <w:color w:val="000000" w:themeColor="text1"/>
                <w:kern w:val="0"/>
                <w:sz w:val="13"/>
                <w:szCs w:val="13"/>
              </w:rPr>
              <w:t>4%</w:t>
            </w:r>
            <w:r>
              <w:rPr>
                <w:rFonts w:hint="eastAsia" w:ascii="仿宋" w:hAnsi="仿宋" w:eastAsia="仿宋" w:cs="宋体"/>
                <w:color w:val="000000" w:themeColor="text1"/>
                <w:kern w:val="0"/>
                <w:sz w:val="13"/>
                <w:szCs w:val="13"/>
              </w:rPr>
              <w:t>以下的罚款；对工程监理单位处</w:t>
            </w:r>
            <w:r>
              <w:rPr>
                <w:rFonts w:ascii="仿宋" w:hAnsi="仿宋" w:eastAsia="仿宋" w:cs="宋体"/>
                <w:color w:val="000000" w:themeColor="text1"/>
                <w:kern w:val="0"/>
                <w:sz w:val="13"/>
                <w:szCs w:val="13"/>
              </w:rPr>
              <w:t>50</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100</w:t>
            </w:r>
            <w:r>
              <w:rPr>
                <w:rFonts w:hint="eastAsia" w:ascii="仿宋" w:hAnsi="仿宋" w:eastAsia="仿宋" w:cs="宋体"/>
                <w:color w:val="000000" w:themeColor="text1"/>
                <w:kern w:val="0"/>
                <w:sz w:val="13"/>
                <w:szCs w:val="13"/>
              </w:rPr>
              <w:t>万元以下的罚款。</w:t>
            </w:r>
          </w:p>
          <w:p w14:paraId="40382B58">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04F4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04BD7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BF649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DF48A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7E11D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914C3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01EE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8" w:hRule="atLeast"/>
          <w:jc w:val="center"/>
        </w:trPr>
        <w:tc>
          <w:tcPr>
            <w:tcW w:w="943" w:type="dxa"/>
            <w:vMerge w:val="continue"/>
            <w:vAlign w:val="center"/>
          </w:tcPr>
          <w:p w14:paraId="76C6E80C">
            <w:pPr>
              <w:rPr>
                <w:color w:val="000000" w:themeColor="text1"/>
              </w:rPr>
            </w:pPr>
          </w:p>
        </w:tc>
        <w:tc>
          <w:tcPr>
            <w:tcW w:w="1110" w:type="dxa"/>
            <w:vAlign w:val="center"/>
          </w:tcPr>
          <w:p w14:paraId="4DFC568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D163F9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F9613C2">
            <w:pPr>
              <w:jc w:val="center"/>
              <w:rPr>
                <w:rFonts w:ascii="仿宋_GB2312" w:hAnsi="黑体" w:eastAsia="仿宋_GB2312" w:cs="黑体"/>
                <w:color w:val="000000" w:themeColor="text1"/>
                <w:sz w:val="18"/>
                <w:szCs w:val="18"/>
              </w:rPr>
            </w:pPr>
          </w:p>
        </w:tc>
        <w:tc>
          <w:tcPr>
            <w:tcW w:w="1406" w:type="dxa"/>
            <w:vAlign w:val="center"/>
          </w:tcPr>
          <w:p w14:paraId="04F521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1520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020073E">
            <w:pPr>
              <w:rPr>
                <w:color w:val="000000" w:themeColor="text1"/>
              </w:rPr>
            </w:pPr>
          </w:p>
        </w:tc>
        <w:tc>
          <w:tcPr>
            <w:tcW w:w="1110" w:type="dxa"/>
            <w:vAlign w:val="center"/>
          </w:tcPr>
          <w:p w14:paraId="2F17C6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8DB4C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5EFF818">
            <w:pPr>
              <w:jc w:val="center"/>
              <w:rPr>
                <w:rFonts w:ascii="仿宋_GB2312" w:hAnsi="黑体" w:eastAsia="仿宋_GB2312" w:cs="黑体"/>
                <w:color w:val="000000" w:themeColor="text1"/>
                <w:sz w:val="18"/>
                <w:szCs w:val="18"/>
              </w:rPr>
            </w:pPr>
          </w:p>
        </w:tc>
        <w:tc>
          <w:tcPr>
            <w:tcW w:w="1406" w:type="dxa"/>
            <w:vAlign w:val="center"/>
          </w:tcPr>
          <w:p w14:paraId="0E9118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611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217B93F">
            <w:pPr>
              <w:rPr>
                <w:color w:val="000000" w:themeColor="text1"/>
              </w:rPr>
            </w:pPr>
          </w:p>
        </w:tc>
        <w:tc>
          <w:tcPr>
            <w:tcW w:w="1110" w:type="dxa"/>
            <w:vAlign w:val="center"/>
          </w:tcPr>
          <w:p w14:paraId="0F86A8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95A6A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FD197E9">
            <w:pPr>
              <w:jc w:val="center"/>
              <w:rPr>
                <w:rFonts w:ascii="仿宋_GB2312" w:hAnsi="黑体" w:eastAsia="仿宋_GB2312" w:cs="黑体"/>
                <w:color w:val="000000" w:themeColor="text1"/>
                <w:sz w:val="18"/>
                <w:szCs w:val="18"/>
              </w:rPr>
            </w:pPr>
          </w:p>
        </w:tc>
        <w:tc>
          <w:tcPr>
            <w:tcW w:w="1406" w:type="dxa"/>
            <w:vAlign w:val="center"/>
          </w:tcPr>
          <w:p w14:paraId="32EB13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362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6A78CE3">
            <w:pPr>
              <w:rPr>
                <w:color w:val="000000" w:themeColor="text1"/>
              </w:rPr>
            </w:pPr>
          </w:p>
        </w:tc>
        <w:tc>
          <w:tcPr>
            <w:tcW w:w="1110" w:type="dxa"/>
            <w:vAlign w:val="center"/>
          </w:tcPr>
          <w:p w14:paraId="515359A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FA9B4B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EA32CB4">
            <w:pPr>
              <w:jc w:val="center"/>
              <w:rPr>
                <w:rFonts w:ascii="仿宋_GB2312" w:hAnsi="黑体" w:eastAsia="仿宋_GB2312" w:cs="黑体"/>
                <w:color w:val="000000" w:themeColor="text1"/>
                <w:sz w:val="18"/>
                <w:szCs w:val="18"/>
              </w:rPr>
            </w:pPr>
          </w:p>
        </w:tc>
        <w:tc>
          <w:tcPr>
            <w:tcW w:w="1406" w:type="dxa"/>
            <w:vAlign w:val="center"/>
          </w:tcPr>
          <w:p w14:paraId="7657036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2409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2" w:hRule="atLeast"/>
          <w:jc w:val="center"/>
        </w:trPr>
        <w:tc>
          <w:tcPr>
            <w:tcW w:w="943" w:type="dxa"/>
            <w:vMerge w:val="continue"/>
            <w:vAlign w:val="center"/>
          </w:tcPr>
          <w:p w14:paraId="7F1A50AA">
            <w:pPr>
              <w:rPr>
                <w:color w:val="000000" w:themeColor="text1"/>
              </w:rPr>
            </w:pPr>
          </w:p>
        </w:tc>
        <w:tc>
          <w:tcPr>
            <w:tcW w:w="1110" w:type="dxa"/>
            <w:vAlign w:val="center"/>
          </w:tcPr>
          <w:p w14:paraId="24E28B9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CDEBE7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A342CF9">
            <w:pPr>
              <w:jc w:val="center"/>
              <w:rPr>
                <w:rFonts w:ascii="仿宋_GB2312" w:hAnsi="黑体" w:eastAsia="仿宋_GB2312" w:cs="黑体"/>
                <w:color w:val="000000" w:themeColor="text1"/>
                <w:sz w:val="18"/>
                <w:szCs w:val="18"/>
              </w:rPr>
            </w:pPr>
          </w:p>
        </w:tc>
        <w:tc>
          <w:tcPr>
            <w:tcW w:w="1406" w:type="dxa"/>
            <w:vAlign w:val="center"/>
          </w:tcPr>
          <w:p w14:paraId="7C0E65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0B2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42" w:hRule="atLeast"/>
          <w:jc w:val="center"/>
        </w:trPr>
        <w:tc>
          <w:tcPr>
            <w:tcW w:w="943" w:type="dxa"/>
            <w:vAlign w:val="center"/>
          </w:tcPr>
          <w:p w14:paraId="5359A4C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4C2CFB2">
            <w:pPr>
              <w:spacing w:line="240" w:lineRule="exact"/>
              <w:rPr>
                <w:rFonts w:ascii="黑体" w:eastAsia="黑体" w:cs="黑体"/>
                <w:color w:val="000000" w:themeColor="text1"/>
                <w:sz w:val="13"/>
                <w:szCs w:val="13"/>
              </w:rPr>
            </w:pPr>
            <w:r>
              <w:rPr>
                <w:rFonts w:hint="eastAsia" w:ascii="仿宋_GB2312" w:eastAsia="仿宋_GB2312" w:cs="仿宋_GB2312"/>
                <w:color w:val="000000" w:themeColor="text1"/>
                <w:kern w:val="0"/>
                <w:sz w:val="13"/>
                <w:szCs w:val="13"/>
              </w:rPr>
              <w:t>因不履行或不正确履行行政职责，有下列情形的，行政机关及相关工作人员应承担相应责任：</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没有法律和事实依据实施行政处罚的；</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行政处罚显失公正的；</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执法人员玩忽职守，对应当予以制止和处罚的违法行为不予制止、处罚，致使职工合法权益遭受损害的；</w:t>
            </w:r>
            <w:r>
              <w:rPr>
                <w:rFonts w:ascii="仿宋_GB2312" w:eastAsia="仿宋_GB2312" w:cs="仿宋_GB2312"/>
                <w:color w:val="000000" w:themeColor="text1"/>
                <w:kern w:val="0"/>
                <w:sz w:val="13"/>
                <w:szCs w:val="13"/>
              </w:rPr>
              <w:t>4.</w:t>
            </w:r>
            <w:r>
              <w:rPr>
                <w:rFonts w:hint="eastAsia" w:ascii="仿宋_GB2312" w:eastAsia="仿宋_GB2312" w:cs="仿宋_GB2312"/>
                <w:color w:val="000000" w:themeColor="text1"/>
                <w:kern w:val="0"/>
                <w:sz w:val="13"/>
                <w:szCs w:val="13"/>
              </w:rPr>
              <w:t>不具备行政执法资格实施行政处罚的；</w:t>
            </w:r>
            <w:r>
              <w:rPr>
                <w:rFonts w:ascii="仿宋_GB2312" w:eastAsia="仿宋_GB2312" w:cs="仿宋_GB2312"/>
                <w:color w:val="000000" w:themeColor="text1"/>
                <w:kern w:val="0"/>
                <w:sz w:val="13"/>
                <w:szCs w:val="13"/>
              </w:rPr>
              <w:t>5.</w:t>
            </w:r>
            <w:r>
              <w:rPr>
                <w:rFonts w:hint="eastAsia" w:ascii="仿宋_GB2312" w:eastAsia="仿宋_GB2312" w:cs="仿宋_GB2312"/>
                <w:color w:val="000000" w:themeColor="text1"/>
                <w:kern w:val="0"/>
                <w:sz w:val="13"/>
                <w:szCs w:val="13"/>
              </w:rPr>
              <w:t>在制止以及查处违法案件中受阻，依照有关规定应当向本级人民政府或者上级主管部门报告而未报告的；</w:t>
            </w:r>
            <w:r>
              <w:rPr>
                <w:rFonts w:ascii="仿宋_GB2312" w:eastAsia="仿宋_GB2312" w:cs="仿宋_GB2312"/>
                <w:color w:val="000000" w:themeColor="text1"/>
                <w:kern w:val="0"/>
                <w:sz w:val="13"/>
                <w:szCs w:val="13"/>
              </w:rPr>
              <w:t>6.</w:t>
            </w:r>
            <w:r>
              <w:rPr>
                <w:rFonts w:hint="eastAsia" w:ascii="仿宋_GB2312" w:eastAsia="仿宋_GB2312" w:cs="仿宋_GB2312"/>
                <w:color w:val="000000" w:themeColor="text1"/>
                <w:kern w:val="0"/>
                <w:sz w:val="13"/>
                <w:szCs w:val="13"/>
              </w:rPr>
              <w:t>应当依法移送追究刑事责任，而未依法移送有权机关的；</w:t>
            </w:r>
            <w:r>
              <w:rPr>
                <w:rFonts w:ascii="仿宋_GB2312" w:eastAsia="仿宋_GB2312" w:cs="仿宋_GB2312"/>
                <w:color w:val="000000" w:themeColor="text1"/>
                <w:kern w:val="0"/>
                <w:sz w:val="13"/>
                <w:szCs w:val="13"/>
              </w:rPr>
              <w:t>7.</w:t>
            </w:r>
            <w:r>
              <w:rPr>
                <w:rFonts w:hint="eastAsia" w:ascii="仿宋_GB2312" w:eastAsia="仿宋_GB2312" w:cs="仿宋_GB2312"/>
                <w:color w:val="000000" w:themeColor="text1"/>
                <w:kern w:val="0"/>
                <w:sz w:val="13"/>
                <w:szCs w:val="13"/>
              </w:rPr>
              <w:t>擅自改变行政处罚种类、幅度的；</w:t>
            </w:r>
            <w:r>
              <w:rPr>
                <w:rFonts w:ascii="仿宋_GB2312" w:eastAsia="仿宋_GB2312" w:cs="仿宋_GB2312"/>
                <w:color w:val="000000" w:themeColor="text1"/>
                <w:kern w:val="0"/>
                <w:sz w:val="13"/>
                <w:szCs w:val="13"/>
              </w:rPr>
              <w:t>8.</w:t>
            </w:r>
            <w:r>
              <w:rPr>
                <w:rFonts w:hint="eastAsia" w:ascii="仿宋_GB2312" w:eastAsia="仿宋_GB2312" w:cs="仿宋_GB2312"/>
                <w:color w:val="000000" w:themeColor="text1"/>
                <w:kern w:val="0"/>
                <w:sz w:val="13"/>
                <w:szCs w:val="13"/>
              </w:rPr>
              <w:t>违反法定的行政处罚程序的；</w:t>
            </w:r>
            <w:r>
              <w:rPr>
                <w:rFonts w:ascii="仿宋_GB2312" w:eastAsia="仿宋_GB2312" w:cs="仿宋_GB2312"/>
                <w:color w:val="000000" w:themeColor="text1"/>
                <w:kern w:val="0"/>
                <w:sz w:val="13"/>
                <w:szCs w:val="13"/>
              </w:rPr>
              <w:t>9.</w:t>
            </w:r>
            <w:r>
              <w:rPr>
                <w:rFonts w:hint="eastAsia" w:ascii="仿宋_GB2312" w:eastAsia="仿宋_GB2312" w:cs="仿宋_GB2312"/>
                <w:color w:val="000000" w:themeColor="text1"/>
                <w:kern w:val="0"/>
                <w:sz w:val="13"/>
                <w:szCs w:val="13"/>
              </w:rPr>
              <w:t>符合听证条件、行政管理相对人要求听证，应予组织听证而不组织听证的；</w:t>
            </w:r>
            <w:r>
              <w:rPr>
                <w:rFonts w:ascii="仿宋_GB2312" w:eastAsia="仿宋_GB2312" w:cs="仿宋_GB2312"/>
                <w:color w:val="000000" w:themeColor="text1"/>
                <w:kern w:val="0"/>
                <w:sz w:val="13"/>
                <w:szCs w:val="13"/>
              </w:rPr>
              <w:t>10.</w:t>
            </w:r>
            <w:r>
              <w:rPr>
                <w:rFonts w:hint="eastAsia" w:ascii="仿宋_GB2312" w:eastAsia="仿宋_GB2312" w:cs="仿宋_GB2312"/>
                <w:color w:val="000000" w:themeColor="text1"/>
                <w:kern w:val="0"/>
                <w:sz w:val="13"/>
                <w:szCs w:val="13"/>
              </w:rPr>
              <w:t>在行政处罚过程中发生腐败行为的；</w:t>
            </w:r>
            <w:r>
              <w:rPr>
                <w:rFonts w:ascii="仿宋_GB2312" w:eastAsia="仿宋_GB2312" w:cs="仿宋_GB2312"/>
                <w:color w:val="000000" w:themeColor="text1"/>
                <w:kern w:val="0"/>
                <w:sz w:val="13"/>
                <w:szCs w:val="13"/>
              </w:rPr>
              <w:t>11.</w:t>
            </w:r>
            <w:r>
              <w:rPr>
                <w:rFonts w:hint="eastAsia" w:ascii="仿宋_GB2312" w:eastAsia="仿宋_GB2312" w:cs="仿宋_GB2312"/>
                <w:color w:val="000000" w:themeColor="text1"/>
                <w:kern w:val="0"/>
                <w:sz w:val="13"/>
                <w:szCs w:val="13"/>
              </w:rPr>
              <w:t>其他违反法律法规规章文件规定的行为。</w:t>
            </w:r>
          </w:p>
        </w:tc>
      </w:tr>
      <w:tr w14:paraId="289B2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AD4B7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15BC50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F88CE9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27AE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2C233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9B808E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D960A6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822F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03F1B91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027DD96">
            <w:pPr>
              <w:widowControl/>
              <w:jc w:val="left"/>
              <w:textAlignment w:val="center"/>
              <w:rPr>
                <w:rFonts w:ascii="黑体" w:eastAsia="黑体" w:cs="黑体"/>
                <w:color w:val="000000" w:themeColor="text1"/>
                <w:kern w:val="0"/>
                <w:sz w:val="18"/>
                <w:szCs w:val="18"/>
              </w:rPr>
            </w:pPr>
          </w:p>
        </w:tc>
      </w:tr>
    </w:tbl>
    <w:p w14:paraId="44064B9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30E7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F9E62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7C7A1CE">
            <w:pPr>
              <w:jc w:val="center"/>
              <w:rPr>
                <w:rFonts w:ascii="黑体" w:eastAsia="黑体" w:cs="黑体"/>
                <w:b/>
                <w:bCs/>
                <w:color w:val="000000" w:themeColor="text1"/>
                <w:szCs w:val="21"/>
              </w:rPr>
            </w:pPr>
            <w:r>
              <w:rPr>
                <w:rFonts w:ascii="黑体" w:eastAsia="黑体" w:cs="黑体"/>
                <w:b/>
                <w:bCs/>
                <w:color w:val="000000" w:themeColor="text1"/>
                <w:szCs w:val="21"/>
              </w:rPr>
              <w:t>107</w:t>
            </w:r>
          </w:p>
        </w:tc>
        <w:tc>
          <w:tcPr>
            <w:tcW w:w="1691" w:type="dxa"/>
            <w:vAlign w:val="center"/>
          </w:tcPr>
          <w:p w14:paraId="289776E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B06186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B7BB6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512FB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8711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B7707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B5C98C6">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对交通运输领域建设工程项目施工单位违反强制性标准的，在施工中偷工减料的，使用不合格的建筑材料、建筑构配件和设备的，或者有不按照工程设计图纸或者施工技术标准施工的行为的行政处罚</w:t>
            </w:r>
          </w:p>
        </w:tc>
      </w:tr>
      <w:tr w14:paraId="18BB9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BE3D0B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7C23DD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E41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4AA94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BDEF535">
            <w:pPr>
              <w:spacing w:line="240" w:lineRule="exact"/>
              <w:rPr>
                <w:rFonts w:ascii="仿宋" w:hAnsi="仿宋" w:eastAsia="仿宋" w:cs="宋体"/>
                <w:color w:val="000000" w:themeColor="text1"/>
                <w:kern w:val="0"/>
                <w:sz w:val="15"/>
                <w:szCs w:val="15"/>
              </w:rPr>
            </w:pPr>
            <w:r>
              <w:rPr>
                <w:rFonts w:hint="eastAsia" w:ascii="仿宋_GB2312" w:eastAsia="仿宋_GB2312" w:cs="仿宋_GB2312"/>
                <w:color w:val="000000" w:themeColor="text1"/>
                <w:kern w:val="0"/>
                <w:sz w:val="15"/>
                <w:szCs w:val="15"/>
              </w:rPr>
              <w:t>【法律法规】</w:t>
            </w:r>
            <w:r>
              <w:rPr>
                <w:rFonts w:ascii="仿宋" w:hAnsi="仿宋" w:eastAsia="仿宋" w:cs="宋体"/>
                <w:color w:val="000000" w:themeColor="text1"/>
                <w:kern w:val="0"/>
                <w:sz w:val="15"/>
                <w:szCs w:val="15"/>
              </w:rPr>
              <w:t>1.</w:t>
            </w:r>
            <w:r>
              <w:rPr>
                <w:rFonts w:hint="eastAsia" w:ascii="仿宋" w:hAnsi="仿宋" w:eastAsia="仿宋" w:cs="宋体"/>
                <w:color w:val="000000" w:themeColor="text1"/>
                <w:kern w:val="0"/>
                <w:sz w:val="15"/>
                <w:szCs w:val="15"/>
              </w:rPr>
              <w:t>《建设工程质量管理条例》第六十四条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ascii="仿宋" w:hAnsi="仿宋" w:eastAsia="仿宋" w:cs="宋体"/>
                <w:color w:val="000000" w:themeColor="text1"/>
                <w:kern w:val="0"/>
                <w:sz w:val="15"/>
                <w:szCs w:val="15"/>
              </w:rPr>
              <w:br w:type="textWrapping"/>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《公路水运工程质量监督管理规定》第四十条　违反本规定第十四条规定，施工单位不按照工程设计图纸或者施工技术标准施工的，依照《建设工程质量管理条例》第六十四条规定，责令改正，按以下标准处以罚款；情节严重的，责令停工整顿：（一）未造成工程质量事故的，处所涉及单位工程合同价款</w:t>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的罚款；（二）造成工程质量一般事故的，处所涉及单位工程合同价款</w:t>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以上</w:t>
            </w:r>
            <w:r>
              <w:rPr>
                <w:rFonts w:ascii="仿宋" w:hAnsi="仿宋" w:eastAsia="仿宋" w:cs="宋体"/>
                <w:color w:val="000000" w:themeColor="text1"/>
                <w:kern w:val="0"/>
                <w:sz w:val="15"/>
                <w:szCs w:val="15"/>
              </w:rPr>
              <w:t>3%</w:t>
            </w:r>
            <w:r>
              <w:rPr>
                <w:rFonts w:hint="eastAsia" w:ascii="仿宋" w:hAnsi="仿宋" w:eastAsia="仿宋" w:cs="宋体"/>
                <w:color w:val="000000" w:themeColor="text1"/>
                <w:kern w:val="0"/>
                <w:sz w:val="15"/>
                <w:szCs w:val="15"/>
              </w:rPr>
              <w:t>以下的罚款；（三）造成工程质量较大及以上等级事故的，处所涉及单位工程合同价款</w:t>
            </w:r>
            <w:r>
              <w:rPr>
                <w:rFonts w:ascii="仿宋" w:hAnsi="仿宋" w:eastAsia="仿宋" w:cs="宋体"/>
                <w:color w:val="000000" w:themeColor="text1"/>
                <w:kern w:val="0"/>
                <w:sz w:val="15"/>
                <w:szCs w:val="15"/>
              </w:rPr>
              <w:t>3%</w:t>
            </w:r>
            <w:r>
              <w:rPr>
                <w:rFonts w:hint="eastAsia" w:ascii="仿宋" w:hAnsi="仿宋" w:eastAsia="仿宋" w:cs="宋体"/>
                <w:color w:val="000000" w:themeColor="text1"/>
                <w:kern w:val="0"/>
                <w:sz w:val="15"/>
                <w:szCs w:val="15"/>
              </w:rPr>
              <w:t>以上</w:t>
            </w:r>
            <w:r>
              <w:rPr>
                <w:rFonts w:ascii="仿宋" w:hAnsi="仿宋" w:eastAsia="仿宋" w:cs="宋体"/>
                <w:color w:val="000000" w:themeColor="text1"/>
                <w:kern w:val="0"/>
                <w:sz w:val="15"/>
                <w:szCs w:val="15"/>
              </w:rPr>
              <w:t>4%</w:t>
            </w:r>
            <w:r>
              <w:rPr>
                <w:rFonts w:hint="eastAsia" w:ascii="仿宋" w:hAnsi="仿宋" w:eastAsia="仿宋" w:cs="宋体"/>
                <w:color w:val="000000" w:themeColor="text1"/>
                <w:kern w:val="0"/>
                <w:sz w:val="15"/>
                <w:szCs w:val="15"/>
              </w:rPr>
              <w:t>以下的罚款。</w:t>
            </w:r>
            <w:r>
              <w:rPr>
                <w:rFonts w:ascii="仿宋" w:hAnsi="仿宋" w:eastAsia="仿宋" w:cs="宋体"/>
                <w:color w:val="000000" w:themeColor="text1"/>
                <w:kern w:val="0"/>
                <w:sz w:val="15"/>
                <w:szCs w:val="15"/>
              </w:rPr>
              <w:br w:type="textWrapping"/>
            </w:r>
            <w:r>
              <w:rPr>
                <w:rFonts w:ascii="仿宋" w:hAnsi="仿宋" w:eastAsia="仿宋" w:cs="宋体"/>
                <w:color w:val="000000" w:themeColor="text1"/>
                <w:kern w:val="0"/>
                <w:sz w:val="15"/>
                <w:szCs w:val="15"/>
              </w:rPr>
              <w:t>3.</w:t>
            </w:r>
            <w:r>
              <w:rPr>
                <w:rFonts w:hint="eastAsia" w:ascii="仿宋" w:hAnsi="仿宋" w:eastAsia="仿宋" w:cs="宋体"/>
                <w:color w:val="000000" w:themeColor="text1"/>
                <w:kern w:val="0"/>
                <w:sz w:val="15"/>
                <w:szCs w:val="15"/>
              </w:rPr>
              <w:t>《实施工程建设强制性标准监督规定》第十八条施工单位违反工程建设强制性标准的，责令改正，处工程合同价款</w:t>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以上</w:t>
            </w:r>
            <w:r>
              <w:rPr>
                <w:rFonts w:ascii="仿宋" w:hAnsi="仿宋" w:eastAsia="仿宋" w:cs="宋体"/>
                <w:color w:val="000000" w:themeColor="text1"/>
                <w:kern w:val="0"/>
                <w:sz w:val="15"/>
                <w:szCs w:val="15"/>
              </w:rPr>
              <w:t>4%</w:t>
            </w:r>
            <w:r>
              <w:rPr>
                <w:rFonts w:hint="eastAsia" w:ascii="仿宋" w:hAnsi="仿宋" w:eastAsia="仿宋" w:cs="宋体"/>
                <w:color w:val="000000" w:themeColor="text1"/>
                <w:kern w:val="0"/>
                <w:sz w:val="15"/>
                <w:szCs w:val="15"/>
              </w:rPr>
              <w:t>以下的罚款；造成建设工程质量不符合规定的质量标准的，负责返工、修理，并赔偿因此造成的损失；情节严重的，责令停业整顿，降低资质等级或者吊销资质证书。</w:t>
            </w:r>
          </w:p>
          <w:p w14:paraId="40161FF5">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1B73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C6F5D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00160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A8A6F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05BD4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DCFBB2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F8F6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C9BDEBB">
            <w:pPr>
              <w:rPr>
                <w:color w:val="000000" w:themeColor="text1"/>
              </w:rPr>
            </w:pPr>
          </w:p>
        </w:tc>
        <w:tc>
          <w:tcPr>
            <w:tcW w:w="1110" w:type="dxa"/>
            <w:vAlign w:val="center"/>
          </w:tcPr>
          <w:p w14:paraId="3BF553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9469D4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931986B">
            <w:pPr>
              <w:jc w:val="center"/>
              <w:rPr>
                <w:rFonts w:ascii="仿宋_GB2312" w:hAnsi="黑体" w:eastAsia="仿宋_GB2312" w:cs="黑体"/>
                <w:color w:val="000000" w:themeColor="text1"/>
                <w:sz w:val="18"/>
                <w:szCs w:val="18"/>
              </w:rPr>
            </w:pPr>
          </w:p>
        </w:tc>
        <w:tc>
          <w:tcPr>
            <w:tcW w:w="1406" w:type="dxa"/>
            <w:vAlign w:val="center"/>
          </w:tcPr>
          <w:p w14:paraId="10AC86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488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A9EED73">
            <w:pPr>
              <w:rPr>
                <w:color w:val="000000" w:themeColor="text1"/>
              </w:rPr>
            </w:pPr>
          </w:p>
        </w:tc>
        <w:tc>
          <w:tcPr>
            <w:tcW w:w="1110" w:type="dxa"/>
            <w:vAlign w:val="center"/>
          </w:tcPr>
          <w:p w14:paraId="377119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ABFDA2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4806E48">
            <w:pPr>
              <w:jc w:val="center"/>
              <w:rPr>
                <w:rFonts w:ascii="仿宋_GB2312" w:hAnsi="黑体" w:eastAsia="仿宋_GB2312" w:cs="黑体"/>
                <w:color w:val="000000" w:themeColor="text1"/>
                <w:sz w:val="18"/>
                <w:szCs w:val="18"/>
              </w:rPr>
            </w:pPr>
          </w:p>
        </w:tc>
        <w:tc>
          <w:tcPr>
            <w:tcW w:w="1406" w:type="dxa"/>
            <w:vAlign w:val="center"/>
          </w:tcPr>
          <w:p w14:paraId="555025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891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4E8D06A">
            <w:pPr>
              <w:rPr>
                <w:color w:val="000000" w:themeColor="text1"/>
              </w:rPr>
            </w:pPr>
          </w:p>
        </w:tc>
        <w:tc>
          <w:tcPr>
            <w:tcW w:w="1110" w:type="dxa"/>
            <w:vAlign w:val="center"/>
          </w:tcPr>
          <w:p w14:paraId="7383EE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E721A6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760C80B">
            <w:pPr>
              <w:jc w:val="center"/>
              <w:rPr>
                <w:rFonts w:ascii="仿宋_GB2312" w:hAnsi="黑体" w:eastAsia="仿宋_GB2312" w:cs="黑体"/>
                <w:color w:val="000000" w:themeColor="text1"/>
                <w:sz w:val="18"/>
                <w:szCs w:val="18"/>
              </w:rPr>
            </w:pPr>
          </w:p>
        </w:tc>
        <w:tc>
          <w:tcPr>
            <w:tcW w:w="1406" w:type="dxa"/>
            <w:vAlign w:val="center"/>
          </w:tcPr>
          <w:p w14:paraId="78F5C15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9C0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22D20BC">
            <w:pPr>
              <w:rPr>
                <w:color w:val="000000" w:themeColor="text1"/>
              </w:rPr>
            </w:pPr>
          </w:p>
        </w:tc>
        <w:tc>
          <w:tcPr>
            <w:tcW w:w="1110" w:type="dxa"/>
            <w:vAlign w:val="center"/>
          </w:tcPr>
          <w:p w14:paraId="1E2A46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FC80F9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4D130A9">
            <w:pPr>
              <w:jc w:val="center"/>
              <w:rPr>
                <w:rFonts w:ascii="仿宋_GB2312" w:hAnsi="黑体" w:eastAsia="仿宋_GB2312" w:cs="黑体"/>
                <w:color w:val="000000" w:themeColor="text1"/>
                <w:sz w:val="18"/>
                <w:szCs w:val="18"/>
              </w:rPr>
            </w:pPr>
          </w:p>
        </w:tc>
        <w:tc>
          <w:tcPr>
            <w:tcW w:w="1406" w:type="dxa"/>
            <w:vAlign w:val="center"/>
          </w:tcPr>
          <w:p w14:paraId="6DE2B1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1933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32300669">
            <w:pPr>
              <w:rPr>
                <w:color w:val="000000" w:themeColor="text1"/>
              </w:rPr>
            </w:pPr>
          </w:p>
        </w:tc>
        <w:tc>
          <w:tcPr>
            <w:tcW w:w="1110" w:type="dxa"/>
            <w:vAlign w:val="center"/>
          </w:tcPr>
          <w:p w14:paraId="578749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6D5BD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8295226">
            <w:pPr>
              <w:jc w:val="center"/>
              <w:rPr>
                <w:rFonts w:ascii="仿宋_GB2312" w:hAnsi="黑体" w:eastAsia="仿宋_GB2312" w:cs="黑体"/>
                <w:color w:val="000000" w:themeColor="text1"/>
                <w:sz w:val="18"/>
                <w:szCs w:val="18"/>
              </w:rPr>
            </w:pPr>
          </w:p>
        </w:tc>
        <w:tc>
          <w:tcPr>
            <w:tcW w:w="1406" w:type="dxa"/>
            <w:vAlign w:val="center"/>
          </w:tcPr>
          <w:p w14:paraId="396C6AD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DA1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68" w:hRule="atLeast"/>
          <w:jc w:val="center"/>
        </w:trPr>
        <w:tc>
          <w:tcPr>
            <w:tcW w:w="943" w:type="dxa"/>
            <w:vAlign w:val="center"/>
          </w:tcPr>
          <w:p w14:paraId="32E9301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037FA47">
            <w:pPr>
              <w:spacing w:line="240" w:lineRule="exact"/>
              <w:rPr>
                <w:rFonts w:ascii="黑体" w:eastAsia="黑体" w:cs="黑体"/>
                <w:color w:val="000000" w:themeColor="text1"/>
                <w:sz w:val="13"/>
                <w:szCs w:val="13"/>
              </w:rPr>
            </w:pPr>
            <w:r>
              <w:rPr>
                <w:rFonts w:hint="eastAsia" w:ascii="仿宋_GB2312" w:eastAsia="仿宋_GB2312" w:cs="仿宋_GB2312"/>
                <w:color w:val="000000" w:themeColor="text1"/>
                <w:kern w:val="0"/>
                <w:sz w:val="13"/>
                <w:szCs w:val="13"/>
              </w:rPr>
              <w:t>因不履行或不正确履行行政职责，有下列情形的，行政机关及相关工作人员应承担相应责任：</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没有法律和事实依据实施行政处罚的；</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行政处罚显失公正的；</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执法人员玩忽职守，对应当予以制止和处罚的违法行为不予制止、处罚，致使职工合法权益遭受损害的；</w:t>
            </w:r>
            <w:r>
              <w:rPr>
                <w:rFonts w:ascii="仿宋_GB2312" w:eastAsia="仿宋_GB2312" w:cs="仿宋_GB2312"/>
                <w:color w:val="000000" w:themeColor="text1"/>
                <w:kern w:val="0"/>
                <w:sz w:val="13"/>
                <w:szCs w:val="13"/>
              </w:rPr>
              <w:t>4.</w:t>
            </w:r>
            <w:r>
              <w:rPr>
                <w:rFonts w:hint="eastAsia" w:ascii="仿宋_GB2312" w:eastAsia="仿宋_GB2312" w:cs="仿宋_GB2312"/>
                <w:color w:val="000000" w:themeColor="text1"/>
                <w:kern w:val="0"/>
                <w:sz w:val="13"/>
                <w:szCs w:val="13"/>
              </w:rPr>
              <w:t>不具备行政执法资格实施行政处罚的；</w:t>
            </w:r>
            <w:r>
              <w:rPr>
                <w:rFonts w:ascii="仿宋_GB2312" w:eastAsia="仿宋_GB2312" w:cs="仿宋_GB2312"/>
                <w:color w:val="000000" w:themeColor="text1"/>
                <w:kern w:val="0"/>
                <w:sz w:val="13"/>
                <w:szCs w:val="13"/>
              </w:rPr>
              <w:t>5.</w:t>
            </w:r>
            <w:r>
              <w:rPr>
                <w:rFonts w:hint="eastAsia" w:ascii="仿宋_GB2312" w:eastAsia="仿宋_GB2312" w:cs="仿宋_GB2312"/>
                <w:color w:val="000000" w:themeColor="text1"/>
                <w:kern w:val="0"/>
                <w:sz w:val="13"/>
                <w:szCs w:val="13"/>
              </w:rPr>
              <w:t>在制止以及查处违法案件中受阻，依照有关规定应当向本级人民政府或者上级主管部门报告而未报告的；</w:t>
            </w:r>
            <w:r>
              <w:rPr>
                <w:rFonts w:ascii="仿宋_GB2312" w:eastAsia="仿宋_GB2312" w:cs="仿宋_GB2312"/>
                <w:color w:val="000000" w:themeColor="text1"/>
                <w:kern w:val="0"/>
                <w:sz w:val="13"/>
                <w:szCs w:val="13"/>
              </w:rPr>
              <w:t>6.</w:t>
            </w:r>
            <w:r>
              <w:rPr>
                <w:rFonts w:hint="eastAsia" w:ascii="仿宋_GB2312" w:eastAsia="仿宋_GB2312" w:cs="仿宋_GB2312"/>
                <w:color w:val="000000" w:themeColor="text1"/>
                <w:kern w:val="0"/>
                <w:sz w:val="13"/>
                <w:szCs w:val="13"/>
              </w:rPr>
              <w:t>应当依法移送追究刑事责任，而未依法移送有权机关的；</w:t>
            </w:r>
            <w:r>
              <w:rPr>
                <w:rFonts w:ascii="仿宋_GB2312" w:eastAsia="仿宋_GB2312" w:cs="仿宋_GB2312"/>
                <w:color w:val="000000" w:themeColor="text1"/>
                <w:kern w:val="0"/>
                <w:sz w:val="13"/>
                <w:szCs w:val="13"/>
              </w:rPr>
              <w:t>7.</w:t>
            </w:r>
            <w:r>
              <w:rPr>
                <w:rFonts w:hint="eastAsia" w:ascii="仿宋_GB2312" w:eastAsia="仿宋_GB2312" w:cs="仿宋_GB2312"/>
                <w:color w:val="000000" w:themeColor="text1"/>
                <w:kern w:val="0"/>
                <w:sz w:val="13"/>
                <w:szCs w:val="13"/>
              </w:rPr>
              <w:t>擅自改变行政处罚种类、幅度的；</w:t>
            </w:r>
            <w:r>
              <w:rPr>
                <w:rFonts w:ascii="仿宋_GB2312" w:eastAsia="仿宋_GB2312" w:cs="仿宋_GB2312"/>
                <w:color w:val="000000" w:themeColor="text1"/>
                <w:kern w:val="0"/>
                <w:sz w:val="13"/>
                <w:szCs w:val="13"/>
              </w:rPr>
              <w:t>8.</w:t>
            </w:r>
            <w:r>
              <w:rPr>
                <w:rFonts w:hint="eastAsia" w:ascii="仿宋_GB2312" w:eastAsia="仿宋_GB2312" w:cs="仿宋_GB2312"/>
                <w:color w:val="000000" w:themeColor="text1"/>
                <w:kern w:val="0"/>
                <w:sz w:val="13"/>
                <w:szCs w:val="13"/>
              </w:rPr>
              <w:t>违反法定的行政处罚程序的；</w:t>
            </w:r>
            <w:r>
              <w:rPr>
                <w:rFonts w:ascii="仿宋_GB2312" w:eastAsia="仿宋_GB2312" w:cs="仿宋_GB2312"/>
                <w:color w:val="000000" w:themeColor="text1"/>
                <w:kern w:val="0"/>
                <w:sz w:val="13"/>
                <w:szCs w:val="13"/>
              </w:rPr>
              <w:t>9.</w:t>
            </w:r>
            <w:r>
              <w:rPr>
                <w:rFonts w:hint="eastAsia" w:ascii="仿宋_GB2312" w:eastAsia="仿宋_GB2312" w:cs="仿宋_GB2312"/>
                <w:color w:val="000000" w:themeColor="text1"/>
                <w:kern w:val="0"/>
                <w:sz w:val="13"/>
                <w:szCs w:val="13"/>
              </w:rPr>
              <w:t>符合听证条件、行政管理相对人要求听证，应予组织听证而不组织听证的；</w:t>
            </w:r>
            <w:r>
              <w:rPr>
                <w:rFonts w:ascii="仿宋_GB2312" w:eastAsia="仿宋_GB2312" w:cs="仿宋_GB2312"/>
                <w:color w:val="000000" w:themeColor="text1"/>
                <w:kern w:val="0"/>
                <w:sz w:val="13"/>
                <w:szCs w:val="13"/>
              </w:rPr>
              <w:t>10.</w:t>
            </w:r>
            <w:r>
              <w:rPr>
                <w:rFonts w:hint="eastAsia" w:ascii="仿宋_GB2312" w:eastAsia="仿宋_GB2312" w:cs="仿宋_GB2312"/>
                <w:color w:val="000000" w:themeColor="text1"/>
                <w:kern w:val="0"/>
                <w:sz w:val="13"/>
                <w:szCs w:val="13"/>
              </w:rPr>
              <w:t>在行政处罚过程中发生腐败行为的；</w:t>
            </w:r>
            <w:r>
              <w:rPr>
                <w:rFonts w:ascii="仿宋_GB2312" w:eastAsia="仿宋_GB2312" w:cs="仿宋_GB2312"/>
                <w:color w:val="000000" w:themeColor="text1"/>
                <w:kern w:val="0"/>
                <w:sz w:val="13"/>
                <w:szCs w:val="13"/>
              </w:rPr>
              <w:t>11.</w:t>
            </w:r>
            <w:r>
              <w:rPr>
                <w:rFonts w:hint="eastAsia" w:ascii="仿宋_GB2312" w:eastAsia="仿宋_GB2312" w:cs="仿宋_GB2312"/>
                <w:color w:val="000000" w:themeColor="text1"/>
                <w:kern w:val="0"/>
                <w:sz w:val="13"/>
                <w:szCs w:val="13"/>
              </w:rPr>
              <w:t>其他违反法律法规规章文件规定的行为。</w:t>
            </w:r>
          </w:p>
        </w:tc>
      </w:tr>
      <w:tr w14:paraId="6B067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EF66DC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0FCF80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AD2038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045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0C118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44A4DB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5B9616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7F35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685A41F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E15549B">
            <w:pPr>
              <w:widowControl/>
              <w:jc w:val="left"/>
              <w:textAlignment w:val="center"/>
              <w:rPr>
                <w:rFonts w:ascii="黑体" w:eastAsia="黑体" w:cs="黑体"/>
                <w:color w:val="000000" w:themeColor="text1"/>
                <w:kern w:val="0"/>
                <w:sz w:val="18"/>
                <w:szCs w:val="18"/>
              </w:rPr>
            </w:pPr>
          </w:p>
        </w:tc>
      </w:tr>
    </w:tbl>
    <w:p w14:paraId="71401EB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6AC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B1114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A648C81">
            <w:pPr>
              <w:jc w:val="center"/>
              <w:rPr>
                <w:rFonts w:ascii="黑体" w:eastAsia="黑体" w:cs="黑体"/>
                <w:b/>
                <w:bCs/>
                <w:color w:val="000000" w:themeColor="text1"/>
                <w:szCs w:val="21"/>
              </w:rPr>
            </w:pPr>
            <w:r>
              <w:rPr>
                <w:rFonts w:ascii="黑体" w:eastAsia="黑体" w:cs="黑体"/>
                <w:b/>
                <w:bCs/>
                <w:color w:val="000000" w:themeColor="text1"/>
                <w:szCs w:val="21"/>
              </w:rPr>
              <w:t>108</w:t>
            </w:r>
          </w:p>
        </w:tc>
        <w:tc>
          <w:tcPr>
            <w:tcW w:w="1691" w:type="dxa"/>
            <w:vAlign w:val="center"/>
          </w:tcPr>
          <w:p w14:paraId="0B836FA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5E093F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6CE0D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9B10A13">
            <w:pPr>
              <w:widowControl/>
              <w:jc w:val="center"/>
              <w:textAlignment w:val="center"/>
              <w:rPr>
                <w:rFonts w:ascii="仿宋_GB2312" w:eastAsia="仿宋_GB2312" w:cs="仿宋_GB2312"/>
                <w:b/>
                <w:color w:val="000000" w:themeColor="text1"/>
                <w:kern w:val="0"/>
                <w:sz w:val="18"/>
                <w:szCs w:val="18"/>
              </w:rPr>
            </w:pPr>
            <w:r>
              <w:rPr>
                <w:rFonts w:hint="eastAsia" w:ascii="仿宋_GB2312" w:eastAsia="仿宋_GB2312" w:cs="仿宋_GB2312"/>
                <w:b/>
                <w:color w:val="000000" w:themeColor="text1"/>
                <w:kern w:val="0"/>
                <w:sz w:val="18"/>
                <w:szCs w:val="18"/>
              </w:rPr>
              <w:t>抚宁区交通运输局</w:t>
            </w:r>
          </w:p>
        </w:tc>
      </w:tr>
      <w:tr w14:paraId="73041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24909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3571261">
            <w:pPr>
              <w:widowControl/>
              <w:jc w:val="center"/>
              <w:textAlignment w:val="center"/>
              <w:rPr>
                <w:rFonts w:ascii="仿宋_GB2312" w:eastAsia="仿宋_GB2312" w:cs="仿宋_GB2312"/>
                <w:b/>
                <w:color w:val="000000" w:themeColor="text1"/>
                <w:kern w:val="0"/>
                <w:sz w:val="18"/>
                <w:szCs w:val="18"/>
              </w:rPr>
            </w:pPr>
            <w:r>
              <w:rPr>
                <w:rFonts w:hint="eastAsia" w:ascii="仿宋" w:hAnsi="仿宋" w:eastAsia="仿宋" w:cs="宋体"/>
                <w:b/>
                <w:color w:val="000000" w:themeColor="text1"/>
                <w:kern w:val="0"/>
                <w:sz w:val="18"/>
                <w:szCs w:val="18"/>
              </w:rPr>
              <w:t>对交通运输领域建设工程项目施工单位未按规定对材料、构配件等进行检验检测行为的行政处罚</w:t>
            </w:r>
          </w:p>
        </w:tc>
      </w:tr>
      <w:tr w14:paraId="21E88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4AB23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AB4243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E392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AF6ED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528439E">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5"/>
                <w:szCs w:val="15"/>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《建设工程质量管理条例》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第六十五条违反本条例规定，施工单位未对建筑材料、建筑构配件、设备和商品混凝土进行检验，或者未对涉及结构安全的试块、试件以及有关材料取样检测的，责令改正，处</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万元以下的罚款；情节严重的，责令停业整顿，降低资质等级或者吊销资质证书；造成损失的，依法承担赔偿责任。</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《公路水运工程质量监督管理规定》</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四十一条违反本规定第十四条规定，施工单位未按规定对原材料、混合料、构配件等进行检验的，依照《建设工程质量管理条例》第六十五条规定，责令改正，按以下标准处以罚款；情节严重的，责令停工整顿：（一）未造成工程质量事故的，处</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万元以下的罚款；（二）造成工程质量事故的，处</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万元以下的罚款。</w:t>
            </w:r>
          </w:p>
          <w:p w14:paraId="49000C42">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05CC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CF2AC4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DFAD8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9FA29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0B0656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9C583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BE7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A9842EE">
            <w:pPr>
              <w:rPr>
                <w:color w:val="000000" w:themeColor="text1"/>
              </w:rPr>
            </w:pPr>
          </w:p>
        </w:tc>
        <w:tc>
          <w:tcPr>
            <w:tcW w:w="1110" w:type="dxa"/>
            <w:vAlign w:val="center"/>
          </w:tcPr>
          <w:p w14:paraId="330E9F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73004C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B4BDB31">
            <w:pPr>
              <w:jc w:val="center"/>
              <w:rPr>
                <w:rFonts w:ascii="仿宋_GB2312" w:hAnsi="黑体" w:eastAsia="仿宋_GB2312" w:cs="黑体"/>
                <w:color w:val="000000" w:themeColor="text1"/>
                <w:sz w:val="18"/>
                <w:szCs w:val="18"/>
              </w:rPr>
            </w:pPr>
          </w:p>
        </w:tc>
        <w:tc>
          <w:tcPr>
            <w:tcW w:w="1406" w:type="dxa"/>
            <w:vAlign w:val="center"/>
          </w:tcPr>
          <w:p w14:paraId="7D97D9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F264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B0D80E9">
            <w:pPr>
              <w:rPr>
                <w:color w:val="000000" w:themeColor="text1"/>
              </w:rPr>
            </w:pPr>
          </w:p>
        </w:tc>
        <w:tc>
          <w:tcPr>
            <w:tcW w:w="1110" w:type="dxa"/>
            <w:vAlign w:val="center"/>
          </w:tcPr>
          <w:p w14:paraId="2D482D4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073394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0C7B315">
            <w:pPr>
              <w:jc w:val="center"/>
              <w:rPr>
                <w:rFonts w:ascii="仿宋_GB2312" w:hAnsi="黑体" w:eastAsia="仿宋_GB2312" w:cs="黑体"/>
                <w:color w:val="000000" w:themeColor="text1"/>
                <w:sz w:val="18"/>
                <w:szCs w:val="18"/>
              </w:rPr>
            </w:pPr>
          </w:p>
        </w:tc>
        <w:tc>
          <w:tcPr>
            <w:tcW w:w="1406" w:type="dxa"/>
            <w:vAlign w:val="center"/>
          </w:tcPr>
          <w:p w14:paraId="5A1361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959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FDDF82E">
            <w:pPr>
              <w:rPr>
                <w:color w:val="000000" w:themeColor="text1"/>
              </w:rPr>
            </w:pPr>
          </w:p>
        </w:tc>
        <w:tc>
          <w:tcPr>
            <w:tcW w:w="1110" w:type="dxa"/>
            <w:vAlign w:val="center"/>
          </w:tcPr>
          <w:p w14:paraId="737A3C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9EC283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BA2F135">
            <w:pPr>
              <w:jc w:val="center"/>
              <w:rPr>
                <w:rFonts w:ascii="仿宋_GB2312" w:hAnsi="黑体" w:eastAsia="仿宋_GB2312" w:cs="黑体"/>
                <w:color w:val="000000" w:themeColor="text1"/>
                <w:sz w:val="18"/>
                <w:szCs w:val="18"/>
              </w:rPr>
            </w:pPr>
          </w:p>
        </w:tc>
        <w:tc>
          <w:tcPr>
            <w:tcW w:w="1406" w:type="dxa"/>
            <w:vAlign w:val="center"/>
          </w:tcPr>
          <w:p w14:paraId="77B997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72A6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EE60370">
            <w:pPr>
              <w:rPr>
                <w:color w:val="000000" w:themeColor="text1"/>
              </w:rPr>
            </w:pPr>
          </w:p>
        </w:tc>
        <w:tc>
          <w:tcPr>
            <w:tcW w:w="1110" w:type="dxa"/>
            <w:vAlign w:val="center"/>
          </w:tcPr>
          <w:p w14:paraId="09EC72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AF2803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4E63C3E">
            <w:pPr>
              <w:jc w:val="center"/>
              <w:rPr>
                <w:rFonts w:ascii="仿宋_GB2312" w:hAnsi="黑体" w:eastAsia="仿宋_GB2312" w:cs="黑体"/>
                <w:color w:val="000000" w:themeColor="text1"/>
                <w:sz w:val="18"/>
                <w:szCs w:val="18"/>
              </w:rPr>
            </w:pPr>
          </w:p>
        </w:tc>
        <w:tc>
          <w:tcPr>
            <w:tcW w:w="1406" w:type="dxa"/>
            <w:vAlign w:val="center"/>
          </w:tcPr>
          <w:p w14:paraId="6A001A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D72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5E294920">
            <w:pPr>
              <w:rPr>
                <w:color w:val="000000" w:themeColor="text1"/>
              </w:rPr>
            </w:pPr>
          </w:p>
        </w:tc>
        <w:tc>
          <w:tcPr>
            <w:tcW w:w="1110" w:type="dxa"/>
            <w:vAlign w:val="center"/>
          </w:tcPr>
          <w:p w14:paraId="16A0BE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E706F0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0D17F5B">
            <w:pPr>
              <w:jc w:val="center"/>
              <w:rPr>
                <w:rFonts w:ascii="仿宋_GB2312" w:hAnsi="黑体" w:eastAsia="仿宋_GB2312" w:cs="黑体"/>
                <w:color w:val="000000" w:themeColor="text1"/>
                <w:sz w:val="18"/>
                <w:szCs w:val="18"/>
              </w:rPr>
            </w:pPr>
          </w:p>
        </w:tc>
        <w:tc>
          <w:tcPr>
            <w:tcW w:w="1406" w:type="dxa"/>
            <w:vAlign w:val="center"/>
          </w:tcPr>
          <w:p w14:paraId="7D4112C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38F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5880F7E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B27E8C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F50A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226DC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EF7DF2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079903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5256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D5F0D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BFE2D6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24580E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E831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444B26B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05694C0">
            <w:pPr>
              <w:widowControl/>
              <w:jc w:val="left"/>
              <w:textAlignment w:val="center"/>
              <w:rPr>
                <w:rFonts w:ascii="黑体" w:eastAsia="黑体" w:cs="黑体"/>
                <w:color w:val="000000" w:themeColor="text1"/>
                <w:kern w:val="0"/>
                <w:sz w:val="18"/>
                <w:szCs w:val="18"/>
              </w:rPr>
            </w:pPr>
          </w:p>
        </w:tc>
      </w:tr>
    </w:tbl>
    <w:p w14:paraId="165EF37C">
      <w:pPr>
        <w:pStyle w:val="8"/>
        <w:snapToGrid w:val="0"/>
        <w:spacing w:before="0" w:beforeAutospacing="0" w:after="0" w:afterAutospacing="0" w:line="240" w:lineRule="atLeast"/>
        <w:jc w:val="both"/>
        <w:rPr>
          <w:color w:val="000000" w:themeColor="text1"/>
          <w:sz w:val="11"/>
          <w:szCs w:val="11"/>
        </w:rPr>
      </w:pPr>
    </w:p>
    <w:p w14:paraId="27D06007">
      <w:pPr>
        <w:pStyle w:val="8"/>
        <w:snapToGrid w:val="0"/>
        <w:spacing w:before="0" w:beforeAutospacing="0" w:after="0" w:afterAutospacing="0" w:line="240" w:lineRule="atLeast"/>
        <w:jc w:val="both"/>
        <w:rPr>
          <w:color w:val="000000" w:themeColor="text1"/>
          <w:sz w:val="11"/>
          <w:szCs w:val="11"/>
        </w:rPr>
      </w:pPr>
    </w:p>
    <w:p w14:paraId="26B3A32A">
      <w:pPr>
        <w:pStyle w:val="8"/>
        <w:snapToGrid w:val="0"/>
        <w:spacing w:before="0" w:beforeAutospacing="0" w:after="0" w:afterAutospacing="0" w:line="240" w:lineRule="atLeast"/>
        <w:jc w:val="both"/>
        <w:rPr>
          <w:color w:val="000000" w:themeColor="text1"/>
          <w:sz w:val="11"/>
          <w:szCs w:val="11"/>
        </w:rPr>
      </w:pPr>
    </w:p>
    <w:p w14:paraId="439101A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25AC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51717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10D1656">
            <w:pPr>
              <w:jc w:val="center"/>
              <w:rPr>
                <w:rFonts w:ascii="黑体" w:eastAsia="黑体" w:cs="黑体"/>
                <w:b/>
                <w:bCs/>
                <w:color w:val="000000" w:themeColor="text1"/>
                <w:szCs w:val="21"/>
              </w:rPr>
            </w:pPr>
            <w:r>
              <w:rPr>
                <w:rFonts w:ascii="黑体" w:eastAsia="黑体" w:cs="黑体"/>
                <w:b/>
                <w:bCs/>
                <w:color w:val="000000" w:themeColor="text1"/>
                <w:szCs w:val="21"/>
              </w:rPr>
              <w:t>109</w:t>
            </w:r>
          </w:p>
        </w:tc>
        <w:tc>
          <w:tcPr>
            <w:tcW w:w="1691" w:type="dxa"/>
            <w:vAlign w:val="center"/>
          </w:tcPr>
          <w:p w14:paraId="1885200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BDB0C8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72C41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DE9328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AAAE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93E9C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DF2A2B2">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对交通运输领域建设工程项目施工单位不按规定履行保修义务或者拖延履行保修义务的行政处罚</w:t>
            </w:r>
          </w:p>
        </w:tc>
      </w:tr>
      <w:tr w14:paraId="5EBE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C82B0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8B97FC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1CE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0BF50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8C1EB18">
            <w:pPr>
              <w:spacing w:line="240" w:lineRule="exact"/>
              <w:jc w:val="lef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5"/>
                <w:szCs w:val="15"/>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《建设工程质量管理条例》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第六十六条违反本条例规定，施工单位不履行保修义务或者拖延履行保修义务的，责令改正，处</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万元以下的罚款，并对在保修期内因质量缺陷造成的损失承担赔偿责任。</w:t>
            </w:r>
            <w:r>
              <w:rPr>
                <w:rFonts w:ascii="仿宋" w:hAnsi="仿宋" w:eastAsia="仿宋" w:cs="宋体"/>
                <w:color w:val="000000" w:themeColor="text1"/>
                <w:kern w:val="0"/>
                <w:sz w:val="18"/>
                <w:szCs w:val="18"/>
              </w:rPr>
              <w:t xml:space="preserve">                                                                            2.</w:t>
            </w:r>
            <w:r>
              <w:rPr>
                <w:rFonts w:hint="eastAsia" w:ascii="仿宋" w:hAnsi="仿宋" w:eastAsia="仿宋" w:cs="宋体"/>
                <w:color w:val="000000" w:themeColor="text1"/>
                <w:kern w:val="0"/>
                <w:sz w:val="18"/>
                <w:szCs w:val="18"/>
              </w:rPr>
              <w:t>《公路水运工程质量监督管理规定》　第四十二条　违反本规定第十五条规定，施工单位对施工中出现的质量问题或者验收不合格的工程，未进行返工处理或者拖延返工处理的，责令改正，处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3</w:t>
            </w:r>
            <w:r>
              <w:rPr>
                <w:rFonts w:hint="eastAsia" w:ascii="仿宋" w:hAnsi="仿宋" w:eastAsia="仿宋" w:cs="宋体"/>
                <w:color w:val="000000" w:themeColor="text1"/>
                <w:kern w:val="0"/>
                <w:sz w:val="18"/>
                <w:szCs w:val="18"/>
              </w:rPr>
              <w:t>万元以下的罚款。施工单位对保修范围和保修期限内发生质量问题的工程，不履行保修义务或者拖延履行保修义务的，依照《建设工程质量管理条例》第六十六条规定，责令改正，按以下标准处以罚款：</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（一）未造成工程质量事故的，处</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万元以下的罚款；</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（二）造成工程质量事故的，处</w:t>
            </w:r>
            <w:r>
              <w:rPr>
                <w:rFonts w:ascii="仿宋" w:hAnsi="仿宋" w:eastAsia="仿宋" w:cs="宋体"/>
                <w:color w:val="000000" w:themeColor="text1"/>
                <w:kern w:val="0"/>
                <w:sz w:val="18"/>
                <w:szCs w:val="18"/>
              </w:rPr>
              <w:t>15</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20</w:t>
            </w:r>
            <w:r>
              <w:rPr>
                <w:rFonts w:hint="eastAsia" w:ascii="仿宋" w:hAnsi="仿宋" w:eastAsia="仿宋" w:cs="宋体"/>
                <w:color w:val="000000" w:themeColor="text1"/>
                <w:kern w:val="0"/>
                <w:sz w:val="18"/>
                <w:szCs w:val="18"/>
              </w:rPr>
              <w:t>万元以下的罚款。</w:t>
            </w:r>
          </w:p>
          <w:p w14:paraId="49A204D3">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E215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B0C77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F8EF4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FFFDF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FD4EE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2A155D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05CB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A6EBE32">
            <w:pPr>
              <w:rPr>
                <w:color w:val="000000" w:themeColor="text1"/>
              </w:rPr>
            </w:pPr>
          </w:p>
        </w:tc>
        <w:tc>
          <w:tcPr>
            <w:tcW w:w="1110" w:type="dxa"/>
            <w:vAlign w:val="center"/>
          </w:tcPr>
          <w:p w14:paraId="75CDF4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FF94C0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DCB246A">
            <w:pPr>
              <w:jc w:val="center"/>
              <w:rPr>
                <w:rFonts w:ascii="仿宋_GB2312" w:hAnsi="黑体" w:eastAsia="仿宋_GB2312" w:cs="黑体"/>
                <w:color w:val="000000" w:themeColor="text1"/>
                <w:sz w:val="18"/>
                <w:szCs w:val="18"/>
              </w:rPr>
            </w:pPr>
          </w:p>
        </w:tc>
        <w:tc>
          <w:tcPr>
            <w:tcW w:w="1406" w:type="dxa"/>
            <w:vAlign w:val="center"/>
          </w:tcPr>
          <w:p w14:paraId="2E589F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E1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FF10B03">
            <w:pPr>
              <w:rPr>
                <w:color w:val="000000" w:themeColor="text1"/>
              </w:rPr>
            </w:pPr>
          </w:p>
        </w:tc>
        <w:tc>
          <w:tcPr>
            <w:tcW w:w="1110" w:type="dxa"/>
            <w:vAlign w:val="center"/>
          </w:tcPr>
          <w:p w14:paraId="4A0C57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254C26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312D78C">
            <w:pPr>
              <w:jc w:val="center"/>
              <w:rPr>
                <w:rFonts w:ascii="仿宋_GB2312" w:hAnsi="黑体" w:eastAsia="仿宋_GB2312" w:cs="黑体"/>
                <w:color w:val="000000" w:themeColor="text1"/>
                <w:sz w:val="18"/>
                <w:szCs w:val="18"/>
              </w:rPr>
            </w:pPr>
          </w:p>
        </w:tc>
        <w:tc>
          <w:tcPr>
            <w:tcW w:w="1406" w:type="dxa"/>
            <w:vAlign w:val="center"/>
          </w:tcPr>
          <w:p w14:paraId="1B1FF0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76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C1CCF92">
            <w:pPr>
              <w:rPr>
                <w:color w:val="000000" w:themeColor="text1"/>
              </w:rPr>
            </w:pPr>
          </w:p>
        </w:tc>
        <w:tc>
          <w:tcPr>
            <w:tcW w:w="1110" w:type="dxa"/>
            <w:vAlign w:val="center"/>
          </w:tcPr>
          <w:p w14:paraId="3D528C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3800D8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A456389">
            <w:pPr>
              <w:jc w:val="center"/>
              <w:rPr>
                <w:rFonts w:ascii="仿宋_GB2312" w:hAnsi="黑体" w:eastAsia="仿宋_GB2312" w:cs="黑体"/>
                <w:color w:val="000000" w:themeColor="text1"/>
                <w:sz w:val="18"/>
                <w:szCs w:val="18"/>
              </w:rPr>
            </w:pPr>
          </w:p>
        </w:tc>
        <w:tc>
          <w:tcPr>
            <w:tcW w:w="1406" w:type="dxa"/>
            <w:vAlign w:val="center"/>
          </w:tcPr>
          <w:p w14:paraId="31306B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2627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8E62A18">
            <w:pPr>
              <w:rPr>
                <w:color w:val="000000" w:themeColor="text1"/>
              </w:rPr>
            </w:pPr>
          </w:p>
        </w:tc>
        <w:tc>
          <w:tcPr>
            <w:tcW w:w="1110" w:type="dxa"/>
            <w:vAlign w:val="center"/>
          </w:tcPr>
          <w:p w14:paraId="342817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AE35BB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15EF1B7">
            <w:pPr>
              <w:jc w:val="center"/>
              <w:rPr>
                <w:rFonts w:ascii="仿宋_GB2312" w:hAnsi="黑体" w:eastAsia="仿宋_GB2312" w:cs="黑体"/>
                <w:color w:val="000000" w:themeColor="text1"/>
                <w:sz w:val="18"/>
                <w:szCs w:val="18"/>
              </w:rPr>
            </w:pPr>
          </w:p>
        </w:tc>
        <w:tc>
          <w:tcPr>
            <w:tcW w:w="1406" w:type="dxa"/>
            <w:vAlign w:val="center"/>
          </w:tcPr>
          <w:p w14:paraId="22C633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3FE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3D337153">
            <w:pPr>
              <w:rPr>
                <w:color w:val="000000" w:themeColor="text1"/>
              </w:rPr>
            </w:pPr>
          </w:p>
        </w:tc>
        <w:tc>
          <w:tcPr>
            <w:tcW w:w="1110" w:type="dxa"/>
            <w:vAlign w:val="center"/>
          </w:tcPr>
          <w:p w14:paraId="48DA04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066B21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64389E5">
            <w:pPr>
              <w:jc w:val="center"/>
              <w:rPr>
                <w:rFonts w:ascii="仿宋_GB2312" w:hAnsi="黑体" w:eastAsia="仿宋_GB2312" w:cs="黑体"/>
                <w:color w:val="000000" w:themeColor="text1"/>
                <w:sz w:val="18"/>
                <w:szCs w:val="18"/>
              </w:rPr>
            </w:pPr>
          </w:p>
        </w:tc>
        <w:tc>
          <w:tcPr>
            <w:tcW w:w="1406" w:type="dxa"/>
            <w:vAlign w:val="center"/>
          </w:tcPr>
          <w:p w14:paraId="58A5E3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AA51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6DC3475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959FEF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3824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58DAA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34DBFD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CB021F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179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70D94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D80A99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934007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692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1BFC79B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0E8A75B">
            <w:pPr>
              <w:widowControl/>
              <w:jc w:val="left"/>
              <w:textAlignment w:val="center"/>
              <w:rPr>
                <w:rFonts w:ascii="黑体" w:eastAsia="黑体" w:cs="黑体"/>
                <w:color w:val="000000" w:themeColor="text1"/>
                <w:kern w:val="0"/>
                <w:sz w:val="18"/>
                <w:szCs w:val="18"/>
              </w:rPr>
            </w:pPr>
          </w:p>
        </w:tc>
      </w:tr>
    </w:tbl>
    <w:p w14:paraId="2CF5FB35">
      <w:pPr>
        <w:pStyle w:val="8"/>
        <w:snapToGrid w:val="0"/>
        <w:spacing w:before="0" w:beforeAutospacing="0" w:after="0" w:afterAutospacing="0" w:line="240" w:lineRule="atLeast"/>
        <w:jc w:val="both"/>
        <w:rPr>
          <w:color w:val="000000" w:themeColor="text1"/>
          <w:sz w:val="11"/>
          <w:szCs w:val="11"/>
        </w:rPr>
      </w:pPr>
    </w:p>
    <w:p w14:paraId="266061C7">
      <w:pPr>
        <w:pStyle w:val="8"/>
        <w:snapToGrid w:val="0"/>
        <w:spacing w:before="0" w:beforeAutospacing="0" w:after="0" w:afterAutospacing="0" w:line="240" w:lineRule="atLeast"/>
        <w:jc w:val="both"/>
        <w:rPr>
          <w:color w:val="000000" w:themeColor="text1"/>
          <w:sz w:val="11"/>
          <w:szCs w:val="11"/>
        </w:rPr>
      </w:pPr>
    </w:p>
    <w:p w14:paraId="389D655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EFA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C27B6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7F14F08">
            <w:pPr>
              <w:jc w:val="center"/>
              <w:rPr>
                <w:rFonts w:ascii="黑体" w:eastAsia="黑体" w:cs="黑体"/>
                <w:b/>
                <w:bCs/>
                <w:color w:val="000000" w:themeColor="text1"/>
                <w:szCs w:val="21"/>
              </w:rPr>
            </w:pPr>
            <w:r>
              <w:rPr>
                <w:rFonts w:ascii="黑体" w:eastAsia="黑体" w:cs="黑体"/>
                <w:b/>
                <w:bCs/>
                <w:color w:val="000000" w:themeColor="text1"/>
                <w:szCs w:val="21"/>
              </w:rPr>
              <w:t>110</w:t>
            </w:r>
          </w:p>
        </w:tc>
        <w:tc>
          <w:tcPr>
            <w:tcW w:w="1691" w:type="dxa"/>
            <w:vAlign w:val="center"/>
          </w:tcPr>
          <w:p w14:paraId="135F973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4DE7A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69488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A07EC3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14C9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DBD8C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D092345">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对交通运输领域建设工程项目监理单位与相关单位串通，弄虚作假、降低工程质量的行政处罚</w:t>
            </w:r>
          </w:p>
        </w:tc>
      </w:tr>
      <w:tr w14:paraId="23352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A36FC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D7B9EC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B05B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A2135B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FE8F6DE">
            <w:pPr>
              <w:spacing w:line="240" w:lineRule="exact"/>
              <w:jc w:val="lef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5"/>
                <w:szCs w:val="15"/>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《建设工程质量管理条例》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第六十七条第（一）项　工程监理单位有下列行为之一的，责令改正，处５０万元以上１００万元以下的罚款，降低资质等级或者吊销资质证书；有违法所得的，予以没收；造成损失的，承担连带赔偿责任：（一）与建设单位或者施工单位串通，弄虚作假、降低工程质量的；</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公路水运工程质量监督管理规定》第四十三条违反本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一）未造成工程质量事故的，处</w:t>
            </w:r>
            <w:r>
              <w:rPr>
                <w:rFonts w:ascii="仿宋" w:hAnsi="仿宋" w:eastAsia="仿宋" w:cs="宋体"/>
                <w:color w:val="000000" w:themeColor="text1"/>
                <w:kern w:val="0"/>
                <w:sz w:val="18"/>
                <w:szCs w:val="18"/>
              </w:rPr>
              <w:t>50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60</w:t>
            </w:r>
            <w:r>
              <w:rPr>
                <w:rFonts w:hint="eastAsia" w:ascii="仿宋" w:hAnsi="仿宋" w:eastAsia="仿宋" w:cs="宋体"/>
                <w:color w:val="000000" w:themeColor="text1"/>
                <w:kern w:val="0"/>
                <w:sz w:val="18"/>
                <w:szCs w:val="18"/>
              </w:rPr>
              <w:t>万元以下的罚款；（二）造成工程质量一般事故的，处</w:t>
            </w:r>
            <w:r>
              <w:rPr>
                <w:rFonts w:ascii="仿宋" w:hAnsi="仿宋" w:eastAsia="仿宋" w:cs="宋体"/>
                <w:color w:val="000000" w:themeColor="text1"/>
                <w:kern w:val="0"/>
                <w:sz w:val="18"/>
                <w:szCs w:val="18"/>
              </w:rPr>
              <w:t>60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70</w:t>
            </w:r>
            <w:r>
              <w:rPr>
                <w:rFonts w:hint="eastAsia" w:ascii="仿宋" w:hAnsi="仿宋" w:eastAsia="仿宋" w:cs="宋体"/>
                <w:color w:val="000000" w:themeColor="text1"/>
                <w:kern w:val="0"/>
                <w:sz w:val="18"/>
                <w:szCs w:val="18"/>
              </w:rPr>
              <w:t>万元以下的罚款；（三）造成工程质量较大事故的，处</w:t>
            </w:r>
            <w:r>
              <w:rPr>
                <w:rFonts w:ascii="仿宋" w:hAnsi="仿宋" w:eastAsia="仿宋" w:cs="宋体"/>
                <w:color w:val="000000" w:themeColor="text1"/>
                <w:kern w:val="0"/>
                <w:sz w:val="18"/>
                <w:szCs w:val="18"/>
              </w:rPr>
              <w:t>70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80</w:t>
            </w:r>
            <w:r>
              <w:rPr>
                <w:rFonts w:hint="eastAsia" w:ascii="仿宋" w:hAnsi="仿宋" w:eastAsia="仿宋" w:cs="宋体"/>
                <w:color w:val="000000" w:themeColor="text1"/>
                <w:kern w:val="0"/>
                <w:sz w:val="18"/>
                <w:szCs w:val="18"/>
              </w:rPr>
              <w:t>万元以下的罚款；（四）造成工程质量重大及以上等级事故的，处</w:t>
            </w:r>
            <w:r>
              <w:rPr>
                <w:rFonts w:ascii="仿宋" w:hAnsi="仿宋" w:eastAsia="仿宋" w:cs="宋体"/>
                <w:color w:val="000000" w:themeColor="text1"/>
                <w:kern w:val="0"/>
                <w:sz w:val="18"/>
                <w:szCs w:val="18"/>
              </w:rPr>
              <w:t>80</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100</w:t>
            </w:r>
            <w:r>
              <w:rPr>
                <w:rFonts w:hint="eastAsia" w:ascii="仿宋" w:hAnsi="仿宋" w:eastAsia="仿宋" w:cs="宋体"/>
                <w:color w:val="000000" w:themeColor="text1"/>
                <w:kern w:val="0"/>
                <w:sz w:val="18"/>
                <w:szCs w:val="18"/>
              </w:rPr>
              <w:t>万元以下的罚款。</w:t>
            </w:r>
          </w:p>
          <w:p w14:paraId="5B581DDA">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C855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74ED6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871B2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155DAB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7B074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D003BE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391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F5DC3AF">
            <w:pPr>
              <w:rPr>
                <w:color w:val="000000" w:themeColor="text1"/>
              </w:rPr>
            </w:pPr>
          </w:p>
        </w:tc>
        <w:tc>
          <w:tcPr>
            <w:tcW w:w="1110" w:type="dxa"/>
            <w:vAlign w:val="center"/>
          </w:tcPr>
          <w:p w14:paraId="558D18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CB022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C240165">
            <w:pPr>
              <w:jc w:val="center"/>
              <w:rPr>
                <w:rFonts w:ascii="仿宋_GB2312" w:hAnsi="黑体" w:eastAsia="仿宋_GB2312" w:cs="黑体"/>
                <w:color w:val="000000" w:themeColor="text1"/>
                <w:sz w:val="18"/>
                <w:szCs w:val="18"/>
              </w:rPr>
            </w:pPr>
          </w:p>
        </w:tc>
        <w:tc>
          <w:tcPr>
            <w:tcW w:w="1406" w:type="dxa"/>
            <w:vAlign w:val="center"/>
          </w:tcPr>
          <w:p w14:paraId="449492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CCD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8CF8B98">
            <w:pPr>
              <w:rPr>
                <w:color w:val="000000" w:themeColor="text1"/>
              </w:rPr>
            </w:pPr>
          </w:p>
        </w:tc>
        <w:tc>
          <w:tcPr>
            <w:tcW w:w="1110" w:type="dxa"/>
            <w:vAlign w:val="center"/>
          </w:tcPr>
          <w:p w14:paraId="0B8378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EBCC48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BF8BD59">
            <w:pPr>
              <w:jc w:val="center"/>
              <w:rPr>
                <w:rFonts w:ascii="仿宋_GB2312" w:hAnsi="黑体" w:eastAsia="仿宋_GB2312" w:cs="黑体"/>
                <w:color w:val="000000" w:themeColor="text1"/>
                <w:sz w:val="18"/>
                <w:szCs w:val="18"/>
              </w:rPr>
            </w:pPr>
          </w:p>
        </w:tc>
        <w:tc>
          <w:tcPr>
            <w:tcW w:w="1406" w:type="dxa"/>
            <w:vAlign w:val="center"/>
          </w:tcPr>
          <w:p w14:paraId="48897D0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1AF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A810419">
            <w:pPr>
              <w:rPr>
                <w:color w:val="000000" w:themeColor="text1"/>
              </w:rPr>
            </w:pPr>
          </w:p>
        </w:tc>
        <w:tc>
          <w:tcPr>
            <w:tcW w:w="1110" w:type="dxa"/>
            <w:vAlign w:val="center"/>
          </w:tcPr>
          <w:p w14:paraId="4CBD262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46E201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DF4E93E">
            <w:pPr>
              <w:jc w:val="center"/>
              <w:rPr>
                <w:rFonts w:ascii="仿宋_GB2312" w:hAnsi="黑体" w:eastAsia="仿宋_GB2312" w:cs="黑体"/>
                <w:color w:val="000000" w:themeColor="text1"/>
                <w:sz w:val="18"/>
                <w:szCs w:val="18"/>
              </w:rPr>
            </w:pPr>
          </w:p>
        </w:tc>
        <w:tc>
          <w:tcPr>
            <w:tcW w:w="1406" w:type="dxa"/>
            <w:vAlign w:val="center"/>
          </w:tcPr>
          <w:p w14:paraId="684648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322F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3AE43B0">
            <w:pPr>
              <w:rPr>
                <w:color w:val="000000" w:themeColor="text1"/>
              </w:rPr>
            </w:pPr>
          </w:p>
        </w:tc>
        <w:tc>
          <w:tcPr>
            <w:tcW w:w="1110" w:type="dxa"/>
            <w:vAlign w:val="center"/>
          </w:tcPr>
          <w:p w14:paraId="0E6F9E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181250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C1CE845">
            <w:pPr>
              <w:jc w:val="center"/>
              <w:rPr>
                <w:rFonts w:ascii="仿宋_GB2312" w:hAnsi="黑体" w:eastAsia="仿宋_GB2312" w:cs="黑体"/>
                <w:color w:val="000000" w:themeColor="text1"/>
                <w:sz w:val="18"/>
                <w:szCs w:val="18"/>
              </w:rPr>
            </w:pPr>
          </w:p>
        </w:tc>
        <w:tc>
          <w:tcPr>
            <w:tcW w:w="1406" w:type="dxa"/>
            <w:vAlign w:val="center"/>
          </w:tcPr>
          <w:p w14:paraId="4B87F4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65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32D7AAB6">
            <w:pPr>
              <w:rPr>
                <w:color w:val="000000" w:themeColor="text1"/>
              </w:rPr>
            </w:pPr>
          </w:p>
        </w:tc>
        <w:tc>
          <w:tcPr>
            <w:tcW w:w="1110" w:type="dxa"/>
            <w:vAlign w:val="center"/>
          </w:tcPr>
          <w:p w14:paraId="226C9C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47A7DE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2E1235">
            <w:pPr>
              <w:jc w:val="center"/>
              <w:rPr>
                <w:rFonts w:ascii="仿宋_GB2312" w:hAnsi="黑体" w:eastAsia="仿宋_GB2312" w:cs="黑体"/>
                <w:color w:val="000000" w:themeColor="text1"/>
                <w:sz w:val="18"/>
                <w:szCs w:val="18"/>
              </w:rPr>
            </w:pPr>
          </w:p>
        </w:tc>
        <w:tc>
          <w:tcPr>
            <w:tcW w:w="1406" w:type="dxa"/>
            <w:vAlign w:val="center"/>
          </w:tcPr>
          <w:p w14:paraId="6279A8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538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402406C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11EE54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CBFA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616C1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6D0851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952D25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2B97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2551C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A5C3CE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861315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FAE8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42F891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4849398">
            <w:pPr>
              <w:widowControl/>
              <w:jc w:val="left"/>
              <w:textAlignment w:val="center"/>
              <w:rPr>
                <w:rFonts w:ascii="黑体" w:eastAsia="黑体" w:cs="黑体"/>
                <w:color w:val="000000" w:themeColor="text1"/>
                <w:kern w:val="0"/>
                <w:sz w:val="18"/>
                <w:szCs w:val="18"/>
              </w:rPr>
            </w:pPr>
          </w:p>
        </w:tc>
      </w:tr>
    </w:tbl>
    <w:p w14:paraId="7E12A9F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091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308E1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5E8861E">
            <w:pPr>
              <w:jc w:val="center"/>
              <w:rPr>
                <w:rFonts w:ascii="黑体" w:eastAsia="黑体" w:cs="黑体"/>
                <w:b/>
                <w:bCs/>
                <w:color w:val="000000" w:themeColor="text1"/>
                <w:szCs w:val="21"/>
              </w:rPr>
            </w:pPr>
            <w:r>
              <w:rPr>
                <w:rFonts w:ascii="黑体" w:eastAsia="黑体" w:cs="黑体"/>
                <w:b/>
                <w:bCs/>
                <w:color w:val="000000" w:themeColor="text1"/>
                <w:szCs w:val="21"/>
              </w:rPr>
              <w:t>111</w:t>
            </w:r>
          </w:p>
        </w:tc>
        <w:tc>
          <w:tcPr>
            <w:tcW w:w="1691" w:type="dxa"/>
            <w:vAlign w:val="center"/>
          </w:tcPr>
          <w:p w14:paraId="47101C0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9CC164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23137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DA3C84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D74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F86F7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0C61BE9">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对交通运输领域建设工程项目监理单位将不合格的建设工程、建筑材料、建筑构件和设备按合格签字行为的行政处罚</w:t>
            </w:r>
          </w:p>
        </w:tc>
      </w:tr>
      <w:tr w14:paraId="3FA2A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90F5F5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D9BBF9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BB6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90F05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593F9B9">
            <w:pPr>
              <w:spacing w:line="240" w:lineRule="exact"/>
              <w:jc w:val="left"/>
              <w:rPr>
                <w:rFonts w:ascii="仿宋" w:hAnsi="仿宋" w:eastAsia="仿宋" w:cs="宋体"/>
                <w:color w:val="000000" w:themeColor="text1"/>
                <w:kern w:val="0"/>
                <w:sz w:val="15"/>
                <w:szCs w:val="15"/>
              </w:rPr>
            </w:pPr>
            <w:r>
              <w:rPr>
                <w:rFonts w:hint="eastAsia" w:ascii="仿宋_GB2312" w:eastAsia="仿宋_GB2312" w:cs="仿宋_GB2312"/>
                <w:color w:val="000000" w:themeColor="text1"/>
                <w:kern w:val="0"/>
                <w:sz w:val="15"/>
                <w:szCs w:val="15"/>
              </w:rPr>
              <w:t>【法律法规】</w:t>
            </w:r>
            <w:r>
              <w:rPr>
                <w:rFonts w:ascii="仿宋" w:hAnsi="仿宋" w:eastAsia="仿宋" w:cs="宋体"/>
                <w:color w:val="000000" w:themeColor="text1"/>
                <w:kern w:val="0"/>
                <w:sz w:val="15"/>
                <w:szCs w:val="15"/>
              </w:rPr>
              <w:t>1.</w:t>
            </w:r>
            <w:r>
              <w:rPr>
                <w:rFonts w:hint="eastAsia" w:ascii="仿宋" w:hAnsi="仿宋" w:eastAsia="仿宋" w:cs="宋体"/>
                <w:color w:val="000000" w:themeColor="text1"/>
                <w:kern w:val="0"/>
                <w:sz w:val="15"/>
                <w:szCs w:val="15"/>
              </w:rPr>
              <w:t>《建设工程质量管理条例》第六十七条第（二）项工程监理单位有下列行为之一的，责令改正，处</w:t>
            </w:r>
            <w:r>
              <w:rPr>
                <w:rFonts w:ascii="仿宋" w:hAnsi="仿宋" w:eastAsia="仿宋" w:cs="宋体"/>
                <w:color w:val="000000" w:themeColor="text1"/>
                <w:kern w:val="0"/>
                <w:sz w:val="15"/>
                <w:szCs w:val="15"/>
              </w:rPr>
              <w:t>50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100</w:t>
            </w:r>
            <w:r>
              <w:rPr>
                <w:rFonts w:hint="eastAsia" w:ascii="仿宋" w:hAnsi="仿宋" w:eastAsia="仿宋" w:cs="宋体"/>
                <w:color w:val="000000" w:themeColor="text1"/>
                <w:kern w:val="0"/>
                <w:sz w:val="15"/>
                <w:szCs w:val="15"/>
              </w:rPr>
              <w:t>万元以下的罚款，降低资质等级或者吊销资质证书；有违法所得的，予以没收；造成损失的，承担连带赔偿责任：（二）将不合格的建设工程、建筑材料、建筑构配件和设备按照合格签字的。</w:t>
            </w:r>
            <w:r>
              <w:rPr>
                <w:rFonts w:ascii="仿宋" w:hAnsi="仿宋" w:eastAsia="仿宋" w:cs="宋体"/>
                <w:color w:val="000000" w:themeColor="text1"/>
                <w:kern w:val="0"/>
                <w:sz w:val="15"/>
                <w:szCs w:val="15"/>
              </w:rPr>
              <w:br w:type="textWrapping"/>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《公路建设监督管理办法》第四十四条违反本办法第二十三条规定，监理单位将不合格的工程、建筑材料、构件和设备按合格予以签认的，责令改正，可给予警告处罚，情节严重的，处</w:t>
            </w:r>
            <w:r>
              <w:rPr>
                <w:rFonts w:ascii="仿宋" w:hAnsi="仿宋" w:eastAsia="仿宋" w:cs="宋体"/>
                <w:color w:val="000000" w:themeColor="text1"/>
                <w:kern w:val="0"/>
                <w:sz w:val="15"/>
                <w:szCs w:val="15"/>
              </w:rPr>
              <w:t>50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100</w:t>
            </w:r>
            <w:r>
              <w:rPr>
                <w:rFonts w:hint="eastAsia" w:ascii="仿宋" w:hAnsi="仿宋" w:eastAsia="仿宋" w:cs="宋体"/>
                <w:color w:val="000000" w:themeColor="text1"/>
                <w:kern w:val="0"/>
                <w:sz w:val="15"/>
                <w:szCs w:val="15"/>
              </w:rPr>
              <w:t>万元以下的罚款；施工单位在工程上使用或安装未经监理签认的建筑材料、构件和设备的，责令改正，可给予警告处罚，情节严重的，处工程合同价款</w:t>
            </w:r>
            <w:r>
              <w:rPr>
                <w:rFonts w:ascii="仿宋" w:hAnsi="仿宋" w:eastAsia="仿宋" w:cs="宋体"/>
                <w:color w:val="000000" w:themeColor="text1"/>
                <w:kern w:val="0"/>
                <w:sz w:val="15"/>
                <w:szCs w:val="15"/>
              </w:rPr>
              <w:t>2%</w:t>
            </w:r>
            <w:r>
              <w:rPr>
                <w:rFonts w:hint="eastAsia" w:ascii="仿宋" w:hAnsi="仿宋" w:eastAsia="仿宋" w:cs="宋体"/>
                <w:color w:val="000000" w:themeColor="text1"/>
                <w:kern w:val="0"/>
                <w:sz w:val="15"/>
                <w:szCs w:val="15"/>
              </w:rPr>
              <w:t>以上</w:t>
            </w:r>
            <w:r>
              <w:rPr>
                <w:rFonts w:ascii="仿宋" w:hAnsi="仿宋" w:eastAsia="仿宋" w:cs="宋体"/>
                <w:color w:val="000000" w:themeColor="text1"/>
                <w:kern w:val="0"/>
                <w:sz w:val="15"/>
                <w:szCs w:val="15"/>
              </w:rPr>
              <w:t>4%</w:t>
            </w:r>
            <w:r>
              <w:rPr>
                <w:rFonts w:hint="eastAsia" w:ascii="仿宋" w:hAnsi="仿宋" w:eastAsia="仿宋" w:cs="宋体"/>
                <w:color w:val="000000" w:themeColor="text1"/>
                <w:kern w:val="0"/>
                <w:sz w:val="15"/>
                <w:szCs w:val="15"/>
              </w:rPr>
              <w:t>以下的罚款。</w:t>
            </w:r>
            <w:r>
              <w:rPr>
                <w:rFonts w:ascii="仿宋" w:hAnsi="仿宋" w:eastAsia="仿宋" w:cs="宋体"/>
                <w:color w:val="000000" w:themeColor="text1"/>
                <w:kern w:val="0"/>
                <w:sz w:val="15"/>
                <w:szCs w:val="15"/>
              </w:rPr>
              <w:br w:type="textWrapping"/>
            </w:r>
            <w:r>
              <w:rPr>
                <w:rFonts w:ascii="仿宋" w:hAnsi="仿宋" w:eastAsia="仿宋" w:cs="宋体"/>
                <w:color w:val="000000" w:themeColor="text1"/>
                <w:kern w:val="0"/>
                <w:sz w:val="15"/>
                <w:szCs w:val="15"/>
              </w:rPr>
              <w:t>3.</w:t>
            </w:r>
            <w:r>
              <w:rPr>
                <w:rFonts w:hint="eastAsia" w:ascii="仿宋" w:hAnsi="仿宋" w:eastAsia="仿宋" w:cs="宋体"/>
                <w:color w:val="000000" w:themeColor="text1"/>
                <w:kern w:val="0"/>
                <w:sz w:val="15"/>
                <w:szCs w:val="15"/>
              </w:rPr>
              <w:t>《公路水运工程质量监督管理规定》第四十三条违反本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一）未造成工程质量事故的，处</w:t>
            </w:r>
            <w:r>
              <w:rPr>
                <w:rFonts w:ascii="仿宋" w:hAnsi="仿宋" w:eastAsia="仿宋" w:cs="宋体"/>
                <w:color w:val="000000" w:themeColor="text1"/>
                <w:kern w:val="0"/>
                <w:sz w:val="15"/>
                <w:szCs w:val="15"/>
              </w:rPr>
              <w:t>50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60</w:t>
            </w:r>
            <w:r>
              <w:rPr>
                <w:rFonts w:hint="eastAsia" w:ascii="仿宋" w:hAnsi="仿宋" w:eastAsia="仿宋" w:cs="宋体"/>
                <w:color w:val="000000" w:themeColor="text1"/>
                <w:kern w:val="0"/>
                <w:sz w:val="15"/>
                <w:szCs w:val="15"/>
              </w:rPr>
              <w:t>万元以下的罚款；（二）造成工程质量一般事故的，处</w:t>
            </w:r>
            <w:r>
              <w:rPr>
                <w:rFonts w:ascii="仿宋" w:hAnsi="仿宋" w:eastAsia="仿宋" w:cs="宋体"/>
                <w:color w:val="000000" w:themeColor="text1"/>
                <w:kern w:val="0"/>
                <w:sz w:val="15"/>
                <w:szCs w:val="15"/>
              </w:rPr>
              <w:t>60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70</w:t>
            </w:r>
            <w:r>
              <w:rPr>
                <w:rFonts w:hint="eastAsia" w:ascii="仿宋" w:hAnsi="仿宋" w:eastAsia="仿宋" w:cs="宋体"/>
                <w:color w:val="000000" w:themeColor="text1"/>
                <w:kern w:val="0"/>
                <w:sz w:val="15"/>
                <w:szCs w:val="15"/>
              </w:rPr>
              <w:t>万元以下的罚款；（三）造成工程质量较大事故的，处</w:t>
            </w:r>
            <w:r>
              <w:rPr>
                <w:rFonts w:ascii="仿宋" w:hAnsi="仿宋" w:eastAsia="仿宋" w:cs="宋体"/>
                <w:color w:val="000000" w:themeColor="text1"/>
                <w:kern w:val="0"/>
                <w:sz w:val="15"/>
                <w:szCs w:val="15"/>
              </w:rPr>
              <w:t>70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80</w:t>
            </w:r>
            <w:r>
              <w:rPr>
                <w:rFonts w:hint="eastAsia" w:ascii="仿宋" w:hAnsi="仿宋" w:eastAsia="仿宋" w:cs="宋体"/>
                <w:color w:val="000000" w:themeColor="text1"/>
                <w:kern w:val="0"/>
                <w:sz w:val="15"/>
                <w:szCs w:val="15"/>
              </w:rPr>
              <w:t>万元以下的罚款；（四）造成工程质量重大及以上等级事故的，处</w:t>
            </w:r>
            <w:r>
              <w:rPr>
                <w:rFonts w:ascii="仿宋" w:hAnsi="仿宋" w:eastAsia="仿宋" w:cs="宋体"/>
                <w:color w:val="000000" w:themeColor="text1"/>
                <w:kern w:val="0"/>
                <w:sz w:val="15"/>
                <w:szCs w:val="15"/>
              </w:rPr>
              <w:t>80</w:t>
            </w:r>
            <w:r>
              <w:rPr>
                <w:rFonts w:hint="eastAsia" w:ascii="仿宋" w:hAnsi="仿宋" w:eastAsia="仿宋" w:cs="宋体"/>
                <w:color w:val="000000" w:themeColor="text1"/>
                <w:kern w:val="0"/>
                <w:sz w:val="15"/>
                <w:szCs w:val="15"/>
              </w:rPr>
              <w:t>万元以上</w:t>
            </w:r>
            <w:r>
              <w:rPr>
                <w:rFonts w:ascii="仿宋" w:hAnsi="仿宋" w:eastAsia="仿宋" w:cs="宋体"/>
                <w:color w:val="000000" w:themeColor="text1"/>
                <w:kern w:val="0"/>
                <w:sz w:val="15"/>
                <w:szCs w:val="15"/>
              </w:rPr>
              <w:t>100</w:t>
            </w:r>
            <w:r>
              <w:rPr>
                <w:rFonts w:hint="eastAsia" w:ascii="仿宋" w:hAnsi="仿宋" w:eastAsia="仿宋" w:cs="宋体"/>
                <w:color w:val="000000" w:themeColor="text1"/>
                <w:kern w:val="0"/>
                <w:sz w:val="15"/>
                <w:szCs w:val="15"/>
              </w:rPr>
              <w:t>万元以下的罚款。</w:t>
            </w:r>
          </w:p>
          <w:p w14:paraId="089EB39F">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0F3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CB0E5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7582B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A3662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C2E07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CC6595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618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182E319">
            <w:pPr>
              <w:rPr>
                <w:color w:val="000000" w:themeColor="text1"/>
              </w:rPr>
            </w:pPr>
          </w:p>
        </w:tc>
        <w:tc>
          <w:tcPr>
            <w:tcW w:w="1110" w:type="dxa"/>
            <w:vAlign w:val="center"/>
          </w:tcPr>
          <w:p w14:paraId="500B98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FA955A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E668DEA">
            <w:pPr>
              <w:jc w:val="center"/>
              <w:rPr>
                <w:rFonts w:ascii="仿宋_GB2312" w:hAnsi="黑体" w:eastAsia="仿宋_GB2312" w:cs="黑体"/>
                <w:color w:val="000000" w:themeColor="text1"/>
                <w:sz w:val="18"/>
                <w:szCs w:val="18"/>
              </w:rPr>
            </w:pPr>
          </w:p>
        </w:tc>
        <w:tc>
          <w:tcPr>
            <w:tcW w:w="1406" w:type="dxa"/>
            <w:vAlign w:val="center"/>
          </w:tcPr>
          <w:p w14:paraId="3C39C3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E6E5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383FF14">
            <w:pPr>
              <w:rPr>
                <w:color w:val="000000" w:themeColor="text1"/>
              </w:rPr>
            </w:pPr>
          </w:p>
        </w:tc>
        <w:tc>
          <w:tcPr>
            <w:tcW w:w="1110" w:type="dxa"/>
            <w:vAlign w:val="center"/>
          </w:tcPr>
          <w:p w14:paraId="1E4D7B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0032A2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BAAEC6A">
            <w:pPr>
              <w:jc w:val="center"/>
              <w:rPr>
                <w:rFonts w:ascii="仿宋_GB2312" w:hAnsi="黑体" w:eastAsia="仿宋_GB2312" w:cs="黑体"/>
                <w:color w:val="000000" w:themeColor="text1"/>
                <w:sz w:val="18"/>
                <w:szCs w:val="18"/>
              </w:rPr>
            </w:pPr>
          </w:p>
        </w:tc>
        <w:tc>
          <w:tcPr>
            <w:tcW w:w="1406" w:type="dxa"/>
            <w:vAlign w:val="center"/>
          </w:tcPr>
          <w:p w14:paraId="41FD5A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F0D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29175A1">
            <w:pPr>
              <w:rPr>
                <w:color w:val="000000" w:themeColor="text1"/>
              </w:rPr>
            </w:pPr>
          </w:p>
        </w:tc>
        <w:tc>
          <w:tcPr>
            <w:tcW w:w="1110" w:type="dxa"/>
            <w:vAlign w:val="center"/>
          </w:tcPr>
          <w:p w14:paraId="358A3B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74E0E6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6618E11">
            <w:pPr>
              <w:jc w:val="center"/>
              <w:rPr>
                <w:rFonts w:ascii="仿宋_GB2312" w:hAnsi="黑体" w:eastAsia="仿宋_GB2312" w:cs="黑体"/>
                <w:color w:val="000000" w:themeColor="text1"/>
                <w:sz w:val="18"/>
                <w:szCs w:val="18"/>
              </w:rPr>
            </w:pPr>
          </w:p>
        </w:tc>
        <w:tc>
          <w:tcPr>
            <w:tcW w:w="1406" w:type="dxa"/>
            <w:vAlign w:val="center"/>
          </w:tcPr>
          <w:p w14:paraId="56C217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92FE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7EAF3AA">
            <w:pPr>
              <w:rPr>
                <w:color w:val="000000" w:themeColor="text1"/>
              </w:rPr>
            </w:pPr>
          </w:p>
        </w:tc>
        <w:tc>
          <w:tcPr>
            <w:tcW w:w="1110" w:type="dxa"/>
            <w:vAlign w:val="center"/>
          </w:tcPr>
          <w:p w14:paraId="5334AD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F44CA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A54CCF0">
            <w:pPr>
              <w:jc w:val="center"/>
              <w:rPr>
                <w:rFonts w:ascii="仿宋_GB2312" w:hAnsi="黑体" w:eastAsia="仿宋_GB2312" w:cs="黑体"/>
                <w:color w:val="000000" w:themeColor="text1"/>
                <w:sz w:val="18"/>
                <w:szCs w:val="18"/>
              </w:rPr>
            </w:pPr>
          </w:p>
        </w:tc>
        <w:tc>
          <w:tcPr>
            <w:tcW w:w="1406" w:type="dxa"/>
            <w:vAlign w:val="center"/>
          </w:tcPr>
          <w:p w14:paraId="566562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8BF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650CFF8C">
            <w:pPr>
              <w:rPr>
                <w:color w:val="000000" w:themeColor="text1"/>
              </w:rPr>
            </w:pPr>
          </w:p>
        </w:tc>
        <w:tc>
          <w:tcPr>
            <w:tcW w:w="1110" w:type="dxa"/>
            <w:vAlign w:val="center"/>
          </w:tcPr>
          <w:p w14:paraId="2C9CB0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FF8A96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8DA0552">
            <w:pPr>
              <w:jc w:val="center"/>
              <w:rPr>
                <w:rFonts w:ascii="仿宋_GB2312" w:hAnsi="黑体" w:eastAsia="仿宋_GB2312" w:cs="黑体"/>
                <w:color w:val="000000" w:themeColor="text1"/>
                <w:sz w:val="18"/>
                <w:szCs w:val="18"/>
              </w:rPr>
            </w:pPr>
          </w:p>
        </w:tc>
        <w:tc>
          <w:tcPr>
            <w:tcW w:w="1406" w:type="dxa"/>
            <w:vAlign w:val="center"/>
          </w:tcPr>
          <w:p w14:paraId="3F6BE1A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0F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33B9490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21865A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243C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D06F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D842CB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AE2DF5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16A8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29D86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DEE44E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7D90A2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BCC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7799F7D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679C8DA">
            <w:pPr>
              <w:widowControl/>
              <w:jc w:val="left"/>
              <w:textAlignment w:val="center"/>
              <w:rPr>
                <w:rFonts w:ascii="黑体" w:eastAsia="黑体" w:cs="黑体"/>
                <w:color w:val="000000" w:themeColor="text1"/>
                <w:kern w:val="0"/>
                <w:sz w:val="18"/>
                <w:szCs w:val="18"/>
              </w:rPr>
            </w:pPr>
          </w:p>
        </w:tc>
      </w:tr>
    </w:tbl>
    <w:p w14:paraId="1AF82FD2">
      <w:pPr>
        <w:pStyle w:val="8"/>
        <w:snapToGrid w:val="0"/>
        <w:spacing w:before="0" w:beforeAutospacing="0" w:after="0" w:afterAutospacing="0" w:line="240" w:lineRule="atLeast"/>
        <w:jc w:val="both"/>
        <w:rPr>
          <w:color w:val="000000" w:themeColor="text1"/>
          <w:sz w:val="11"/>
          <w:szCs w:val="11"/>
        </w:rPr>
      </w:pPr>
    </w:p>
    <w:p w14:paraId="51A5E43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3329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036A5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D397937">
            <w:pPr>
              <w:jc w:val="center"/>
              <w:rPr>
                <w:rFonts w:ascii="黑体" w:eastAsia="黑体" w:cs="黑体"/>
                <w:b/>
                <w:bCs/>
                <w:color w:val="000000" w:themeColor="text1"/>
                <w:szCs w:val="21"/>
              </w:rPr>
            </w:pPr>
            <w:r>
              <w:rPr>
                <w:rFonts w:ascii="黑体" w:eastAsia="黑体" w:cs="黑体"/>
                <w:b/>
                <w:bCs/>
                <w:color w:val="000000" w:themeColor="text1"/>
                <w:szCs w:val="21"/>
              </w:rPr>
              <w:t>112</w:t>
            </w:r>
          </w:p>
        </w:tc>
        <w:tc>
          <w:tcPr>
            <w:tcW w:w="1691" w:type="dxa"/>
            <w:vAlign w:val="center"/>
          </w:tcPr>
          <w:p w14:paraId="6AC60C8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645F06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B418C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1B48A6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A623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810AA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FE8DE40">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对交通运输领域建设工程项目监理单位违规承担有利害关系建设工程的监理业务的行政处罚</w:t>
            </w:r>
          </w:p>
        </w:tc>
      </w:tr>
      <w:tr w14:paraId="056E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56205F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5B87EF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087E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06704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CE5F94C">
            <w:pPr>
              <w:spacing w:line="240" w:lineRule="exact"/>
              <w:jc w:val="left"/>
              <w:rPr>
                <w:rFonts w:ascii="仿宋" w:hAnsi="仿宋" w:eastAsia="仿宋" w:cs="宋体"/>
                <w:color w:val="000000" w:themeColor="text1"/>
                <w:kern w:val="0"/>
                <w:sz w:val="15"/>
                <w:szCs w:val="15"/>
              </w:rPr>
            </w:pPr>
            <w:r>
              <w:rPr>
                <w:rFonts w:hint="eastAsia" w:ascii="仿宋_GB2312" w:eastAsia="仿宋_GB2312" w:cs="仿宋_GB2312"/>
                <w:color w:val="000000" w:themeColor="text1"/>
                <w:kern w:val="0"/>
                <w:sz w:val="15"/>
                <w:szCs w:val="15"/>
              </w:rPr>
              <w:t>【法律法规】</w:t>
            </w:r>
            <w:r>
              <w:rPr>
                <w:rFonts w:hint="eastAsia" w:ascii="仿宋" w:hAnsi="仿宋" w:eastAsia="仿宋" w:cs="宋体"/>
                <w:color w:val="000000" w:themeColor="text1"/>
                <w:kern w:val="0"/>
                <w:sz w:val="18"/>
                <w:szCs w:val="18"/>
              </w:rPr>
              <w:t>《建设工程质量管理条例》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第六十八条违反本条例规定，工程监理单位与被监理工程的施工承包单位以及建筑材料、建筑构配件和设备供应单位有隶属关系或者其他利害关系承担该项建设工程的监理业务的，责令改正，处</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万元以上</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万元以下的罚款，降低资质等级或者吊销资质证书；有违法所得的，予以没收。</w:t>
            </w:r>
          </w:p>
          <w:p w14:paraId="3FA9271C">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0699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19174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CC476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F006B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AD75B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761BBD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CB6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61C0B50">
            <w:pPr>
              <w:rPr>
                <w:color w:val="000000" w:themeColor="text1"/>
              </w:rPr>
            </w:pPr>
          </w:p>
        </w:tc>
        <w:tc>
          <w:tcPr>
            <w:tcW w:w="1110" w:type="dxa"/>
            <w:vAlign w:val="center"/>
          </w:tcPr>
          <w:p w14:paraId="7343E7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1368A2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C5D2C7F">
            <w:pPr>
              <w:jc w:val="center"/>
              <w:rPr>
                <w:rFonts w:ascii="仿宋_GB2312" w:hAnsi="黑体" w:eastAsia="仿宋_GB2312" w:cs="黑体"/>
                <w:color w:val="000000" w:themeColor="text1"/>
                <w:sz w:val="18"/>
                <w:szCs w:val="18"/>
              </w:rPr>
            </w:pPr>
          </w:p>
        </w:tc>
        <w:tc>
          <w:tcPr>
            <w:tcW w:w="1406" w:type="dxa"/>
            <w:vAlign w:val="center"/>
          </w:tcPr>
          <w:p w14:paraId="0D4357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B0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5F19084">
            <w:pPr>
              <w:rPr>
                <w:color w:val="000000" w:themeColor="text1"/>
              </w:rPr>
            </w:pPr>
          </w:p>
        </w:tc>
        <w:tc>
          <w:tcPr>
            <w:tcW w:w="1110" w:type="dxa"/>
            <w:vAlign w:val="center"/>
          </w:tcPr>
          <w:p w14:paraId="7FAEB0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077F73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33FF6C6">
            <w:pPr>
              <w:jc w:val="center"/>
              <w:rPr>
                <w:rFonts w:ascii="仿宋_GB2312" w:hAnsi="黑体" w:eastAsia="仿宋_GB2312" w:cs="黑体"/>
                <w:color w:val="000000" w:themeColor="text1"/>
                <w:sz w:val="18"/>
                <w:szCs w:val="18"/>
              </w:rPr>
            </w:pPr>
          </w:p>
        </w:tc>
        <w:tc>
          <w:tcPr>
            <w:tcW w:w="1406" w:type="dxa"/>
            <w:vAlign w:val="center"/>
          </w:tcPr>
          <w:p w14:paraId="6CA5C9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A2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CC0129E">
            <w:pPr>
              <w:rPr>
                <w:color w:val="000000" w:themeColor="text1"/>
              </w:rPr>
            </w:pPr>
          </w:p>
        </w:tc>
        <w:tc>
          <w:tcPr>
            <w:tcW w:w="1110" w:type="dxa"/>
            <w:vAlign w:val="center"/>
          </w:tcPr>
          <w:p w14:paraId="35F331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E6D9BB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3AFE4B8">
            <w:pPr>
              <w:jc w:val="center"/>
              <w:rPr>
                <w:rFonts w:ascii="仿宋_GB2312" w:hAnsi="黑体" w:eastAsia="仿宋_GB2312" w:cs="黑体"/>
                <w:color w:val="000000" w:themeColor="text1"/>
                <w:sz w:val="18"/>
                <w:szCs w:val="18"/>
              </w:rPr>
            </w:pPr>
          </w:p>
        </w:tc>
        <w:tc>
          <w:tcPr>
            <w:tcW w:w="1406" w:type="dxa"/>
            <w:vAlign w:val="center"/>
          </w:tcPr>
          <w:p w14:paraId="7DFC23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30DF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906CA61">
            <w:pPr>
              <w:rPr>
                <w:color w:val="000000" w:themeColor="text1"/>
              </w:rPr>
            </w:pPr>
          </w:p>
        </w:tc>
        <w:tc>
          <w:tcPr>
            <w:tcW w:w="1110" w:type="dxa"/>
            <w:vAlign w:val="center"/>
          </w:tcPr>
          <w:p w14:paraId="1E2F58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53ACDB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E3A33B9">
            <w:pPr>
              <w:jc w:val="center"/>
              <w:rPr>
                <w:rFonts w:ascii="仿宋_GB2312" w:hAnsi="黑体" w:eastAsia="仿宋_GB2312" w:cs="黑体"/>
                <w:color w:val="000000" w:themeColor="text1"/>
                <w:sz w:val="18"/>
                <w:szCs w:val="18"/>
              </w:rPr>
            </w:pPr>
          </w:p>
        </w:tc>
        <w:tc>
          <w:tcPr>
            <w:tcW w:w="1406" w:type="dxa"/>
            <w:vAlign w:val="center"/>
          </w:tcPr>
          <w:p w14:paraId="1EA6C5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1DB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8" w:hRule="atLeast"/>
          <w:jc w:val="center"/>
        </w:trPr>
        <w:tc>
          <w:tcPr>
            <w:tcW w:w="943" w:type="dxa"/>
            <w:vMerge w:val="continue"/>
            <w:vAlign w:val="center"/>
          </w:tcPr>
          <w:p w14:paraId="7FBD6E74">
            <w:pPr>
              <w:rPr>
                <w:color w:val="000000" w:themeColor="text1"/>
              </w:rPr>
            </w:pPr>
          </w:p>
        </w:tc>
        <w:tc>
          <w:tcPr>
            <w:tcW w:w="1110" w:type="dxa"/>
            <w:vAlign w:val="center"/>
          </w:tcPr>
          <w:p w14:paraId="156ECD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8C5A27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8F615BE">
            <w:pPr>
              <w:jc w:val="center"/>
              <w:rPr>
                <w:rFonts w:ascii="仿宋_GB2312" w:hAnsi="黑体" w:eastAsia="仿宋_GB2312" w:cs="黑体"/>
                <w:color w:val="000000" w:themeColor="text1"/>
                <w:sz w:val="18"/>
                <w:szCs w:val="18"/>
              </w:rPr>
            </w:pPr>
          </w:p>
        </w:tc>
        <w:tc>
          <w:tcPr>
            <w:tcW w:w="1406" w:type="dxa"/>
            <w:vAlign w:val="center"/>
          </w:tcPr>
          <w:p w14:paraId="1B2E00F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6BD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20" w:hRule="atLeast"/>
          <w:jc w:val="center"/>
        </w:trPr>
        <w:tc>
          <w:tcPr>
            <w:tcW w:w="943" w:type="dxa"/>
            <w:vAlign w:val="center"/>
          </w:tcPr>
          <w:p w14:paraId="47F0E55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16ED87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5C95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0F1C6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B7CC16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2E37BB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809B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52849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B7C3DD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550AE7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F779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2" w:hRule="atLeast"/>
          <w:jc w:val="center"/>
        </w:trPr>
        <w:tc>
          <w:tcPr>
            <w:tcW w:w="943" w:type="dxa"/>
            <w:vAlign w:val="center"/>
          </w:tcPr>
          <w:p w14:paraId="52A3512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1FDCCC0">
            <w:pPr>
              <w:widowControl/>
              <w:jc w:val="left"/>
              <w:textAlignment w:val="center"/>
              <w:rPr>
                <w:rFonts w:ascii="黑体" w:eastAsia="黑体" w:cs="黑体"/>
                <w:color w:val="000000" w:themeColor="text1"/>
                <w:kern w:val="0"/>
                <w:sz w:val="18"/>
                <w:szCs w:val="18"/>
              </w:rPr>
            </w:pPr>
          </w:p>
        </w:tc>
      </w:tr>
    </w:tbl>
    <w:p w14:paraId="09C73839">
      <w:pPr>
        <w:pStyle w:val="8"/>
        <w:snapToGrid w:val="0"/>
        <w:spacing w:before="0" w:beforeAutospacing="0" w:after="0" w:afterAutospacing="0" w:line="240" w:lineRule="atLeast"/>
        <w:jc w:val="both"/>
        <w:rPr>
          <w:color w:val="000000" w:themeColor="text1"/>
          <w:sz w:val="11"/>
          <w:szCs w:val="11"/>
        </w:rPr>
      </w:pPr>
    </w:p>
    <w:p w14:paraId="6C94AF4B">
      <w:pPr>
        <w:pStyle w:val="8"/>
        <w:snapToGrid w:val="0"/>
        <w:spacing w:before="0" w:beforeAutospacing="0" w:after="0" w:afterAutospacing="0" w:line="240" w:lineRule="atLeast"/>
        <w:jc w:val="both"/>
        <w:rPr>
          <w:color w:val="000000" w:themeColor="text1"/>
          <w:sz w:val="11"/>
          <w:szCs w:val="11"/>
        </w:rPr>
      </w:pPr>
    </w:p>
    <w:p w14:paraId="4407A6C4">
      <w:pPr>
        <w:pStyle w:val="8"/>
        <w:snapToGrid w:val="0"/>
        <w:spacing w:before="0" w:beforeAutospacing="0" w:after="0" w:afterAutospacing="0" w:line="240" w:lineRule="atLeast"/>
        <w:jc w:val="both"/>
        <w:rPr>
          <w:color w:val="000000" w:themeColor="text1"/>
          <w:sz w:val="11"/>
          <w:szCs w:val="11"/>
        </w:rPr>
      </w:pPr>
    </w:p>
    <w:p w14:paraId="282D64E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68C6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EE88C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19ADD38">
            <w:pPr>
              <w:jc w:val="center"/>
              <w:rPr>
                <w:rFonts w:ascii="黑体" w:eastAsia="黑体" w:cs="黑体"/>
                <w:b/>
                <w:bCs/>
                <w:color w:val="000000" w:themeColor="text1"/>
                <w:szCs w:val="21"/>
              </w:rPr>
            </w:pPr>
            <w:r>
              <w:rPr>
                <w:rFonts w:ascii="黑体" w:eastAsia="黑体" w:cs="黑体"/>
                <w:b/>
                <w:bCs/>
                <w:color w:val="000000" w:themeColor="text1"/>
                <w:szCs w:val="21"/>
              </w:rPr>
              <w:t>113</w:t>
            </w:r>
          </w:p>
        </w:tc>
        <w:tc>
          <w:tcPr>
            <w:tcW w:w="1691" w:type="dxa"/>
            <w:vAlign w:val="center"/>
          </w:tcPr>
          <w:p w14:paraId="3DA4FF2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2C67B5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C90A8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8101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A198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875E7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FB31C8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对依照《建设工程质量管理条例》给予单位罚款处罚的单位直接负责的主管人员和其他直接责任人员的行政处罚</w:t>
            </w:r>
          </w:p>
        </w:tc>
      </w:tr>
      <w:tr w14:paraId="7107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B3C73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9D4250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AAA1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ACFED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63290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号）七十三条　依照本条例规定，给予单位罚款处罚的，对单位直接负责的主管人员和其他直接责任人员处单位罚款数额百分之五以上百分之十以下的罚款。</w:t>
            </w:r>
          </w:p>
          <w:p w14:paraId="150976C6">
            <w:pPr>
              <w:spacing w:line="24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 xml:space="preserve"> 2.</w:t>
            </w:r>
            <w:r>
              <w:rPr>
                <w:rFonts w:hint="eastAsia" w:ascii="仿宋_GB2312" w:eastAsia="仿宋_GB2312" w:cs="仿宋_GB2312"/>
                <w:color w:val="000000" w:themeColor="text1"/>
                <w:kern w:val="0"/>
                <w:sz w:val="18"/>
                <w:szCs w:val="18"/>
              </w:rPr>
              <w:t>《公路水运工程质量监督管理规定》（中华人民共和国交通运输部令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号）</w:t>
            </w:r>
          </w:p>
          <w:p w14:paraId="481DDF3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第四十六条　依照《建设工程质量管理条例》（国务院令第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号）规定给予单位罚款处罚的，对单位直接负责的主管人员和其他直接责任人员处单位罚款数额</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以下的罚款。</w:t>
            </w:r>
          </w:p>
          <w:p w14:paraId="542D99B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8280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88842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FB0F0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6C5DF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0A90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D35381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8A6E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E168E2F">
            <w:pPr>
              <w:rPr>
                <w:color w:val="000000" w:themeColor="text1"/>
              </w:rPr>
            </w:pPr>
          </w:p>
        </w:tc>
        <w:tc>
          <w:tcPr>
            <w:tcW w:w="1110" w:type="dxa"/>
            <w:vAlign w:val="center"/>
          </w:tcPr>
          <w:p w14:paraId="2F5C2C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04CCE8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AA2A8EB">
            <w:pPr>
              <w:jc w:val="center"/>
              <w:rPr>
                <w:rFonts w:ascii="仿宋_GB2312" w:hAnsi="黑体" w:eastAsia="仿宋_GB2312" w:cs="黑体"/>
                <w:color w:val="000000" w:themeColor="text1"/>
                <w:sz w:val="18"/>
                <w:szCs w:val="18"/>
              </w:rPr>
            </w:pPr>
          </w:p>
        </w:tc>
        <w:tc>
          <w:tcPr>
            <w:tcW w:w="1406" w:type="dxa"/>
            <w:vAlign w:val="center"/>
          </w:tcPr>
          <w:p w14:paraId="1A2A39A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09ED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E27A747">
            <w:pPr>
              <w:rPr>
                <w:color w:val="000000" w:themeColor="text1"/>
              </w:rPr>
            </w:pPr>
          </w:p>
        </w:tc>
        <w:tc>
          <w:tcPr>
            <w:tcW w:w="1110" w:type="dxa"/>
            <w:vAlign w:val="center"/>
          </w:tcPr>
          <w:p w14:paraId="6DD58F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E7986D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2F22F0D">
            <w:pPr>
              <w:jc w:val="center"/>
              <w:rPr>
                <w:rFonts w:ascii="仿宋_GB2312" w:hAnsi="黑体" w:eastAsia="仿宋_GB2312" w:cs="黑体"/>
                <w:color w:val="000000" w:themeColor="text1"/>
                <w:sz w:val="18"/>
                <w:szCs w:val="18"/>
              </w:rPr>
            </w:pPr>
          </w:p>
        </w:tc>
        <w:tc>
          <w:tcPr>
            <w:tcW w:w="1406" w:type="dxa"/>
            <w:vAlign w:val="center"/>
          </w:tcPr>
          <w:p w14:paraId="45F07D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65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CD382F2">
            <w:pPr>
              <w:rPr>
                <w:color w:val="000000" w:themeColor="text1"/>
              </w:rPr>
            </w:pPr>
          </w:p>
        </w:tc>
        <w:tc>
          <w:tcPr>
            <w:tcW w:w="1110" w:type="dxa"/>
            <w:vAlign w:val="center"/>
          </w:tcPr>
          <w:p w14:paraId="6DD67F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4DD4C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1D18AA4">
            <w:pPr>
              <w:jc w:val="center"/>
              <w:rPr>
                <w:rFonts w:ascii="仿宋_GB2312" w:hAnsi="黑体" w:eastAsia="仿宋_GB2312" w:cs="黑体"/>
                <w:color w:val="000000" w:themeColor="text1"/>
                <w:sz w:val="18"/>
                <w:szCs w:val="18"/>
              </w:rPr>
            </w:pPr>
          </w:p>
        </w:tc>
        <w:tc>
          <w:tcPr>
            <w:tcW w:w="1406" w:type="dxa"/>
            <w:vAlign w:val="center"/>
          </w:tcPr>
          <w:p w14:paraId="27C11E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F7C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99EEDAF">
            <w:pPr>
              <w:rPr>
                <w:color w:val="000000" w:themeColor="text1"/>
              </w:rPr>
            </w:pPr>
          </w:p>
        </w:tc>
        <w:tc>
          <w:tcPr>
            <w:tcW w:w="1110" w:type="dxa"/>
            <w:vAlign w:val="center"/>
          </w:tcPr>
          <w:p w14:paraId="029CB9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B0B28B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00CC6DF">
            <w:pPr>
              <w:jc w:val="center"/>
              <w:rPr>
                <w:rFonts w:ascii="仿宋_GB2312" w:hAnsi="黑体" w:eastAsia="仿宋_GB2312" w:cs="黑体"/>
                <w:color w:val="000000" w:themeColor="text1"/>
                <w:sz w:val="18"/>
                <w:szCs w:val="18"/>
              </w:rPr>
            </w:pPr>
          </w:p>
        </w:tc>
        <w:tc>
          <w:tcPr>
            <w:tcW w:w="1406" w:type="dxa"/>
            <w:vAlign w:val="center"/>
          </w:tcPr>
          <w:p w14:paraId="45C7CC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E885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ACE26C2">
            <w:pPr>
              <w:rPr>
                <w:color w:val="000000" w:themeColor="text1"/>
              </w:rPr>
            </w:pPr>
          </w:p>
        </w:tc>
        <w:tc>
          <w:tcPr>
            <w:tcW w:w="1110" w:type="dxa"/>
            <w:vAlign w:val="center"/>
          </w:tcPr>
          <w:p w14:paraId="1323AA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792B9B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C70A91C">
            <w:pPr>
              <w:jc w:val="center"/>
              <w:rPr>
                <w:rFonts w:ascii="仿宋_GB2312" w:hAnsi="黑体" w:eastAsia="仿宋_GB2312" w:cs="黑体"/>
                <w:color w:val="000000" w:themeColor="text1"/>
                <w:sz w:val="18"/>
                <w:szCs w:val="18"/>
              </w:rPr>
            </w:pPr>
          </w:p>
        </w:tc>
        <w:tc>
          <w:tcPr>
            <w:tcW w:w="1406" w:type="dxa"/>
            <w:vAlign w:val="center"/>
          </w:tcPr>
          <w:p w14:paraId="20116D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A9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71B10E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6C4AFD2">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646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244AE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C65360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55338A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BD99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73813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E3255B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007046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9C85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279415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C929FF9">
            <w:pPr>
              <w:widowControl/>
              <w:jc w:val="left"/>
              <w:textAlignment w:val="center"/>
              <w:rPr>
                <w:rFonts w:ascii="黑体" w:eastAsia="黑体" w:cs="黑体"/>
                <w:color w:val="000000" w:themeColor="text1"/>
                <w:kern w:val="0"/>
                <w:sz w:val="18"/>
                <w:szCs w:val="18"/>
              </w:rPr>
            </w:pPr>
          </w:p>
        </w:tc>
      </w:tr>
    </w:tbl>
    <w:p w14:paraId="7714DCF9">
      <w:pPr>
        <w:pStyle w:val="8"/>
        <w:snapToGrid w:val="0"/>
        <w:spacing w:before="0" w:beforeAutospacing="0" w:after="0" w:afterAutospacing="0" w:line="240" w:lineRule="atLeast"/>
        <w:jc w:val="both"/>
        <w:rPr>
          <w:color w:val="000000" w:themeColor="text1"/>
          <w:sz w:val="11"/>
          <w:szCs w:val="11"/>
        </w:rPr>
      </w:pPr>
    </w:p>
    <w:p w14:paraId="31572BA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1B79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A0B99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C829690">
            <w:pPr>
              <w:jc w:val="center"/>
              <w:rPr>
                <w:rFonts w:ascii="黑体" w:eastAsia="黑体" w:cs="黑体"/>
                <w:b/>
                <w:bCs/>
                <w:color w:val="000000" w:themeColor="text1"/>
                <w:szCs w:val="21"/>
              </w:rPr>
            </w:pPr>
            <w:r>
              <w:rPr>
                <w:rFonts w:ascii="黑体" w:eastAsia="黑体" w:cs="黑体"/>
                <w:b/>
                <w:bCs/>
                <w:color w:val="000000" w:themeColor="text1"/>
                <w:szCs w:val="21"/>
              </w:rPr>
              <w:t>114</w:t>
            </w:r>
          </w:p>
        </w:tc>
        <w:tc>
          <w:tcPr>
            <w:tcW w:w="1691" w:type="dxa"/>
            <w:vAlign w:val="center"/>
          </w:tcPr>
          <w:p w14:paraId="1394D08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D78BE5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6B9C6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EE8F44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3B8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3" w:hRule="atLeast"/>
          <w:jc w:val="center"/>
        </w:trPr>
        <w:tc>
          <w:tcPr>
            <w:tcW w:w="943" w:type="dxa"/>
            <w:vAlign w:val="center"/>
          </w:tcPr>
          <w:p w14:paraId="661D84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370748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对交通运输领域建设工程项目注册执业人员因过错造成质量事故的行政处罚</w:t>
            </w:r>
          </w:p>
        </w:tc>
      </w:tr>
      <w:tr w14:paraId="0F281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09EC4F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040899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7DB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E6315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BE211F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号）第七十二条违反本条例规定，注册建筑师、注册结构工程师、监理工程师等注册执业人员因过错造成质量事故的，责令停止执业</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年；造成重大质量事故的，吊销执业资格证书，</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年以内不予注册；情节特别恶劣的，终身不予注册。</w:t>
            </w:r>
          </w:p>
          <w:p w14:paraId="4E0FA0FF">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8112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9F6AF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C55CB9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10145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96E2D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2ADA98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4C3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C7D1781">
            <w:pPr>
              <w:rPr>
                <w:color w:val="000000" w:themeColor="text1"/>
              </w:rPr>
            </w:pPr>
          </w:p>
        </w:tc>
        <w:tc>
          <w:tcPr>
            <w:tcW w:w="1110" w:type="dxa"/>
            <w:vAlign w:val="center"/>
          </w:tcPr>
          <w:p w14:paraId="004EAA2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7725D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5CED696">
            <w:pPr>
              <w:jc w:val="center"/>
              <w:rPr>
                <w:rFonts w:ascii="仿宋_GB2312" w:hAnsi="黑体" w:eastAsia="仿宋_GB2312" w:cs="黑体"/>
                <w:color w:val="000000" w:themeColor="text1"/>
                <w:sz w:val="18"/>
                <w:szCs w:val="18"/>
              </w:rPr>
            </w:pPr>
          </w:p>
        </w:tc>
        <w:tc>
          <w:tcPr>
            <w:tcW w:w="1406" w:type="dxa"/>
            <w:vAlign w:val="center"/>
          </w:tcPr>
          <w:p w14:paraId="377AB5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23D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FBD1989">
            <w:pPr>
              <w:rPr>
                <w:color w:val="000000" w:themeColor="text1"/>
              </w:rPr>
            </w:pPr>
          </w:p>
        </w:tc>
        <w:tc>
          <w:tcPr>
            <w:tcW w:w="1110" w:type="dxa"/>
            <w:vAlign w:val="center"/>
          </w:tcPr>
          <w:p w14:paraId="3B8ABF6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827E1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2D7AFCD">
            <w:pPr>
              <w:jc w:val="center"/>
              <w:rPr>
                <w:rFonts w:ascii="仿宋_GB2312" w:hAnsi="黑体" w:eastAsia="仿宋_GB2312" w:cs="黑体"/>
                <w:color w:val="000000" w:themeColor="text1"/>
                <w:sz w:val="18"/>
                <w:szCs w:val="18"/>
              </w:rPr>
            </w:pPr>
          </w:p>
        </w:tc>
        <w:tc>
          <w:tcPr>
            <w:tcW w:w="1406" w:type="dxa"/>
            <w:vAlign w:val="center"/>
          </w:tcPr>
          <w:p w14:paraId="76B57A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08F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EDADDB0">
            <w:pPr>
              <w:rPr>
                <w:color w:val="000000" w:themeColor="text1"/>
              </w:rPr>
            </w:pPr>
          </w:p>
        </w:tc>
        <w:tc>
          <w:tcPr>
            <w:tcW w:w="1110" w:type="dxa"/>
            <w:vAlign w:val="center"/>
          </w:tcPr>
          <w:p w14:paraId="35A05E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1A4D8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F5CE57D">
            <w:pPr>
              <w:jc w:val="center"/>
              <w:rPr>
                <w:rFonts w:ascii="仿宋_GB2312" w:hAnsi="黑体" w:eastAsia="仿宋_GB2312" w:cs="黑体"/>
                <w:color w:val="000000" w:themeColor="text1"/>
                <w:sz w:val="18"/>
                <w:szCs w:val="18"/>
              </w:rPr>
            </w:pPr>
          </w:p>
        </w:tc>
        <w:tc>
          <w:tcPr>
            <w:tcW w:w="1406" w:type="dxa"/>
            <w:vAlign w:val="center"/>
          </w:tcPr>
          <w:p w14:paraId="1E0CDB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32C9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C00D93B">
            <w:pPr>
              <w:rPr>
                <w:color w:val="000000" w:themeColor="text1"/>
              </w:rPr>
            </w:pPr>
          </w:p>
        </w:tc>
        <w:tc>
          <w:tcPr>
            <w:tcW w:w="1110" w:type="dxa"/>
            <w:vAlign w:val="center"/>
          </w:tcPr>
          <w:p w14:paraId="25EAFD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D031FA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80DD270">
            <w:pPr>
              <w:jc w:val="center"/>
              <w:rPr>
                <w:rFonts w:ascii="仿宋_GB2312" w:hAnsi="黑体" w:eastAsia="仿宋_GB2312" w:cs="黑体"/>
                <w:color w:val="000000" w:themeColor="text1"/>
                <w:sz w:val="18"/>
                <w:szCs w:val="18"/>
              </w:rPr>
            </w:pPr>
          </w:p>
        </w:tc>
        <w:tc>
          <w:tcPr>
            <w:tcW w:w="1406" w:type="dxa"/>
            <w:vAlign w:val="center"/>
          </w:tcPr>
          <w:p w14:paraId="12F563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D7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1726B52">
            <w:pPr>
              <w:rPr>
                <w:color w:val="000000" w:themeColor="text1"/>
              </w:rPr>
            </w:pPr>
          </w:p>
        </w:tc>
        <w:tc>
          <w:tcPr>
            <w:tcW w:w="1110" w:type="dxa"/>
            <w:vAlign w:val="center"/>
          </w:tcPr>
          <w:p w14:paraId="3595EB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F09F86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BADAB68">
            <w:pPr>
              <w:jc w:val="center"/>
              <w:rPr>
                <w:rFonts w:ascii="仿宋_GB2312" w:hAnsi="黑体" w:eastAsia="仿宋_GB2312" w:cs="黑体"/>
                <w:color w:val="000000" w:themeColor="text1"/>
                <w:sz w:val="18"/>
                <w:szCs w:val="18"/>
              </w:rPr>
            </w:pPr>
          </w:p>
        </w:tc>
        <w:tc>
          <w:tcPr>
            <w:tcW w:w="1406" w:type="dxa"/>
            <w:vAlign w:val="center"/>
          </w:tcPr>
          <w:p w14:paraId="6C0B16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A88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5EDAEB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AF963F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A4B7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E38F0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7F25CD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A9FFDF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219A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888CD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2C4C9C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12EF67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04C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2B734E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A5B4B79">
            <w:pPr>
              <w:widowControl/>
              <w:jc w:val="left"/>
              <w:textAlignment w:val="center"/>
              <w:rPr>
                <w:rFonts w:ascii="黑体" w:eastAsia="黑体" w:cs="黑体"/>
                <w:color w:val="000000" w:themeColor="text1"/>
                <w:kern w:val="0"/>
                <w:sz w:val="18"/>
                <w:szCs w:val="18"/>
              </w:rPr>
            </w:pPr>
          </w:p>
        </w:tc>
      </w:tr>
    </w:tbl>
    <w:p w14:paraId="445BAAF5">
      <w:pPr>
        <w:rPr>
          <w:color w:val="000000" w:themeColor="text1"/>
          <w:sz w:val="24"/>
        </w:rPr>
      </w:pPr>
    </w:p>
    <w:p w14:paraId="747CE9F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95A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DE614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C3DAE66">
            <w:pPr>
              <w:jc w:val="center"/>
              <w:rPr>
                <w:rFonts w:ascii="黑体" w:eastAsia="黑体" w:cs="黑体"/>
                <w:b/>
                <w:bCs/>
                <w:color w:val="000000" w:themeColor="text1"/>
                <w:szCs w:val="21"/>
              </w:rPr>
            </w:pPr>
            <w:r>
              <w:rPr>
                <w:rFonts w:ascii="黑体" w:eastAsia="黑体" w:cs="黑体"/>
                <w:b/>
                <w:bCs/>
                <w:color w:val="000000" w:themeColor="text1"/>
                <w:szCs w:val="21"/>
              </w:rPr>
              <w:t>115</w:t>
            </w:r>
          </w:p>
        </w:tc>
        <w:tc>
          <w:tcPr>
            <w:tcW w:w="1691" w:type="dxa"/>
            <w:vAlign w:val="center"/>
          </w:tcPr>
          <w:p w14:paraId="00E48C5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EC8C7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D44F1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FEF196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06D6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EC818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5FFA74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对交通运输领域建设工程项目未经注册擅自以注册人员名义从事建设工程勘察、设计活动的行政处罚</w:t>
            </w:r>
          </w:p>
        </w:tc>
      </w:tr>
      <w:tr w14:paraId="14427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F72CB8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892F9F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8AB8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CFEA7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31DF7A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bookmarkStart w:id="19" w:name="OLE_LINK20"/>
            <w:r>
              <w:rPr>
                <w:rFonts w:hint="eastAsia" w:ascii="仿宋_GB2312" w:eastAsia="仿宋_GB2312" w:cs="仿宋_GB2312"/>
                <w:color w:val="000000" w:themeColor="text1"/>
                <w:kern w:val="0"/>
                <w:sz w:val="18"/>
                <w:szCs w:val="18"/>
              </w:rPr>
              <w:t>建设工程勘察设计管理条例</w:t>
            </w:r>
            <w:bookmarkEnd w:id="19"/>
            <w:r>
              <w:rPr>
                <w:rFonts w:hint="eastAsia" w:ascii="仿宋_GB2312" w:eastAsia="仿宋_GB2312" w:cs="仿宋_GB2312"/>
                <w:color w:val="000000" w:themeColor="text1"/>
                <w:kern w:val="0"/>
                <w:sz w:val="18"/>
                <w:szCs w:val="18"/>
              </w:rPr>
              <w:t>》第三十六条违反本条例规定，未经注册，擅自以注册建设工程勘察、设计人员的名义从事建设工程勘察、设计活动的，责令停止违法行为，没收违法所得，处违法所得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倍以上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倍以下罚款；给他人造成损失的，依法承担赔偿责任。</w:t>
            </w:r>
          </w:p>
          <w:p w14:paraId="552BFED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6CB5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FBD41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0A9C3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027EC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2EA4A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C71F48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753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3E3671D">
            <w:pPr>
              <w:rPr>
                <w:color w:val="000000" w:themeColor="text1"/>
              </w:rPr>
            </w:pPr>
          </w:p>
        </w:tc>
        <w:tc>
          <w:tcPr>
            <w:tcW w:w="1110" w:type="dxa"/>
            <w:vAlign w:val="center"/>
          </w:tcPr>
          <w:p w14:paraId="64ACAB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4D1F4C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5054A97">
            <w:pPr>
              <w:jc w:val="center"/>
              <w:rPr>
                <w:rFonts w:ascii="仿宋_GB2312" w:hAnsi="黑体" w:eastAsia="仿宋_GB2312" w:cs="黑体"/>
                <w:color w:val="000000" w:themeColor="text1"/>
                <w:sz w:val="18"/>
                <w:szCs w:val="18"/>
              </w:rPr>
            </w:pPr>
          </w:p>
        </w:tc>
        <w:tc>
          <w:tcPr>
            <w:tcW w:w="1406" w:type="dxa"/>
            <w:vAlign w:val="center"/>
          </w:tcPr>
          <w:p w14:paraId="21ACE6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7C9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E3576EF">
            <w:pPr>
              <w:rPr>
                <w:color w:val="000000" w:themeColor="text1"/>
              </w:rPr>
            </w:pPr>
          </w:p>
        </w:tc>
        <w:tc>
          <w:tcPr>
            <w:tcW w:w="1110" w:type="dxa"/>
            <w:vAlign w:val="center"/>
          </w:tcPr>
          <w:p w14:paraId="20A23A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07692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ED7EA91">
            <w:pPr>
              <w:jc w:val="center"/>
              <w:rPr>
                <w:rFonts w:ascii="仿宋_GB2312" w:hAnsi="黑体" w:eastAsia="仿宋_GB2312" w:cs="黑体"/>
                <w:color w:val="000000" w:themeColor="text1"/>
                <w:sz w:val="18"/>
                <w:szCs w:val="18"/>
              </w:rPr>
            </w:pPr>
          </w:p>
        </w:tc>
        <w:tc>
          <w:tcPr>
            <w:tcW w:w="1406" w:type="dxa"/>
            <w:vAlign w:val="center"/>
          </w:tcPr>
          <w:p w14:paraId="1CCD94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029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C22F1B4">
            <w:pPr>
              <w:rPr>
                <w:color w:val="000000" w:themeColor="text1"/>
              </w:rPr>
            </w:pPr>
          </w:p>
        </w:tc>
        <w:tc>
          <w:tcPr>
            <w:tcW w:w="1110" w:type="dxa"/>
            <w:vAlign w:val="center"/>
          </w:tcPr>
          <w:p w14:paraId="296F998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5DF5CA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6E46E24">
            <w:pPr>
              <w:jc w:val="center"/>
              <w:rPr>
                <w:rFonts w:ascii="仿宋_GB2312" w:hAnsi="黑体" w:eastAsia="仿宋_GB2312" w:cs="黑体"/>
                <w:color w:val="000000" w:themeColor="text1"/>
                <w:sz w:val="18"/>
                <w:szCs w:val="18"/>
              </w:rPr>
            </w:pPr>
          </w:p>
        </w:tc>
        <w:tc>
          <w:tcPr>
            <w:tcW w:w="1406" w:type="dxa"/>
            <w:vAlign w:val="center"/>
          </w:tcPr>
          <w:p w14:paraId="2900AC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0420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6C31119">
            <w:pPr>
              <w:rPr>
                <w:color w:val="000000" w:themeColor="text1"/>
              </w:rPr>
            </w:pPr>
          </w:p>
        </w:tc>
        <w:tc>
          <w:tcPr>
            <w:tcW w:w="1110" w:type="dxa"/>
            <w:vAlign w:val="center"/>
          </w:tcPr>
          <w:p w14:paraId="0AA783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5567AB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1C4C7F8">
            <w:pPr>
              <w:jc w:val="center"/>
              <w:rPr>
                <w:rFonts w:ascii="仿宋_GB2312" w:hAnsi="黑体" w:eastAsia="仿宋_GB2312" w:cs="黑体"/>
                <w:color w:val="000000" w:themeColor="text1"/>
                <w:sz w:val="18"/>
                <w:szCs w:val="18"/>
              </w:rPr>
            </w:pPr>
          </w:p>
        </w:tc>
        <w:tc>
          <w:tcPr>
            <w:tcW w:w="1406" w:type="dxa"/>
            <w:vAlign w:val="center"/>
          </w:tcPr>
          <w:p w14:paraId="25630D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BA8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0143AB5">
            <w:pPr>
              <w:rPr>
                <w:color w:val="000000" w:themeColor="text1"/>
              </w:rPr>
            </w:pPr>
          </w:p>
        </w:tc>
        <w:tc>
          <w:tcPr>
            <w:tcW w:w="1110" w:type="dxa"/>
            <w:vAlign w:val="center"/>
          </w:tcPr>
          <w:p w14:paraId="11C2E2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954BC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B4D82B0">
            <w:pPr>
              <w:jc w:val="center"/>
              <w:rPr>
                <w:rFonts w:ascii="仿宋_GB2312" w:hAnsi="黑体" w:eastAsia="仿宋_GB2312" w:cs="黑体"/>
                <w:color w:val="000000" w:themeColor="text1"/>
                <w:sz w:val="18"/>
                <w:szCs w:val="18"/>
              </w:rPr>
            </w:pPr>
          </w:p>
        </w:tc>
        <w:tc>
          <w:tcPr>
            <w:tcW w:w="1406" w:type="dxa"/>
            <w:vAlign w:val="center"/>
          </w:tcPr>
          <w:p w14:paraId="2769A77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B89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555DF2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C1B3810">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75F7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1A2E7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5BCC27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E68EE7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E2F9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18170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02775E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0C76C7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8351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F3AF15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9587B7F">
            <w:pPr>
              <w:widowControl/>
              <w:jc w:val="left"/>
              <w:textAlignment w:val="center"/>
              <w:rPr>
                <w:rFonts w:ascii="黑体" w:eastAsia="黑体" w:cs="黑体"/>
                <w:color w:val="000000" w:themeColor="text1"/>
                <w:kern w:val="0"/>
                <w:sz w:val="18"/>
                <w:szCs w:val="18"/>
              </w:rPr>
            </w:pPr>
          </w:p>
        </w:tc>
      </w:tr>
    </w:tbl>
    <w:p w14:paraId="2A1BFE08">
      <w:pPr>
        <w:rPr>
          <w:color w:val="000000" w:themeColor="text1"/>
          <w:sz w:val="24"/>
        </w:rPr>
      </w:pPr>
    </w:p>
    <w:p w14:paraId="44767AA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C897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53B28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1C89071">
            <w:pPr>
              <w:jc w:val="center"/>
              <w:rPr>
                <w:rFonts w:ascii="黑体" w:eastAsia="黑体" w:cs="黑体"/>
                <w:b/>
                <w:bCs/>
                <w:color w:val="000000" w:themeColor="text1"/>
                <w:szCs w:val="21"/>
              </w:rPr>
            </w:pPr>
            <w:r>
              <w:rPr>
                <w:rFonts w:ascii="黑体" w:eastAsia="黑体" w:cs="黑体"/>
                <w:b/>
                <w:bCs/>
                <w:color w:val="000000" w:themeColor="text1"/>
                <w:szCs w:val="21"/>
              </w:rPr>
              <w:t>116</w:t>
            </w:r>
          </w:p>
        </w:tc>
        <w:tc>
          <w:tcPr>
            <w:tcW w:w="1691" w:type="dxa"/>
            <w:vAlign w:val="center"/>
          </w:tcPr>
          <w:p w14:paraId="6D056A6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BC921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B5086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210F3E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15F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5A446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2FE422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对交通运输领域建设工程项目执业人员和其他专业技术人员不按规定受聘而从事建设工程勘察、设计活动行为的行政处罚</w:t>
            </w:r>
          </w:p>
        </w:tc>
      </w:tr>
      <w:tr w14:paraId="5DA64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FBBE6C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239427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ABC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EAD8A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53BCC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勘察设计管理条例》第三十七条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倍以上</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倍以下的罚款；情节严重的，可以责令停止执行业务或者吊销资格证书；给他人造成损失的，依法承担赔偿责任。</w:t>
            </w:r>
          </w:p>
          <w:p w14:paraId="335673E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65C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1E40D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6BC94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C04A0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F4233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86DEFE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E542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58E729E">
            <w:pPr>
              <w:rPr>
                <w:color w:val="000000" w:themeColor="text1"/>
              </w:rPr>
            </w:pPr>
          </w:p>
        </w:tc>
        <w:tc>
          <w:tcPr>
            <w:tcW w:w="1110" w:type="dxa"/>
            <w:vAlign w:val="center"/>
          </w:tcPr>
          <w:p w14:paraId="34F3DB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8FF212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000223E">
            <w:pPr>
              <w:jc w:val="center"/>
              <w:rPr>
                <w:rFonts w:ascii="仿宋_GB2312" w:hAnsi="黑体" w:eastAsia="仿宋_GB2312" w:cs="黑体"/>
                <w:color w:val="000000" w:themeColor="text1"/>
                <w:sz w:val="18"/>
                <w:szCs w:val="18"/>
              </w:rPr>
            </w:pPr>
          </w:p>
        </w:tc>
        <w:tc>
          <w:tcPr>
            <w:tcW w:w="1406" w:type="dxa"/>
            <w:vAlign w:val="center"/>
          </w:tcPr>
          <w:p w14:paraId="1C106B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3CF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E3BD9C1">
            <w:pPr>
              <w:rPr>
                <w:color w:val="000000" w:themeColor="text1"/>
              </w:rPr>
            </w:pPr>
          </w:p>
        </w:tc>
        <w:tc>
          <w:tcPr>
            <w:tcW w:w="1110" w:type="dxa"/>
            <w:vAlign w:val="center"/>
          </w:tcPr>
          <w:p w14:paraId="0B2ADA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C31B2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EECA99C">
            <w:pPr>
              <w:jc w:val="center"/>
              <w:rPr>
                <w:rFonts w:ascii="仿宋_GB2312" w:hAnsi="黑体" w:eastAsia="仿宋_GB2312" w:cs="黑体"/>
                <w:color w:val="000000" w:themeColor="text1"/>
                <w:sz w:val="18"/>
                <w:szCs w:val="18"/>
              </w:rPr>
            </w:pPr>
          </w:p>
        </w:tc>
        <w:tc>
          <w:tcPr>
            <w:tcW w:w="1406" w:type="dxa"/>
            <w:vAlign w:val="center"/>
          </w:tcPr>
          <w:p w14:paraId="589645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1068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91256F9">
            <w:pPr>
              <w:rPr>
                <w:color w:val="000000" w:themeColor="text1"/>
              </w:rPr>
            </w:pPr>
          </w:p>
        </w:tc>
        <w:tc>
          <w:tcPr>
            <w:tcW w:w="1110" w:type="dxa"/>
            <w:vAlign w:val="center"/>
          </w:tcPr>
          <w:p w14:paraId="3CD753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1D1450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B33E565">
            <w:pPr>
              <w:jc w:val="center"/>
              <w:rPr>
                <w:rFonts w:ascii="仿宋_GB2312" w:hAnsi="黑体" w:eastAsia="仿宋_GB2312" w:cs="黑体"/>
                <w:color w:val="000000" w:themeColor="text1"/>
                <w:sz w:val="18"/>
                <w:szCs w:val="18"/>
              </w:rPr>
            </w:pPr>
          </w:p>
        </w:tc>
        <w:tc>
          <w:tcPr>
            <w:tcW w:w="1406" w:type="dxa"/>
            <w:vAlign w:val="center"/>
          </w:tcPr>
          <w:p w14:paraId="7EA3E2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01B5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4793ED8">
            <w:pPr>
              <w:rPr>
                <w:color w:val="000000" w:themeColor="text1"/>
              </w:rPr>
            </w:pPr>
          </w:p>
        </w:tc>
        <w:tc>
          <w:tcPr>
            <w:tcW w:w="1110" w:type="dxa"/>
            <w:vAlign w:val="center"/>
          </w:tcPr>
          <w:p w14:paraId="32ABFC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DCEB25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33A4D16">
            <w:pPr>
              <w:jc w:val="center"/>
              <w:rPr>
                <w:rFonts w:ascii="仿宋_GB2312" w:hAnsi="黑体" w:eastAsia="仿宋_GB2312" w:cs="黑体"/>
                <w:color w:val="000000" w:themeColor="text1"/>
                <w:sz w:val="18"/>
                <w:szCs w:val="18"/>
              </w:rPr>
            </w:pPr>
          </w:p>
        </w:tc>
        <w:tc>
          <w:tcPr>
            <w:tcW w:w="1406" w:type="dxa"/>
            <w:vAlign w:val="center"/>
          </w:tcPr>
          <w:p w14:paraId="3B007C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1DF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D6E18E1">
            <w:pPr>
              <w:rPr>
                <w:color w:val="000000" w:themeColor="text1"/>
              </w:rPr>
            </w:pPr>
          </w:p>
        </w:tc>
        <w:tc>
          <w:tcPr>
            <w:tcW w:w="1110" w:type="dxa"/>
            <w:vAlign w:val="center"/>
          </w:tcPr>
          <w:p w14:paraId="12D10A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C4B15E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A498E78">
            <w:pPr>
              <w:jc w:val="center"/>
              <w:rPr>
                <w:rFonts w:ascii="仿宋_GB2312" w:hAnsi="黑体" w:eastAsia="仿宋_GB2312" w:cs="黑体"/>
                <w:color w:val="000000" w:themeColor="text1"/>
                <w:sz w:val="18"/>
                <w:szCs w:val="18"/>
              </w:rPr>
            </w:pPr>
          </w:p>
        </w:tc>
        <w:tc>
          <w:tcPr>
            <w:tcW w:w="1406" w:type="dxa"/>
            <w:vAlign w:val="center"/>
          </w:tcPr>
          <w:p w14:paraId="7ACD69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D691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49542A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877ADF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7BF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5DDEF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6E5488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C0E4DC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5ECA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700B9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509AC6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F207DC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E7B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1" w:hRule="atLeast"/>
          <w:jc w:val="center"/>
        </w:trPr>
        <w:tc>
          <w:tcPr>
            <w:tcW w:w="943" w:type="dxa"/>
            <w:vAlign w:val="center"/>
          </w:tcPr>
          <w:p w14:paraId="7ADF56B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361EFA7">
            <w:pPr>
              <w:widowControl/>
              <w:jc w:val="left"/>
              <w:textAlignment w:val="center"/>
              <w:rPr>
                <w:rFonts w:ascii="黑体" w:eastAsia="黑体" w:cs="黑体"/>
                <w:color w:val="000000" w:themeColor="text1"/>
                <w:kern w:val="0"/>
                <w:sz w:val="18"/>
                <w:szCs w:val="18"/>
              </w:rPr>
            </w:pPr>
          </w:p>
        </w:tc>
      </w:tr>
    </w:tbl>
    <w:p w14:paraId="5F93314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3C5E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16157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C41D824">
            <w:pPr>
              <w:jc w:val="center"/>
              <w:rPr>
                <w:rFonts w:ascii="黑体" w:eastAsia="黑体" w:cs="黑体"/>
                <w:b/>
                <w:bCs/>
                <w:color w:val="000000" w:themeColor="text1"/>
                <w:szCs w:val="21"/>
              </w:rPr>
            </w:pPr>
            <w:r>
              <w:rPr>
                <w:rFonts w:ascii="黑体" w:eastAsia="黑体" w:cs="黑体"/>
                <w:b/>
                <w:bCs/>
                <w:color w:val="000000" w:themeColor="text1"/>
                <w:szCs w:val="21"/>
              </w:rPr>
              <w:t>117</w:t>
            </w:r>
          </w:p>
        </w:tc>
        <w:tc>
          <w:tcPr>
            <w:tcW w:w="1691" w:type="dxa"/>
            <w:vAlign w:val="center"/>
          </w:tcPr>
          <w:p w14:paraId="175C0A4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9C5C21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645F5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F41C2E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4D72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273A7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78C0E5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对交通运输领域建设工程项目勘察设计单位未依据批准文件、规划或国家规定编制建设工程勘察、设计文件行为的行政处罚</w:t>
            </w:r>
          </w:p>
        </w:tc>
      </w:tr>
      <w:tr w14:paraId="311EF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104A20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094C74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0C32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AB582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C0DF68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勘察设计管理条例》第四十条违反本条例规定，勘察、设计单位未依据项目批准文件，城乡规划及专业规划，国家规定的建设工程勘察、设计深度要求编制建设工程勘察、设计文件的，责令限期改正；逾期不改正的，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万元以下的罚款；造成工程质量事故或者环境污染和生态破坏的，责令停业整顿，降低资质等级；情节严重的，吊销资质证书；造成损失的，依法承担赔偿责任。</w:t>
            </w:r>
          </w:p>
          <w:p w14:paraId="44490AC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49D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2F7F0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0001E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31BEB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6385E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CBFF09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C853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74A77F3">
            <w:pPr>
              <w:rPr>
                <w:color w:val="000000" w:themeColor="text1"/>
              </w:rPr>
            </w:pPr>
          </w:p>
        </w:tc>
        <w:tc>
          <w:tcPr>
            <w:tcW w:w="1110" w:type="dxa"/>
            <w:vAlign w:val="center"/>
          </w:tcPr>
          <w:p w14:paraId="191BE4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57553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C404900">
            <w:pPr>
              <w:jc w:val="center"/>
              <w:rPr>
                <w:rFonts w:ascii="仿宋_GB2312" w:hAnsi="黑体" w:eastAsia="仿宋_GB2312" w:cs="黑体"/>
                <w:color w:val="000000" w:themeColor="text1"/>
                <w:sz w:val="18"/>
                <w:szCs w:val="18"/>
              </w:rPr>
            </w:pPr>
          </w:p>
        </w:tc>
        <w:tc>
          <w:tcPr>
            <w:tcW w:w="1406" w:type="dxa"/>
            <w:vAlign w:val="center"/>
          </w:tcPr>
          <w:p w14:paraId="1E683B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FA5B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63B5110">
            <w:pPr>
              <w:rPr>
                <w:color w:val="000000" w:themeColor="text1"/>
              </w:rPr>
            </w:pPr>
          </w:p>
        </w:tc>
        <w:tc>
          <w:tcPr>
            <w:tcW w:w="1110" w:type="dxa"/>
            <w:vAlign w:val="center"/>
          </w:tcPr>
          <w:p w14:paraId="1DA058D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872A35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54CC33D">
            <w:pPr>
              <w:jc w:val="center"/>
              <w:rPr>
                <w:rFonts w:ascii="仿宋_GB2312" w:hAnsi="黑体" w:eastAsia="仿宋_GB2312" w:cs="黑体"/>
                <w:color w:val="000000" w:themeColor="text1"/>
                <w:sz w:val="18"/>
                <w:szCs w:val="18"/>
              </w:rPr>
            </w:pPr>
          </w:p>
        </w:tc>
        <w:tc>
          <w:tcPr>
            <w:tcW w:w="1406" w:type="dxa"/>
            <w:vAlign w:val="center"/>
          </w:tcPr>
          <w:p w14:paraId="410C9C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54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4F5D2DB">
            <w:pPr>
              <w:rPr>
                <w:color w:val="000000" w:themeColor="text1"/>
              </w:rPr>
            </w:pPr>
          </w:p>
        </w:tc>
        <w:tc>
          <w:tcPr>
            <w:tcW w:w="1110" w:type="dxa"/>
            <w:vAlign w:val="center"/>
          </w:tcPr>
          <w:p w14:paraId="0613F5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808957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FF49907">
            <w:pPr>
              <w:jc w:val="center"/>
              <w:rPr>
                <w:rFonts w:ascii="仿宋_GB2312" w:hAnsi="黑体" w:eastAsia="仿宋_GB2312" w:cs="黑体"/>
                <w:color w:val="000000" w:themeColor="text1"/>
                <w:sz w:val="18"/>
                <w:szCs w:val="18"/>
              </w:rPr>
            </w:pPr>
          </w:p>
        </w:tc>
        <w:tc>
          <w:tcPr>
            <w:tcW w:w="1406" w:type="dxa"/>
            <w:vAlign w:val="center"/>
          </w:tcPr>
          <w:p w14:paraId="23ABA7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FA4E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18E51C7">
            <w:pPr>
              <w:rPr>
                <w:color w:val="000000" w:themeColor="text1"/>
              </w:rPr>
            </w:pPr>
          </w:p>
        </w:tc>
        <w:tc>
          <w:tcPr>
            <w:tcW w:w="1110" w:type="dxa"/>
            <w:vAlign w:val="center"/>
          </w:tcPr>
          <w:p w14:paraId="7586D4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FFE46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971768C">
            <w:pPr>
              <w:jc w:val="center"/>
              <w:rPr>
                <w:rFonts w:ascii="仿宋_GB2312" w:hAnsi="黑体" w:eastAsia="仿宋_GB2312" w:cs="黑体"/>
                <w:color w:val="000000" w:themeColor="text1"/>
                <w:sz w:val="18"/>
                <w:szCs w:val="18"/>
              </w:rPr>
            </w:pPr>
          </w:p>
        </w:tc>
        <w:tc>
          <w:tcPr>
            <w:tcW w:w="1406" w:type="dxa"/>
            <w:vAlign w:val="center"/>
          </w:tcPr>
          <w:p w14:paraId="029979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A2B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1FAE015">
            <w:pPr>
              <w:rPr>
                <w:color w:val="000000" w:themeColor="text1"/>
              </w:rPr>
            </w:pPr>
          </w:p>
        </w:tc>
        <w:tc>
          <w:tcPr>
            <w:tcW w:w="1110" w:type="dxa"/>
            <w:vAlign w:val="center"/>
          </w:tcPr>
          <w:p w14:paraId="0EC5E33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4228A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92F25FA">
            <w:pPr>
              <w:jc w:val="center"/>
              <w:rPr>
                <w:rFonts w:ascii="仿宋_GB2312" w:hAnsi="黑体" w:eastAsia="仿宋_GB2312" w:cs="黑体"/>
                <w:color w:val="000000" w:themeColor="text1"/>
                <w:sz w:val="18"/>
                <w:szCs w:val="18"/>
              </w:rPr>
            </w:pPr>
          </w:p>
        </w:tc>
        <w:tc>
          <w:tcPr>
            <w:tcW w:w="1406" w:type="dxa"/>
            <w:vAlign w:val="center"/>
          </w:tcPr>
          <w:p w14:paraId="677976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CF0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3BA79D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70269E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F69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FE636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854EA3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9E9B72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334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BB88F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0BE744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436324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F09F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18" w:hRule="atLeast"/>
          <w:jc w:val="center"/>
        </w:trPr>
        <w:tc>
          <w:tcPr>
            <w:tcW w:w="943" w:type="dxa"/>
            <w:vAlign w:val="center"/>
          </w:tcPr>
          <w:p w14:paraId="7B1ECC1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BFEF95E">
            <w:pPr>
              <w:widowControl/>
              <w:jc w:val="left"/>
              <w:textAlignment w:val="center"/>
              <w:rPr>
                <w:rFonts w:ascii="黑体" w:eastAsia="黑体" w:cs="黑体"/>
                <w:color w:val="000000" w:themeColor="text1"/>
                <w:kern w:val="0"/>
                <w:sz w:val="18"/>
                <w:szCs w:val="18"/>
              </w:rPr>
            </w:pPr>
          </w:p>
        </w:tc>
      </w:tr>
    </w:tbl>
    <w:p w14:paraId="2AF97CD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49DC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64AD9E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248F67E1">
            <w:pPr>
              <w:jc w:val="center"/>
              <w:rPr>
                <w:rFonts w:ascii="黑体" w:eastAsia="黑体" w:cs="黑体"/>
                <w:b/>
                <w:bCs/>
                <w:color w:val="000000" w:themeColor="text1"/>
                <w:szCs w:val="21"/>
              </w:rPr>
            </w:pPr>
            <w:r>
              <w:rPr>
                <w:rFonts w:ascii="黑体" w:eastAsia="黑体" w:cs="黑体"/>
                <w:b/>
                <w:bCs/>
                <w:color w:val="000000" w:themeColor="text1"/>
                <w:szCs w:val="21"/>
              </w:rPr>
              <w:t>118</w:t>
            </w:r>
          </w:p>
        </w:tc>
        <w:tc>
          <w:tcPr>
            <w:tcW w:w="1691" w:type="dxa"/>
            <w:tcMar>
              <w:top w:w="15" w:type="dxa"/>
              <w:left w:w="15" w:type="dxa"/>
              <w:bottom w:w="15" w:type="dxa"/>
              <w:right w:w="15" w:type="dxa"/>
            </w:tcMar>
            <w:vAlign w:val="center"/>
          </w:tcPr>
          <w:p w14:paraId="424B404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71D5FDE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7A98B2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3967709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71BE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1AB07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5FEA532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对交通运输领域检测机构未取得相应资质从事质量检测活动；资质证书已过有效期从事质量检测活动；超出资质许可范围从事质量检测活动的行政处罚</w:t>
            </w:r>
          </w:p>
        </w:tc>
      </w:tr>
      <w:tr w14:paraId="38E27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6F267C8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04FFAC6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BF7B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452BDC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5F04854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156A647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第六条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检测机构从事公路水运工程质量检测（以下简称质量检测）活动，应当按照资质等级对应的许可范围承担相应的质量检测业务。</w:t>
            </w:r>
          </w:p>
          <w:p w14:paraId="2A758C5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第四十八条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检测机构违反本办法规定，有下列行为之一的，其检测报告无效，由交通运输主管部门处</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万元以下罚款；造成危害后果的，处</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10</w:t>
            </w:r>
            <w:r>
              <w:rPr>
                <w:rFonts w:hint="eastAsia" w:ascii="仿宋" w:hAnsi="仿宋" w:eastAsia="仿宋" w:cs="仿宋_GB2312"/>
                <w:color w:val="000000" w:themeColor="text1"/>
                <w:kern w:val="0"/>
                <w:sz w:val="15"/>
                <w:szCs w:val="15"/>
              </w:rPr>
              <w:t>万元以下罚款；构成犯罪的，依法追究刑事责任：</w:t>
            </w:r>
          </w:p>
          <w:p w14:paraId="633C861D">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（一）未取得相应资质从事质量检测活动的；（二）资质证书已过有效期从事质量检测活动的；（三）超出资质许可范围从事质量检测活动的。</w:t>
            </w:r>
          </w:p>
          <w:p w14:paraId="6807762C">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1F9A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21F025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25BD197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4A01AE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0CEDC7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4647627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53A5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0E43A5C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F771D9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09912D4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2B820C9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0C76C5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1C4E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6EB3A9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00D987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1097502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A68D22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B3E6D9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7EF6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196AF31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168599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7EFDC4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6575D6B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164FC0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4BF9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6D912C7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90E46E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34EB5A6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4C8665B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D78790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98E2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68163C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A3DDE9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CA29B0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6D7B036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942346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540D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5C93C1A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098B6432">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548C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511889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163B6F4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21266F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7D78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3FD9B6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546B476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18EA2F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BF98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03096E3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1217A3A1">
            <w:pPr>
              <w:widowControl/>
              <w:jc w:val="left"/>
              <w:textAlignment w:val="center"/>
              <w:rPr>
                <w:rFonts w:ascii="黑体" w:eastAsia="黑体" w:cs="黑体"/>
                <w:color w:val="000000" w:themeColor="text1"/>
                <w:kern w:val="0"/>
                <w:sz w:val="18"/>
                <w:szCs w:val="18"/>
              </w:rPr>
            </w:pPr>
          </w:p>
        </w:tc>
      </w:tr>
    </w:tbl>
    <w:p w14:paraId="7F4D512B">
      <w:pPr>
        <w:rPr>
          <w:color w:val="000000" w:themeColor="text1"/>
        </w:rPr>
      </w:pPr>
    </w:p>
    <w:p w14:paraId="002818E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23286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31792E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2A4FAE54">
            <w:pPr>
              <w:jc w:val="center"/>
              <w:rPr>
                <w:rFonts w:ascii="黑体" w:eastAsia="黑体" w:cs="黑体"/>
                <w:b/>
                <w:bCs/>
                <w:color w:val="000000" w:themeColor="text1"/>
                <w:szCs w:val="21"/>
              </w:rPr>
            </w:pPr>
            <w:r>
              <w:rPr>
                <w:rFonts w:ascii="黑体" w:eastAsia="黑体" w:cs="黑体"/>
                <w:b/>
                <w:bCs/>
                <w:color w:val="000000" w:themeColor="text1"/>
                <w:szCs w:val="21"/>
              </w:rPr>
              <w:t>119</w:t>
            </w:r>
          </w:p>
        </w:tc>
        <w:tc>
          <w:tcPr>
            <w:tcW w:w="1691" w:type="dxa"/>
            <w:tcMar>
              <w:top w:w="15" w:type="dxa"/>
              <w:left w:w="15" w:type="dxa"/>
              <w:bottom w:w="15" w:type="dxa"/>
              <w:right w:w="15" w:type="dxa"/>
            </w:tcMar>
            <w:vAlign w:val="center"/>
          </w:tcPr>
          <w:p w14:paraId="5CA4D23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0F6C697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7AE3CA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7B1E1CE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6355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12A226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21731091">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对交通运输领域检测机构隐瞒有关情况或者提供虚假材料申请资质的行政处罚</w:t>
            </w:r>
          </w:p>
        </w:tc>
      </w:tr>
      <w:tr w14:paraId="4A06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6F99919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66E80CB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19FE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3AE044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5C272524">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2C38B7F6">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第十一条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申请人应当按照本办法规定向许可机关提交以下申请材料：（一）检测机构资质申请书；（二）检测人员、仪器设备和设施、质量检测场所证明材料；（三）质量保证体系文件。申请人应当通过公路水运工程质量检测管理信息系统提交申请材料，并对其申请材料实质内容的真实性负责。许可机关不得要求申请人提交与其申请资质无关的技术资料和其他材料。</w:t>
            </w:r>
            <w:r>
              <w:rPr>
                <w:rFonts w:ascii="仿宋" w:hAnsi="仿宋" w:eastAsia="仿宋" w:cs="仿宋_GB2312"/>
                <w:color w:val="000000" w:themeColor="text1"/>
                <w:kern w:val="0"/>
                <w:sz w:val="15"/>
                <w:szCs w:val="15"/>
              </w:rPr>
              <w:t xml:space="preserve">   </w:t>
            </w:r>
          </w:p>
          <w:p w14:paraId="656C61DC">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第四十九条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检测机构隐瞒有关情况或者提供虚假材料申请资质的，许可机关不予受理或者不予行政许可，并给予警告；检测机构</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年内不得再次申请该资质。</w:t>
            </w:r>
          </w:p>
          <w:p w14:paraId="2110C652">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E6CA3FC">
            <w:pPr>
              <w:spacing w:line="240" w:lineRule="exact"/>
              <w:rPr>
                <w:rFonts w:ascii="仿宋_GB2312" w:eastAsia="仿宋_GB2312" w:cs="黑体"/>
                <w:b/>
                <w:bCs/>
                <w:color w:val="000000" w:themeColor="text1"/>
                <w:szCs w:val="21"/>
              </w:rPr>
            </w:pPr>
          </w:p>
        </w:tc>
      </w:tr>
      <w:tr w14:paraId="1DFC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5B584E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076E45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29992C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2D806F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5BE37C9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12A3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7E0A51B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41E73A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79AB180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62700CF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34C580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3FD7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87836A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A98B7B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0B026D4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6784D2B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BC875D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101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360FC5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26E1CC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3DAB5F3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7690F52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1D43E2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60C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5A33BA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FC218B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0CA39A7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59D1D25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189076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8B59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2699804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206F55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BF234B5">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6E22F1C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78BFB2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E170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7E9E912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27B02BF4">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46210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4D431B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1D64DAD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C2835E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C928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1F3324E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3221C6B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937D7D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D7B1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103F3B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D0C4B11">
            <w:pPr>
              <w:widowControl/>
              <w:jc w:val="left"/>
              <w:textAlignment w:val="center"/>
              <w:rPr>
                <w:rFonts w:ascii="黑体" w:eastAsia="黑体" w:cs="黑体"/>
                <w:color w:val="000000" w:themeColor="text1"/>
                <w:kern w:val="0"/>
                <w:sz w:val="18"/>
                <w:szCs w:val="18"/>
              </w:rPr>
            </w:pPr>
          </w:p>
        </w:tc>
      </w:tr>
    </w:tbl>
    <w:p w14:paraId="019E1A47">
      <w:pPr>
        <w:rPr>
          <w:color w:val="000000" w:themeColor="text1"/>
        </w:rPr>
      </w:pPr>
    </w:p>
    <w:p w14:paraId="71239351">
      <w:pPr>
        <w:rPr>
          <w:color w:val="000000" w:themeColor="text1"/>
        </w:rPr>
      </w:pPr>
    </w:p>
    <w:p w14:paraId="4E64F569">
      <w:pPr>
        <w:rPr>
          <w:color w:val="000000" w:themeColor="text1"/>
        </w:rPr>
      </w:pPr>
    </w:p>
    <w:p w14:paraId="242CE35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BADB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05D143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405B5496">
            <w:pPr>
              <w:jc w:val="center"/>
              <w:rPr>
                <w:rFonts w:ascii="黑体" w:eastAsia="黑体" w:cs="黑体"/>
                <w:b/>
                <w:bCs/>
                <w:color w:val="000000" w:themeColor="text1"/>
                <w:szCs w:val="21"/>
              </w:rPr>
            </w:pPr>
            <w:r>
              <w:rPr>
                <w:rFonts w:ascii="黑体" w:eastAsia="黑体" w:cs="黑体"/>
                <w:b/>
                <w:bCs/>
                <w:color w:val="000000" w:themeColor="text1"/>
                <w:szCs w:val="21"/>
              </w:rPr>
              <w:t>120</w:t>
            </w:r>
          </w:p>
        </w:tc>
        <w:tc>
          <w:tcPr>
            <w:tcW w:w="1691" w:type="dxa"/>
            <w:tcMar>
              <w:top w:w="15" w:type="dxa"/>
              <w:left w:w="15" w:type="dxa"/>
              <w:bottom w:w="15" w:type="dxa"/>
              <w:right w:w="15" w:type="dxa"/>
            </w:tcMar>
            <w:vAlign w:val="center"/>
          </w:tcPr>
          <w:p w14:paraId="57EE786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7B15E31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5AFA6A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377129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5732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2835D5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DDE3E9B">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对交通运输领域检测机构以欺骗、贿赂等不正当手段取得资质证书的行政处罚</w:t>
            </w:r>
          </w:p>
        </w:tc>
      </w:tr>
      <w:tr w14:paraId="25E3D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2DDB17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69A0C27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EB11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0B8A87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3D2F1024">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685E3899">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第十一条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申请人应当按照本办法规定向许可机关提交以下申请材料：（一）检测机构资质申请书；（二）检测人员、仪器设备和设施、质量检测场所证明材料；（三）质量保证体系文件。申请人应当通过公路水运工程质量检测管理信息系统提交申请材料，并对其申请材料实质内容的真实性负责。许可机关不得要求申请人提交与其申请资质无关的技术资料和其他材料。</w:t>
            </w:r>
          </w:p>
          <w:p w14:paraId="1691988E">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检测机构以欺骗、贿赂等不正当手段取得资质证书的，由许可机关予以撤销；检测机构</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年内不得再次申请该资质；构成犯罪的，依法追究刑事责任。</w:t>
            </w:r>
          </w:p>
          <w:p w14:paraId="7A4CB177">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51446990">
            <w:pPr>
              <w:spacing w:line="240" w:lineRule="exact"/>
              <w:rPr>
                <w:rFonts w:ascii="仿宋_GB2312" w:eastAsia="仿宋_GB2312" w:cs="黑体"/>
                <w:b/>
                <w:bCs/>
                <w:color w:val="000000" w:themeColor="text1"/>
                <w:szCs w:val="21"/>
              </w:rPr>
            </w:pPr>
          </w:p>
        </w:tc>
      </w:tr>
      <w:tr w14:paraId="12374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2F31F7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200174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472B42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5F8FF6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786D06D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DE5C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4443E7C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4FB3A0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0AB2A0D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2E660934">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E8581E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5D3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400C66E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3F2CD2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7E8F9E4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61F036E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8BF2AE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C0F3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6D6356F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07E352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8B434E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308BFEF2">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B29C9F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BC45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FFE3DA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833988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1525CF7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25B3DB1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21D24C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387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092278E4">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F3F100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22C8360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0B3D574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3DB914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19E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6CB6413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043D1FA8">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1B0A0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2074847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25FCB56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AD6F5D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452E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4DB8C7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FC7520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92D035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3486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5B551D2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0B610B13">
            <w:pPr>
              <w:widowControl/>
              <w:jc w:val="left"/>
              <w:textAlignment w:val="center"/>
              <w:rPr>
                <w:rFonts w:ascii="黑体" w:eastAsia="黑体" w:cs="黑体"/>
                <w:color w:val="000000" w:themeColor="text1"/>
                <w:kern w:val="0"/>
                <w:sz w:val="18"/>
                <w:szCs w:val="18"/>
              </w:rPr>
            </w:pPr>
          </w:p>
        </w:tc>
      </w:tr>
    </w:tbl>
    <w:p w14:paraId="65677475">
      <w:pPr>
        <w:rPr>
          <w:color w:val="000000" w:themeColor="text1"/>
        </w:rPr>
      </w:pPr>
    </w:p>
    <w:p w14:paraId="55B8B75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2ACC0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3E8964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4C898F0B">
            <w:pPr>
              <w:jc w:val="center"/>
              <w:rPr>
                <w:rFonts w:ascii="黑体" w:eastAsia="黑体" w:cs="黑体"/>
                <w:b/>
                <w:bCs/>
                <w:color w:val="000000" w:themeColor="text1"/>
                <w:szCs w:val="21"/>
              </w:rPr>
            </w:pPr>
            <w:r>
              <w:rPr>
                <w:rFonts w:ascii="黑体" w:eastAsia="黑体" w:cs="黑体"/>
                <w:b/>
                <w:bCs/>
                <w:color w:val="000000" w:themeColor="text1"/>
                <w:szCs w:val="21"/>
              </w:rPr>
              <w:t>121</w:t>
            </w:r>
          </w:p>
        </w:tc>
        <w:tc>
          <w:tcPr>
            <w:tcW w:w="1691" w:type="dxa"/>
            <w:tcMar>
              <w:top w:w="15" w:type="dxa"/>
              <w:left w:w="15" w:type="dxa"/>
              <w:bottom w:w="15" w:type="dxa"/>
              <w:right w:w="15" w:type="dxa"/>
            </w:tcMar>
            <w:vAlign w:val="center"/>
          </w:tcPr>
          <w:p w14:paraId="2213AB8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3C76BFA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5D9B28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64E8E9E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0C7C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40426D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7C415E58">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对交通运输领域检测机构未按规定申请变更的行政处罚</w:t>
            </w:r>
          </w:p>
        </w:tc>
      </w:tr>
      <w:tr w14:paraId="1B354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19749FA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271BF53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1843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5EB11E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5DEB109C">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5879BB9A">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第二十三条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检测机构的名称、注册地址、检测场所地址、法定代表人、行政负责人、技术负责人和质量负责人等事项发生变更的，检测机构应当在完成变更后</w:t>
            </w:r>
            <w:r>
              <w:rPr>
                <w:rFonts w:ascii="仿宋" w:hAnsi="仿宋" w:eastAsia="仿宋" w:cs="仿宋_GB2312"/>
                <w:color w:val="000000" w:themeColor="text1"/>
                <w:kern w:val="0"/>
                <w:sz w:val="15"/>
                <w:szCs w:val="15"/>
              </w:rPr>
              <w:t>10</w:t>
            </w:r>
            <w:r>
              <w:rPr>
                <w:rFonts w:hint="eastAsia" w:ascii="仿宋" w:hAnsi="仿宋" w:eastAsia="仿宋" w:cs="仿宋_GB2312"/>
                <w:color w:val="000000" w:themeColor="text1"/>
                <w:kern w:val="0"/>
                <w:sz w:val="15"/>
                <w:szCs w:val="15"/>
              </w:rPr>
              <w:t>个工作日内向原许可机关申请变更。</w:t>
            </w:r>
            <w:r>
              <w:rPr>
                <w:rFonts w:ascii="仿宋" w:hAnsi="仿宋" w:eastAsia="仿宋" w:cs="仿宋_GB2312"/>
                <w:color w:val="000000" w:themeColor="text1"/>
                <w:kern w:val="0"/>
                <w:sz w:val="15"/>
                <w:szCs w:val="15"/>
              </w:rPr>
              <w:t xml:space="preserve"> </w:t>
            </w:r>
          </w:p>
          <w:p w14:paraId="14DEED4B">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第五十一条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检测机构未按照本办法第二十三条规定申请变更的，由交通运输主管部门责令限期办理；逾期未办理的，给予警告或者通报批评。</w:t>
            </w:r>
          </w:p>
          <w:p w14:paraId="42D82BDE">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7F74BCA3">
            <w:pPr>
              <w:rPr>
                <w:rFonts w:ascii="仿宋" w:hAnsi="仿宋" w:eastAsia="仿宋" w:cs="仿宋_GB2312"/>
                <w:color w:val="000000" w:themeColor="text1"/>
                <w:kern w:val="0"/>
                <w:sz w:val="18"/>
                <w:szCs w:val="18"/>
              </w:rPr>
            </w:pPr>
          </w:p>
          <w:p w14:paraId="1FDEACFC">
            <w:pPr>
              <w:spacing w:line="240" w:lineRule="exact"/>
              <w:rPr>
                <w:rFonts w:ascii="仿宋_GB2312" w:eastAsia="仿宋_GB2312" w:cs="黑体"/>
                <w:b/>
                <w:bCs/>
                <w:color w:val="000000" w:themeColor="text1"/>
                <w:szCs w:val="21"/>
              </w:rPr>
            </w:pPr>
          </w:p>
        </w:tc>
      </w:tr>
      <w:tr w14:paraId="36639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E3864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3E5CC9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225B05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725EBB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43CD830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417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1B6A58DF">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7B40BC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7CA2A68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5B37803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462E74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4F05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09FD04E5">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60D38D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6E77FEB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0EB99551">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011D36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338D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75CDBD3E">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BC70A8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E0105B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2229DDA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F619D0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1404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A0648D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64FEA64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5BBDA67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3041898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B1F4EF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B6AC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894F82E">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6B8A0F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77A613B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1328BFF1">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36EBE7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7F8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3CF62F1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1A23ACCA">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7AAD9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0A3269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662AA20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520198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06A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0AAFD6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7FC97A9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91ADF3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6352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112B4DC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310DBC7">
            <w:pPr>
              <w:widowControl/>
              <w:jc w:val="left"/>
              <w:textAlignment w:val="center"/>
              <w:rPr>
                <w:rFonts w:ascii="黑体" w:eastAsia="黑体" w:cs="黑体"/>
                <w:color w:val="000000" w:themeColor="text1"/>
                <w:kern w:val="0"/>
                <w:sz w:val="18"/>
                <w:szCs w:val="18"/>
              </w:rPr>
            </w:pPr>
          </w:p>
        </w:tc>
      </w:tr>
    </w:tbl>
    <w:p w14:paraId="64351744">
      <w:pPr>
        <w:rPr>
          <w:color w:val="000000" w:themeColor="text1"/>
        </w:rPr>
      </w:pPr>
    </w:p>
    <w:p w14:paraId="7C3EF19B">
      <w:pPr>
        <w:rPr>
          <w:color w:val="000000" w:themeColor="text1"/>
        </w:rPr>
      </w:pPr>
    </w:p>
    <w:p w14:paraId="029861C7">
      <w:pPr>
        <w:rPr>
          <w:color w:val="000000" w:themeColor="text1"/>
        </w:rPr>
      </w:pPr>
    </w:p>
    <w:p w14:paraId="2E03FC29">
      <w:pPr>
        <w:rPr>
          <w:color w:val="000000" w:themeColor="text1"/>
        </w:rPr>
      </w:pPr>
    </w:p>
    <w:p w14:paraId="6259A29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482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7A85F1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392AB27A">
            <w:pPr>
              <w:jc w:val="center"/>
              <w:rPr>
                <w:rFonts w:ascii="黑体" w:eastAsia="黑体" w:cs="黑体"/>
                <w:b/>
                <w:bCs/>
                <w:color w:val="000000" w:themeColor="text1"/>
                <w:szCs w:val="21"/>
              </w:rPr>
            </w:pPr>
            <w:r>
              <w:rPr>
                <w:rFonts w:ascii="黑体" w:eastAsia="黑体" w:cs="黑体"/>
                <w:b/>
                <w:bCs/>
                <w:color w:val="000000" w:themeColor="text1"/>
                <w:szCs w:val="21"/>
              </w:rPr>
              <w:t>122</w:t>
            </w:r>
          </w:p>
        </w:tc>
        <w:tc>
          <w:tcPr>
            <w:tcW w:w="1691" w:type="dxa"/>
            <w:tcMar>
              <w:top w:w="15" w:type="dxa"/>
              <w:left w:w="15" w:type="dxa"/>
              <w:bottom w:w="15" w:type="dxa"/>
              <w:right w:w="15" w:type="dxa"/>
            </w:tcMar>
            <w:vAlign w:val="center"/>
          </w:tcPr>
          <w:p w14:paraId="23F30AA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301D53B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1914B7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149028F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8B17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7F694C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535A3A07">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对交通运输领域检测机构出具虚假检测报告，篡改、伪造检测报告的行政处罚</w:t>
            </w:r>
          </w:p>
        </w:tc>
      </w:tr>
      <w:tr w14:paraId="1AE64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4465B73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42B3675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2498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5DC190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5E1309D7">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28168DEC">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第三十三条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检测机构出具的质量检测报告应当符合规范要求，包括检测项目、参数数量（批次）、检测依据、检测场所地址、检测数据、检测结果等相关信息。检测机构不得出具虚假检测报告，不得篡改或者伪造检测报告。</w:t>
            </w:r>
            <w:r>
              <w:rPr>
                <w:rFonts w:ascii="仿宋" w:hAnsi="仿宋" w:eastAsia="仿宋" w:cs="仿宋_GB2312"/>
                <w:color w:val="000000" w:themeColor="text1"/>
                <w:kern w:val="0"/>
                <w:sz w:val="15"/>
                <w:szCs w:val="15"/>
              </w:rPr>
              <w:t xml:space="preserve"> </w:t>
            </w:r>
          </w:p>
          <w:p w14:paraId="402306E0">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第五十二条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万元以下罚款；造成危害后果的，处</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10</w:t>
            </w:r>
            <w:r>
              <w:rPr>
                <w:rFonts w:hint="eastAsia" w:ascii="仿宋" w:hAnsi="仿宋" w:eastAsia="仿宋" w:cs="仿宋_GB2312"/>
                <w:color w:val="000000" w:themeColor="text1"/>
                <w:kern w:val="0"/>
                <w:sz w:val="15"/>
                <w:szCs w:val="15"/>
              </w:rPr>
              <w:t>万元以下罚款；构成犯罪的，依法追究刑事责任：</w:t>
            </w:r>
          </w:p>
          <w:p w14:paraId="64E53C1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（一）出具虚假检测报告，篡改、伪造检测报告的；</w:t>
            </w:r>
          </w:p>
          <w:p w14:paraId="7D9E728C">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C5D4AF7">
            <w:pPr>
              <w:spacing w:line="240" w:lineRule="exact"/>
              <w:rPr>
                <w:rFonts w:ascii="仿宋_GB2312" w:eastAsia="仿宋_GB2312" w:cs="黑体"/>
                <w:b/>
                <w:bCs/>
                <w:color w:val="000000" w:themeColor="text1"/>
                <w:szCs w:val="21"/>
              </w:rPr>
            </w:pPr>
          </w:p>
        </w:tc>
      </w:tr>
      <w:tr w14:paraId="27111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08B2F6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3599FA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1EDE13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533FA3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360115B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3405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3BD4550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C1AC7C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4453EA6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52FF710E">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FD77EF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E94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7572875">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A2D362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699A809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5777941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3F75F28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28FC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658488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456F3B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51C355B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683ACFA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DF656E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D82E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C940DFF">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C27B0E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00873020">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3E75980B">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8E55A9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0982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75186FE">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DC7FCD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5D4AA5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60F38658">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23BD80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E501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17D715B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E2F6078">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55DC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5A448B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7A1F106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979B4B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79E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51F3A7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7DBC121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8CB9C5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7F4B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3130DAF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255B0276">
            <w:pPr>
              <w:widowControl/>
              <w:jc w:val="left"/>
              <w:textAlignment w:val="center"/>
              <w:rPr>
                <w:rFonts w:ascii="黑体" w:eastAsia="黑体" w:cs="黑体"/>
                <w:color w:val="000000" w:themeColor="text1"/>
                <w:kern w:val="0"/>
                <w:sz w:val="18"/>
                <w:szCs w:val="18"/>
              </w:rPr>
            </w:pPr>
          </w:p>
        </w:tc>
      </w:tr>
    </w:tbl>
    <w:p w14:paraId="66030266">
      <w:pPr>
        <w:rPr>
          <w:color w:val="000000" w:themeColor="text1"/>
        </w:rPr>
      </w:pPr>
    </w:p>
    <w:p w14:paraId="2BC4751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23186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580F8F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5E3E2A30">
            <w:pPr>
              <w:jc w:val="center"/>
              <w:rPr>
                <w:rFonts w:ascii="黑体" w:eastAsia="黑体" w:cs="黑体"/>
                <w:b/>
                <w:bCs/>
                <w:color w:val="000000" w:themeColor="text1"/>
                <w:szCs w:val="21"/>
              </w:rPr>
            </w:pPr>
            <w:r>
              <w:rPr>
                <w:rFonts w:ascii="黑体" w:eastAsia="黑体" w:cs="黑体"/>
                <w:b/>
                <w:bCs/>
                <w:color w:val="000000" w:themeColor="text1"/>
                <w:szCs w:val="21"/>
              </w:rPr>
              <w:t>123</w:t>
            </w:r>
          </w:p>
        </w:tc>
        <w:tc>
          <w:tcPr>
            <w:tcW w:w="1691" w:type="dxa"/>
            <w:tcMar>
              <w:top w:w="15" w:type="dxa"/>
              <w:left w:w="15" w:type="dxa"/>
              <w:bottom w:w="15" w:type="dxa"/>
              <w:right w:w="15" w:type="dxa"/>
            </w:tcMar>
            <w:vAlign w:val="center"/>
          </w:tcPr>
          <w:p w14:paraId="2112CF7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1D98369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59AB86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27A20FA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9285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43F22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2BFF8A45">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对交通运输领域检测机构将检测业务转包、违规分包的</w:t>
            </w:r>
          </w:p>
        </w:tc>
      </w:tr>
      <w:tr w14:paraId="0A06E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86C80A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779373A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127E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63318A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407E6363">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7607BC3F">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第三十五条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检测机构依据合同承担公路水运工程质量检测业务，不得转包、违规分包。</w:t>
            </w:r>
            <w:r>
              <w:rPr>
                <w:rFonts w:ascii="仿宋" w:hAnsi="仿宋" w:eastAsia="仿宋" w:cs="仿宋_GB2312"/>
                <w:color w:val="000000" w:themeColor="text1"/>
                <w:kern w:val="0"/>
                <w:sz w:val="15"/>
                <w:szCs w:val="15"/>
              </w:rPr>
              <w:t xml:space="preserve">  </w:t>
            </w:r>
          </w:p>
          <w:p w14:paraId="23FBA775">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第五十二条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万元以下罚款；造成危害后果的，处</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万元以上</w:t>
            </w:r>
            <w:r>
              <w:rPr>
                <w:rFonts w:ascii="仿宋" w:hAnsi="仿宋" w:eastAsia="仿宋" w:cs="仿宋_GB2312"/>
                <w:color w:val="000000" w:themeColor="text1"/>
                <w:kern w:val="0"/>
                <w:sz w:val="15"/>
                <w:szCs w:val="15"/>
              </w:rPr>
              <w:t>10</w:t>
            </w:r>
            <w:r>
              <w:rPr>
                <w:rFonts w:hint="eastAsia" w:ascii="仿宋" w:hAnsi="仿宋" w:eastAsia="仿宋" w:cs="仿宋_GB2312"/>
                <w:color w:val="000000" w:themeColor="text1"/>
                <w:kern w:val="0"/>
                <w:sz w:val="15"/>
                <w:szCs w:val="15"/>
              </w:rPr>
              <w:t>万元以下罚款；构成犯罪的，依法追究刑事责任：</w:t>
            </w:r>
          </w:p>
          <w:p w14:paraId="607E26EB">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（二）将检测业务转包、违规分包的。</w:t>
            </w:r>
          </w:p>
          <w:p w14:paraId="41A298F7">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712BD282">
            <w:pPr>
              <w:rPr>
                <w:rFonts w:ascii="仿宋" w:hAnsi="仿宋" w:eastAsia="仿宋" w:cs="仿宋_GB2312"/>
                <w:color w:val="000000" w:themeColor="text1"/>
                <w:kern w:val="0"/>
                <w:sz w:val="18"/>
                <w:szCs w:val="18"/>
              </w:rPr>
            </w:pPr>
          </w:p>
          <w:p w14:paraId="2A0BC166">
            <w:pPr>
              <w:spacing w:line="240" w:lineRule="exact"/>
              <w:rPr>
                <w:rFonts w:ascii="仿宋_GB2312" w:eastAsia="仿宋_GB2312" w:cs="黑体"/>
                <w:b/>
                <w:bCs/>
                <w:color w:val="000000" w:themeColor="text1"/>
                <w:szCs w:val="21"/>
              </w:rPr>
            </w:pPr>
          </w:p>
        </w:tc>
      </w:tr>
      <w:tr w14:paraId="61517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04C631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4335FF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6F5676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43C8D3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4D3B90C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616A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3810BFF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840F98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6DCE18D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20DF06A1">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D748DD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B9D1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4FB9462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576DF0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109A2A5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681EFFB1">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80D0CD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2FB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E5F931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AF9B02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61DE060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5D5427E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B34CD7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49E8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3D87E3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01C7CA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710125B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7B5180EE">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352D64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002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26D8DF15">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33315A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442AB64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71C026C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BA533F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215A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782F8C9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74F75DDD">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1B08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466FB5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3111859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FD0966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74A4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412D94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0D44CFF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29DC2A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3F6B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52F0EA2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0496F3E0">
            <w:pPr>
              <w:widowControl/>
              <w:jc w:val="left"/>
              <w:textAlignment w:val="center"/>
              <w:rPr>
                <w:rFonts w:ascii="黑体" w:eastAsia="黑体" w:cs="黑体"/>
                <w:color w:val="000000" w:themeColor="text1"/>
                <w:kern w:val="0"/>
                <w:sz w:val="18"/>
                <w:szCs w:val="18"/>
              </w:rPr>
            </w:pPr>
          </w:p>
        </w:tc>
      </w:tr>
    </w:tbl>
    <w:p w14:paraId="293D8B1B">
      <w:pPr>
        <w:rPr>
          <w:color w:val="000000" w:themeColor="text1"/>
        </w:rPr>
      </w:pPr>
    </w:p>
    <w:p w14:paraId="05DE5F7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08355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532870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5733D091">
            <w:pPr>
              <w:jc w:val="center"/>
              <w:rPr>
                <w:rFonts w:ascii="黑体" w:eastAsia="黑体" w:cs="黑体"/>
                <w:b/>
                <w:bCs/>
                <w:color w:val="000000" w:themeColor="text1"/>
                <w:szCs w:val="21"/>
              </w:rPr>
            </w:pPr>
            <w:r>
              <w:rPr>
                <w:rFonts w:ascii="黑体" w:eastAsia="黑体" w:cs="黑体"/>
                <w:b/>
                <w:bCs/>
                <w:color w:val="000000" w:themeColor="text1"/>
                <w:szCs w:val="21"/>
              </w:rPr>
              <w:t>124</w:t>
            </w:r>
          </w:p>
        </w:tc>
        <w:tc>
          <w:tcPr>
            <w:tcW w:w="1691" w:type="dxa"/>
            <w:tcMar>
              <w:top w:w="15" w:type="dxa"/>
              <w:left w:w="15" w:type="dxa"/>
              <w:bottom w:w="15" w:type="dxa"/>
              <w:right w:w="15" w:type="dxa"/>
            </w:tcMar>
            <w:vAlign w:val="center"/>
          </w:tcPr>
          <w:p w14:paraId="65569AA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631DABF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158A03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3E88493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13B4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4147C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7F0570C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对交通运输领域检测机构质量保证体系未有效运行的，或者未按照有关规定对仪器设备进行正常维护的行政处罚</w:t>
            </w:r>
          </w:p>
        </w:tc>
      </w:tr>
      <w:tr w14:paraId="61462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EA0A37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1F41F88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E2D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114E74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3000D65A">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3822046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第二十九条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检测机构应当保证质量保证体系有效运行。检测机构应当按照有关规定对仪器设备进行正常维护，定期检定与校准。</w:t>
            </w:r>
            <w:r>
              <w:rPr>
                <w:rFonts w:ascii="仿宋" w:hAnsi="仿宋" w:eastAsia="仿宋" w:cs="仿宋_GB2312"/>
                <w:color w:val="000000" w:themeColor="text1"/>
                <w:kern w:val="0"/>
                <w:sz w:val="15"/>
                <w:szCs w:val="15"/>
              </w:rPr>
              <w:t xml:space="preserve"> </w:t>
            </w:r>
          </w:p>
          <w:p w14:paraId="72E30A01">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第五十三条第一项</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万元以下罚款：</w:t>
            </w:r>
          </w:p>
          <w:p w14:paraId="4D61818E">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（一）质量保证体系未有效运行的，或者未按照有关规定对仪器设备进行正常维护的；</w:t>
            </w:r>
          </w:p>
          <w:p w14:paraId="57EC8CFC">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35AC8C87">
            <w:pPr>
              <w:rPr>
                <w:rFonts w:ascii="仿宋" w:hAnsi="仿宋" w:eastAsia="仿宋" w:cs="仿宋_GB2312"/>
                <w:color w:val="000000" w:themeColor="text1"/>
                <w:kern w:val="0"/>
                <w:sz w:val="18"/>
                <w:szCs w:val="18"/>
              </w:rPr>
            </w:pPr>
          </w:p>
          <w:p w14:paraId="74C8F3AE">
            <w:pPr>
              <w:spacing w:line="240" w:lineRule="exact"/>
              <w:rPr>
                <w:rFonts w:ascii="仿宋_GB2312" w:eastAsia="仿宋_GB2312" w:cs="黑体"/>
                <w:b/>
                <w:bCs/>
                <w:color w:val="000000" w:themeColor="text1"/>
                <w:szCs w:val="21"/>
              </w:rPr>
            </w:pPr>
          </w:p>
        </w:tc>
      </w:tr>
      <w:tr w14:paraId="26ACC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5CCAFA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22D6F5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6A3C40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253B47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03E9804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417A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33238BAB">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E648DD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7504564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53E610D2">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0FE1A2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9717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5A98961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5E27E8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5DD7273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1FBC28A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CCC336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FEB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0B428D45">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812244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48EF67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2262823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218103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AFF4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9ACFC64">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438200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4FA90B9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0C01E16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8B109A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58A3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70F430C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DC6CDD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2C42FD8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46BA6DA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5EF957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7C46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4C530F6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3E07EA8B">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53DF1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639FE1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1C7C54D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1C542D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1CA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167A68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5012296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ADF3C7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2790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56FD08A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5DFD070">
            <w:pPr>
              <w:widowControl/>
              <w:jc w:val="left"/>
              <w:textAlignment w:val="center"/>
              <w:rPr>
                <w:rFonts w:ascii="黑体" w:eastAsia="黑体" w:cs="黑体"/>
                <w:color w:val="000000" w:themeColor="text1"/>
                <w:kern w:val="0"/>
                <w:sz w:val="18"/>
                <w:szCs w:val="18"/>
              </w:rPr>
            </w:pPr>
          </w:p>
        </w:tc>
      </w:tr>
    </w:tbl>
    <w:p w14:paraId="4805E97C">
      <w:pPr>
        <w:rPr>
          <w:color w:val="000000" w:themeColor="text1"/>
        </w:rPr>
      </w:pPr>
    </w:p>
    <w:p w14:paraId="3AF64D24">
      <w:pPr>
        <w:rPr>
          <w:color w:val="000000" w:themeColor="text1"/>
        </w:rPr>
      </w:pPr>
    </w:p>
    <w:p w14:paraId="264E3A1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4FB8F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6D95E3C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2592F42D">
            <w:pPr>
              <w:jc w:val="center"/>
              <w:rPr>
                <w:rFonts w:ascii="黑体" w:eastAsia="黑体" w:cs="黑体"/>
                <w:b/>
                <w:bCs/>
                <w:color w:val="000000" w:themeColor="text1"/>
                <w:szCs w:val="21"/>
              </w:rPr>
            </w:pPr>
            <w:r>
              <w:rPr>
                <w:rFonts w:ascii="黑体" w:eastAsia="黑体" w:cs="黑体"/>
                <w:b/>
                <w:bCs/>
                <w:color w:val="000000" w:themeColor="text1"/>
                <w:szCs w:val="21"/>
              </w:rPr>
              <w:t>125</w:t>
            </w:r>
          </w:p>
        </w:tc>
        <w:tc>
          <w:tcPr>
            <w:tcW w:w="1691" w:type="dxa"/>
            <w:tcMar>
              <w:top w:w="15" w:type="dxa"/>
              <w:left w:w="15" w:type="dxa"/>
              <w:bottom w:w="15" w:type="dxa"/>
              <w:right w:w="15" w:type="dxa"/>
            </w:tcMar>
            <w:vAlign w:val="center"/>
          </w:tcPr>
          <w:p w14:paraId="6DD9DC3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24D15A3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6E61E5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133D751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9624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6BD39D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7370875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对交通运输领域检测机构未按规定进行档案管理，造成检测数据无法追溯的行政处罚</w:t>
            </w:r>
          </w:p>
        </w:tc>
      </w:tr>
      <w:tr w14:paraId="7C574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58A6D25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474F769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915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1F1B72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11D4BD8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4ECB92E7">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第三十一条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检测机构应当建立健全档案制度，原始记录和质量检测报告内容必须清晰、完整、规范，保证档案齐备和检测数据可追溯。</w:t>
            </w:r>
            <w:r>
              <w:rPr>
                <w:rFonts w:ascii="仿宋" w:hAnsi="仿宋" w:eastAsia="仿宋" w:cs="仿宋_GB2312"/>
                <w:color w:val="000000" w:themeColor="text1"/>
                <w:kern w:val="0"/>
                <w:sz w:val="15"/>
                <w:szCs w:val="15"/>
              </w:rPr>
              <w:t xml:space="preserve"> </w:t>
            </w:r>
          </w:p>
          <w:p w14:paraId="529EA253">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第五十三条第二项</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万元以下罚款：</w:t>
            </w:r>
          </w:p>
          <w:p w14:paraId="0AB1F270">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（二）未按规定进行档案管理，造成检测数据无法追溯的；</w:t>
            </w:r>
          </w:p>
          <w:p w14:paraId="60688D58">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60EA68DC">
            <w:pPr>
              <w:rPr>
                <w:rFonts w:ascii="仿宋" w:hAnsi="仿宋" w:eastAsia="仿宋" w:cs="仿宋_GB2312"/>
                <w:color w:val="000000" w:themeColor="text1"/>
                <w:kern w:val="0"/>
                <w:sz w:val="18"/>
                <w:szCs w:val="18"/>
              </w:rPr>
            </w:pPr>
          </w:p>
          <w:p w14:paraId="3D108C41">
            <w:pPr>
              <w:spacing w:line="240" w:lineRule="exact"/>
              <w:rPr>
                <w:rFonts w:ascii="仿宋_GB2312" w:eastAsia="仿宋_GB2312" w:cs="黑体"/>
                <w:b/>
                <w:bCs/>
                <w:color w:val="000000" w:themeColor="text1"/>
                <w:szCs w:val="21"/>
              </w:rPr>
            </w:pPr>
          </w:p>
        </w:tc>
      </w:tr>
      <w:tr w14:paraId="58DB1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E24AB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65B57A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1E65E4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0A16D9C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203F069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165D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3F62CA9E">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AD31EE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5A9E998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303EA2BA">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4CFFD3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322A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3410108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F78B4E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2D617E5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267951BA">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1AD6ED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BB6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7CE2DBE8">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5A3339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889A35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701E263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F5B99F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A51A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4035CDD6">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DEDAF0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64FED17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0EDABA06">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9FFD07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D3DE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F45290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640B80B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37BAE10">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23543E8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C6EF66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2358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572D88B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24D537DD">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27665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3D7FD0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20C29C2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5F5D54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5A5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3183E0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462C3F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34B7A1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E232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4E7447F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BE604CE">
            <w:pPr>
              <w:widowControl/>
              <w:jc w:val="left"/>
              <w:textAlignment w:val="center"/>
              <w:rPr>
                <w:rFonts w:ascii="黑体" w:eastAsia="黑体" w:cs="黑体"/>
                <w:color w:val="000000" w:themeColor="text1"/>
                <w:kern w:val="0"/>
                <w:sz w:val="18"/>
                <w:szCs w:val="18"/>
              </w:rPr>
            </w:pPr>
          </w:p>
        </w:tc>
      </w:tr>
    </w:tbl>
    <w:p w14:paraId="65FC7480">
      <w:pPr>
        <w:rPr>
          <w:color w:val="000000" w:themeColor="text1"/>
        </w:rPr>
      </w:pPr>
    </w:p>
    <w:p w14:paraId="6CDF8011">
      <w:pPr>
        <w:rPr>
          <w:color w:val="000000" w:themeColor="text1"/>
        </w:rPr>
      </w:pPr>
    </w:p>
    <w:p w14:paraId="1778004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3E457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2F3CEB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50BF99BF">
            <w:pPr>
              <w:jc w:val="center"/>
              <w:rPr>
                <w:rFonts w:ascii="黑体" w:eastAsia="黑体" w:cs="黑体"/>
                <w:b/>
                <w:bCs/>
                <w:color w:val="000000" w:themeColor="text1"/>
                <w:szCs w:val="21"/>
              </w:rPr>
            </w:pPr>
            <w:r>
              <w:rPr>
                <w:rFonts w:ascii="黑体" w:eastAsia="黑体" w:cs="黑体"/>
                <w:b/>
                <w:bCs/>
                <w:color w:val="000000" w:themeColor="text1"/>
                <w:szCs w:val="21"/>
              </w:rPr>
              <w:t>126</w:t>
            </w:r>
          </w:p>
        </w:tc>
        <w:tc>
          <w:tcPr>
            <w:tcW w:w="1691" w:type="dxa"/>
            <w:tcMar>
              <w:top w:w="15" w:type="dxa"/>
              <w:left w:w="15" w:type="dxa"/>
              <w:bottom w:w="15" w:type="dxa"/>
              <w:right w:w="15" w:type="dxa"/>
            </w:tcMar>
            <w:vAlign w:val="center"/>
          </w:tcPr>
          <w:p w14:paraId="33F9935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2CC9318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7B3053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D8681E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AEA8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1A6D8F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C298C4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对交通运输领域检测机构在同一工程项目标段中同时接受建设、监理、施工等多方的质量检测委托的行政处罚</w:t>
            </w:r>
          </w:p>
        </w:tc>
      </w:tr>
      <w:tr w14:paraId="6B89C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458AC4A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308B36E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2756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5B5121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40CAF3FC">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604219E1">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第三十四条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检测机构在同一公路水运工程项目标段中不得同时接受建设、监理、施工等多方的质量检测委托。</w:t>
            </w:r>
            <w:r>
              <w:rPr>
                <w:rFonts w:ascii="仿宋" w:hAnsi="仿宋" w:eastAsia="仿宋" w:cs="仿宋_GB2312"/>
                <w:color w:val="000000" w:themeColor="text1"/>
                <w:kern w:val="0"/>
                <w:sz w:val="15"/>
                <w:szCs w:val="15"/>
              </w:rPr>
              <w:t xml:space="preserve"> </w:t>
            </w:r>
          </w:p>
          <w:p w14:paraId="2987D0AE">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第五十三条第三项</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万元以下罚款：</w:t>
            </w:r>
          </w:p>
          <w:p w14:paraId="14E3756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（三）在同一工程项目标段中同时接受建设、监理、施工等多方的质量检测委托的；</w:t>
            </w:r>
          </w:p>
          <w:p w14:paraId="32D492AC">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758F5AC6">
            <w:pPr>
              <w:rPr>
                <w:rFonts w:ascii="仿宋" w:hAnsi="仿宋" w:eastAsia="仿宋" w:cs="仿宋_GB2312"/>
                <w:color w:val="000000" w:themeColor="text1"/>
                <w:kern w:val="0"/>
                <w:sz w:val="18"/>
                <w:szCs w:val="18"/>
              </w:rPr>
            </w:pPr>
          </w:p>
          <w:p w14:paraId="06B57A6D">
            <w:pPr>
              <w:spacing w:line="240" w:lineRule="exact"/>
              <w:rPr>
                <w:rFonts w:ascii="仿宋_GB2312" w:eastAsia="仿宋_GB2312" w:cs="黑体"/>
                <w:b/>
                <w:bCs/>
                <w:color w:val="000000" w:themeColor="text1"/>
                <w:szCs w:val="21"/>
              </w:rPr>
            </w:pPr>
          </w:p>
        </w:tc>
      </w:tr>
      <w:tr w14:paraId="3BD4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5E7A51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52D390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786BB0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677D3E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093AAED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B97F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23524CD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17F85B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29E3AA80">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197C6042">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2C2189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5BF8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3E231A40">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8E02BF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36DE17B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05883AB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89C573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91D9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518D540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64CA446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540A79B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2AD72D20">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828E6B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8FE5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097514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873589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3C2E0FEE">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7ABAFAE2">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92B0C7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57E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BF818E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2FC278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6AF4CEA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5CD583B4">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D7AB5E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43F8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1563FF3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46A22237">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32269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73F237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2D03724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1DE79B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322A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4DFA4F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598C0E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366A21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3050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0BDF489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815AC38">
            <w:pPr>
              <w:widowControl/>
              <w:jc w:val="left"/>
              <w:textAlignment w:val="center"/>
              <w:rPr>
                <w:rFonts w:ascii="黑体" w:eastAsia="黑体" w:cs="黑体"/>
                <w:color w:val="000000" w:themeColor="text1"/>
                <w:kern w:val="0"/>
                <w:sz w:val="18"/>
                <w:szCs w:val="18"/>
              </w:rPr>
            </w:pPr>
          </w:p>
        </w:tc>
      </w:tr>
    </w:tbl>
    <w:p w14:paraId="00358E94">
      <w:pPr>
        <w:rPr>
          <w:color w:val="000000" w:themeColor="text1"/>
        </w:rPr>
      </w:pPr>
    </w:p>
    <w:p w14:paraId="3A07CF55">
      <w:pPr>
        <w:rPr>
          <w:color w:val="000000" w:themeColor="text1"/>
        </w:rPr>
      </w:pPr>
    </w:p>
    <w:p w14:paraId="3C83522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2411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2FFA1D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33AC4582">
            <w:pPr>
              <w:jc w:val="center"/>
              <w:rPr>
                <w:rFonts w:ascii="黑体" w:eastAsia="黑体" w:cs="黑体"/>
                <w:b/>
                <w:bCs/>
                <w:color w:val="000000" w:themeColor="text1"/>
                <w:szCs w:val="21"/>
              </w:rPr>
            </w:pPr>
            <w:r>
              <w:rPr>
                <w:rFonts w:ascii="黑体" w:eastAsia="黑体" w:cs="黑体"/>
                <w:b/>
                <w:bCs/>
                <w:color w:val="000000" w:themeColor="text1"/>
                <w:szCs w:val="21"/>
              </w:rPr>
              <w:t>127</w:t>
            </w:r>
          </w:p>
        </w:tc>
        <w:tc>
          <w:tcPr>
            <w:tcW w:w="1691" w:type="dxa"/>
            <w:tcMar>
              <w:top w:w="15" w:type="dxa"/>
              <w:left w:w="15" w:type="dxa"/>
              <w:bottom w:w="15" w:type="dxa"/>
              <w:right w:w="15" w:type="dxa"/>
            </w:tcMar>
            <w:vAlign w:val="center"/>
          </w:tcPr>
          <w:p w14:paraId="46022AB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55458FC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30D35C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64C92C2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35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7FC27C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16FE4E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对交通运输领域检测机构未按规定报告在检测过程中发现检测项目不合格且涉及工程主体结构安全的行政处罚</w:t>
            </w:r>
          </w:p>
        </w:tc>
      </w:tr>
      <w:tr w14:paraId="2644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7828BD4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2855091A">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3ED9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74C083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28297E5E">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52257F3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第三十六条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在检测过程中发现检测项目不合格且涉及工程主体结构安全的，检测机构应当及时向负有工程建设项目质量监督管理责任的交通运输主管部门报告。</w:t>
            </w:r>
            <w:r>
              <w:rPr>
                <w:rFonts w:ascii="仿宋" w:hAnsi="仿宋" w:eastAsia="仿宋" w:cs="仿宋_GB2312"/>
                <w:color w:val="000000" w:themeColor="text1"/>
                <w:kern w:val="0"/>
                <w:sz w:val="15"/>
                <w:szCs w:val="15"/>
              </w:rPr>
              <w:t xml:space="preserve"> </w:t>
            </w:r>
          </w:p>
          <w:p w14:paraId="2E9D7F16">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第五十三条第四项</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万元以下罚款：</w:t>
            </w:r>
          </w:p>
          <w:p w14:paraId="5CF0716E">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（四）未按规定报告在检测过程中发现检测项目不合格且涉及工程主体结构安全的；</w:t>
            </w:r>
          </w:p>
          <w:p w14:paraId="59A66402">
            <w:pPr>
              <w:spacing w:line="240" w:lineRule="exact"/>
              <w:rPr>
                <w:rFonts w:ascii="仿宋" w:hAnsi="仿宋" w:eastAsia="仿宋" w:cs="仿宋_GB2312"/>
                <w:color w:val="000000" w:themeColor="text1"/>
                <w:kern w:val="0"/>
                <w:sz w:val="15"/>
                <w:szCs w:val="15"/>
              </w:rPr>
            </w:pPr>
          </w:p>
          <w:p w14:paraId="396DE69F">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D02C7C7">
            <w:pPr>
              <w:rPr>
                <w:rFonts w:ascii="仿宋" w:hAnsi="仿宋" w:eastAsia="仿宋" w:cs="仿宋_GB2312"/>
                <w:color w:val="000000" w:themeColor="text1"/>
                <w:kern w:val="0"/>
                <w:sz w:val="18"/>
                <w:szCs w:val="18"/>
              </w:rPr>
            </w:pPr>
          </w:p>
          <w:p w14:paraId="41F94A97">
            <w:pPr>
              <w:spacing w:line="240" w:lineRule="exact"/>
              <w:rPr>
                <w:rFonts w:ascii="仿宋_GB2312" w:eastAsia="仿宋_GB2312" w:cs="黑体"/>
                <w:b/>
                <w:bCs/>
                <w:color w:val="000000" w:themeColor="text1"/>
                <w:szCs w:val="21"/>
              </w:rPr>
            </w:pPr>
          </w:p>
        </w:tc>
      </w:tr>
      <w:tr w14:paraId="4F6C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1B7AD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36204C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45C2CFB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0970CF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7C44A86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0D79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036F12F9">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6284392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6970570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5E38B90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048C52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1A2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59456AF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AD4CB2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39038C6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12EFD30A">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9F2D66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4749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19F68538">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E98358E">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07174FEA">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77A616A3">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36BB416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DBC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79FFF3B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128448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680E455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0F3418BE">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597807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F8E8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102C4FB">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610456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18E25302">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1D36045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AFB752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0AA2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453FA86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9D2C834">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2A1F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373AA2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5684CE8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E75606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F66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2FB20F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4A76AB7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1A65D8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D9F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49342FC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55C607D4">
            <w:pPr>
              <w:widowControl/>
              <w:jc w:val="left"/>
              <w:textAlignment w:val="center"/>
              <w:rPr>
                <w:rFonts w:ascii="黑体" w:eastAsia="黑体" w:cs="黑体"/>
                <w:color w:val="000000" w:themeColor="text1"/>
                <w:kern w:val="0"/>
                <w:sz w:val="18"/>
                <w:szCs w:val="18"/>
              </w:rPr>
            </w:pPr>
          </w:p>
        </w:tc>
      </w:tr>
    </w:tbl>
    <w:p w14:paraId="325017AB">
      <w:pPr>
        <w:rPr>
          <w:color w:val="000000" w:themeColor="text1"/>
        </w:rPr>
      </w:pPr>
    </w:p>
    <w:p w14:paraId="01D5F077">
      <w:pPr>
        <w:rPr>
          <w:color w:val="000000" w:themeColor="text1"/>
        </w:rPr>
      </w:pPr>
    </w:p>
    <w:p w14:paraId="60A0433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4748C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77C8FC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271E632D">
            <w:pPr>
              <w:jc w:val="center"/>
              <w:rPr>
                <w:rFonts w:ascii="黑体" w:eastAsia="黑体" w:cs="黑体"/>
                <w:b/>
                <w:bCs/>
                <w:color w:val="000000" w:themeColor="text1"/>
                <w:szCs w:val="21"/>
              </w:rPr>
            </w:pPr>
            <w:r>
              <w:rPr>
                <w:rFonts w:ascii="黑体" w:eastAsia="黑体" w:cs="黑体"/>
                <w:b/>
                <w:bCs/>
                <w:color w:val="000000" w:themeColor="text1"/>
                <w:szCs w:val="21"/>
              </w:rPr>
              <w:t>128</w:t>
            </w:r>
          </w:p>
        </w:tc>
        <w:tc>
          <w:tcPr>
            <w:tcW w:w="1691" w:type="dxa"/>
            <w:tcMar>
              <w:top w:w="15" w:type="dxa"/>
              <w:left w:w="15" w:type="dxa"/>
              <w:bottom w:w="15" w:type="dxa"/>
              <w:right w:w="15" w:type="dxa"/>
            </w:tcMar>
            <w:vAlign w:val="center"/>
          </w:tcPr>
          <w:p w14:paraId="569D3D3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4FBA8DA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6DEA89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09FA1C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A025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A053F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415212A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对交通运输领域检测机构接受监督检查时不如实提供有关资料，或者拒绝、阻碍监督检查的行政处罚</w:t>
            </w:r>
          </w:p>
        </w:tc>
      </w:tr>
      <w:tr w14:paraId="73FF2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18A267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114DC1F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E56C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7EE5CD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312AFB81">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29875109">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第四十三条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检测机构应当予以配合，如实说明情况和提供相关资料。</w:t>
            </w:r>
            <w:r>
              <w:rPr>
                <w:rFonts w:ascii="仿宋" w:hAnsi="仿宋" w:eastAsia="仿宋" w:cs="仿宋_GB2312"/>
                <w:color w:val="000000" w:themeColor="text1"/>
                <w:kern w:val="0"/>
                <w:sz w:val="15"/>
                <w:szCs w:val="15"/>
              </w:rPr>
              <w:t xml:space="preserve">   </w:t>
            </w:r>
          </w:p>
          <w:p w14:paraId="6B3DAD41">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第五十三条第五项</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检测机构违反本办法规定，有下列行为之一的，由交通运输主管部门责令改正，处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元以上</w:t>
            </w: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万元以下罚款：</w:t>
            </w:r>
          </w:p>
          <w:p w14:paraId="7844FE99">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（五）接受监督检查时不如实提供有关资料，或者拒绝、阻碍监督检查的。</w:t>
            </w:r>
          </w:p>
          <w:p w14:paraId="5C33E1B1">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0679F956">
            <w:pPr>
              <w:rPr>
                <w:rFonts w:ascii="仿宋" w:hAnsi="仿宋" w:eastAsia="仿宋" w:cs="仿宋_GB2312"/>
                <w:color w:val="000000" w:themeColor="text1"/>
                <w:kern w:val="0"/>
                <w:sz w:val="18"/>
                <w:szCs w:val="18"/>
              </w:rPr>
            </w:pPr>
          </w:p>
          <w:p w14:paraId="3DF939AD">
            <w:pPr>
              <w:spacing w:line="240" w:lineRule="exact"/>
              <w:rPr>
                <w:rFonts w:ascii="仿宋_GB2312" w:eastAsia="仿宋_GB2312" w:cs="黑体"/>
                <w:b/>
                <w:bCs/>
                <w:color w:val="000000" w:themeColor="text1"/>
                <w:szCs w:val="21"/>
              </w:rPr>
            </w:pPr>
          </w:p>
        </w:tc>
      </w:tr>
      <w:tr w14:paraId="1AC4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72EDDE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3BEB2C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58AC74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5FF71E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2967995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8257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6BFDD32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12C8AA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69995C0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00AF0798">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A453F9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0C75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58FC0D0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4D43A6B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32F87A4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6F4E61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552088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0561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71879F40">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325DAC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6E3C643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262E7272">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935F34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817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12CA86F4">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21C4C2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74497CA3">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3959B540">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C96D1F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089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EA954E6">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89049C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6A4E9CD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752B4643">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B34B3B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88D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3A85470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15F4AC8">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0D61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6A7C9E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1C9BE10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D4BF18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754F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79938B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065F3A4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A116DD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2AD0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0A39A94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2B9748CC">
            <w:pPr>
              <w:widowControl/>
              <w:jc w:val="left"/>
              <w:textAlignment w:val="center"/>
              <w:rPr>
                <w:rFonts w:ascii="黑体" w:eastAsia="黑体" w:cs="黑体"/>
                <w:color w:val="000000" w:themeColor="text1"/>
                <w:kern w:val="0"/>
                <w:sz w:val="18"/>
                <w:szCs w:val="18"/>
              </w:rPr>
            </w:pPr>
          </w:p>
        </w:tc>
      </w:tr>
    </w:tbl>
    <w:p w14:paraId="40EB3C11">
      <w:pPr>
        <w:rPr>
          <w:color w:val="000000" w:themeColor="text1"/>
        </w:rPr>
      </w:pPr>
    </w:p>
    <w:p w14:paraId="2B2AC4F0">
      <w:pPr>
        <w:rPr>
          <w:color w:val="000000" w:themeColor="text1"/>
        </w:rPr>
      </w:pPr>
    </w:p>
    <w:p w14:paraId="56F681C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218AF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129867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60FA1AFF">
            <w:pPr>
              <w:jc w:val="center"/>
              <w:rPr>
                <w:rFonts w:ascii="黑体" w:eastAsia="黑体" w:cs="黑体"/>
                <w:b/>
                <w:bCs/>
                <w:color w:val="000000" w:themeColor="text1"/>
                <w:szCs w:val="21"/>
              </w:rPr>
            </w:pPr>
            <w:r>
              <w:rPr>
                <w:rFonts w:ascii="黑体" w:eastAsia="黑体" w:cs="黑体"/>
                <w:b/>
                <w:bCs/>
                <w:color w:val="000000" w:themeColor="text1"/>
                <w:szCs w:val="21"/>
              </w:rPr>
              <w:t>129</w:t>
            </w:r>
          </w:p>
        </w:tc>
        <w:tc>
          <w:tcPr>
            <w:tcW w:w="1691" w:type="dxa"/>
            <w:tcMar>
              <w:top w:w="15" w:type="dxa"/>
              <w:left w:w="15" w:type="dxa"/>
              <w:bottom w:w="15" w:type="dxa"/>
              <w:right w:w="15" w:type="dxa"/>
            </w:tcMar>
            <w:vAlign w:val="center"/>
          </w:tcPr>
          <w:p w14:paraId="027F89A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2352A76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503654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417E3BF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B14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B19DF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6C149A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对交通运输领域检测机构未按规定进行样品管理的、同时在两家或者两家以上检测机构从事检测活动的、借工作之便推销建设材料、构配件和设备的、不按照要求参加比对试验的行政处罚</w:t>
            </w:r>
          </w:p>
        </w:tc>
      </w:tr>
      <w:tr w14:paraId="4D9F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0085130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3C4C5DF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2E7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63044A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08D320C3">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709EAF5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检测机构应当建立样品管理制度，提倡盲样管理。</w:t>
            </w:r>
          </w:p>
          <w:p w14:paraId="25B62ADF">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第三十九条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检测人员不得同时在两家或者两家以上检测机构从事检测活动，不得借工作之便推销建设材料、构配件和设备。</w:t>
            </w:r>
          </w:p>
          <w:p w14:paraId="78F28657">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第四十四条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交通运输部、省级人民政府交通运输主管部门应当组织比对试验，验证检测机构的能力，比对试验情况录入公路水运工程质量检测管理信息系统。检测机构应当按照前款规定参加比对试验并按照要求提供相关资料。</w:t>
            </w:r>
          </w:p>
          <w:p w14:paraId="1B56C83F">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第五十四条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检测机构或者检测人员违反本办法规定，有下列行为之一的，由交通运输主管部门责令改正，给予警告或者通报批评：</w:t>
            </w:r>
          </w:p>
          <w:p w14:paraId="791740DB">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（一）未按规定进行样品管理的；（二）同时在两家或者两家以上检测机构从事检测活动的；（三）借工作之便推销建设材料、构配件和设备的；（四）不按照要求参加比对试验的。</w:t>
            </w:r>
          </w:p>
          <w:p w14:paraId="74246985">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8CD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0FBB8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559DD5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2C4C7C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340DB9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356E467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25C6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4CA9B31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9928FB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4F77B15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421ADAA3">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E2E430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3403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33F3D66B">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D5F311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3A34247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0364F0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C69B86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2186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4F4362F8">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CC1146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439F40B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577F929A">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9C95FC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36C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136ABC9A">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3659226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22AABCD8">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238A5F6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50366C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281AC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DCB626B">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7774E2C">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2CEF5A6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7DC9A928">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8A1FA23">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B92D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748C5FC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5ACB48FC">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627A4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20DF9A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36A7AF4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69541D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A7F6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006E71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3E6FE81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218754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F5BD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56BD24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6366E111">
            <w:pPr>
              <w:widowControl/>
              <w:jc w:val="left"/>
              <w:textAlignment w:val="center"/>
              <w:rPr>
                <w:rFonts w:ascii="黑体" w:eastAsia="黑体" w:cs="黑体"/>
                <w:color w:val="000000" w:themeColor="text1"/>
                <w:kern w:val="0"/>
                <w:sz w:val="18"/>
                <w:szCs w:val="18"/>
              </w:rPr>
            </w:pPr>
          </w:p>
        </w:tc>
      </w:tr>
    </w:tbl>
    <w:p w14:paraId="434BDFEF">
      <w:pPr>
        <w:rPr>
          <w:color w:val="000000" w:themeColor="text1"/>
        </w:rPr>
      </w:pPr>
    </w:p>
    <w:p w14:paraId="2B1BDFB9">
      <w:pPr>
        <w:rPr>
          <w:color w:val="000000" w:themeColor="text1"/>
        </w:rPr>
      </w:pPr>
    </w:p>
    <w:p w14:paraId="2BAF286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F4C3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66C2B3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77E542C6">
            <w:pPr>
              <w:jc w:val="center"/>
              <w:rPr>
                <w:rFonts w:ascii="黑体" w:eastAsia="黑体" w:cs="黑体"/>
                <w:b/>
                <w:bCs/>
                <w:color w:val="000000" w:themeColor="text1"/>
                <w:szCs w:val="21"/>
              </w:rPr>
            </w:pPr>
            <w:r>
              <w:rPr>
                <w:rFonts w:ascii="黑体" w:eastAsia="黑体" w:cs="黑体"/>
                <w:b/>
                <w:bCs/>
                <w:color w:val="000000" w:themeColor="text1"/>
                <w:szCs w:val="21"/>
              </w:rPr>
              <w:t>130</w:t>
            </w:r>
          </w:p>
        </w:tc>
        <w:tc>
          <w:tcPr>
            <w:tcW w:w="1691" w:type="dxa"/>
            <w:tcMar>
              <w:top w:w="15" w:type="dxa"/>
              <w:left w:w="15" w:type="dxa"/>
              <w:bottom w:w="15" w:type="dxa"/>
              <w:right w:w="15" w:type="dxa"/>
            </w:tcMar>
            <w:vAlign w:val="center"/>
          </w:tcPr>
          <w:p w14:paraId="2DD2E90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2DB4696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67F0F4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F1CC03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DEE2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391B30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5DCAEDF">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对交通运输领域检测机构转让、出租检测机构资质证书的行政处罚</w:t>
            </w:r>
          </w:p>
        </w:tc>
      </w:tr>
      <w:tr w14:paraId="408B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2FEAC46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695E871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D70D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1CA3A4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1E42C053">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【法律法规】《公路水运工程质量检测管理办法》</w:t>
            </w:r>
          </w:p>
          <w:p w14:paraId="1AE1591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第四十条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检测机构资质证书不得转让、出租。</w:t>
            </w:r>
          </w:p>
          <w:p w14:paraId="5705C362">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第五十五条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检测机构违反本办法规定，转让、出租检测机构资质证书的，由交通运输主管部门责令停止违法行为，收缴有关证件，处</w:t>
            </w:r>
            <w:r>
              <w:rPr>
                <w:rFonts w:ascii="仿宋" w:hAnsi="仿宋" w:eastAsia="仿宋" w:cs="仿宋_GB2312"/>
                <w:color w:val="000000" w:themeColor="text1"/>
                <w:kern w:val="0"/>
                <w:sz w:val="15"/>
                <w:szCs w:val="15"/>
              </w:rPr>
              <w:t>5000</w:t>
            </w:r>
            <w:r>
              <w:rPr>
                <w:rFonts w:hint="eastAsia" w:ascii="仿宋" w:hAnsi="仿宋" w:eastAsia="仿宋" w:cs="仿宋_GB2312"/>
                <w:color w:val="000000" w:themeColor="text1"/>
                <w:kern w:val="0"/>
                <w:sz w:val="15"/>
                <w:szCs w:val="15"/>
              </w:rPr>
              <w:t>元以下罚款。</w:t>
            </w:r>
          </w:p>
          <w:p w14:paraId="7C4C70F4">
            <w:pPr>
              <w:spacing w:line="240" w:lineRule="exact"/>
              <w:rPr>
                <w:rFonts w:ascii="仿宋" w:hAnsi="仿宋" w:eastAsia="仿宋" w:cs="仿宋_GB2312"/>
                <w:color w:val="000000" w:themeColor="text1"/>
                <w:kern w:val="0"/>
                <w:sz w:val="15"/>
                <w:szCs w:val="15"/>
              </w:rPr>
            </w:pPr>
          </w:p>
          <w:p w14:paraId="762BDA1A">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37F82C3C">
            <w:pPr>
              <w:rPr>
                <w:rFonts w:ascii="仿宋" w:hAnsi="仿宋" w:eastAsia="仿宋" w:cs="仿宋_GB2312"/>
                <w:color w:val="000000" w:themeColor="text1"/>
                <w:kern w:val="0"/>
                <w:sz w:val="18"/>
                <w:szCs w:val="18"/>
              </w:rPr>
            </w:pPr>
          </w:p>
          <w:p w14:paraId="7B6ED4E6">
            <w:pPr>
              <w:spacing w:line="240" w:lineRule="exact"/>
              <w:rPr>
                <w:rFonts w:ascii="仿宋_GB2312" w:eastAsia="仿宋_GB2312" w:cs="黑体"/>
                <w:b/>
                <w:bCs/>
                <w:color w:val="000000" w:themeColor="text1"/>
                <w:szCs w:val="21"/>
              </w:rPr>
            </w:pPr>
          </w:p>
        </w:tc>
      </w:tr>
      <w:tr w14:paraId="531A3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67CC85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73487F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03934E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5B6C05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5F93C3C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60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3E7DB5D5">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AEB4A1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3CDEB956">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226D2C98">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905B6D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AC1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41FA63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8F21D5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2E05AFFB">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580515D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84E914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5195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2A09A3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2B20E8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55F6422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05A5C71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1093EA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BDA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33168C42">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BD1CCE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41EAB1CC">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33BD8299">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FF2AA2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56AC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2F70351E">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FEE168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53792FD9">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6784C73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294BB7A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1FD62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7FF4395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0A8F9970">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1CEEB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2999BA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6F6BC6A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C6914B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28A3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4C706F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74E7936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11AB14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E9C4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5537D56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49CA9EEB">
            <w:pPr>
              <w:widowControl/>
              <w:jc w:val="left"/>
              <w:textAlignment w:val="center"/>
              <w:rPr>
                <w:rFonts w:ascii="黑体" w:eastAsia="黑体" w:cs="黑体"/>
                <w:color w:val="000000" w:themeColor="text1"/>
                <w:kern w:val="0"/>
                <w:sz w:val="18"/>
                <w:szCs w:val="18"/>
              </w:rPr>
            </w:pPr>
          </w:p>
        </w:tc>
      </w:tr>
    </w:tbl>
    <w:p w14:paraId="5A24FAF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69B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87ADB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C65691A">
            <w:pPr>
              <w:jc w:val="center"/>
              <w:rPr>
                <w:rFonts w:ascii="黑体" w:eastAsia="黑体" w:cs="黑体"/>
                <w:b/>
                <w:bCs/>
                <w:color w:val="000000" w:themeColor="text1"/>
                <w:szCs w:val="21"/>
              </w:rPr>
            </w:pPr>
            <w:r>
              <w:rPr>
                <w:rFonts w:ascii="黑体" w:eastAsia="黑体" w:cs="黑体"/>
                <w:b/>
                <w:bCs/>
                <w:color w:val="000000" w:themeColor="text1"/>
                <w:szCs w:val="21"/>
              </w:rPr>
              <w:t>131</w:t>
            </w:r>
          </w:p>
        </w:tc>
        <w:tc>
          <w:tcPr>
            <w:tcW w:w="1691" w:type="dxa"/>
            <w:vAlign w:val="center"/>
          </w:tcPr>
          <w:p w14:paraId="1863A80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EFDA01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6A027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8A7474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46E5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477CA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E0E698E">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w:t>
            </w:r>
            <w:bookmarkStart w:id="20" w:name="OLE_LINK22"/>
            <w:bookmarkStart w:id="21" w:name="OLE_LINK21"/>
            <w:r>
              <w:rPr>
                <w:rFonts w:hint="eastAsia" w:ascii="仿宋" w:hAnsi="仿宋" w:eastAsia="仿宋" w:cs="宋体"/>
                <w:color w:val="000000" w:themeColor="text1"/>
                <w:kern w:val="0"/>
                <w:sz w:val="18"/>
                <w:szCs w:val="18"/>
              </w:rPr>
              <w:t>申请公路建设行业从业许可过程中隐瞒有关情况</w:t>
            </w:r>
            <w:bookmarkEnd w:id="20"/>
            <w:bookmarkEnd w:id="21"/>
            <w:r>
              <w:rPr>
                <w:rFonts w:hint="eastAsia" w:ascii="仿宋" w:hAnsi="仿宋" w:eastAsia="仿宋" w:cs="宋体"/>
                <w:color w:val="000000" w:themeColor="text1"/>
                <w:kern w:val="0"/>
                <w:sz w:val="18"/>
                <w:szCs w:val="18"/>
              </w:rPr>
              <w:t>或者提供虚假材料或以欺骗、贿赂等不正当手段取得从业许可行为的行政处罚</w:t>
            </w:r>
          </w:p>
        </w:tc>
      </w:tr>
      <w:tr w14:paraId="69F53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8EBBEF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835D8B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408A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830DF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ACFFC0C">
            <w:pPr>
              <w:spacing w:line="240" w:lineRule="exact"/>
              <w:rPr>
                <w:rFonts w:ascii="仿宋_GB2312" w:eastAsia="仿宋_GB2312" w:cs="仿宋_GB2312"/>
                <w:color w:val="000000" w:themeColor="text1"/>
                <w:kern w:val="0"/>
                <w:sz w:val="13"/>
                <w:szCs w:val="13"/>
              </w:rPr>
            </w:pPr>
            <w:r>
              <w:rPr>
                <w:rFonts w:hint="eastAsia" w:ascii="仿宋_GB2312" w:eastAsia="仿宋_GB2312" w:cs="仿宋_GB2312"/>
                <w:color w:val="000000" w:themeColor="text1"/>
                <w:kern w:val="0"/>
                <w:sz w:val="13"/>
                <w:szCs w:val="13"/>
              </w:rPr>
              <w:t>【法律法规】</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中华人民共和国行政许可法》第七十八条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第七十九条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《公路建设市场管理办法》第四十八条从业单位违反本办法规定，在申请公路建设从业许可时，隐瞒有关情况或者提供虚假材料的，行政机关不予受理或者不予行政许可，并给予警告；行政许可申请人在</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年内不得再次申请该行政许可。被许可人以欺骗、贿赂等不正当手段取得从业许可的，行政机关应当依照法律、法规给予行政处罚；申请人在</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年内不得再次申请该行政许可；构成犯罪的，依法追究刑事责任。</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《公路水运工程质量检测管理办法》第十一条</w:t>
            </w:r>
            <w:r>
              <w:rPr>
                <w:rFonts w:ascii="仿宋_GB2312" w:eastAsia="仿宋_GB2312" w:cs="仿宋_GB2312"/>
                <w:color w:val="000000" w:themeColor="text1"/>
                <w:kern w:val="0"/>
                <w:sz w:val="13"/>
                <w:szCs w:val="13"/>
              </w:rPr>
              <w:t xml:space="preserve">  </w:t>
            </w:r>
            <w:r>
              <w:rPr>
                <w:rFonts w:hint="eastAsia" w:ascii="仿宋_GB2312" w:eastAsia="仿宋_GB2312" w:cs="仿宋_GB2312"/>
                <w:color w:val="000000" w:themeColor="text1"/>
                <w:kern w:val="0"/>
                <w:sz w:val="13"/>
                <w:szCs w:val="13"/>
              </w:rPr>
              <w:t>申请人应当按照本办法规定向许可机关提交以下申请材料：（一）检测机构资质申请书；（二）检测人员、仪器设备和设施、质量检测场所证明材料；（三）质量保证体系文件。申请人应当通过公路水运工程质量检测管理信息系统提交申请材料，并对其申请材料实质内容的真实性负责。许可机关不得要求申请人提交与其申请资质无关的技术资料和其他材料。第五十条</w:t>
            </w:r>
            <w:r>
              <w:rPr>
                <w:rFonts w:ascii="仿宋_GB2312" w:eastAsia="仿宋_GB2312" w:cs="仿宋_GB2312"/>
                <w:color w:val="000000" w:themeColor="text1"/>
                <w:kern w:val="0"/>
                <w:sz w:val="13"/>
                <w:szCs w:val="13"/>
              </w:rPr>
              <w:t xml:space="preserve"> </w:t>
            </w:r>
            <w:r>
              <w:rPr>
                <w:rFonts w:hint="eastAsia" w:ascii="仿宋_GB2312" w:eastAsia="仿宋_GB2312" w:cs="仿宋_GB2312"/>
                <w:color w:val="000000" w:themeColor="text1"/>
                <w:kern w:val="0"/>
                <w:sz w:val="13"/>
                <w:szCs w:val="13"/>
              </w:rPr>
              <w:t>检测机构以欺骗、贿赂等不正当手段取得资质证书的，由许可机关予以撤销；检测机构</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年内不得再次申请该资质；构成犯罪的，依法追究刑事责任。</w:t>
            </w:r>
          </w:p>
          <w:p w14:paraId="15B6410A">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3"/>
                <w:szCs w:val="13"/>
              </w:rPr>
              <w:t>【三定规定】抚办字【</w:t>
            </w:r>
            <w:r>
              <w:rPr>
                <w:rFonts w:ascii="仿宋" w:hAnsi="仿宋" w:eastAsia="仿宋" w:cs="仿宋_GB2312"/>
                <w:color w:val="000000" w:themeColor="text1"/>
                <w:kern w:val="0"/>
                <w:sz w:val="13"/>
                <w:szCs w:val="13"/>
              </w:rPr>
              <w:t>2019</w:t>
            </w:r>
            <w:r>
              <w:rPr>
                <w:rFonts w:hint="eastAsia" w:ascii="仿宋" w:hAnsi="仿宋" w:eastAsia="仿宋" w:cs="仿宋_GB2312"/>
                <w:color w:val="000000" w:themeColor="text1"/>
                <w:kern w:val="0"/>
                <w:sz w:val="13"/>
                <w:szCs w:val="13"/>
              </w:rPr>
              <w:t>】</w:t>
            </w:r>
            <w:r>
              <w:rPr>
                <w:rFonts w:ascii="仿宋" w:hAnsi="仿宋" w:eastAsia="仿宋" w:cs="仿宋_GB2312"/>
                <w:color w:val="000000" w:themeColor="text1"/>
                <w:kern w:val="0"/>
                <w:sz w:val="13"/>
                <w:szCs w:val="13"/>
              </w:rPr>
              <w:t>11</w:t>
            </w:r>
            <w:r>
              <w:rPr>
                <w:rFonts w:hint="eastAsia" w:ascii="仿宋" w:hAnsi="仿宋" w:eastAsia="仿宋" w:cs="仿宋_GB2312"/>
                <w:color w:val="000000" w:themeColor="text1"/>
                <w:kern w:val="0"/>
                <w:sz w:val="13"/>
                <w:szCs w:val="13"/>
              </w:rPr>
              <w:t>号第三条第八款承担全区公路建设市场监管责任</w:t>
            </w:r>
            <w:r>
              <w:rPr>
                <w:rFonts w:ascii="仿宋" w:hAnsi="仿宋" w:eastAsia="仿宋" w:cs="仿宋_GB2312"/>
                <w:color w:val="000000" w:themeColor="text1"/>
                <w:kern w:val="0"/>
                <w:sz w:val="13"/>
                <w:szCs w:val="13"/>
              </w:rPr>
              <w:t>.</w:t>
            </w:r>
            <w:r>
              <w:rPr>
                <w:rFonts w:hint="eastAsia" w:ascii="仿宋" w:hAnsi="仿宋" w:eastAsia="仿宋" w:cs="仿宋_GB2312"/>
                <w:color w:val="000000" w:themeColor="text1"/>
                <w:kern w:val="0"/>
                <w:sz w:val="13"/>
                <w:szCs w:val="13"/>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C3B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35A5C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0BC10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1B6A7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24B8A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2469ED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E34C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41182FA">
            <w:pPr>
              <w:rPr>
                <w:color w:val="000000" w:themeColor="text1"/>
              </w:rPr>
            </w:pPr>
          </w:p>
        </w:tc>
        <w:tc>
          <w:tcPr>
            <w:tcW w:w="1110" w:type="dxa"/>
            <w:vAlign w:val="center"/>
          </w:tcPr>
          <w:p w14:paraId="2495EC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4E020C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56237A0">
            <w:pPr>
              <w:jc w:val="center"/>
              <w:rPr>
                <w:rFonts w:ascii="仿宋_GB2312" w:hAnsi="黑体" w:eastAsia="仿宋_GB2312" w:cs="黑体"/>
                <w:color w:val="000000" w:themeColor="text1"/>
                <w:sz w:val="18"/>
                <w:szCs w:val="18"/>
              </w:rPr>
            </w:pPr>
          </w:p>
        </w:tc>
        <w:tc>
          <w:tcPr>
            <w:tcW w:w="1406" w:type="dxa"/>
            <w:vAlign w:val="center"/>
          </w:tcPr>
          <w:p w14:paraId="6338AB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B8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F1FE924">
            <w:pPr>
              <w:rPr>
                <w:color w:val="000000" w:themeColor="text1"/>
              </w:rPr>
            </w:pPr>
          </w:p>
        </w:tc>
        <w:tc>
          <w:tcPr>
            <w:tcW w:w="1110" w:type="dxa"/>
            <w:vAlign w:val="center"/>
          </w:tcPr>
          <w:p w14:paraId="7F2EDD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17FFE4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818280A">
            <w:pPr>
              <w:jc w:val="center"/>
              <w:rPr>
                <w:rFonts w:ascii="仿宋_GB2312" w:hAnsi="黑体" w:eastAsia="仿宋_GB2312" w:cs="黑体"/>
                <w:color w:val="000000" w:themeColor="text1"/>
                <w:sz w:val="18"/>
                <w:szCs w:val="18"/>
              </w:rPr>
            </w:pPr>
          </w:p>
        </w:tc>
        <w:tc>
          <w:tcPr>
            <w:tcW w:w="1406" w:type="dxa"/>
            <w:vAlign w:val="center"/>
          </w:tcPr>
          <w:p w14:paraId="4CC311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2BF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88AA7C8">
            <w:pPr>
              <w:rPr>
                <w:color w:val="000000" w:themeColor="text1"/>
              </w:rPr>
            </w:pPr>
          </w:p>
        </w:tc>
        <w:tc>
          <w:tcPr>
            <w:tcW w:w="1110" w:type="dxa"/>
            <w:vAlign w:val="center"/>
          </w:tcPr>
          <w:p w14:paraId="7A919E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6FA683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943C40F">
            <w:pPr>
              <w:jc w:val="center"/>
              <w:rPr>
                <w:rFonts w:ascii="仿宋_GB2312" w:hAnsi="黑体" w:eastAsia="仿宋_GB2312" w:cs="黑体"/>
                <w:color w:val="000000" w:themeColor="text1"/>
                <w:sz w:val="18"/>
                <w:szCs w:val="18"/>
              </w:rPr>
            </w:pPr>
          </w:p>
        </w:tc>
        <w:tc>
          <w:tcPr>
            <w:tcW w:w="1406" w:type="dxa"/>
            <w:vAlign w:val="center"/>
          </w:tcPr>
          <w:p w14:paraId="0B0FF3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920D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E7F5B7E">
            <w:pPr>
              <w:rPr>
                <w:color w:val="000000" w:themeColor="text1"/>
              </w:rPr>
            </w:pPr>
          </w:p>
        </w:tc>
        <w:tc>
          <w:tcPr>
            <w:tcW w:w="1110" w:type="dxa"/>
            <w:vAlign w:val="center"/>
          </w:tcPr>
          <w:p w14:paraId="3FA57B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9AAD66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DAD2DB9">
            <w:pPr>
              <w:jc w:val="center"/>
              <w:rPr>
                <w:rFonts w:ascii="仿宋_GB2312" w:hAnsi="黑体" w:eastAsia="仿宋_GB2312" w:cs="黑体"/>
                <w:color w:val="000000" w:themeColor="text1"/>
                <w:sz w:val="18"/>
                <w:szCs w:val="18"/>
              </w:rPr>
            </w:pPr>
          </w:p>
        </w:tc>
        <w:tc>
          <w:tcPr>
            <w:tcW w:w="1406" w:type="dxa"/>
            <w:vAlign w:val="center"/>
          </w:tcPr>
          <w:p w14:paraId="5EA405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5EC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1" w:hRule="atLeast"/>
          <w:jc w:val="center"/>
        </w:trPr>
        <w:tc>
          <w:tcPr>
            <w:tcW w:w="943" w:type="dxa"/>
            <w:vMerge w:val="continue"/>
            <w:vAlign w:val="center"/>
          </w:tcPr>
          <w:p w14:paraId="60B36ACD">
            <w:pPr>
              <w:rPr>
                <w:color w:val="000000" w:themeColor="text1"/>
              </w:rPr>
            </w:pPr>
          </w:p>
        </w:tc>
        <w:tc>
          <w:tcPr>
            <w:tcW w:w="1110" w:type="dxa"/>
            <w:vAlign w:val="center"/>
          </w:tcPr>
          <w:p w14:paraId="7481363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6EB1A4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6007CBC">
            <w:pPr>
              <w:jc w:val="center"/>
              <w:rPr>
                <w:rFonts w:ascii="仿宋_GB2312" w:hAnsi="黑体" w:eastAsia="仿宋_GB2312" w:cs="黑体"/>
                <w:color w:val="000000" w:themeColor="text1"/>
                <w:sz w:val="18"/>
                <w:szCs w:val="18"/>
              </w:rPr>
            </w:pPr>
          </w:p>
        </w:tc>
        <w:tc>
          <w:tcPr>
            <w:tcW w:w="1406" w:type="dxa"/>
            <w:vAlign w:val="center"/>
          </w:tcPr>
          <w:p w14:paraId="1DDD05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1E4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17" w:hRule="atLeast"/>
          <w:jc w:val="center"/>
        </w:trPr>
        <w:tc>
          <w:tcPr>
            <w:tcW w:w="943" w:type="dxa"/>
            <w:vAlign w:val="center"/>
          </w:tcPr>
          <w:p w14:paraId="68C4C5F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1C4D0B9">
            <w:pPr>
              <w:spacing w:line="240" w:lineRule="exact"/>
              <w:rPr>
                <w:rFonts w:ascii="黑体" w:eastAsia="黑体" w:cs="黑体"/>
                <w:color w:val="000000" w:themeColor="text1"/>
                <w:sz w:val="15"/>
                <w:szCs w:val="15"/>
              </w:rPr>
            </w:pPr>
            <w:r>
              <w:rPr>
                <w:rFonts w:hint="eastAsia" w:ascii="仿宋_GB2312" w:eastAsia="仿宋_GB2312" w:cs="仿宋_GB2312"/>
                <w:color w:val="000000" w:themeColor="text1"/>
                <w:kern w:val="0"/>
                <w:sz w:val="15"/>
                <w:szCs w:val="15"/>
              </w:rPr>
              <w:t>因不履行或不正确履行行政职责，有下列情形的，行政机关及相关工作人员应承担相应责任：</w:t>
            </w:r>
            <w:r>
              <w:rPr>
                <w:rFonts w:ascii="仿宋_GB2312" w:eastAsia="仿宋_GB2312" w:cs="仿宋_GB2312"/>
                <w:color w:val="000000" w:themeColor="text1"/>
                <w:kern w:val="0"/>
                <w:sz w:val="15"/>
                <w:szCs w:val="15"/>
              </w:rPr>
              <w:t>1.</w:t>
            </w:r>
            <w:r>
              <w:rPr>
                <w:rFonts w:hint="eastAsia" w:ascii="仿宋_GB2312" w:eastAsia="仿宋_GB2312" w:cs="仿宋_GB2312"/>
                <w:color w:val="000000" w:themeColor="text1"/>
                <w:kern w:val="0"/>
                <w:sz w:val="15"/>
                <w:szCs w:val="15"/>
              </w:rPr>
              <w:t>没有法律和事实依据实施行政处罚的；</w:t>
            </w: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行政处罚显失公正的；</w:t>
            </w:r>
            <w:r>
              <w:rPr>
                <w:rFonts w:ascii="仿宋_GB2312" w:eastAsia="仿宋_GB2312" w:cs="仿宋_GB2312"/>
                <w:color w:val="000000" w:themeColor="text1"/>
                <w:kern w:val="0"/>
                <w:sz w:val="15"/>
                <w:szCs w:val="15"/>
              </w:rPr>
              <w:t>3.</w:t>
            </w:r>
            <w:r>
              <w:rPr>
                <w:rFonts w:hint="eastAsia" w:ascii="仿宋_GB2312" w:eastAsia="仿宋_GB2312" w:cs="仿宋_GB2312"/>
                <w:color w:val="000000" w:themeColor="text1"/>
                <w:kern w:val="0"/>
                <w:sz w:val="15"/>
                <w:szCs w:val="15"/>
              </w:rPr>
              <w:t>执法人员玩忽职守，对应当予以制止和处罚的违法行为不予制止、处罚，致使职工合法权益遭受损害的；</w:t>
            </w:r>
            <w:r>
              <w:rPr>
                <w:rFonts w:ascii="仿宋_GB2312" w:eastAsia="仿宋_GB2312" w:cs="仿宋_GB2312"/>
                <w:color w:val="000000" w:themeColor="text1"/>
                <w:kern w:val="0"/>
                <w:sz w:val="15"/>
                <w:szCs w:val="15"/>
              </w:rPr>
              <w:t>4.</w:t>
            </w:r>
            <w:r>
              <w:rPr>
                <w:rFonts w:hint="eastAsia" w:ascii="仿宋_GB2312" w:eastAsia="仿宋_GB2312" w:cs="仿宋_GB2312"/>
                <w:color w:val="000000" w:themeColor="text1"/>
                <w:kern w:val="0"/>
                <w:sz w:val="15"/>
                <w:szCs w:val="15"/>
              </w:rPr>
              <w:t>不具备行政执法资格实施行政处罚的；</w:t>
            </w:r>
            <w:r>
              <w:rPr>
                <w:rFonts w:ascii="仿宋_GB2312" w:eastAsia="仿宋_GB2312" w:cs="仿宋_GB2312"/>
                <w:color w:val="000000" w:themeColor="text1"/>
                <w:kern w:val="0"/>
                <w:sz w:val="15"/>
                <w:szCs w:val="15"/>
              </w:rPr>
              <w:t>5.</w:t>
            </w:r>
            <w:r>
              <w:rPr>
                <w:rFonts w:hint="eastAsia" w:ascii="仿宋_GB2312" w:eastAsia="仿宋_GB2312" w:cs="仿宋_GB2312"/>
                <w:color w:val="000000" w:themeColor="text1"/>
                <w:kern w:val="0"/>
                <w:sz w:val="15"/>
                <w:szCs w:val="15"/>
              </w:rPr>
              <w:t>在制止以及查处违法案件中受阻，依照有关规定应当向本级人民政府或者上级主管部门报告而未报告的；</w:t>
            </w:r>
            <w:r>
              <w:rPr>
                <w:rFonts w:ascii="仿宋_GB2312" w:eastAsia="仿宋_GB2312" w:cs="仿宋_GB2312"/>
                <w:color w:val="000000" w:themeColor="text1"/>
                <w:kern w:val="0"/>
                <w:sz w:val="15"/>
                <w:szCs w:val="15"/>
              </w:rPr>
              <w:t>6.</w:t>
            </w:r>
            <w:r>
              <w:rPr>
                <w:rFonts w:hint="eastAsia" w:ascii="仿宋_GB2312" w:eastAsia="仿宋_GB2312" w:cs="仿宋_GB2312"/>
                <w:color w:val="000000" w:themeColor="text1"/>
                <w:kern w:val="0"/>
                <w:sz w:val="15"/>
                <w:szCs w:val="15"/>
              </w:rPr>
              <w:t>应当依法移送追究刑事责任，而未依法移送有权机关的；</w:t>
            </w:r>
            <w:r>
              <w:rPr>
                <w:rFonts w:ascii="仿宋_GB2312" w:eastAsia="仿宋_GB2312" w:cs="仿宋_GB2312"/>
                <w:color w:val="000000" w:themeColor="text1"/>
                <w:kern w:val="0"/>
                <w:sz w:val="15"/>
                <w:szCs w:val="15"/>
              </w:rPr>
              <w:t>7.</w:t>
            </w:r>
            <w:r>
              <w:rPr>
                <w:rFonts w:hint="eastAsia" w:ascii="仿宋_GB2312" w:eastAsia="仿宋_GB2312" w:cs="仿宋_GB2312"/>
                <w:color w:val="000000" w:themeColor="text1"/>
                <w:kern w:val="0"/>
                <w:sz w:val="15"/>
                <w:szCs w:val="15"/>
              </w:rPr>
              <w:t>擅自改变行政处罚种类、幅度的；</w:t>
            </w:r>
            <w:r>
              <w:rPr>
                <w:rFonts w:ascii="仿宋_GB2312" w:eastAsia="仿宋_GB2312" w:cs="仿宋_GB2312"/>
                <w:color w:val="000000" w:themeColor="text1"/>
                <w:kern w:val="0"/>
                <w:sz w:val="15"/>
                <w:szCs w:val="15"/>
              </w:rPr>
              <w:t>8.</w:t>
            </w:r>
            <w:r>
              <w:rPr>
                <w:rFonts w:hint="eastAsia" w:ascii="仿宋_GB2312" w:eastAsia="仿宋_GB2312" w:cs="仿宋_GB2312"/>
                <w:color w:val="000000" w:themeColor="text1"/>
                <w:kern w:val="0"/>
                <w:sz w:val="15"/>
                <w:szCs w:val="15"/>
              </w:rPr>
              <w:t>违反法定的行政处罚程序的；</w:t>
            </w:r>
            <w:r>
              <w:rPr>
                <w:rFonts w:ascii="仿宋_GB2312" w:eastAsia="仿宋_GB2312" w:cs="仿宋_GB2312"/>
                <w:color w:val="000000" w:themeColor="text1"/>
                <w:kern w:val="0"/>
                <w:sz w:val="15"/>
                <w:szCs w:val="15"/>
              </w:rPr>
              <w:t>9.</w:t>
            </w:r>
            <w:r>
              <w:rPr>
                <w:rFonts w:hint="eastAsia" w:ascii="仿宋_GB2312" w:eastAsia="仿宋_GB2312" w:cs="仿宋_GB2312"/>
                <w:color w:val="000000" w:themeColor="text1"/>
                <w:kern w:val="0"/>
                <w:sz w:val="15"/>
                <w:szCs w:val="15"/>
              </w:rPr>
              <w:t>符合听证条件、行政管理相对人要求听证，应予组织听证而不组织听证的；</w:t>
            </w:r>
            <w:r>
              <w:rPr>
                <w:rFonts w:ascii="仿宋_GB2312" w:eastAsia="仿宋_GB2312" w:cs="仿宋_GB2312"/>
                <w:color w:val="000000" w:themeColor="text1"/>
                <w:kern w:val="0"/>
                <w:sz w:val="15"/>
                <w:szCs w:val="15"/>
              </w:rPr>
              <w:t>10.</w:t>
            </w:r>
            <w:r>
              <w:rPr>
                <w:rFonts w:hint="eastAsia" w:ascii="仿宋_GB2312" w:eastAsia="仿宋_GB2312" w:cs="仿宋_GB2312"/>
                <w:color w:val="000000" w:themeColor="text1"/>
                <w:kern w:val="0"/>
                <w:sz w:val="15"/>
                <w:szCs w:val="15"/>
              </w:rPr>
              <w:t>在行政处罚过程中发生腐败行为的；</w:t>
            </w:r>
            <w:r>
              <w:rPr>
                <w:rFonts w:ascii="仿宋_GB2312" w:eastAsia="仿宋_GB2312" w:cs="仿宋_GB2312"/>
                <w:color w:val="000000" w:themeColor="text1"/>
                <w:kern w:val="0"/>
                <w:sz w:val="15"/>
                <w:szCs w:val="15"/>
              </w:rPr>
              <w:t>11.</w:t>
            </w:r>
            <w:r>
              <w:rPr>
                <w:rFonts w:hint="eastAsia" w:ascii="仿宋_GB2312" w:eastAsia="仿宋_GB2312" w:cs="仿宋_GB2312"/>
                <w:color w:val="000000" w:themeColor="text1"/>
                <w:kern w:val="0"/>
                <w:sz w:val="15"/>
                <w:szCs w:val="15"/>
              </w:rPr>
              <w:t>其他违反法律法规规章文件规定的行为。</w:t>
            </w:r>
          </w:p>
        </w:tc>
      </w:tr>
      <w:tr w14:paraId="73FC8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DD6EA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AB93F3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329ADA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5A5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797C03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85E14B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C2472B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27C2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3" w:hRule="atLeast"/>
          <w:jc w:val="center"/>
        </w:trPr>
        <w:tc>
          <w:tcPr>
            <w:tcW w:w="943" w:type="dxa"/>
            <w:vAlign w:val="center"/>
          </w:tcPr>
          <w:p w14:paraId="48E54E8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8D681C9">
            <w:pPr>
              <w:widowControl/>
              <w:jc w:val="left"/>
              <w:textAlignment w:val="center"/>
              <w:rPr>
                <w:rFonts w:ascii="黑体" w:eastAsia="黑体" w:cs="黑体"/>
                <w:color w:val="000000" w:themeColor="text1"/>
                <w:kern w:val="0"/>
                <w:sz w:val="18"/>
                <w:szCs w:val="18"/>
              </w:rPr>
            </w:pPr>
          </w:p>
        </w:tc>
      </w:tr>
    </w:tbl>
    <w:p w14:paraId="22BC5EB0">
      <w:pPr>
        <w:rPr>
          <w:color w:val="000000" w:themeColor="text1"/>
          <w:sz w:val="24"/>
        </w:rPr>
      </w:pPr>
    </w:p>
    <w:p w14:paraId="0AD337B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A6DF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C49F4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445ABBD">
            <w:pPr>
              <w:jc w:val="center"/>
              <w:rPr>
                <w:rFonts w:ascii="黑体" w:eastAsia="黑体" w:cs="黑体"/>
                <w:b/>
                <w:bCs/>
                <w:color w:val="000000" w:themeColor="text1"/>
                <w:szCs w:val="21"/>
              </w:rPr>
            </w:pPr>
            <w:r>
              <w:rPr>
                <w:rFonts w:ascii="黑体" w:eastAsia="黑体" w:cs="黑体"/>
                <w:b/>
                <w:bCs/>
                <w:color w:val="000000" w:themeColor="text1"/>
                <w:szCs w:val="21"/>
              </w:rPr>
              <w:t>132</w:t>
            </w:r>
          </w:p>
        </w:tc>
        <w:tc>
          <w:tcPr>
            <w:tcW w:w="1691" w:type="dxa"/>
            <w:vAlign w:val="center"/>
          </w:tcPr>
          <w:p w14:paraId="0F380D5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7FC06F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5D920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9E8AD1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0E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34618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B49DAA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对公路水运工程工地临时试验室单位出具虚假试验检测数据或报告行为的行政处罚</w:t>
            </w:r>
          </w:p>
        </w:tc>
      </w:tr>
      <w:tr w14:paraId="3289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D639A5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BE2AE9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611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1FD13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593760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【法律法规】《公路水运工程质量监督管理规定》（中华人民共和国交通运输部令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号）第四十四条违反本规定第十八条规定，设立工地临时实验室的单位弄虚作假、出具虚假数据报告的，责令改正，处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353174D3">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8B51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09758C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64E92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AEB48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951DF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51A98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F78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2546FE4">
            <w:pPr>
              <w:rPr>
                <w:color w:val="000000" w:themeColor="text1"/>
              </w:rPr>
            </w:pPr>
          </w:p>
        </w:tc>
        <w:tc>
          <w:tcPr>
            <w:tcW w:w="1110" w:type="dxa"/>
            <w:vAlign w:val="center"/>
          </w:tcPr>
          <w:p w14:paraId="3A3E570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B90017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3ADDE76">
            <w:pPr>
              <w:jc w:val="center"/>
              <w:rPr>
                <w:rFonts w:ascii="仿宋_GB2312" w:hAnsi="黑体" w:eastAsia="仿宋_GB2312" w:cs="黑体"/>
                <w:color w:val="000000" w:themeColor="text1"/>
                <w:sz w:val="18"/>
                <w:szCs w:val="18"/>
              </w:rPr>
            </w:pPr>
          </w:p>
        </w:tc>
        <w:tc>
          <w:tcPr>
            <w:tcW w:w="1406" w:type="dxa"/>
            <w:vAlign w:val="center"/>
          </w:tcPr>
          <w:p w14:paraId="6A290F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69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06BFC0C">
            <w:pPr>
              <w:rPr>
                <w:color w:val="000000" w:themeColor="text1"/>
              </w:rPr>
            </w:pPr>
          </w:p>
        </w:tc>
        <w:tc>
          <w:tcPr>
            <w:tcW w:w="1110" w:type="dxa"/>
            <w:vAlign w:val="center"/>
          </w:tcPr>
          <w:p w14:paraId="52F9FB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2B4BFA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C5FC485">
            <w:pPr>
              <w:jc w:val="center"/>
              <w:rPr>
                <w:rFonts w:ascii="仿宋_GB2312" w:hAnsi="黑体" w:eastAsia="仿宋_GB2312" w:cs="黑体"/>
                <w:color w:val="000000" w:themeColor="text1"/>
                <w:sz w:val="18"/>
                <w:szCs w:val="18"/>
              </w:rPr>
            </w:pPr>
          </w:p>
        </w:tc>
        <w:tc>
          <w:tcPr>
            <w:tcW w:w="1406" w:type="dxa"/>
            <w:vAlign w:val="center"/>
          </w:tcPr>
          <w:p w14:paraId="2936B0E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85A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84ADA94">
            <w:pPr>
              <w:rPr>
                <w:color w:val="000000" w:themeColor="text1"/>
              </w:rPr>
            </w:pPr>
          </w:p>
        </w:tc>
        <w:tc>
          <w:tcPr>
            <w:tcW w:w="1110" w:type="dxa"/>
            <w:vAlign w:val="center"/>
          </w:tcPr>
          <w:p w14:paraId="6038BF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BCEAF9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D68F7B5">
            <w:pPr>
              <w:jc w:val="center"/>
              <w:rPr>
                <w:rFonts w:ascii="仿宋_GB2312" w:hAnsi="黑体" w:eastAsia="仿宋_GB2312" w:cs="黑体"/>
                <w:color w:val="000000" w:themeColor="text1"/>
                <w:sz w:val="18"/>
                <w:szCs w:val="18"/>
              </w:rPr>
            </w:pPr>
          </w:p>
        </w:tc>
        <w:tc>
          <w:tcPr>
            <w:tcW w:w="1406" w:type="dxa"/>
            <w:vAlign w:val="center"/>
          </w:tcPr>
          <w:p w14:paraId="26AAAC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321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69CD1D6">
            <w:pPr>
              <w:rPr>
                <w:color w:val="000000" w:themeColor="text1"/>
              </w:rPr>
            </w:pPr>
          </w:p>
        </w:tc>
        <w:tc>
          <w:tcPr>
            <w:tcW w:w="1110" w:type="dxa"/>
            <w:vAlign w:val="center"/>
          </w:tcPr>
          <w:p w14:paraId="7495DCF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4BF4AA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2C44E9A">
            <w:pPr>
              <w:jc w:val="center"/>
              <w:rPr>
                <w:rFonts w:ascii="仿宋_GB2312" w:hAnsi="黑体" w:eastAsia="仿宋_GB2312" w:cs="黑体"/>
                <w:color w:val="000000" w:themeColor="text1"/>
                <w:sz w:val="18"/>
                <w:szCs w:val="18"/>
              </w:rPr>
            </w:pPr>
          </w:p>
        </w:tc>
        <w:tc>
          <w:tcPr>
            <w:tcW w:w="1406" w:type="dxa"/>
            <w:vAlign w:val="center"/>
          </w:tcPr>
          <w:p w14:paraId="3EE05E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599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492C4B0">
            <w:pPr>
              <w:rPr>
                <w:color w:val="000000" w:themeColor="text1"/>
              </w:rPr>
            </w:pPr>
          </w:p>
        </w:tc>
        <w:tc>
          <w:tcPr>
            <w:tcW w:w="1110" w:type="dxa"/>
            <w:vAlign w:val="center"/>
          </w:tcPr>
          <w:p w14:paraId="61D1D86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80AD70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AEE98D5">
            <w:pPr>
              <w:jc w:val="center"/>
              <w:rPr>
                <w:rFonts w:ascii="仿宋_GB2312" w:hAnsi="黑体" w:eastAsia="仿宋_GB2312" w:cs="黑体"/>
                <w:color w:val="000000" w:themeColor="text1"/>
                <w:sz w:val="18"/>
                <w:szCs w:val="18"/>
              </w:rPr>
            </w:pPr>
          </w:p>
        </w:tc>
        <w:tc>
          <w:tcPr>
            <w:tcW w:w="1406" w:type="dxa"/>
            <w:vAlign w:val="center"/>
          </w:tcPr>
          <w:p w14:paraId="3659EE2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EC03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BF9214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D257858">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D76F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5B8B0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28A4A8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EFB9F5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B52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5BA51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C3FBA7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5CF2E8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ACC4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76EAC8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D02093E">
            <w:pPr>
              <w:widowControl/>
              <w:jc w:val="left"/>
              <w:textAlignment w:val="center"/>
              <w:rPr>
                <w:rFonts w:ascii="黑体" w:eastAsia="黑体" w:cs="黑体"/>
                <w:color w:val="000000" w:themeColor="text1"/>
                <w:kern w:val="0"/>
                <w:sz w:val="18"/>
                <w:szCs w:val="18"/>
              </w:rPr>
            </w:pPr>
          </w:p>
        </w:tc>
      </w:tr>
    </w:tbl>
    <w:p w14:paraId="68F6711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3"/>
        <w:gridCol w:w="1110"/>
        <w:gridCol w:w="1101"/>
        <w:gridCol w:w="1691"/>
        <w:gridCol w:w="1963"/>
        <w:gridCol w:w="1125"/>
        <w:gridCol w:w="434"/>
        <w:gridCol w:w="525"/>
        <w:gridCol w:w="1406"/>
      </w:tblGrid>
      <w:tr w14:paraId="334B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4" w:hRule="atLeast"/>
          <w:jc w:val="center"/>
        </w:trPr>
        <w:tc>
          <w:tcPr>
            <w:tcW w:w="943" w:type="dxa"/>
            <w:vAlign w:val="center"/>
          </w:tcPr>
          <w:p w14:paraId="512D7C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945A4F0">
            <w:pPr>
              <w:jc w:val="center"/>
              <w:rPr>
                <w:rFonts w:ascii="黑体" w:eastAsia="黑体" w:cs="黑体"/>
                <w:b/>
                <w:bCs/>
                <w:color w:val="000000" w:themeColor="text1"/>
                <w:szCs w:val="21"/>
              </w:rPr>
            </w:pPr>
            <w:r>
              <w:rPr>
                <w:rFonts w:ascii="黑体" w:eastAsia="黑体" w:cs="黑体"/>
                <w:b/>
                <w:bCs/>
                <w:color w:val="000000" w:themeColor="text1"/>
                <w:szCs w:val="21"/>
              </w:rPr>
              <w:t>133</w:t>
            </w:r>
          </w:p>
        </w:tc>
        <w:tc>
          <w:tcPr>
            <w:tcW w:w="1691" w:type="dxa"/>
            <w:tcMar>
              <w:top w:w="15" w:type="dxa"/>
              <w:left w:w="15" w:type="dxa"/>
              <w:bottom w:w="15" w:type="dxa"/>
              <w:right w:w="15" w:type="dxa"/>
            </w:tcMar>
            <w:vAlign w:val="center"/>
          </w:tcPr>
          <w:p w14:paraId="17588B7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761A7EA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7D4CE2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567CFE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9DD7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943" w:type="dxa"/>
            <w:tcMar>
              <w:top w:w="15" w:type="dxa"/>
              <w:left w:w="15" w:type="dxa"/>
              <w:bottom w:w="15" w:type="dxa"/>
              <w:right w:w="15" w:type="dxa"/>
            </w:tcMar>
            <w:vAlign w:val="center"/>
          </w:tcPr>
          <w:p w14:paraId="712886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tcMar>
              <w:top w:w="15" w:type="dxa"/>
              <w:left w:w="15" w:type="dxa"/>
              <w:bottom w:w="15" w:type="dxa"/>
              <w:right w:w="15" w:type="dxa"/>
            </w:tcMar>
            <w:vAlign w:val="center"/>
          </w:tcPr>
          <w:p w14:paraId="70246BF3">
            <w:pPr>
              <w:widowControl/>
              <w:jc w:val="center"/>
              <w:textAlignment w:val="center"/>
              <w:rPr>
                <w:rFonts w:ascii="仿宋_GB2312" w:eastAsia="仿宋_GB2312" w:cs="仿宋_GB2312"/>
                <w:color w:val="000000" w:themeColor="text1"/>
                <w:kern w:val="0"/>
                <w:sz w:val="18"/>
                <w:szCs w:val="18"/>
              </w:rPr>
            </w:pPr>
            <w:bookmarkStart w:id="22" w:name="OLE_LINK24"/>
            <w:bookmarkStart w:id="23" w:name="OLE_LINK23"/>
            <w:r>
              <w:rPr>
                <w:rFonts w:hint="eastAsia" w:ascii="仿宋" w:hAnsi="仿宋" w:eastAsia="仿宋" w:cs="宋体"/>
                <w:color w:val="000000" w:themeColor="text1"/>
                <w:kern w:val="0"/>
                <w:sz w:val="18"/>
                <w:szCs w:val="18"/>
              </w:rPr>
              <w:t>对公路建设工程发生工程质量事故未按有关规定和时间向有关部门报告行为的行政处罚</w:t>
            </w:r>
            <w:bookmarkEnd w:id="22"/>
            <w:bookmarkEnd w:id="23"/>
          </w:p>
        </w:tc>
      </w:tr>
      <w:tr w14:paraId="6EC4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2" w:hRule="atLeast"/>
          <w:jc w:val="center"/>
        </w:trPr>
        <w:tc>
          <w:tcPr>
            <w:tcW w:w="943" w:type="dxa"/>
            <w:tcMar>
              <w:top w:w="15" w:type="dxa"/>
              <w:left w:w="15" w:type="dxa"/>
              <w:bottom w:w="15" w:type="dxa"/>
              <w:right w:w="15" w:type="dxa"/>
            </w:tcMar>
            <w:vAlign w:val="center"/>
          </w:tcPr>
          <w:p w14:paraId="2B89496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tcMar>
              <w:top w:w="15" w:type="dxa"/>
              <w:left w:w="15" w:type="dxa"/>
              <w:bottom w:w="15" w:type="dxa"/>
              <w:right w:w="15" w:type="dxa"/>
            </w:tcMar>
            <w:vAlign w:val="center"/>
          </w:tcPr>
          <w:p w14:paraId="7B38EA9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A7A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5" w:hRule="atLeast"/>
          <w:jc w:val="center"/>
        </w:trPr>
        <w:tc>
          <w:tcPr>
            <w:tcW w:w="943" w:type="dxa"/>
            <w:tcMar>
              <w:top w:w="15" w:type="dxa"/>
              <w:left w:w="15" w:type="dxa"/>
              <w:bottom w:w="15" w:type="dxa"/>
              <w:right w:w="15" w:type="dxa"/>
            </w:tcMar>
            <w:vAlign w:val="center"/>
          </w:tcPr>
          <w:p w14:paraId="0D48C4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tcMar>
              <w:top w:w="15" w:type="dxa"/>
              <w:left w:w="15" w:type="dxa"/>
              <w:bottom w:w="15" w:type="dxa"/>
              <w:right w:w="15" w:type="dxa"/>
            </w:tcMar>
            <w:vAlign w:val="center"/>
          </w:tcPr>
          <w:p w14:paraId="57FED81A">
            <w:pPr>
              <w:spacing w:line="240" w:lineRule="exact"/>
              <w:jc w:val="left"/>
              <w:rPr>
                <w:rFonts w:ascii="仿宋" w:hAnsi="仿宋" w:eastAsia="仿宋" w:cs="宋体"/>
                <w:color w:val="000000" w:themeColor="text1"/>
                <w:kern w:val="0"/>
                <w:sz w:val="15"/>
                <w:szCs w:val="15"/>
              </w:rPr>
            </w:pPr>
            <w:r>
              <w:rPr>
                <w:rFonts w:hint="eastAsia" w:ascii="仿宋_GB2312" w:eastAsia="仿宋_GB2312" w:cs="仿宋_GB2312"/>
                <w:color w:val="000000" w:themeColor="text1"/>
                <w:kern w:val="0"/>
                <w:sz w:val="15"/>
                <w:szCs w:val="15"/>
              </w:rPr>
              <w:t>【法律法规】</w:t>
            </w:r>
            <w:r>
              <w:rPr>
                <w:rFonts w:hint="eastAsia" w:ascii="仿宋" w:hAnsi="仿宋" w:eastAsia="仿宋" w:cs="宋体"/>
                <w:color w:val="000000" w:themeColor="text1"/>
                <w:kern w:val="0"/>
                <w:sz w:val="18"/>
                <w:szCs w:val="18"/>
              </w:rPr>
              <w:t>《公路建设监督管理办法》</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第四十六条违反本办法第二十六条规定，项目法人对工程质量事故隐瞒不报、谎报或拖延报告期限的，给予警告处罚，对直接责任人依法给予行政处分。</w:t>
            </w:r>
          </w:p>
          <w:p w14:paraId="545474A8">
            <w:pPr>
              <w:spacing w:line="240" w:lineRule="exact"/>
              <w:rPr>
                <w:rFonts w:ascii="仿宋" w:hAnsi="仿宋" w:eastAsia="仿宋" w:cs="宋体"/>
                <w:color w:val="000000" w:themeColor="text1"/>
                <w:kern w:val="0"/>
                <w:sz w:val="13"/>
                <w:szCs w:val="13"/>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DA7E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943" w:type="dxa"/>
            <w:vMerge w:val="restart"/>
            <w:tcMar>
              <w:top w:w="15" w:type="dxa"/>
              <w:left w:w="15" w:type="dxa"/>
              <w:bottom w:w="15" w:type="dxa"/>
              <w:right w:w="15" w:type="dxa"/>
            </w:tcMar>
            <w:vAlign w:val="center"/>
          </w:tcPr>
          <w:p w14:paraId="6DE487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tcMar>
              <w:top w:w="15" w:type="dxa"/>
              <w:left w:w="15" w:type="dxa"/>
              <w:bottom w:w="15" w:type="dxa"/>
              <w:right w:w="15" w:type="dxa"/>
            </w:tcMar>
            <w:vAlign w:val="center"/>
          </w:tcPr>
          <w:p w14:paraId="08D95B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tcMar>
              <w:top w:w="15" w:type="dxa"/>
              <w:left w:w="15" w:type="dxa"/>
              <w:bottom w:w="15" w:type="dxa"/>
              <w:right w:w="15" w:type="dxa"/>
            </w:tcMar>
            <w:vAlign w:val="center"/>
          </w:tcPr>
          <w:p w14:paraId="0B0ACF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tcMar>
              <w:top w:w="15" w:type="dxa"/>
              <w:left w:w="15" w:type="dxa"/>
              <w:bottom w:w="15" w:type="dxa"/>
              <w:right w:w="15" w:type="dxa"/>
            </w:tcMar>
            <w:vAlign w:val="center"/>
          </w:tcPr>
          <w:p w14:paraId="7F0A6AF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0EAFDE5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EB2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15" w:hRule="atLeast"/>
          <w:jc w:val="center"/>
        </w:trPr>
        <w:tc>
          <w:tcPr>
            <w:tcW w:w="943" w:type="dxa"/>
            <w:vMerge w:val="continue"/>
            <w:vAlign w:val="center"/>
          </w:tcPr>
          <w:p w14:paraId="7F052EAF">
            <w:pPr>
              <w:widowControl/>
              <w:jc w:val="left"/>
              <w:rPr>
                <w:rFonts w:ascii="黑体" w:eastAsia="黑体" w:cs="黑体"/>
                <w:b/>
                <w:bCs/>
                <w:color w:val="000000" w:themeColor="text1"/>
                <w:szCs w:val="21"/>
              </w:rPr>
            </w:pPr>
          </w:p>
        </w:tc>
        <w:tc>
          <w:tcPr>
            <w:tcW w:w="1110" w:type="dxa"/>
            <w:tcMar>
              <w:top w:w="15" w:type="dxa"/>
              <w:left w:w="15" w:type="dxa"/>
              <w:bottom w:w="15" w:type="dxa"/>
              <w:right w:w="15" w:type="dxa"/>
            </w:tcMar>
            <w:vAlign w:val="center"/>
          </w:tcPr>
          <w:p w14:paraId="1D4CBC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tcMar>
              <w:top w:w="15" w:type="dxa"/>
              <w:left w:w="15" w:type="dxa"/>
              <w:bottom w:w="15" w:type="dxa"/>
              <w:right w:w="15" w:type="dxa"/>
            </w:tcMar>
            <w:vAlign w:val="center"/>
          </w:tcPr>
          <w:p w14:paraId="3EAB11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tcMar>
              <w:top w:w="15" w:type="dxa"/>
              <w:left w:w="15" w:type="dxa"/>
              <w:bottom w:w="15" w:type="dxa"/>
              <w:right w:w="15" w:type="dxa"/>
            </w:tcMar>
            <w:vAlign w:val="center"/>
          </w:tcPr>
          <w:p w14:paraId="62A4C39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433F9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571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5" w:hRule="atLeast"/>
          <w:jc w:val="center"/>
        </w:trPr>
        <w:tc>
          <w:tcPr>
            <w:tcW w:w="943" w:type="dxa"/>
            <w:vMerge w:val="continue"/>
            <w:vAlign w:val="center"/>
          </w:tcPr>
          <w:p w14:paraId="45E32035">
            <w:pPr>
              <w:widowControl/>
              <w:jc w:val="left"/>
              <w:rPr>
                <w:rFonts w:ascii="黑体" w:eastAsia="黑体" w:cs="黑体"/>
                <w:b/>
                <w:bCs/>
                <w:color w:val="000000" w:themeColor="text1"/>
                <w:szCs w:val="21"/>
              </w:rPr>
            </w:pPr>
          </w:p>
        </w:tc>
        <w:tc>
          <w:tcPr>
            <w:tcW w:w="1110" w:type="dxa"/>
            <w:tcMar>
              <w:top w:w="15" w:type="dxa"/>
              <w:left w:w="15" w:type="dxa"/>
              <w:bottom w:w="15" w:type="dxa"/>
              <w:right w:w="15" w:type="dxa"/>
            </w:tcMar>
            <w:vAlign w:val="center"/>
          </w:tcPr>
          <w:p w14:paraId="4A1BCB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tcMar>
              <w:top w:w="15" w:type="dxa"/>
              <w:left w:w="15" w:type="dxa"/>
              <w:bottom w:w="15" w:type="dxa"/>
              <w:right w:w="15" w:type="dxa"/>
            </w:tcMar>
            <w:vAlign w:val="center"/>
          </w:tcPr>
          <w:p w14:paraId="7D4E635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tcMar>
              <w:top w:w="15" w:type="dxa"/>
              <w:left w:w="15" w:type="dxa"/>
              <w:bottom w:w="15" w:type="dxa"/>
              <w:right w:w="15" w:type="dxa"/>
            </w:tcMar>
            <w:vAlign w:val="center"/>
          </w:tcPr>
          <w:p w14:paraId="418569CF">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77BA51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80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0" w:hRule="atLeast"/>
          <w:jc w:val="center"/>
        </w:trPr>
        <w:tc>
          <w:tcPr>
            <w:tcW w:w="943" w:type="dxa"/>
            <w:vMerge w:val="continue"/>
            <w:vAlign w:val="center"/>
          </w:tcPr>
          <w:p w14:paraId="5D707CE0">
            <w:pPr>
              <w:widowControl/>
              <w:jc w:val="left"/>
              <w:rPr>
                <w:rFonts w:ascii="黑体" w:eastAsia="黑体" w:cs="黑体"/>
                <w:b/>
                <w:bCs/>
                <w:color w:val="000000" w:themeColor="text1"/>
                <w:szCs w:val="21"/>
              </w:rPr>
            </w:pPr>
          </w:p>
        </w:tc>
        <w:tc>
          <w:tcPr>
            <w:tcW w:w="1110" w:type="dxa"/>
            <w:tcMar>
              <w:top w:w="15" w:type="dxa"/>
              <w:left w:w="15" w:type="dxa"/>
              <w:bottom w:w="15" w:type="dxa"/>
              <w:right w:w="15" w:type="dxa"/>
            </w:tcMar>
            <w:vAlign w:val="center"/>
          </w:tcPr>
          <w:p w14:paraId="5D3099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tcMar>
              <w:top w:w="15" w:type="dxa"/>
              <w:left w:w="15" w:type="dxa"/>
              <w:bottom w:w="15" w:type="dxa"/>
              <w:right w:w="15" w:type="dxa"/>
            </w:tcMar>
            <w:vAlign w:val="center"/>
          </w:tcPr>
          <w:p w14:paraId="0F71AE5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tcMar>
              <w:top w:w="15" w:type="dxa"/>
              <w:left w:w="15" w:type="dxa"/>
              <w:bottom w:w="15" w:type="dxa"/>
              <w:right w:w="15" w:type="dxa"/>
            </w:tcMar>
            <w:vAlign w:val="center"/>
          </w:tcPr>
          <w:p w14:paraId="174A13A4">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52B6E7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FB59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943" w:type="dxa"/>
            <w:vMerge w:val="continue"/>
            <w:vAlign w:val="center"/>
          </w:tcPr>
          <w:p w14:paraId="78E37F3B">
            <w:pPr>
              <w:widowControl/>
              <w:jc w:val="left"/>
              <w:rPr>
                <w:rFonts w:ascii="黑体" w:eastAsia="黑体" w:cs="黑体"/>
                <w:b/>
                <w:bCs/>
                <w:color w:val="000000" w:themeColor="text1"/>
                <w:szCs w:val="21"/>
              </w:rPr>
            </w:pPr>
          </w:p>
        </w:tc>
        <w:tc>
          <w:tcPr>
            <w:tcW w:w="1110" w:type="dxa"/>
            <w:tcMar>
              <w:top w:w="15" w:type="dxa"/>
              <w:left w:w="15" w:type="dxa"/>
              <w:bottom w:w="15" w:type="dxa"/>
              <w:right w:w="15" w:type="dxa"/>
            </w:tcMar>
            <w:vAlign w:val="center"/>
          </w:tcPr>
          <w:p w14:paraId="262D6B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tcMar>
              <w:top w:w="15" w:type="dxa"/>
              <w:left w:w="15" w:type="dxa"/>
              <w:bottom w:w="15" w:type="dxa"/>
              <w:right w:w="15" w:type="dxa"/>
            </w:tcMar>
            <w:vAlign w:val="center"/>
          </w:tcPr>
          <w:p w14:paraId="0794C9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tcMar>
              <w:top w:w="15" w:type="dxa"/>
              <w:left w:w="15" w:type="dxa"/>
              <w:bottom w:w="15" w:type="dxa"/>
              <w:right w:w="15" w:type="dxa"/>
            </w:tcMar>
            <w:vAlign w:val="center"/>
          </w:tcPr>
          <w:p w14:paraId="0BBCFBA7">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683F342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76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8" w:hRule="atLeast"/>
          <w:jc w:val="center"/>
        </w:trPr>
        <w:tc>
          <w:tcPr>
            <w:tcW w:w="943" w:type="dxa"/>
            <w:vMerge w:val="continue"/>
            <w:vAlign w:val="center"/>
          </w:tcPr>
          <w:p w14:paraId="1117297D">
            <w:pPr>
              <w:widowControl/>
              <w:jc w:val="left"/>
              <w:rPr>
                <w:rFonts w:ascii="黑体" w:eastAsia="黑体" w:cs="黑体"/>
                <w:b/>
                <w:bCs/>
                <w:color w:val="000000" w:themeColor="text1"/>
                <w:szCs w:val="21"/>
              </w:rPr>
            </w:pPr>
          </w:p>
        </w:tc>
        <w:tc>
          <w:tcPr>
            <w:tcW w:w="1110" w:type="dxa"/>
            <w:tcMar>
              <w:top w:w="15" w:type="dxa"/>
              <w:left w:w="15" w:type="dxa"/>
              <w:bottom w:w="15" w:type="dxa"/>
              <w:right w:w="15" w:type="dxa"/>
            </w:tcMar>
            <w:vAlign w:val="center"/>
          </w:tcPr>
          <w:p w14:paraId="6C9D528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tcMar>
              <w:top w:w="15" w:type="dxa"/>
              <w:left w:w="15" w:type="dxa"/>
              <w:bottom w:w="15" w:type="dxa"/>
              <w:right w:w="15" w:type="dxa"/>
            </w:tcMar>
            <w:vAlign w:val="center"/>
          </w:tcPr>
          <w:p w14:paraId="7B05287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tcMar>
              <w:top w:w="15" w:type="dxa"/>
              <w:left w:w="15" w:type="dxa"/>
              <w:bottom w:w="15" w:type="dxa"/>
              <w:right w:w="15" w:type="dxa"/>
            </w:tcMar>
            <w:vAlign w:val="center"/>
          </w:tcPr>
          <w:p w14:paraId="1892095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F6335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24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20" w:hRule="atLeast"/>
          <w:jc w:val="center"/>
        </w:trPr>
        <w:tc>
          <w:tcPr>
            <w:tcW w:w="943" w:type="dxa"/>
            <w:tcMar>
              <w:top w:w="15" w:type="dxa"/>
              <w:left w:w="15" w:type="dxa"/>
              <w:bottom w:w="15" w:type="dxa"/>
              <w:right w:w="15" w:type="dxa"/>
            </w:tcMar>
            <w:vAlign w:val="center"/>
          </w:tcPr>
          <w:p w14:paraId="13A8874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tcMar>
              <w:top w:w="15" w:type="dxa"/>
              <w:left w:w="15" w:type="dxa"/>
              <w:bottom w:w="15" w:type="dxa"/>
              <w:right w:w="15" w:type="dxa"/>
            </w:tcMar>
            <w:vAlign w:val="center"/>
          </w:tcPr>
          <w:p w14:paraId="1536ECA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E413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6" w:hRule="atLeast"/>
          <w:jc w:val="center"/>
        </w:trPr>
        <w:tc>
          <w:tcPr>
            <w:tcW w:w="943" w:type="dxa"/>
            <w:tcMar>
              <w:top w:w="15" w:type="dxa"/>
              <w:left w:w="15" w:type="dxa"/>
              <w:bottom w:w="15" w:type="dxa"/>
              <w:right w:w="15" w:type="dxa"/>
            </w:tcMar>
            <w:vAlign w:val="center"/>
          </w:tcPr>
          <w:p w14:paraId="69AD9C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tcMar>
              <w:top w:w="15" w:type="dxa"/>
              <w:left w:w="15" w:type="dxa"/>
              <w:bottom w:w="15" w:type="dxa"/>
              <w:right w:w="15" w:type="dxa"/>
            </w:tcMar>
            <w:vAlign w:val="center"/>
          </w:tcPr>
          <w:p w14:paraId="4B0DE17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A96D8E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09C9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4" w:hRule="atLeast"/>
          <w:jc w:val="center"/>
        </w:trPr>
        <w:tc>
          <w:tcPr>
            <w:tcW w:w="943" w:type="dxa"/>
            <w:tcMar>
              <w:top w:w="15" w:type="dxa"/>
              <w:left w:w="15" w:type="dxa"/>
              <w:bottom w:w="15" w:type="dxa"/>
              <w:right w:w="15" w:type="dxa"/>
            </w:tcMar>
            <w:vAlign w:val="center"/>
          </w:tcPr>
          <w:p w14:paraId="7758E1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tcMar>
              <w:top w:w="15" w:type="dxa"/>
              <w:left w:w="15" w:type="dxa"/>
              <w:bottom w:w="15" w:type="dxa"/>
              <w:right w:w="15" w:type="dxa"/>
            </w:tcMar>
            <w:vAlign w:val="center"/>
          </w:tcPr>
          <w:p w14:paraId="4996F88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7B4EDF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1120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2" w:hRule="atLeast"/>
          <w:jc w:val="center"/>
        </w:trPr>
        <w:tc>
          <w:tcPr>
            <w:tcW w:w="943" w:type="dxa"/>
            <w:tcMar>
              <w:top w:w="15" w:type="dxa"/>
              <w:left w:w="15" w:type="dxa"/>
              <w:bottom w:w="15" w:type="dxa"/>
              <w:right w:w="15" w:type="dxa"/>
            </w:tcMar>
            <w:vAlign w:val="center"/>
          </w:tcPr>
          <w:p w14:paraId="1C65B47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tcMar>
              <w:top w:w="15" w:type="dxa"/>
              <w:left w:w="15" w:type="dxa"/>
              <w:bottom w:w="15" w:type="dxa"/>
              <w:right w:w="15" w:type="dxa"/>
            </w:tcMar>
            <w:vAlign w:val="center"/>
          </w:tcPr>
          <w:p w14:paraId="58D1A508">
            <w:pPr>
              <w:widowControl/>
              <w:jc w:val="left"/>
              <w:textAlignment w:val="center"/>
              <w:rPr>
                <w:rFonts w:ascii="黑体" w:eastAsia="黑体" w:cs="黑体"/>
                <w:color w:val="000000" w:themeColor="text1"/>
                <w:kern w:val="0"/>
                <w:sz w:val="18"/>
                <w:szCs w:val="18"/>
              </w:rPr>
            </w:pPr>
          </w:p>
        </w:tc>
      </w:tr>
    </w:tbl>
    <w:p w14:paraId="3B0E5EF8">
      <w:pPr>
        <w:rPr>
          <w:color w:val="000000" w:themeColor="text1"/>
          <w:sz w:val="24"/>
        </w:rPr>
      </w:pPr>
    </w:p>
    <w:p w14:paraId="3D0ED0E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267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69933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2FB66D9">
            <w:pPr>
              <w:jc w:val="center"/>
              <w:rPr>
                <w:rFonts w:ascii="黑体" w:eastAsia="黑体" w:cs="黑体"/>
                <w:b/>
                <w:bCs/>
                <w:color w:val="000000" w:themeColor="text1"/>
                <w:szCs w:val="21"/>
              </w:rPr>
            </w:pPr>
            <w:r>
              <w:rPr>
                <w:rFonts w:ascii="黑体" w:eastAsia="黑体" w:cs="黑体"/>
                <w:b/>
                <w:bCs/>
                <w:color w:val="000000" w:themeColor="text1"/>
                <w:szCs w:val="21"/>
              </w:rPr>
              <w:t>134</w:t>
            </w:r>
          </w:p>
        </w:tc>
        <w:tc>
          <w:tcPr>
            <w:tcW w:w="1691" w:type="dxa"/>
            <w:vAlign w:val="center"/>
          </w:tcPr>
          <w:p w14:paraId="3265C2B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7A4B1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BE6F9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16E425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425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567DC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D7B56A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对公路建设从业单位忽视工程质量和安全管理，造成质量或安全事故行为的行政处罚</w:t>
            </w:r>
          </w:p>
        </w:tc>
      </w:tr>
      <w:tr w14:paraId="20967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E6EF94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FF8FF8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4E3B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66617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63F738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【法律法规】《公路建设监督管理办法》（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号）第四十五条违反本办法第二十五条规定，公路建设从业单位忽视工程质量和安全管理，造成质量或安全事故的，对项目法人给予警告、限期整改，情节严重的，暂停资金拨付；对勘察、设计、施工和监理等单位给予警告；对情节严重的监理单位，还可给予责令停业整顿、降低资质等级和吊销资质证书的处罚。</w:t>
            </w:r>
          </w:p>
          <w:p w14:paraId="1C61DC9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A483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CA635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AE239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FB9CE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99D3C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400034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1C5F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F9CFEA2">
            <w:pPr>
              <w:rPr>
                <w:color w:val="000000" w:themeColor="text1"/>
              </w:rPr>
            </w:pPr>
          </w:p>
        </w:tc>
        <w:tc>
          <w:tcPr>
            <w:tcW w:w="1110" w:type="dxa"/>
            <w:vAlign w:val="center"/>
          </w:tcPr>
          <w:p w14:paraId="3C975E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EF6A03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59BF7D0">
            <w:pPr>
              <w:jc w:val="center"/>
              <w:rPr>
                <w:rFonts w:ascii="仿宋_GB2312" w:hAnsi="黑体" w:eastAsia="仿宋_GB2312" w:cs="黑体"/>
                <w:color w:val="000000" w:themeColor="text1"/>
                <w:sz w:val="18"/>
                <w:szCs w:val="18"/>
              </w:rPr>
            </w:pPr>
          </w:p>
        </w:tc>
        <w:tc>
          <w:tcPr>
            <w:tcW w:w="1406" w:type="dxa"/>
            <w:vAlign w:val="center"/>
          </w:tcPr>
          <w:p w14:paraId="12623A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04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D44AE5D">
            <w:pPr>
              <w:rPr>
                <w:color w:val="000000" w:themeColor="text1"/>
              </w:rPr>
            </w:pPr>
          </w:p>
        </w:tc>
        <w:tc>
          <w:tcPr>
            <w:tcW w:w="1110" w:type="dxa"/>
            <w:vAlign w:val="center"/>
          </w:tcPr>
          <w:p w14:paraId="4952C3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8E7657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B7FB54B">
            <w:pPr>
              <w:jc w:val="center"/>
              <w:rPr>
                <w:rFonts w:ascii="仿宋_GB2312" w:hAnsi="黑体" w:eastAsia="仿宋_GB2312" w:cs="黑体"/>
                <w:color w:val="000000" w:themeColor="text1"/>
                <w:sz w:val="18"/>
                <w:szCs w:val="18"/>
              </w:rPr>
            </w:pPr>
          </w:p>
        </w:tc>
        <w:tc>
          <w:tcPr>
            <w:tcW w:w="1406" w:type="dxa"/>
            <w:vAlign w:val="center"/>
          </w:tcPr>
          <w:p w14:paraId="599412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A1E6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1924FB8">
            <w:pPr>
              <w:rPr>
                <w:color w:val="000000" w:themeColor="text1"/>
              </w:rPr>
            </w:pPr>
          </w:p>
        </w:tc>
        <w:tc>
          <w:tcPr>
            <w:tcW w:w="1110" w:type="dxa"/>
            <w:vAlign w:val="center"/>
          </w:tcPr>
          <w:p w14:paraId="12DCF7F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32ED2B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76F2FF2">
            <w:pPr>
              <w:jc w:val="center"/>
              <w:rPr>
                <w:rFonts w:ascii="仿宋_GB2312" w:hAnsi="黑体" w:eastAsia="仿宋_GB2312" w:cs="黑体"/>
                <w:color w:val="000000" w:themeColor="text1"/>
                <w:sz w:val="18"/>
                <w:szCs w:val="18"/>
              </w:rPr>
            </w:pPr>
          </w:p>
        </w:tc>
        <w:tc>
          <w:tcPr>
            <w:tcW w:w="1406" w:type="dxa"/>
            <w:vAlign w:val="center"/>
          </w:tcPr>
          <w:p w14:paraId="732300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3B47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5624794">
            <w:pPr>
              <w:rPr>
                <w:color w:val="000000" w:themeColor="text1"/>
              </w:rPr>
            </w:pPr>
          </w:p>
        </w:tc>
        <w:tc>
          <w:tcPr>
            <w:tcW w:w="1110" w:type="dxa"/>
            <w:vAlign w:val="center"/>
          </w:tcPr>
          <w:p w14:paraId="0F77CF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4C06AA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44E06F4">
            <w:pPr>
              <w:jc w:val="center"/>
              <w:rPr>
                <w:rFonts w:ascii="仿宋_GB2312" w:hAnsi="黑体" w:eastAsia="仿宋_GB2312" w:cs="黑体"/>
                <w:color w:val="000000" w:themeColor="text1"/>
                <w:sz w:val="18"/>
                <w:szCs w:val="18"/>
              </w:rPr>
            </w:pPr>
          </w:p>
        </w:tc>
        <w:tc>
          <w:tcPr>
            <w:tcW w:w="1406" w:type="dxa"/>
            <w:vAlign w:val="center"/>
          </w:tcPr>
          <w:p w14:paraId="6BC5DA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129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4DF590D">
            <w:pPr>
              <w:rPr>
                <w:color w:val="000000" w:themeColor="text1"/>
              </w:rPr>
            </w:pPr>
          </w:p>
        </w:tc>
        <w:tc>
          <w:tcPr>
            <w:tcW w:w="1110" w:type="dxa"/>
            <w:vAlign w:val="center"/>
          </w:tcPr>
          <w:p w14:paraId="56FFDD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82923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BD0D08E">
            <w:pPr>
              <w:jc w:val="center"/>
              <w:rPr>
                <w:rFonts w:ascii="仿宋_GB2312" w:hAnsi="黑体" w:eastAsia="仿宋_GB2312" w:cs="黑体"/>
                <w:color w:val="000000" w:themeColor="text1"/>
                <w:sz w:val="18"/>
                <w:szCs w:val="18"/>
              </w:rPr>
            </w:pPr>
          </w:p>
        </w:tc>
        <w:tc>
          <w:tcPr>
            <w:tcW w:w="1406" w:type="dxa"/>
            <w:vAlign w:val="center"/>
          </w:tcPr>
          <w:p w14:paraId="590AD20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33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1B8123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A14C90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BA1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91329E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15B141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AE702F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C8A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29481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2E87C6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7C049C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BC8B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1" w:hRule="atLeast"/>
          <w:jc w:val="center"/>
        </w:trPr>
        <w:tc>
          <w:tcPr>
            <w:tcW w:w="943" w:type="dxa"/>
            <w:vAlign w:val="center"/>
          </w:tcPr>
          <w:p w14:paraId="22CC5FD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9232F85">
            <w:pPr>
              <w:widowControl/>
              <w:jc w:val="left"/>
              <w:textAlignment w:val="center"/>
              <w:rPr>
                <w:rFonts w:ascii="黑体" w:eastAsia="黑体" w:cs="黑体"/>
                <w:color w:val="000000" w:themeColor="text1"/>
                <w:kern w:val="0"/>
                <w:sz w:val="18"/>
                <w:szCs w:val="18"/>
              </w:rPr>
            </w:pPr>
          </w:p>
        </w:tc>
      </w:tr>
    </w:tbl>
    <w:p w14:paraId="48E77DCC">
      <w:pPr>
        <w:rPr>
          <w:color w:val="000000" w:themeColor="text1"/>
          <w:sz w:val="24"/>
        </w:rPr>
      </w:pPr>
    </w:p>
    <w:p w14:paraId="7BFF8674">
      <w:pPr>
        <w:pStyle w:val="8"/>
        <w:snapToGrid w:val="0"/>
        <w:spacing w:before="0" w:beforeAutospacing="0" w:after="0" w:afterAutospacing="0" w:line="240" w:lineRule="atLeast"/>
        <w:jc w:val="both"/>
        <w:rPr>
          <w:color w:val="000000" w:themeColor="text1"/>
          <w:sz w:val="11"/>
          <w:szCs w:val="11"/>
        </w:rPr>
      </w:pPr>
    </w:p>
    <w:p w14:paraId="0DDA615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2025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9B7DB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3DCE4D8">
            <w:pPr>
              <w:jc w:val="center"/>
              <w:rPr>
                <w:rFonts w:ascii="黑体" w:eastAsia="黑体" w:cs="黑体"/>
                <w:b/>
                <w:bCs/>
                <w:color w:val="000000" w:themeColor="text1"/>
                <w:szCs w:val="21"/>
              </w:rPr>
            </w:pPr>
            <w:r>
              <w:rPr>
                <w:rFonts w:ascii="黑体" w:eastAsia="黑体" w:cs="黑体"/>
                <w:b/>
                <w:bCs/>
                <w:color w:val="000000" w:themeColor="text1"/>
                <w:szCs w:val="21"/>
              </w:rPr>
              <w:t>135</w:t>
            </w:r>
          </w:p>
        </w:tc>
        <w:tc>
          <w:tcPr>
            <w:tcW w:w="1691" w:type="dxa"/>
            <w:vAlign w:val="center"/>
          </w:tcPr>
          <w:p w14:paraId="074E9FD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B3E82B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396D3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30FF20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CB19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BB01C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00B07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对公路水运工程施工单位对施工中出现的质量问题或不合格工程未进行返工处理或拖延返工处理的行政处罚</w:t>
            </w:r>
          </w:p>
        </w:tc>
      </w:tr>
      <w:tr w14:paraId="0B845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F77E1F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717855A">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79EE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03250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DF0F00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【法律法规】《公路水运工程质量监督管理规定》（中华人民共和国交通运输部令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28</w:t>
            </w:r>
            <w:r>
              <w:rPr>
                <w:rFonts w:hint="eastAsia" w:ascii="仿宋_GB2312" w:eastAsia="仿宋_GB2312" w:cs="仿宋_GB2312"/>
                <w:color w:val="000000" w:themeColor="text1"/>
                <w:kern w:val="0"/>
                <w:sz w:val="18"/>
                <w:szCs w:val="18"/>
              </w:rPr>
              <w:t>号）第四十二条　违反本规定第十五条规定，施工单位对施工中出现的质量问题或者验收不合格的工程，未进行返工处理或者拖延返工处理的，责令改正，处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w:t>
            </w:r>
          </w:p>
          <w:p w14:paraId="54982E2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EA56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9E0A9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AF82B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03C73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385BD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6545F0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3BB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451A8E4">
            <w:pPr>
              <w:rPr>
                <w:color w:val="000000" w:themeColor="text1"/>
              </w:rPr>
            </w:pPr>
          </w:p>
        </w:tc>
        <w:tc>
          <w:tcPr>
            <w:tcW w:w="1110" w:type="dxa"/>
            <w:vAlign w:val="center"/>
          </w:tcPr>
          <w:p w14:paraId="6D73C52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F22E8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1544B80">
            <w:pPr>
              <w:jc w:val="center"/>
              <w:rPr>
                <w:rFonts w:ascii="仿宋_GB2312" w:hAnsi="黑体" w:eastAsia="仿宋_GB2312" w:cs="黑体"/>
                <w:color w:val="000000" w:themeColor="text1"/>
                <w:sz w:val="18"/>
                <w:szCs w:val="18"/>
              </w:rPr>
            </w:pPr>
          </w:p>
        </w:tc>
        <w:tc>
          <w:tcPr>
            <w:tcW w:w="1406" w:type="dxa"/>
            <w:vAlign w:val="center"/>
          </w:tcPr>
          <w:p w14:paraId="2F0D26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D04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6D6457C">
            <w:pPr>
              <w:rPr>
                <w:color w:val="000000" w:themeColor="text1"/>
              </w:rPr>
            </w:pPr>
          </w:p>
        </w:tc>
        <w:tc>
          <w:tcPr>
            <w:tcW w:w="1110" w:type="dxa"/>
            <w:vAlign w:val="center"/>
          </w:tcPr>
          <w:p w14:paraId="7726471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423FC6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09B0B15">
            <w:pPr>
              <w:jc w:val="center"/>
              <w:rPr>
                <w:rFonts w:ascii="仿宋_GB2312" w:hAnsi="黑体" w:eastAsia="仿宋_GB2312" w:cs="黑体"/>
                <w:color w:val="000000" w:themeColor="text1"/>
                <w:sz w:val="18"/>
                <w:szCs w:val="18"/>
              </w:rPr>
            </w:pPr>
          </w:p>
        </w:tc>
        <w:tc>
          <w:tcPr>
            <w:tcW w:w="1406" w:type="dxa"/>
            <w:vAlign w:val="center"/>
          </w:tcPr>
          <w:p w14:paraId="1F4652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5A7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A4825BE">
            <w:pPr>
              <w:rPr>
                <w:color w:val="000000" w:themeColor="text1"/>
              </w:rPr>
            </w:pPr>
          </w:p>
        </w:tc>
        <w:tc>
          <w:tcPr>
            <w:tcW w:w="1110" w:type="dxa"/>
            <w:vAlign w:val="center"/>
          </w:tcPr>
          <w:p w14:paraId="2B7AEC9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4945CE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4ECD0A3">
            <w:pPr>
              <w:jc w:val="center"/>
              <w:rPr>
                <w:rFonts w:ascii="仿宋_GB2312" w:hAnsi="黑体" w:eastAsia="仿宋_GB2312" w:cs="黑体"/>
                <w:color w:val="000000" w:themeColor="text1"/>
                <w:sz w:val="18"/>
                <w:szCs w:val="18"/>
              </w:rPr>
            </w:pPr>
          </w:p>
        </w:tc>
        <w:tc>
          <w:tcPr>
            <w:tcW w:w="1406" w:type="dxa"/>
            <w:vAlign w:val="center"/>
          </w:tcPr>
          <w:p w14:paraId="390BBB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E5F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85A4C6D">
            <w:pPr>
              <w:rPr>
                <w:color w:val="000000" w:themeColor="text1"/>
              </w:rPr>
            </w:pPr>
          </w:p>
        </w:tc>
        <w:tc>
          <w:tcPr>
            <w:tcW w:w="1110" w:type="dxa"/>
            <w:vAlign w:val="center"/>
          </w:tcPr>
          <w:p w14:paraId="0B7F7B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BDC699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E93450F">
            <w:pPr>
              <w:jc w:val="center"/>
              <w:rPr>
                <w:rFonts w:ascii="仿宋_GB2312" w:hAnsi="黑体" w:eastAsia="仿宋_GB2312" w:cs="黑体"/>
                <w:color w:val="000000" w:themeColor="text1"/>
                <w:sz w:val="18"/>
                <w:szCs w:val="18"/>
              </w:rPr>
            </w:pPr>
          </w:p>
        </w:tc>
        <w:tc>
          <w:tcPr>
            <w:tcW w:w="1406" w:type="dxa"/>
            <w:vAlign w:val="center"/>
          </w:tcPr>
          <w:p w14:paraId="59CA8E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105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9E37BD3">
            <w:pPr>
              <w:rPr>
                <w:color w:val="000000" w:themeColor="text1"/>
              </w:rPr>
            </w:pPr>
          </w:p>
        </w:tc>
        <w:tc>
          <w:tcPr>
            <w:tcW w:w="1110" w:type="dxa"/>
            <w:vAlign w:val="center"/>
          </w:tcPr>
          <w:p w14:paraId="4F432BE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A7E75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CFE2EFF">
            <w:pPr>
              <w:jc w:val="center"/>
              <w:rPr>
                <w:rFonts w:ascii="仿宋_GB2312" w:hAnsi="黑体" w:eastAsia="仿宋_GB2312" w:cs="黑体"/>
                <w:color w:val="000000" w:themeColor="text1"/>
                <w:sz w:val="18"/>
                <w:szCs w:val="18"/>
              </w:rPr>
            </w:pPr>
          </w:p>
        </w:tc>
        <w:tc>
          <w:tcPr>
            <w:tcW w:w="1406" w:type="dxa"/>
            <w:vAlign w:val="center"/>
          </w:tcPr>
          <w:p w14:paraId="008F76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6F1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D91FDA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0AC57C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A37B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C30FD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705D8A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2503AA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3D02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CDAB0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335B42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B76E23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8FEC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275FDA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7904BE5">
            <w:pPr>
              <w:widowControl/>
              <w:jc w:val="left"/>
              <w:textAlignment w:val="center"/>
              <w:rPr>
                <w:rFonts w:ascii="黑体" w:eastAsia="黑体" w:cs="黑体"/>
                <w:color w:val="000000" w:themeColor="text1"/>
                <w:kern w:val="0"/>
                <w:sz w:val="18"/>
                <w:szCs w:val="18"/>
              </w:rPr>
            </w:pPr>
          </w:p>
        </w:tc>
      </w:tr>
    </w:tbl>
    <w:p w14:paraId="711E1966">
      <w:pPr>
        <w:rPr>
          <w:color w:val="000000" w:themeColor="text1"/>
          <w:sz w:val="24"/>
        </w:rPr>
      </w:pPr>
    </w:p>
    <w:p w14:paraId="37EE6AE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32AE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E8B89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1062FC0">
            <w:pPr>
              <w:jc w:val="center"/>
              <w:rPr>
                <w:rFonts w:ascii="黑体" w:eastAsia="黑体" w:cs="黑体"/>
                <w:b/>
                <w:bCs/>
                <w:color w:val="000000" w:themeColor="text1"/>
                <w:szCs w:val="21"/>
              </w:rPr>
            </w:pPr>
            <w:r>
              <w:rPr>
                <w:rFonts w:ascii="黑体" w:eastAsia="黑体" w:cs="黑体"/>
                <w:b/>
                <w:bCs/>
                <w:color w:val="000000" w:themeColor="text1"/>
                <w:szCs w:val="21"/>
              </w:rPr>
              <w:t>136</w:t>
            </w:r>
          </w:p>
        </w:tc>
        <w:tc>
          <w:tcPr>
            <w:tcW w:w="1691" w:type="dxa"/>
            <w:vAlign w:val="center"/>
          </w:tcPr>
          <w:p w14:paraId="25AA54F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F6E5FB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524C1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12CFC5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3AEA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331F5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BF34F6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对交通运输领域建设工程项目建设单位未将保证安全施工的措施或者拆除工程的有关资料报送有关部门备案行为的行政处罚</w:t>
            </w:r>
          </w:p>
        </w:tc>
      </w:tr>
      <w:tr w14:paraId="40970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16108A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4D882B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5CE5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D1D6A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3AC308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号）第五十四条违反本条例的规定，建设单位未提供建设工程安全生产作业环境及安全施工措施所需费用的，责令限期改正；逾期未改正的，责令该建设工程停止施工。</w:t>
            </w:r>
          </w:p>
          <w:p w14:paraId="3AC1AF8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建设单位未将保证安全施工的措施或者拆除工程的有关资料报送有关部门备案的，责令限期改正，给予警告。</w:t>
            </w:r>
          </w:p>
          <w:p w14:paraId="04E1080C">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64F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72DD7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4EE29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DD1C4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D6B19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EC2569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FECE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D277D89">
            <w:pPr>
              <w:rPr>
                <w:color w:val="000000" w:themeColor="text1"/>
              </w:rPr>
            </w:pPr>
          </w:p>
        </w:tc>
        <w:tc>
          <w:tcPr>
            <w:tcW w:w="1110" w:type="dxa"/>
            <w:vAlign w:val="center"/>
          </w:tcPr>
          <w:p w14:paraId="239A2A4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5DB58C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F3C29F9">
            <w:pPr>
              <w:jc w:val="center"/>
              <w:rPr>
                <w:rFonts w:ascii="仿宋_GB2312" w:hAnsi="黑体" w:eastAsia="仿宋_GB2312" w:cs="黑体"/>
                <w:color w:val="000000" w:themeColor="text1"/>
                <w:sz w:val="18"/>
                <w:szCs w:val="18"/>
              </w:rPr>
            </w:pPr>
          </w:p>
        </w:tc>
        <w:tc>
          <w:tcPr>
            <w:tcW w:w="1406" w:type="dxa"/>
            <w:vAlign w:val="center"/>
          </w:tcPr>
          <w:p w14:paraId="62DA40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FE3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02D0155">
            <w:pPr>
              <w:rPr>
                <w:color w:val="000000" w:themeColor="text1"/>
              </w:rPr>
            </w:pPr>
          </w:p>
        </w:tc>
        <w:tc>
          <w:tcPr>
            <w:tcW w:w="1110" w:type="dxa"/>
            <w:vAlign w:val="center"/>
          </w:tcPr>
          <w:p w14:paraId="5A03543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69E51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D2AA0C5">
            <w:pPr>
              <w:jc w:val="center"/>
              <w:rPr>
                <w:rFonts w:ascii="仿宋_GB2312" w:hAnsi="黑体" w:eastAsia="仿宋_GB2312" w:cs="黑体"/>
                <w:color w:val="000000" w:themeColor="text1"/>
                <w:sz w:val="18"/>
                <w:szCs w:val="18"/>
              </w:rPr>
            </w:pPr>
          </w:p>
        </w:tc>
        <w:tc>
          <w:tcPr>
            <w:tcW w:w="1406" w:type="dxa"/>
            <w:vAlign w:val="center"/>
          </w:tcPr>
          <w:p w14:paraId="6657D8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38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2DB3CE8">
            <w:pPr>
              <w:rPr>
                <w:color w:val="000000" w:themeColor="text1"/>
              </w:rPr>
            </w:pPr>
          </w:p>
        </w:tc>
        <w:tc>
          <w:tcPr>
            <w:tcW w:w="1110" w:type="dxa"/>
            <w:vAlign w:val="center"/>
          </w:tcPr>
          <w:p w14:paraId="44CFE93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7D532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C53BD9F">
            <w:pPr>
              <w:jc w:val="center"/>
              <w:rPr>
                <w:rFonts w:ascii="仿宋_GB2312" w:hAnsi="黑体" w:eastAsia="仿宋_GB2312" w:cs="黑体"/>
                <w:color w:val="000000" w:themeColor="text1"/>
                <w:sz w:val="18"/>
                <w:szCs w:val="18"/>
              </w:rPr>
            </w:pPr>
          </w:p>
        </w:tc>
        <w:tc>
          <w:tcPr>
            <w:tcW w:w="1406" w:type="dxa"/>
            <w:vAlign w:val="center"/>
          </w:tcPr>
          <w:p w14:paraId="6DEE3D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3F81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8F25AF4">
            <w:pPr>
              <w:rPr>
                <w:color w:val="000000" w:themeColor="text1"/>
              </w:rPr>
            </w:pPr>
          </w:p>
        </w:tc>
        <w:tc>
          <w:tcPr>
            <w:tcW w:w="1110" w:type="dxa"/>
            <w:vAlign w:val="center"/>
          </w:tcPr>
          <w:p w14:paraId="4B12D85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7C2EB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6450AB8">
            <w:pPr>
              <w:jc w:val="center"/>
              <w:rPr>
                <w:rFonts w:ascii="仿宋_GB2312" w:hAnsi="黑体" w:eastAsia="仿宋_GB2312" w:cs="黑体"/>
                <w:color w:val="000000" w:themeColor="text1"/>
                <w:sz w:val="18"/>
                <w:szCs w:val="18"/>
              </w:rPr>
            </w:pPr>
          </w:p>
        </w:tc>
        <w:tc>
          <w:tcPr>
            <w:tcW w:w="1406" w:type="dxa"/>
            <w:vAlign w:val="center"/>
          </w:tcPr>
          <w:p w14:paraId="3ED21B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E8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30F9A19">
            <w:pPr>
              <w:rPr>
                <w:color w:val="000000" w:themeColor="text1"/>
              </w:rPr>
            </w:pPr>
          </w:p>
        </w:tc>
        <w:tc>
          <w:tcPr>
            <w:tcW w:w="1110" w:type="dxa"/>
            <w:vAlign w:val="center"/>
          </w:tcPr>
          <w:p w14:paraId="6BD174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3763B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C562502">
            <w:pPr>
              <w:jc w:val="center"/>
              <w:rPr>
                <w:rFonts w:ascii="仿宋_GB2312" w:hAnsi="黑体" w:eastAsia="仿宋_GB2312" w:cs="黑体"/>
                <w:color w:val="000000" w:themeColor="text1"/>
                <w:sz w:val="18"/>
                <w:szCs w:val="18"/>
              </w:rPr>
            </w:pPr>
          </w:p>
        </w:tc>
        <w:tc>
          <w:tcPr>
            <w:tcW w:w="1406" w:type="dxa"/>
            <w:vAlign w:val="center"/>
          </w:tcPr>
          <w:p w14:paraId="538D9E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DD9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01570E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18C8672">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A9F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104AB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96D304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C9A332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593B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34F01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7FB137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4857C7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0B7F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7" w:hRule="atLeast"/>
          <w:jc w:val="center"/>
        </w:trPr>
        <w:tc>
          <w:tcPr>
            <w:tcW w:w="943" w:type="dxa"/>
            <w:vAlign w:val="center"/>
          </w:tcPr>
          <w:p w14:paraId="3ABBA34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CFC3213">
            <w:pPr>
              <w:widowControl/>
              <w:jc w:val="left"/>
              <w:textAlignment w:val="center"/>
              <w:rPr>
                <w:rFonts w:ascii="黑体" w:eastAsia="黑体" w:cs="黑体"/>
                <w:color w:val="000000" w:themeColor="text1"/>
                <w:kern w:val="0"/>
                <w:sz w:val="18"/>
                <w:szCs w:val="18"/>
              </w:rPr>
            </w:pPr>
          </w:p>
        </w:tc>
      </w:tr>
    </w:tbl>
    <w:p w14:paraId="0D423C57">
      <w:pPr>
        <w:rPr>
          <w:color w:val="000000" w:themeColor="text1"/>
          <w:sz w:val="24"/>
        </w:rPr>
      </w:pPr>
    </w:p>
    <w:p w14:paraId="5726408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06EC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92C38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F10C5A7">
            <w:pPr>
              <w:jc w:val="center"/>
              <w:rPr>
                <w:rFonts w:ascii="黑体" w:eastAsia="黑体" w:cs="黑体"/>
                <w:b/>
                <w:bCs/>
                <w:color w:val="000000" w:themeColor="text1"/>
                <w:szCs w:val="21"/>
              </w:rPr>
            </w:pPr>
            <w:r>
              <w:rPr>
                <w:rFonts w:ascii="黑体" w:eastAsia="黑体" w:cs="黑体"/>
                <w:b/>
                <w:bCs/>
                <w:color w:val="000000" w:themeColor="text1"/>
                <w:szCs w:val="21"/>
              </w:rPr>
              <w:t>137</w:t>
            </w:r>
          </w:p>
        </w:tc>
        <w:tc>
          <w:tcPr>
            <w:tcW w:w="1691" w:type="dxa"/>
            <w:vAlign w:val="center"/>
          </w:tcPr>
          <w:p w14:paraId="67B8C89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580680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B0A59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D4A4C2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39B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830D7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F3E2E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对交通运输领域建设工程项目建设、勘察、设计单位以及执业人员未按照法律、法规和工程建设强制性标准进行勘察、设计等行为的行政处罚</w:t>
            </w:r>
          </w:p>
        </w:tc>
      </w:tr>
      <w:tr w14:paraId="127C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8D1D88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1BA329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C2C4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D5A537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980F21E">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号）第五十五条　违反本条例的规定，建设单位有下列行为之一的，责令限期改正，处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对勘察、设计、施工、工程监理等单位提出不符合安全生产法律、法规和强制性标准规定的要求的。第五十六条违反本条例的规定，勘察单位、设计单位有下列行为之一的，责令限期改正，处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万元以下的罚款；情节严重的，责令停业整顿，降低资质等级，直至吊销资质证书；造成重大安全事故，构成犯罪的，对直接责任人员，依照刑法有关规定追究刑事责任；造成损失的，依法承担赔偿责任：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未按照法律、法规和工程建设强制性标准进行勘察、设计的；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采用新结构、新材料、新工艺的建设工程和特殊结构的建设工程，设计单位未在设计中提出保障施工作业人员安全和预防生产安全事故的措施建议的。</w:t>
            </w:r>
          </w:p>
          <w:p w14:paraId="320EE2B9">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第五十八条　注册执业人员未执行法律、法规和工程建设强制性标准的，责令停止执业</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个月以上</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年以下；情节严重的，吊销执业资格证书，</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年内不予注册；造成重大安全事故的，终身不予注册；构成犯罪的，依照刑法有关规定追究刑事责任。</w:t>
            </w:r>
          </w:p>
          <w:p w14:paraId="01CFB0E7">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B7EA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1A872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A00D8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353C8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236AF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14C44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A6A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72" w:hRule="atLeast"/>
          <w:jc w:val="center"/>
        </w:trPr>
        <w:tc>
          <w:tcPr>
            <w:tcW w:w="943" w:type="dxa"/>
            <w:vMerge w:val="continue"/>
            <w:vAlign w:val="center"/>
          </w:tcPr>
          <w:p w14:paraId="58C485C3">
            <w:pPr>
              <w:rPr>
                <w:color w:val="000000" w:themeColor="text1"/>
              </w:rPr>
            </w:pPr>
          </w:p>
        </w:tc>
        <w:tc>
          <w:tcPr>
            <w:tcW w:w="1110" w:type="dxa"/>
            <w:vAlign w:val="center"/>
          </w:tcPr>
          <w:p w14:paraId="7335F5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ECEAF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0AA8AF8">
            <w:pPr>
              <w:jc w:val="center"/>
              <w:rPr>
                <w:rFonts w:ascii="仿宋_GB2312" w:hAnsi="黑体" w:eastAsia="仿宋_GB2312" w:cs="黑体"/>
                <w:color w:val="000000" w:themeColor="text1"/>
                <w:sz w:val="18"/>
                <w:szCs w:val="18"/>
              </w:rPr>
            </w:pPr>
          </w:p>
        </w:tc>
        <w:tc>
          <w:tcPr>
            <w:tcW w:w="1406" w:type="dxa"/>
            <w:vAlign w:val="center"/>
          </w:tcPr>
          <w:p w14:paraId="1FCD1F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E81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1" w:hRule="atLeast"/>
          <w:jc w:val="center"/>
        </w:trPr>
        <w:tc>
          <w:tcPr>
            <w:tcW w:w="943" w:type="dxa"/>
            <w:vMerge w:val="continue"/>
            <w:vAlign w:val="center"/>
          </w:tcPr>
          <w:p w14:paraId="161C7092">
            <w:pPr>
              <w:rPr>
                <w:color w:val="000000" w:themeColor="text1"/>
              </w:rPr>
            </w:pPr>
          </w:p>
        </w:tc>
        <w:tc>
          <w:tcPr>
            <w:tcW w:w="1110" w:type="dxa"/>
            <w:vAlign w:val="center"/>
          </w:tcPr>
          <w:p w14:paraId="4357C1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6FFB2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4DE9F7F">
            <w:pPr>
              <w:jc w:val="center"/>
              <w:rPr>
                <w:rFonts w:ascii="仿宋_GB2312" w:hAnsi="黑体" w:eastAsia="仿宋_GB2312" w:cs="黑体"/>
                <w:color w:val="000000" w:themeColor="text1"/>
                <w:sz w:val="18"/>
                <w:szCs w:val="18"/>
              </w:rPr>
            </w:pPr>
          </w:p>
        </w:tc>
        <w:tc>
          <w:tcPr>
            <w:tcW w:w="1406" w:type="dxa"/>
            <w:vAlign w:val="center"/>
          </w:tcPr>
          <w:p w14:paraId="0BE5F6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A74B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F3F38E0">
            <w:pPr>
              <w:rPr>
                <w:color w:val="000000" w:themeColor="text1"/>
              </w:rPr>
            </w:pPr>
          </w:p>
        </w:tc>
        <w:tc>
          <w:tcPr>
            <w:tcW w:w="1110" w:type="dxa"/>
            <w:vAlign w:val="center"/>
          </w:tcPr>
          <w:p w14:paraId="7B9305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31C601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568C0B8">
            <w:pPr>
              <w:jc w:val="center"/>
              <w:rPr>
                <w:rFonts w:ascii="仿宋_GB2312" w:hAnsi="黑体" w:eastAsia="仿宋_GB2312" w:cs="黑体"/>
                <w:color w:val="000000" w:themeColor="text1"/>
                <w:sz w:val="18"/>
                <w:szCs w:val="18"/>
              </w:rPr>
            </w:pPr>
          </w:p>
        </w:tc>
        <w:tc>
          <w:tcPr>
            <w:tcW w:w="1406" w:type="dxa"/>
            <w:vAlign w:val="center"/>
          </w:tcPr>
          <w:p w14:paraId="223320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EDC1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8" w:hRule="atLeast"/>
          <w:jc w:val="center"/>
        </w:trPr>
        <w:tc>
          <w:tcPr>
            <w:tcW w:w="943" w:type="dxa"/>
            <w:vMerge w:val="continue"/>
            <w:vAlign w:val="center"/>
          </w:tcPr>
          <w:p w14:paraId="16BA4CAF">
            <w:pPr>
              <w:rPr>
                <w:color w:val="000000" w:themeColor="text1"/>
              </w:rPr>
            </w:pPr>
          </w:p>
        </w:tc>
        <w:tc>
          <w:tcPr>
            <w:tcW w:w="1110" w:type="dxa"/>
            <w:vAlign w:val="center"/>
          </w:tcPr>
          <w:p w14:paraId="5F53B1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F862CC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38D5F60">
            <w:pPr>
              <w:jc w:val="center"/>
              <w:rPr>
                <w:rFonts w:ascii="仿宋_GB2312" w:hAnsi="黑体" w:eastAsia="仿宋_GB2312" w:cs="黑体"/>
                <w:color w:val="000000" w:themeColor="text1"/>
                <w:sz w:val="18"/>
                <w:szCs w:val="18"/>
              </w:rPr>
            </w:pPr>
          </w:p>
        </w:tc>
        <w:tc>
          <w:tcPr>
            <w:tcW w:w="1406" w:type="dxa"/>
            <w:vAlign w:val="center"/>
          </w:tcPr>
          <w:p w14:paraId="074569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3D9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7" w:hRule="atLeast"/>
          <w:jc w:val="center"/>
        </w:trPr>
        <w:tc>
          <w:tcPr>
            <w:tcW w:w="943" w:type="dxa"/>
            <w:vMerge w:val="continue"/>
            <w:vAlign w:val="center"/>
          </w:tcPr>
          <w:p w14:paraId="1FF6115B">
            <w:pPr>
              <w:rPr>
                <w:color w:val="000000" w:themeColor="text1"/>
              </w:rPr>
            </w:pPr>
          </w:p>
        </w:tc>
        <w:tc>
          <w:tcPr>
            <w:tcW w:w="1110" w:type="dxa"/>
            <w:vAlign w:val="center"/>
          </w:tcPr>
          <w:p w14:paraId="054EC2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F2476B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BE70FDE">
            <w:pPr>
              <w:jc w:val="center"/>
              <w:rPr>
                <w:rFonts w:ascii="仿宋_GB2312" w:hAnsi="黑体" w:eastAsia="仿宋_GB2312" w:cs="黑体"/>
                <w:color w:val="000000" w:themeColor="text1"/>
                <w:sz w:val="18"/>
                <w:szCs w:val="18"/>
              </w:rPr>
            </w:pPr>
          </w:p>
        </w:tc>
        <w:tc>
          <w:tcPr>
            <w:tcW w:w="1406" w:type="dxa"/>
            <w:vAlign w:val="center"/>
          </w:tcPr>
          <w:p w14:paraId="4AB07B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9A6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96" w:hRule="atLeast"/>
          <w:jc w:val="center"/>
        </w:trPr>
        <w:tc>
          <w:tcPr>
            <w:tcW w:w="943" w:type="dxa"/>
            <w:vAlign w:val="center"/>
          </w:tcPr>
          <w:p w14:paraId="2A92FCA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4675CB3">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6AA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01D5F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F849C1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6D3156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876C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2BA883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5B7102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5EACCC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85F9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6" w:hRule="atLeast"/>
          <w:jc w:val="center"/>
        </w:trPr>
        <w:tc>
          <w:tcPr>
            <w:tcW w:w="943" w:type="dxa"/>
            <w:vAlign w:val="center"/>
          </w:tcPr>
          <w:p w14:paraId="661742B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F78EAB4">
            <w:pPr>
              <w:widowControl/>
              <w:jc w:val="left"/>
              <w:textAlignment w:val="center"/>
              <w:rPr>
                <w:rFonts w:ascii="黑体" w:eastAsia="黑体" w:cs="黑体"/>
                <w:color w:val="000000" w:themeColor="text1"/>
                <w:kern w:val="0"/>
                <w:sz w:val="18"/>
                <w:szCs w:val="18"/>
              </w:rPr>
            </w:pPr>
          </w:p>
        </w:tc>
      </w:tr>
    </w:tbl>
    <w:p w14:paraId="338DA4B8">
      <w:pPr>
        <w:pStyle w:val="8"/>
        <w:snapToGrid w:val="0"/>
        <w:spacing w:before="0" w:beforeAutospacing="0" w:after="0" w:afterAutospacing="0" w:line="240" w:lineRule="atLeast"/>
        <w:jc w:val="both"/>
        <w:rPr>
          <w:color w:val="000000" w:themeColor="text1"/>
          <w:sz w:val="11"/>
          <w:szCs w:val="11"/>
        </w:rPr>
      </w:pPr>
    </w:p>
    <w:p w14:paraId="5975997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7902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84B13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43C5F8C">
            <w:pPr>
              <w:jc w:val="center"/>
              <w:rPr>
                <w:rFonts w:ascii="黑体" w:eastAsia="黑体" w:cs="黑体"/>
                <w:b/>
                <w:bCs/>
                <w:color w:val="000000" w:themeColor="text1"/>
                <w:szCs w:val="21"/>
              </w:rPr>
            </w:pPr>
            <w:r>
              <w:rPr>
                <w:rFonts w:ascii="黑体" w:eastAsia="黑体" w:cs="黑体"/>
                <w:b/>
                <w:bCs/>
                <w:color w:val="000000" w:themeColor="text1"/>
                <w:szCs w:val="21"/>
              </w:rPr>
              <w:t>138</w:t>
            </w:r>
          </w:p>
        </w:tc>
        <w:tc>
          <w:tcPr>
            <w:tcW w:w="1691" w:type="dxa"/>
            <w:vAlign w:val="center"/>
          </w:tcPr>
          <w:p w14:paraId="073C549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9F44CB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3B8F6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0E4AF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11F1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B8226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EA9E96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对交通运输领域建设工程项目监理单位未对施工组织设计中的安全技术措施或者专项施工方案进行审查等行为的行政处罚</w:t>
            </w:r>
          </w:p>
        </w:tc>
      </w:tr>
      <w:tr w14:paraId="7FD4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B93FC4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944023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3121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8B65D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2892E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号）第五十七条违反本条例的规定，工程监理单位有下列行为之一的，责令限期改正；逾期未改正的，责令停业整顿，并处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万元以下的罚款；情节严重的，降低资质等级，直至吊销资质证书；造成重大安全事故，构成犯罪的，对直接责任人员，依照刑法有关规定追究刑事责任；造成损失的，依法承担赔偿责任：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未对施工组织设计中的安全技术措施或者专项施工方案进行审查的；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发现安全事故隐患未及时要求施工单位整改或者暂时停止施工的；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三</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施工单位拒不整改或者不停止施工，未及时向有关主管部门报告的；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四</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未依照法律、法规和工程建设强制性标准实施监理的。</w:t>
            </w:r>
          </w:p>
          <w:p w14:paraId="7F8E241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ADD2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D470E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8E310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AABA3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4D8CED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BD1574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0BE3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8C448CA">
            <w:pPr>
              <w:rPr>
                <w:color w:val="000000" w:themeColor="text1"/>
              </w:rPr>
            </w:pPr>
          </w:p>
        </w:tc>
        <w:tc>
          <w:tcPr>
            <w:tcW w:w="1110" w:type="dxa"/>
            <w:vAlign w:val="center"/>
          </w:tcPr>
          <w:p w14:paraId="24802A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BA91F6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E0DBC5C">
            <w:pPr>
              <w:jc w:val="center"/>
              <w:rPr>
                <w:rFonts w:ascii="仿宋_GB2312" w:hAnsi="黑体" w:eastAsia="仿宋_GB2312" w:cs="黑体"/>
                <w:color w:val="000000" w:themeColor="text1"/>
                <w:sz w:val="18"/>
                <w:szCs w:val="18"/>
              </w:rPr>
            </w:pPr>
          </w:p>
        </w:tc>
        <w:tc>
          <w:tcPr>
            <w:tcW w:w="1406" w:type="dxa"/>
            <w:vAlign w:val="center"/>
          </w:tcPr>
          <w:p w14:paraId="0D2281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08F4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F681AA5">
            <w:pPr>
              <w:rPr>
                <w:color w:val="000000" w:themeColor="text1"/>
              </w:rPr>
            </w:pPr>
          </w:p>
        </w:tc>
        <w:tc>
          <w:tcPr>
            <w:tcW w:w="1110" w:type="dxa"/>
            <w:vAlign w:val="center"/>
          </w:tcPr>
          <w:p w14:paraId="31251C5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7FE3F8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319A728">
            <w:pPr>
              <w:jc w:val="center"/>
              <w:rPr>
                <w:rFonts w:ascii="仿宋_GB2312" w:hAnsi="黑体" w:eastAsia="仿宋_GB2312" w:cs="黑体"/>
                <w:color w:val="000000" w:themeColor="text1"/>
                <w:sz w:val="18"/>
                <w:szCs w:val="18"/>
              </w:rPr>
            </w:pPr>
          </w:p>
        </w:tc>
        <w:tc>
          <w:tcPr>
            <w:tcW w:w="1406" w:type="dxa"/>
            <w:vAlign w:val="center"/>
          </w:tcPr>
          <w:p w14:paraId="62672E9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95D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66542ED">
            <w:pPr>
              <w:rPr>
                <w:color w:val="000000" w:themeColor="text1"/>
              </w:rPr>
            </w:pPr>
          </w:p>
        </w:tc>
        <w:tc>
          <w:tcPr>
            <w:tcW w:w="1110" w:type="dxa"/>
            <w:vAlign w:val="center"/>
          </w:tcPr>
          <w:p w14:paraId="353152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E1B6DD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9885317">
            <w:pPr>
              <w:jc w:val="center"/>
              <w:rPr>
                <w:rFonts w:ascii="仿宋_GB2312" w:hAnsi="黑体" w:eastAsia="仿宋_GB2312" w:cs="黑体"/>
                <w:color w:val="000000" w:themeColor="text1"/>
                <w:sz w:val="18"/>
                <w:szCs w:val="18"/>
              </w:rPr>
            </w:pPr>
          </w:p>
        </w:tc>
        <w:tc>
          <w:tcPr>
            <w:tcW w:w="1406" w:type="dxa"/>
            <w:vAlign w:val="center"/>
          </w:tcPr>
          <w:p w14:paraId="5741C9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42D5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C8D4571">
            <w:pPr>
              <w:rPr>
                <w:color w:val="000000" w:themeColor="text1"/>
              </w:rPr>
            </w:pPr>
          </w:p>
        </w:tc>
        <w:tc>
          <w:tcPr>
            <w:tcW w:w="1110" w:type="dxa"/>
            <w:vAlign w:val="center"/>
          </w:tcPr>
          <w:p w14:paraId="321D17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2DE8F7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BCF7776">
            <w:pPr>
              <w:jc w:val="center"/>
              <w:rPr>
                <w:rFonts w:ascii="仿宋_GB2312" w:hAnsi="黑体" w:eastAsia="仿宋_GB2312" w:cs="黑体"/>
                <w:color w:val="000000" w:themeColor="text1"/>
                <w:sz w:val="18"/>
                <w:szCs w:val="18"/>
              </w:rPr>
            </w:pPr>
          </w:p>
        </w:tc>
        <w:tc>
          <w:tcPr>
            <w:tcW w:w="1406" w:type="dxa"/>
            <w:vAlign w:val="center"/>
          </w:tcPr>
          <w:p w14:paraId="5C4844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8EA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260D8A6">
            <w:pPr>
              <w:rPr>
                <w:color w:val="000000" w:themeColor="text1"/>
              </w:rPr>
            </w:pPr>
          </w:p>
        </w:tc>
        <w:tc>
          <w:tcPr>
            <w:tcW w:w="1110" w:type="dxa"/>
            <w:vAlign w:val="center"/>
          </w:tcPr>
          <w:p w14:paraId="4F6553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AA6A3E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0419F14">
            <w:pPr>
              <w:jc w:val="center"/>
              <w:rPr>
                <w:rFonts w:ascii="仿宋_GB2312" w:hAnsi="黑体" w:eastAsia="仿宋_GB2312" w:cs="黑体"/>
                <w:color w:val="000000" w:themeColor="text1"/>
                <w:sz w:val="18"/>
                <w:szCs w:val="18"/>
              </w:rPr>
            </w:pPr>
          </w:p>
        </w:tc>
        <w:tc>
          <w:tcPr>
            <w:tcW w:w="1406" w:type="dxa"/>
            <w:vAlign w:val="center"/>
          </w:tcPr>
          <w:p w14:paraId="12EF3B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10B4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81C164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E08138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4038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AF05FD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623F3C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7522F2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1DA4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23C63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7127AA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3137A1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842C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1" w:hRule="atLeast"/>
          <w:jc w:val="center"/>
        </w:trPr>
        <w:tc>
          <w:tcPr>
            <w:tcW w:w="943" w:type="dxa"/>
            <w:vAlign w:val="center"/>
          </w:tcPr>
          <w:p w14:paraId="25C54FD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4FFE4D8">
            <w:pPr>
              <w:widowControl/>
              <w:jc w:val="left"/>
              <w:textAlignment w:val="center"/>
              <w:rPr>
                <w:rFonts w:ascii="黑体" w:eastAsia="黑体" w:cs="黑体"/>
                <w:color w:val="000000" w:themeColor="text1"/>
                <w:kern w:val="0"/>
                <w:sz w:val="18"/>
                <w:szCs w:val="18"/>
              </w:rPr>
            </w:pPr>
          </w:p>
        </w:tc>
      </w:tr>
    </w:tbl>
    <w:p w14:paraId="5B2E7BA3">
      <w:pPr>
        <w:rPr>
          <w:color w:val="000000" w:themeColor="text1"/>
          <w:sz w:val="24"/>
        </w:rPr>
      </w:pPr>
    </w:p>
    <w:p w14:paraId="10D78BD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C72C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2D715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583AB9">
            <w:pPr>
              <w:jc w:val="center"/>
              <w:rPr>
                <w:rFonts w:ascii="黑体" w:eastAsia="黑体" w:cs="黑体"/>
                <w:b/>
                <w:bCs/>
                <w:color w:val="000000" w:themeColor="text1"/>
                <w:szCs w:val="21"/>
              </w:rPr>
            </w:pPr>
            <w:r>
              <w:rPr>
                <w:rFonts w:ascii="黑体" w:eastAsia="黑体" w:cs="黑体"/>
                <w:b/>
                <w:bCs/>
                <w:color w:val="000000" w:themeColor="text1"/>
                <w:szCs w:val="21"/>
              </w:rPr>
              <w:t>139</w:t>
            </w:r>
          </w:p>
        </w:tc>
        <w:tc>
          <w:tcPr>
            <w:tcW w:w="1691" w:type="dxa"/>
            <w:vAlign w:val="center"/>
          </w:tcPr>
          <w:p w14:paraId="7E4B452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A74960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BF1D0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92ADFA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6EC0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01122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D7F402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对交通运输领域建设工程项目建设工程施工单位挪用列入建设工程概算的安全生产作业环境及安全施工措施所需费用行为的行政处罚</w:t>
            </w:r>
          </w:p>
        </w:tc>
      </w:tr>
      <w:tr w14:paraId="04CC4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72F597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9F53A0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0E1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00" w:hRule="atLeast"/>
          <w:jc w:val="center"/>
        </w:trPr>
        <w:tc>
          <w:tcPr>
            <w:tcW w:w="943" w:type="dxa"/>
            <w:vAlign w:val="center"/>
          </w:tcPr>
          <w:p w14:paraId="638429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E94E66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号）第六十三条　违反本条例的规定，施工单位挪用列入建设工程概算的安全生产作业环境及安全施工措施所需费用的，责令限期改正，处挪用费用</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以下的罚款；造成损失的，依法承担赔偿责任。</w:t>
            </w:r>
          </w:p>
          <w:p w14:paraId="2EE571A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C528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C53DF4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6DECC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DD45C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352C2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2CC79B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2830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6DC09D0A">
            <w:pPr>
              <w:rPr>
                <w:color w:val="000000" w:themeColor="text1"/>
              </w:rPr>
            </w:pPr>
          </w:p>
        </w:tc>
        <w:tc>
          <w:tcPr>
            <w:tcW w:w="1110" w:type="dxa"/>
            <w:vAlign w:val="center"/>
          </w:tcPr>
          <w:p w14:paraId="64DDC0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4FC9C1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6E55C85">
            <w:pPr>
              <w:jc w:val="center"/>
              <w:rPr>
                <w:rFonts w:ascii="仿宋_GB2312" w:hAnsi="黑体" w:eastAsia="仿宋_GB2312" w:cs="黑体"/>
                <w:color w:val="000000" w:themeColor="text1"/>
                <w:sz w:val="18"/>
                <w:szCs w:val="18"/>
              </w:rPr>
            </w:pPr>
          </w:p>
        </w:tc>
        <w:tc>
          <w:tcPr>
            <w:tcW w:w="1406" w:type="dxa"/>
            <w:vAlign w:val="center"/>
          </w:tcPr>
          <w:p w14:paraId="0B7208F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83E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C15C7B2">
            <w:pPr>
              <w:rPr>
                <w:color w:val="000000" w:themeColor="text1"/>
              </w:rPr>
            </w:pPr>
          </w:p>
        </w:tc>
        <w:tc>
          <w:tcPr>
            <w:tcW w:w="1110" w:type="dxa"/>
            <w:vAlign w:val="center"/>
          </w:tcPr>
          <w:p w14:paraId="189AAB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BD88BE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863D44E">
            <w:pPr>
              <w:jc w:val="center"/>
              <w:rPr>
                <w:rFonts w:ascii="仿宋_GB2312" w:hAnsi="黑体" w:eastAsia="仿宋_GB2312" w:cs="黑体"/>
                <w:color w:val="000000" w:themeColor="text1"/>
                <w:sz w:val="18"/>
                <w:szCs w:val="18"/>
              </w:rPr>
            </w:pPr>
          </w:p>
        </w:tc>
        <w:tc>
          <w:tcPr>
            <w:tcW w:w="1406" w:type="dxa"/>
            <w:vAlign w:val="center"/>
          </w:tcPr>
          <w:p w14:paraId="41EF17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EC08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EDAD759">
            <w:pPr>
              <w:rPr>
                <w:color w:val="000000" w:themeColor="text1"/>
              </w:rPr>
            </w:pPr>
          </w:p>
        </w:tc>
        <w:tc>
          <w:tcPr>
            <w:tcW w:w="1110" w:type="dxa"/>
            <w:vAlign w:val="center"/>
          </w:tcPr>
          <w:p w14:paraId="79C598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1419A8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E2829DF">
            <w:pPr>
              <w:jc w:val="center"/>
              <w:rPr>
                <w:rFonts w:ascii="仿宋_GB2312" w:hAnsi="黑体" w:eastAsia="仿宋_GB2312" w:cs="黑体"/>
                <w:color w:val="000000" w:themeColor="text1"/>
                <w:sz w:val="18"/>
                <w:szCs w:val="18"/>
              </w:rPr>
            </w:pPr>
          </w:p>
        </w:tc>
        <w:tc>
          <w:tcPr>
            <w:tcW w:w="1406" w:type="dxa"/>
            <w:vAlign w:val="center"/>
          </w:tcPr>
          <w:p w14:paraId="24A940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E492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399CBF1">
            <w:pPr>
              <w:rPr>
                <w:color w:val="000000" w:themeColor="text1"/>
              </w:rPr>
            </w:pPr>
          </w:p>
        </w:tc>
        <w:tc>
          <w:tcPr>
            <w:tcW w:w="1110" w:type="dxa"/>
            <w:vAlign w:val="center"/>
          </w:tcPr>
          <w:p w14:paraId="311347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1B2BB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BFB21DB">
            <w:pPr>
              <w:jc w:val="center"/>
              <w:rPr>
                <w:rFonts w:ascii="仿宋_GB2312" w:hAnsi="黑体" w:eastAsia="仿宋_GB2312" w:cs="黑体"/>
                <w:color w:val="000000" w:themeColor="text1"/>
                <w:sz w:val="18"/>
                <w:szCs w:val="18"/>
              </w:rPr>
            </w:pPr>
          </w:p>
        </w:tc>
        <w:tc>
          <w:tcPr>
            <w:tcW w:w="1406" w:type="dxa"/>
            <w:vAlign w:val="center"/>
          </w:tcPr>
          <w:p w14:paraId="1DB6E0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0B7A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0C5CC11">
            <w:pPr>
              <w:rPr>
                <w:color w:val="000000" w:themeColor="text1"/>
              </w:rPr>
            </w:pPr>
          </w:p>
        </w:tc>
        <w:tc>
          <w:tcPr>
            <w:tcW w:w="1110" w:type="dxa"/>
            <w:vAlign w:val="center"/>
          </w:tcPr>
          <w:p w14:paraId="33A22E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01A2A7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AAC675C">
            <w:pPr>
              <w:jc w:val="center"/>
              <w:rPr>
                <w:rFonts w:ascii="仿宋_GB2312" w:hAnsi="黑体" w:eastAsia="仿宋_GB2312" w:cs="黑体"/>
                <w:color w:val="000000" w:themeColor="text1"/>
                <w:sz w:val="18"/>
                <w:szCs w:val="18"/>
              </w:rPr>
            </w:pPr>
          </w:p>
        </w:tc>
        <w:tc>
          <w:tcPr>
            <w:tcW w:w="1406" w:type="dxa"/>
            <w:vAlign w:val="center"/>
          </w:tcPr>
          <w:p w14:paraId="0FFDF8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5F60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363BE0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1A1A34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22D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E30FA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417E7B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8B1DFC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401B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28AAC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7C088F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069E80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237D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5" w:hRule="atLeast"/>
          <w:jc w:val="center"/>
        </w:trPr>
        <w:tc>
          <w:tcPr>
            <w:tcW w:w="943" w:type="dxa"/>
            <w:vAlign w:val="center"/>
          </w:tcPr>
          <w:p w14:paraId="47AF446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9D77AB1">
            <w:pPr>
              <w:widowControl/>
              <w:jc w:val="left"/>
              <w:textAlignment w:val="center"/>
              <w:rPr>
                <w:rFonts w:ascii="黑体" w:eastAsia="黑体" w:cs="黑体"/>
                <w:color w:val="000000" w:themeColor="text1"/>
                <w:kern w:val="0"/>
                <w:sz w:val="18"/>
                <w:szCs w:val="18"/>
              </w:rPr>
            </w:pPr>
          </w:p>
        </w:tc>
      </w:tr>
    </w:tbl>
    <w:p w14:paraId="05742048">
      <w:pPr>
        <w:rPr>
          <w:color w:val="000000" w:themeColor="text1"/>
          <w:sz w:val="24"/>
        </w:rPr>
      </w:pPr>
    </w:p>
    <w:p w14:paraId="4037868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5A92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455F7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E8E8186">
            <w:pPr>
              <w:jc w:val="center"/>
              <w:rPr>
                <w:rFonts w:ascii="黑体" w:eastAsia="黑体" w:cs="黑体"/>
                <w:b/>
                <w:bCs/>
                <w:color w:val="000000" w:themeColor="text1"/>
                <w:szCs w:val="21"/>
              </w:rPr>
            </w:pPr>
            <w:r>
              <w:rPr>
                <w:rFonts w:ascii="黑体" w:eastAsia="黑体" w:cs="黑体"/>
                <w:b/>
                <w:bCs/>
                <w:color w:val="000000" w:themeColor="text1"/>
                <w:szCs w:val="21"/>
              </w:rPr>
              <w:t>140</w:t>
            </w:r>
          </w:p>
        </w:tc>
        <w:tc>
          <w:tcPr>
            <w:tcW w:w="1691" w:type="dxa"/>
            <w:vAlign w:val="center"/>
          </w:tcPr>
          <w:p w14:paraId="722D9D0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75896F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3C624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2CBACD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D5F0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31409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D711D2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对交通运输领域建设工程项目施工单位施工前未对有关安全施工的技术要求作详细说明等行为的行政处罚</w:t>
            </w:r>
          </w:p>
        </w:tc>
      </w:tr>
      <w:tr w14:paraId="0EB87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2C95F7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D947C3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EC9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3FC07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B3739C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号）第六十四条　违反本条例的规定，施工单位有下列行为之一的，责令限期改正；逾期未改正的，责令停业整顿，并处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万元以下的罚款；造成重大安全事故，构成犯罪的，对直接责任人员，依照刑法有关规定追究刑事责任：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施工前未对有关安全施工的技术要求作出详细说明的；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未根据不同施工阶段和周围环境及季节、气候的变化，在施工现场采取相应的安全施工措施，或者在城市市区内的建设工程的施工现场未实行封闭围挡的；</w:t>
            </w:r>
          </w:p>
          <w:p w14:paraId="4E7689B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E470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3A745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15FDE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1C91F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FDF97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0BAD39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C4EC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2BA23B56">
            <w:pPr>
              <w:rPr>
                <w:color w:val="000000" w:themeColor="text1"/>
              </w:rPr>
            </w:pPr>
          </w:p>
        </w:tc>
        <w:tc>
          <w:tcPr>
            <w:tcW w:w="1110" w:type="dxa"/>
            <w:vAlign w:val="center"/>
          </w:tcPr>
          <w:p w14:paraId="3AC312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63F469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CEBC976">
            <w:pPr>
              <w:jc w:val="center"/>
              <w:rPr>
                <w:rFonts w:ascii="仿宋_GB2312" w:hAnsi="黑体" w:eastAsia="仿宋_GB2312" w:cs="黑体"/>
                <w:color w:val="000000" w:themeColor="text1"/>
                <w:sz w:val="18"/>
                <w:szCs w:val="18"/>
              </w:rPr>
            </w:pPr>
          </w:p>
        </w:tc>
        <w:tc>
          <w:tcPr>
            <w:tcW w:w="1406" w:type="dxa"/>
            <w:vAlign w:val="center"/>
          </w:tcPr>
          <w:p w14:paraId="2DC988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BB1F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D17E242">
            <w:pPr>
              <w:rPr>
                <w:color w:val="000000" w:themeColor="text1"/>
              </w:rPr>
            </w:pPr>
          </w:p>
        </w:tc>
        <w:tc>
          <w:tcPr>
            <w:tcW w:w="1110" w:type="dxa"/>
            <w:vAlign w:val="center"/>
          </w:tcPr>
          <w:p w14:paraId="247E97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9FB8C1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15197EB">
            <w:pPr>
              <w:jc w:val="center"/>
              <w:rPr>
                <w:rFonts w:ascii="仿宋_GB2312" w:hAnsi="黑体" w:eastAsia="仿宋_GB2312" w:cs="黑体"/>
                <w:color w:val="000000" w:themeColor="text1"/>
                <w:sz w:val="18"/>
                <w:szCs w:val="18"/>
              </w:rPr>
            </w:pPr>
          </w:p>
        </w:tc>
        <w:tc>
          <w:tcPr>
            <w:tcW w:w="1406" w:type="dxa"/>
            <w:vAlign w:val="center"/>
          </w:tcPr>
          <w:p w14:paraId="0F25F2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C1A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518E52A">
            <w:pPr>
              <w:rPr>
                <w:color w:val="000000" w:themeColor="text1"/>
              </w:rPr>
            </w:pPr>
          </w:p>
        </w:tc>
        <w:tc>
          <w:tcPr>
            <w:tcW w:w="1110" w:type="dxa"/>
            <w:vAlign w:val="center"/>
          </w:tcPr>
          <w:p w14:paraId="08DFB2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3C258B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CC2B326">
            <w:pPr>
              <w:jc w:val="center"/>
              <w:rPr>
                <w:rFonts w:ascii="仿宋_GB2312" w:hAnsi="黑体" w:eastAsia="仿宋_GB2312" w:cs="黑体"/>
                <w:color w:val="000000" w:themeColor="text1"/>
                <w:sz w:val="18"/>
                <w:szCs w:val="18"/>
              </w:rPr>
            </w:pPr>
          </w:p>
        </w:tc>
        <w:tc>
          <w:tcPr>
            <w:tcW w:w="1406" w:type="dxa"/>
            <w:vAlign w:val="center"/>
          </w:tcPr>
          <w:p w14:paraId="671176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4DE6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E45A293">
            <w:pPr>
              <w:rPr>
                <w:color w:val="000000" w:themeColor="text1"/>
              </w:rPr>
            </w:pPr>
          </w:p>
        </w:tc>
        <w:tc>
          <w:tcPr>
            <w:tcW w:w="1110" w:type="dxa"/>
            <w:vAlign w:val="center"/>
          </w:tcPr>
          <w:p w14:paraId="304AAD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8D0403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C27CDEF">
            <w:pPr>
              <w:jc w:val="center"/>
              <w:rPr>
                <w:rFonts w:ascii="仿宋_GB2312" w:hAnsi="黑体" w:eastAsia="仿宋_GB2312" w:cs="黑体"/>
                <w:color w:val="000000" w:themeColor="text1"/>
                <w:sz w:val="18"/>
                <w:szCs w:val="18"/>
              </w:rPr>
            </w:pPr>
          </w:p>
        </w:tc>
        <w:tc>
          <w:tcPr>
            <w:tcW w:w="1406" w:type="dxa"/>
            <w:vAlign w:val="center"/>
          </w:tcPr>
          <w:p w14:paraId="378045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FC0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6056134">
            <w:pPr>
              <w:rPr>
                <w:color w:val="000000" w:themeColor="text1"/>
              </w:rPr>
            </w:pPr>
          </w:p>
        </w:tc>
        <w:tc>
          <w:tcPr>
            <w:tcW w:w="1110" w:type="dxa"/>
            <w:vAlign w:val="center"/>
          </w:tcPr>
          <w:p w14:paraId="1A2B22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FC66D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C2007D">
            <w:pPr>
              <w:jc w:val="center"/>
              <w:rPr>
                <w:rFonts w:ascii="仿宋_GB2312" w:hAnsi="黑体" w:eastAsia="仿宋_GB2312" w:cs="黑体"/>
                <w:color w:val="000000" w:themeColor="text1"/>
                <w:sz w:val="18"/>
                <w:szCs w:val="18"/>
              </w:rPr>
            </w:pPr>
          </w:p>
        </w:tc>
        <w:tc>
          <w:tcPr>
            <w:tcW w:w="1406" w:type="dxa"/>
            <w:vAlign w:val="center"/>
          </w:tcPr>
          <w:p w14:paraId="46AD856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9F0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CD8E7D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A1ECAB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53C7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3CCA0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1204A6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FE3684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2F71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E7780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0B0023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1D0522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6AA4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16C4EF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10EA784">
            <w:pPr>
              <w:widowControl/>
              <w:jc w:val="left"/>
              <w:textAlignment w:val="center"/>
              <w:rPr>
                <w:rFonts w:ascii="黑体" w:eastAsia="黑体" w:cs="黑体"/>
                <w:color w:val="000000" w:themeColor="text1"/>
                <w:kern w:val="0"/>
                <w:sz w:val="18"/>
                <w:szCs w:val="18"/>
              </w:rPr>
            </w:pPr>
          </w:p>
        </w:tc>
      </w:tr>
    </w:tbl>
    <w:p w14:paraId="737C6BED">
      <w:pPr>
        <w:rPr>
          <w:color w:val="000000" w:themeColor="text1"/>
          <w:sz w:val="24"/>
        </w:rPr>
      </w:pPr>
    </w:p>
    <w:p w14:paraId="5C86428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F284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FCC34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61B618">
            <w:pPr>
              <w:jc w:val="center"/>
              <w:rPr>
                <w:rFonts w:ascii="黑体" w:eastAsia="黑体" w:cs="黑体"/>
                <w:b/>
                <w:bCs/>
                <w:color w:val="000000" w:themeColor="text1"/>
                <w:szCs w:val="21"/>
              </w:rPr>
            </w:pPr>
            <w:r>
              <w:rPr>
                <w:rFonts w:ascii="黑体" w:eastAsia="黑体" w:cs="黑体"/>
                <w:b/>
                <w:bCs/>
                <w:color w:val="000000" w:themeColor="text1"/>
                <w:szCs w:val="21"/>
              </w:rPr>
              <w:t>141</w:t>
            </w:r>
          </w:p>
        </w:tc>
        <w:tc>
          <w:tcPr>
            <w:tcW w:w="1691" w:type="dxa"/>
            <w:vAlign w:val="center"/>
          </w:tcPr>
          <w:p w14:paraId="6297B7F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838737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58A63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E09D8D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A73D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ACA33B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04AC8B5">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对交通运输领域建设工程项目施工单位安全防护用具、机械设备、施工机具及配件在进入施工现场前未经查验或者查验不合格即投入使用等行为的行政处罚</w:t>
            </w:r>
          </w:p>
        </w:tc>
      </w:tr>
      <w:tr w14:paraId="5D282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AB5E22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6CAA40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ECDF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BF2595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DE73484">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号）第六十二条 违反本条例的规定，施工单位有下列行为之一的，责令限期改正</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逾期未改正的，责令停业整顿，依照《中华人民共和国安全生产法》的有关规定处以罚款</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造成重大安全事故，构成犯罪的，对直接责任人员，依照刑法有关规定追究刑事责任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五</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未按照规定在施工起重机械和整体提升脚手架、模板等自升式架设设施验收合格后登记的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第六十五条　违反本条例的规定，施工单位有下列行为之一的，责令限期改正；逾期未改正的，责令停业整顿，并处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万元以下的罚款；情节严重的，降低资质等级，直至吊销资质证书；造成重大安全事故，构成犯罪的，对直接责任人员，依照刑法有关规定追究刑事责任；造成损失的，依法承担赔偿责任：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安全防护用具、机械设备、施工机具及配件在进入施工现场前未经查验或者查验不合格即投入使用的；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使用未经验收或者验收不合格的施工起重机械和整体提升脚手架、模板等自升式架设设施的；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三</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委托不具有相应资质的单位承担施工现场安装、拆卸施工起重机械和整体提升脚手架、模板等自升式架设设施的；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四</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在施工组织设计中未编制安全技术措施、施工现场临时用电方案或者专项施工方案的。</w:t>
            </w:r>
          </w:p>
          <w:p w14:paraId="1E9B1BED">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7FD2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15D74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1FD58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7C0A6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3EC8A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478E92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5C53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C94CACA">
            <w:pPr>
              <w:rPr>
                <w:color w:val="000000" w:themeColor="text1"/>
              </w:rPr>
            </w:pPr>
          </w:p>
        </w:tc>
        <w:tc>
          <w:tcPr>
            <w:tcW w:w="1110" w:type="dxa"/>
            <w:vAlign w:val="center"/>
          </w:tcPr>
          <w:p w14:paraId="5CE2EC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F95F7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4983BD4">
            <w:pPr>
              <w:jc w:val="center"/>
              <w:rPr>
                <w:rFonts w:ascii="仿宋_GB2312" w:hAnsi="黑体" w:eastAsia="仿宋_GB2312" w:cs="黑体"/>
                <w:color w:val="000000" w:themeColor="text1"/>
                <w:sz w:val="18"/>
                <w:szCs w:val="18"/>
              </w:rPr>
            </w:pPr>
          </w:p>
        </w:tc>
        <w:tc>
          <w:tcPr>
            <w:tcW w:w="1406" w:type="dxa"/>
            <w:vAlign w:val="center"/>
          </w:tcPr>
          <w:p w14:paraId="56DAEF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099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86119A1">
            <w:pPr>
              <w:rPr>
                <w:color w:val="000000" w:themeColor="text1"/>
              </w:rPr>
            </w:pPr>
          </w:p>
        </w:tc>
        <w:tc>
          <w:tcPr>
            <w:tcW w:w="1110" w:type="dxa"/>
            <w:vAlign w:val="center"/>
          </w:tcPr>
          <w:p w14:paraId="67F1B1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E0BA0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3F4EEC0">
            <w:pPr>
              <w:jc w:val="center"/>
              <w:rPr>
                <w:rFonts w:ascii="仿宋_GB2312" w:hAnsi="黑体" w:eastAsia="仿宋_GB2312" w:cs="黑体"/>
                <w:color w:val="000000" w:themeColor="text1"/>
                <w:sz w:val="18"/>
                <w:szCs w:val="18"/>
              </w:rPr>
            </w:pPr>
          </w:p>
        </w:tc>
        <w:tc>
          <w:tcPr>
            <w:tcW w:w="1406" w:type="dxa"/>
            <w:vAlign w:val="center"/>
          </w:tcPr>
          <w:p w14:paraId="316E8C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B416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3F5FCE3">
            <w:pPr>
              <w:rPr>
                <w:color w:val="000000" w:themeColor="text1"/>
              </w:rPr>
            </w:pPr>
          </w:p>
        </w:tc>
        <w:tc>
          <w:tcPr>
            <w:tcW w:w="1110" w:type="dxa"/>
            <w:vAlign w:val="center"/>
          </w:tcPr>
          <w:p w14:paraId="35AA13F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FBA8E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82E9C60">
            <w:pPr>
              <w:jc w:val="center"/>
              <w:rPr>
                <w:rFonts w:ascii="仿宋_GB2312" w:hAnsi="黑体" w:eastAsia="仿宋_GB2312" w:cs="黑体"/>
                <w:color w:val="000000" w:themeColor="text1"/>
                <w:sz w:val="18"/>
                <w:szCs w:val="18"/>
              </w:rPr>
            </w:pPr>
          </w:p>
        </w:tc>
        <w:tc>
          <w:tcPr>
            <w:tcW w:w="1406" w:type="dxa"/>
            <w:vAlign w:val="center"/>
          </w:tcPr>
          <w:p w14:paraId="488304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B6B1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2DC62E1">
            <w:pPr>
              <w:rPr>
                <w:color w:val="000000" w:themeColor="text1"/>
              </w:rPr>
            </w:pPr>
          </w:p>
        </w:tc>
        <w:tc>
          <w:tcPr>
            <w:tcW w:w="1110" w:type="dxa"/>
            <w:vAlign w:val="center"/>
          </w:tcPr>
          <w:p w14:paraId="6A6049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776468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729C838">
            <w:pPr>
              <w:jc w:val="center"/>
              <w:rPr>
                <w:rFonts w:ascii="仿宋_GB2312" w:hAnsi="黑体" w:eastAsia="仿宋_GB2312" w:cs="黑体"/>
                <w:color w:val="000000" w:themeColor="text1"/>
                <w:sz w:val="18"/>
                <w:szCs w:val="18"/>
              </w:rPr>
            </w:pPr>
          </w:p>
        </w:tc>
        <w:tc>
          <w:tcPr>
            <w:tcW w:w="1406" w:type="dxa"/>
            <w:vAlign w:val="center"/>
          </w:tcPr>
          <w:p w14:paraId="7D0D3C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C0B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9B54399">
            <w:pPr>
              <w:rPr>
                <w:color w:val="000000" w:themeColor="text1"/>
              </w:rPr>
            </w:pPr>
          </w:p>
        </w:tc>
        <w:tc>
          <w:tcPr>
            <w:tcW w:w="1110" w:type="dxa"/>
            <w:vAlign w:val="center"/>
          </w:tcPr>
          <w:p w14:paraId="01DB5B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4BC9B6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971233B">
            <w:pPr>
              <w:jc w:val="center"/>
              <w:rPr>
                <w:rFonts w:ascii="仿宋_GB2312" w:hAnsi="黑体" w:eastAsia="仿宋_GB2312" w:cs="黑体"/>
                <w:color w:val="000000" w:themeColor="text1"/>
                <w:sz w:val="18"/>
                <w:szCs w:val="18"/>
              </w:rPr>
            </w:pPr>
          </w:p>
        </w:tc>
        <w:tc>
          <w:tcPr>
            <w:tcW w:w="1406" w:type="dxa"/>
            <w:vAlign w:val="center"/>
          </w:tcPr>
          <w:p w14:paraId="7A6616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0D2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9759E7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6DA6A9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C93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F96C4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CA15D7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B89225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D9C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1F92B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AA1A6B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FD9191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4F77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5" w:hRule="atLeast"/>
          <w:jc w:val="center"/>
        </w:trPr>
        <w:tc>
          <w:tcPr>
            <w:tcW w:w="943" w:type="dxa"/>
            <w:vAlign w:val="center"/>
          </w:tcPr>
          <w:p w14:paraId="7D948A4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ED46EF3">
            <w:pPr>
              <w:widowControl/>
              <w:jc w:val="left"/>
              <w:textAlignment w:val="center"/>
              <w:rPr>
                <w:rFonts w:ascii="黑体" w:eastAsia="黑体" w:cs="黑体"/>
                <w:color w:val="000000" w:themeColor="text1"/>
                <w:kern w:val="0"/>
                <w:sz w:val="18"/>
                <w:szCs w:val="18"/>
              </w:rPr>
            </w:pPr>
          </w:p>
        </w:tc>
      </w:tr>
    </w:tbl>
    <w:p w14:paraId="1F3F61A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6382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AD82D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038F84F">
            <w:pPr>
              <w:jc w:val="center"/>
              <w:rPr>
                <w:rFonts w:ascii="黑体" w:eastAsia="黑体" w:cs="黑体"/>
                <w:b/>
                <w:bCs/>
                <w:color w:val="000000" w:themeColor="text1"/>
                <w:szCs w:val="21"/>
              </w:rPr>
            </w:pPr>
            <w:r>
              <w:rPr>
                <w:rFonts w:ascii="黑体" w:eastAsia="黑体" w:cs="黑体"/>
                <w:b/>
                <w:bCs/>
                <w:color w:val="000000" w:themeColor="text1"/>
                <w:szCs w:val="21"/>
              </w:rPr>
              <w:t>142</w:t>
            </w:r>
          </w:p>
        </w:tc>
        <w:tc>
          <w:tcPr>
            <w:tcW w:w="1691" w:type="dxa"/>
            <w:vAlign w:val="center"/>
          </w:tcPr>
          <w:p w14:paraId="6703409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83A068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435AF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584B0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A200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E6BF81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2BBEEB7">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对未按照安全技术标准和管理规范要求，进行高空、地下受限空间、或者易燃易爆场所动火、爆破、吊装、临近高压输电线路作业等行为的行政处罚</w:t>
            </w:r>
          </w:p>
        </w:tc>
      </w:tr>
      <w:tr w14:paraId="13A14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364FB3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2BB933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632F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F7221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9BF6E3D">
            <w:pPr>
              <w:spacing w:line="240" w:lineRule="exact"/>
              <w:rPr>
                <w:rFonts w:ascii="仿宋" w:hAnsi="仿宋" w:eastAsia="仿宋"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号）第八十九条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法追究刑事责任：（一）未按照强制性安全技术标准和管理规范要求，进行高空作业、地下有限空间作业或者易燃易爆场所动火作业的；（二）未按照强制性安全技术标准和管理规范要求，进行爆破、吊装、临近高压输电线路和燃气管道作业、建筑物和构筑物拆除、道路清障救援、大型检修作业的；（三）未按照强制性安全技术标准和管理规范要求，进行盲板抽堵、断路、动土、临时用电等其他作业的。</w:t>
            </w:r>
          </w:p>
          <w:p w14:paraId="6715630B">
            <w:pPr>
              <w:spacing w:line="240" w:lineRule="exact"/>
              <w:rPr>
                <w:rFonts w:ascii="仿宋_GB2312" w:eastAsia="仿宋_GB2312"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p>
        </w:tc>
      </w:tr>
      <w:tr w14:paraId="25DF0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D5ADA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B017B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722E4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FB279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52D634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DE8C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0E248A5">
            <w:pPr>
              <w:rPr>
                <w:color w:val="000000" w:themeColor="text1"/>
              </w:rPr>
            </w:pPr>
          </w:p>
        </w:tc>
        <w:tc>
          <w:tcPr>
            <w:tcW w:w="1110" w:type="dxa"/>
            <w:vAlign w:val="center"/>
          </w:tcPr>
          <w:p w14:paraId="1E6C5B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432C22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2373812">
            <w:pPr>
              <w:jc w:val="center"/>
              <w:rPr>
                <w:rFonts w:ascii="仿宋_GB2312" w:hAnsi="黑体" w:eastAsia="仿宋_GB2312" w:cs="黑体"/>
                <w:color w:val="000000" w:themeColor="text1"/>
                <w:sz w:val="18"/>
                <w:szCs w:val="18"/>
              </w:rPr>
            </w:pPr>
          </w:p>
        </w:tc>
        <w:tc>
          <w:tcPr>
            <w:tcW w:w="1406" w:type="dxa"/>
            <w:vAlign w:val="center"/>
          </w:tcPr>
          <w:p w14:paraId="721C96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1174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01DAC16">
            <w:pPr>
              <w:rPr>
                <w:color w:val="000000" w:themeColor="text1"/>
              </w:rPr>
            </w:pPr>
          </w:p>
        </w:tc>
        <w:tc>
          <w:tcPr>
            <w:tcW w:w="1110" w:type="dxa"/>
            <w:vAlign w:val="center"/>
          </w:tcPr>
          <w:p w14:paraId="74F7CD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5F9970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852C029">
            <w:pPr>
              <w:jc w:val="center"/>
              <w:rPr>
                <w:rFonts w:ascii="仿宋_GB2312" w:hAnsi="黑体" w:eastAsia="仿宋_GB2312" w:cs="黑体"/>
                <w:color w:val="000000" w:themeColor="text1"/>
                <w:sz w:val="18"/>
                <w:szCs w:val="18"/>
              </w:rPr>
            </w:pPr>
          </w:p>
        </w:tc>
        <w:tc>
          <w:tcPr>
            <w:tcW w:w="1406" w:type="dxa"/>
            <w:vAlign w:val="center"/>
          </w:tcPr>
          <w:p w14:paraId="025A5B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A12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CC12A98">
            <w:pPr>
              <w:rPr>
                <w:color w:val="000000" w:themeColor="text1"/>
              </w:rPr>
            </w:pPr>
          </w:p>
        </w:tc>
        <w:tc>
          <w:tcPr>
            <w:tcW w:w="1110" w:type="dxa"/>
            <w:vAlign w:val="center"/>
          </w:tcPr>
          <w:p w14:paraId="0B33B1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7B94B2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8440C15">
            <w:pPr>
              <w:jc w:val="center"/>
              <w:rPr>
                <w:rFonts w:ascii="仿宋_GB2312" w:hAnsi="黑体" w:eastAsia="仿宋_GB2312" w:cs="黑体"/>
                <w:color w:val="000000" w:themeColor="text1"/>
                <w:sz w:val="18"/>
                <w:szCs w:val="18"/>
              </w:rPr>
            </w:pPr>
          </w:p>
        </w:tc>
        <w:tc>
          <w:tcPr>
            <w:tcW w:w="1406" w:type="dxa"/>
            <w:vAlign w:val="center"/>
          </w:tcPr>
          <w:p w14:paraId="680B17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FEE5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C839822">
            <w:pPr>
              <w:rPr>
                <w:color w:val="000000" w:themeColor="text1"/>
              </w:rPr>
            </w:pPr>
          </w:p>
        </w:tc>
        <w:tc>
          <w:tcPr>
            <w:tcW w:w="1110" w:type="dxa"/>
            <w:vAlign w:val="center"/>
          </w:tcPr>
          <w:p w14:paraId="2FBB108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A482A0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F35D308">
            <w:pPr>
              <w:jc w:val="center"/>
              <w:rPr>
                <w:rFonts w:ascii="仿宋_GB2312" w:hAnsi="黑体" w:eastAsia="仿宋_GB2312" w:cs="黑体"/>
                <w:color w:val="000000" w:themeColor="text1"/>
                <w:sz w:val="18"/>
                <w:szCs w:val="18"/>
              </w:rPr>
            </w:pPr>
          </w:p>
        </w:tc>
        <w:tc>
          <w:tcPr>
            <w:tcW w:w="1406" w:type="dxa"/>
            <w:vAlign w:val="center"/>
          </w:tcPr>
          <w:p w14:paraId="7B4937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979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181921D">
            <w:pPr>
              <w:rPr>
                <w:color w:val="000000" w:themeColor="text1"/>
              </w:rPr>
            </w:pPr>
          </w:p>
        </w:tc>
        <w:tc>
          <w:tcPr>
            <w:tcW w:w="1110" w:type="dxa"/>
            <w:vAlign w:val="center"/>
          </w:tcPr>
          <w:p w14:paraId="5A59BF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731F6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B252C0C">
            <w:pPr>
              <w:jc w:val="center"/>
              <w:rPr>
                <w:rFonts w:ascii="仿宋_GB2312" w:hAnsi="黑体" w:eastAsia="仿宋_GB2312" w:cs="黑体"/>
                <w:color w:val="000000" w:themeColor="text1"/>
                <w:sz w:val="18"/>
                <w:szCs w:val="18"/>
              </w:rPr>
            </w:pPr>
          </w:p>
        </w:tc>
        <w:tc>
          <w:tcPr>
            <w:tcW w:w="1406" w:type="dxa"/>
            <w:vAlign w:val="center"/>
          </w:tcPr>
          <w:p w14:paraId="0FB230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3E9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85AD10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8B4C28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0BD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400E5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696924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9A0671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0288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E83AC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E508BB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117F2A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F8A6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409E511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EE44D64">
            <w:pPr>
              <w:widowControl/>
              <w:jc w:val="left"/>
              <w:textAlignment w:val="center"/>
              <w:rPr>
                <w:rFonts w:ascii="黑体" w:eastAsia="黑体" w:cs="黑体"/>
                <w:color w:val="000000" w:themeColor="text1"/>
                <w:kern w:val="0"/>
                <w:sz w:val="18"/>
                <w:szCs w:val="18"/>
              </w:rPr>
            </w:pPr>
          </w:p>
        </w:tc>
      </w:tr>
    </w:tbl>
    <w:p w14:paraId="0C35548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C508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54E63A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C51914E">
            <w:pPr>
              <w:jc w:val="center"/>
              <w:rPr>
                <w:rFonts w:ascii="黑体" w:eastAsia="黑体" w:cs="黑体"/>
                <w:b/>
                <w:bCs/>
                <w:color w:val="000000" w:themeColor="text1"/>
                <w:szCs w:val="21"/>
              </w:rPr>
            </w:pPr>
            <w:r>
              <w:rPr>
                <w:rFonts w:ascii="黑体" w:eastAsia="黑体" w:cs="黑体"/>
                <w:b/>
                <w:bCs/>
                <w:color w:val="000000" w:themeColor="text1"/>
                <w:szCs w:val="21"/>
              </w:rPr>
              <w:t>143</w:t>
            </w:r>
          </w:p>
        </w:tc>
        <w:tc>
          <w:tcPr>
            <w:tcW w:w="1691" w:type="dxa"/>
            <w:vAlign w:val="center"/>
          </w:tcPr>
          <w:p w14:paraId="252328E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156D7B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B50BA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0B03AC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580A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7D213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F70E8A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对违反各项安全生产标准以及本单位规章制度和安全操作规程等行为的行政处罚</w:t>
            </w:r>
          </w:p>
        </w:tc>
      </w:tr>
      <w:tr w14:paraId="3B976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75DCE8F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91CD99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B26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79C9C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8A7EA7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号）第九十一条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有下列行为之一的，责令限期改正，处二万元以上五万元以下的罚款；对其直接负责的主管人员和其他直接责任人员处一万元以下的罚款：（一）违反安全生产强制性标准或者安全操作规程的；（二）违章指挥、违章操作和强令冒险作业的；（三）未建立和落实班组安全管理制度的；（四）发生生产安全事故未按照要求组织安全生产状况评估的；（五）以货币或者其他物品代替防护用品的；（六）矿山、金属冶炼、建筑施工单位，危险物品的生产、经营、储存、使用、运输、装卸单位和建材、机械加工、电力、供热单位以及其他规模以上的生产经营单位未制定复工复产方案或者未组织复工复产培训和安全检查的；（七）未按照规定对重点场所、重点部位、重大危险源、重点设施设备等进行实时视频监控的；（八）未按照规定对涉重点环保设施和项目进行安全论证评估的；（九）未建立安全生产管理信息系统的；（十）未按照规定执行单位负责人现场带班制度的。</w:t>
            </w:r>
          </w:p>
          <w:p w14:paraId="2CC660A3">
            <w:pPr>
              <w:spacing w:line="240" w:lineRule="exact"/>
              <w:rPr>
                <w:rFonts w:ascii="仿宋_GB2312" w:eastAsia="仿宋_GB2312"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p>
        </w:tc>
      </w:tr>
      <w:tr w14:paraId="62246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1B77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B7926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70B66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7B8A7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7ACA1A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C83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6071ECF">
            <w:pPr>
              <w:rPr>
                <w:color w:val="000000" w:themeColor="text1"/>
              </w:rPr>
            </w:pPr>
          </w:p>
        </w:tc>
        <w:tc>
          <w:tcPr>
            <w:tcW w:w="1110" w:type="dxa"/>
            <w:vAlign w:val="center"/>
          </w:tcPr>
          <w:p w14:paraId="3C09F4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13BF6D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B3AF41B">
            <w:pPr>
              <w:jc w:val="center"/>
              <w:rPr>
                <w:rFonts w:ascii="仿宋_GB2312" w:hAnsi="黑体" w:eastAsia="仿宋_GB2312" w:cs="黑体"/>
                <w:color w:val="000000" w:themeColor="text1"/>
                <w:sz w:val="18"/>
                <w:szCs w:val="18"/>
              </w:rPr>
            </w:pPr>
          </w:p>
        </w:tc>
        <w:tc>
          <w:tcPr>
            <w:tcW w:w="1406" w:type="dxa"/>
            <w:vAlign w:val="center"/>
          </w:tcPr>
          <w:p w14:paraId="57321B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33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CA032F7">
            <w:pPr>
              <w:rPr>
                <w:color w:val="000000" w:themeColor="text1"/>
              </w:rPr>
            </w:pPr>
          </w:p>
        </w:tc>
        <w:tc>
          <w:tcPr>
            <w:tcW w:w="1110" w:type="dxa"/>
            <w:vAlign w:val="center"/>
          </w:tcPr>
          <w:p w14:paraId="1E14C8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92039F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A413FE1">
            <w:pPr>
              <w:jc w:val="center"/>
              <w:rPr>
                <w:rFonts w:ascii="仿宋_GB2312" w:hAnsi="黑体" w:eastAsia="仿宋_GB2312" w:cs="黑体"/>
                <w:color w:val="000000" w:themeColor="text1"/>
                <w:sz w:val="18"/>
                <w:szCs w:val="18"/>
              </w:rPr>
            </w:pPr>
          </w:p>
        </w:tc>
        <w:tc>
          <w:tcPr>
            <w:tcW w:w="1406" w:type="dxa"/>
            <w:vAlign w:val="center"/>
          </w:tcPr>
          <w:p w14:paraId="07533D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634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A86D0BA">
            <w:pPr>
              <w:rPr>
                <w:color w:val="000000" w:themeColor="text1"/>
              </w:rPr>
            </w:pPr>
          </w:p>
        </w:tc>
        <w:tc>
          <w:tcPr>
            <w:tcW w:w="1110" w:type="dxa"/>
            <w:vAlign w:val="center"/>
          </w:tcPr>
          <w:p w14:paraId="54C15F4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8A673F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E11DF09">
            <w:pPr>
              <w:jc w:val="center"/>
              <w:rPr>
                <w:rFonts w:ascii="仿宋_GB2312" w:hAnsi="黑体" w:eastAsia="仿宋_GB2312" w:cs="黑体"/>
                <w:color w:val="000000" w:themeColor="text1"/>
                <w:sz w:val="18"/>
                <w:szCs w:val="18"/>
              </w:rPr>
            </w:pPr>
          </w:p>
        </w:tc>
        <w:tc>
          <w:tcPr>
            <w:tcW w:w="1406" w:type="dxa"/>
            <w:vAlign w:val="center"/>
          </w:tcPr>
          <w:p w14:paraId="28355BB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0F83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348AF66">
            <w:pPr>
              <w:rPr>
                <w:color w:val="000000" w:themeColor="text1"/>
              </w:rPr>
            </w:pPr>
          </w:p>
        </w:tc>
        <w:tc>
          <w:tcPr>
            <w:tcW w:w="1110" w:type="dxa"/>
            <w:vAlign w:val="center"/>
          </w:tcPr>
          <w:p w14:paraId="2BBD2C3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5EFF73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8419FBA">
            <w:pPr>
              <w:jc w:val="center"/>
              <w:rPr>
                <w:rFonts w:ascii="仿宋_GB2312" w:hAnsi="黑体" w:eastAsia="仿宋_GB2312" w:cs="黑体"/>
                <w:color w:val="000000" w:themeColor="text1"/>
                <w:sz w:val="18"/>
                <w:szCs w:val="18"/>
              </w:rPr>
            </w:pPr>
          </w:p>
        </w:tc>
        <w:tc>
          <w:tcPr>
            <w:tcW w:w="1406" w:type="dxa"/>
            <w:vAlign w:val="center"/>
          </w:tcPr>
          <w:p w14:paraId="0B93F7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DCC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D8C306C">
            <w:pPr>
              <w:rPr>
                <w:color w:val="000000" w:themeColor="text1"/>
              </w:rPr>
            </w:pPr>
          </w:p>
        </w:tc>
        <w:tc>
          <w:tcPr>
            <w:tcW w:w="1110" w:type="dxa"/>
            <w:vAlign w:val="center"/>
          </w:tcPr>
          <w:p w14:paraId="19543F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B014AA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5A0F895">
            <w:pPr>
              <w:jc w:val="center"/>
              <w:rPr>
                <w:rFonts w:ascii="仿宋_GB2312" w:hAnsi="黑体" w:eastAsia="仿宋_GB2312" w:cs="黑体"/>
                <w:color w:val="000000" w:themeColor="text1"/>
                <w:sz w:val="18"/>
                <w:szCs w:val="18"/>
              </w:rPr>
            </w:pPr>
          </w:p>
        </w:tc>
        <w:tc>
          <w:tcPr>
            <w:tcW w:w="1406" w:type="dxa"/>
            <w:vAlign w:val="center"/>
          </w:tcPr>
          <w:p w14:paraId="0ACEA7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279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DCEDC5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DAE266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0D4B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BB4EC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32904C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23CBF4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F533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5134D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264170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F840BA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88EC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0D3AA46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D6A4361">
            <w:pPr>
              <w:widowControl/>
              <w:jc w:val="left"/>
              <w:textAlignment w:val="center"/>
              <w:rPr>
                <w:rFonts w:ascii="黑体" w:eastAsia="黑体" w:cs="黑体"/>
                <w:color w:val="000000" w:themeColor="text1"/>
                <w:kern w:val="0"/>
                <w:sz w:val="18"/>
                <w:szCs w:val="18"/>
              </w:rPr>
            </w:pPr>
          </w:p>
        </w:tc>
      </w:tr>
    </w:tbl>
    <w:p w14:paraId="2B91E00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598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DABC8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2AFBE1B">
            <w:pPr>
              <w:jc w:val="center"/>
              <w:rPr>
                <w:rFonts w:ascii="黑体" w:eastAsia="黑体" w:cs="黑体"/>
                <w:b/>
                <w:bCs/>
                <w:color w:val="000000" w:themeColor="text1"/>
                <w:szCs w:val="21"/>
              </w:rPr>
            </w:pPr>
            <w:r>
              <w:rPr>
                <w:rFonts w:ascii="黑体" w:eastAsia="黑体" w:cs="黑体"/>
                <w:b/>
                <w:bCs/>
                <w:color w:val="000000" w:themeColor="text1"/>
                <w:szCs w:val="21"/>
              </w:rPr>
              <w:t>144</w:t>
            </w:r>
          </w:p>
        </w:tc>
        <w:tc>
          <w:tcPr>
            <w:tcW w:w="1691" w:type="dxa"/>
            <w:vAlign w:val="center"/>
          </w:tcPr>
          <w:p w14:paraId="2ACAF04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FF3EE2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4F894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FA751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4C12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246B8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433917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对公路水运工程从业单位未全面履行安全生产责任，导致重大事故隐患等行为的行政处罚</w:t>
            </w:r>
          </w:p>
        </w:tc>
      </w:tr>
      <w:tr w14:paraId="70448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C8B56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5057EE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B60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8624B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A805B1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【法律法规】《公路水运工程安全生产监督管理办法》（中华人民共和国交通运输部令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25</w:t>
            </w:r>
            <w:r>
              <w:rPr>
                <w:rFonts w:hint="eastAsia" w:ascii="仿宋_GB2312" w:eastAsia="仿宋_GB2312" w:cs="仿宋_GB2312"/>
                <w:color w:val="000000" w:themeColor="text1"/>
                <w:kern w:val="0"/>
                <w:sz w:val="18"/>
                <w:szCs w:val="18"/>
              </w:rPr>
              <w:t>号）第五十五条　从业单位及相关责任人违反本办法规定，有下列行为之一的，责令限期改正；逾期未改正的，对从业单位处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万元以下的罚款；构成犯罪的，依法移送司法部门追究刑事责任：（一）从业单位未全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p w14:paraId="01C2114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p>
        </w:tc>
      </w:tr>
      <w:tr w14:paraId="43906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44A33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E004D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B3F2EE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2EAA3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AF2E04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87E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9A27496">
            <w:pPr>
              <w:rPr>
                <w:color w:val="000000" w:themeColor="text1"/>
              </w:rPr>
            </w:pPr>
          </w:p>
        </w:tc>
        <w:tc>
          <w:tcPr>
            <w:tcW w:w="1110" w:type="dxa"/>
            <w:vAlign w:val="center"/>
          </w:tcPr>
          <w:p w14:paraId="04E0E3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D69A0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4BDA8FF">
            <w:pPr>
              <w:jc w:val="center"/>
              <w:rPr>
                <w:rFonts w:ascii="仿宋_GB2312" w:hAnsi="黑体" w:eastAsia="仿宋_GB2312" w:cs="黑体"/>
                <w:color w:val="000000" w:themeColor="text1"/>
                <w:sz w:val="18"/>
                <w:szCs w:val="18"/>
              </w:rPr>
            </w:pPr>
          </w:p>
        </w:tc>
        <w:tc>
          <w:tcPr>
            <w:tcW w:w="1406" w:type="dxa"/>
            <w:vAlign w:val="center"/>
          </w:tcPr>
          <w:p w14:paraId="4E200B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CB0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7B16332">
            <w:pPr>
              <w:rPr>
                <w:color w:val="000000" w:themeColor="text1"/>
              </w:rPr>
            </w:pPr>
          </w:p>
        </w:tc>
        <w:tc>
          <w:tcPr>
            <w:tcW w:w="1110" w:type="dxa"/>
            <w:vAlign w:val="center"/>
          </w:tcPr>
          <w:p w14:paraId="55B60A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4D8CF3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E612962">
            <w:pPr>
              <w:jc w:val="center"/>
              <w:rPr>
                <w:rFonts w:ascii="仿宋_GB2312" w:hAnsi="黑体" w:eastAsia="仿宋_GB2312" w:cs="黑体"/>
                <w:color w:val="000000" w:themeColor="text1"/>
                <w:sz w:val="18"/>
                <w:szCs w:val="18"/>
              </w:rPr>
            </w:pPr>
          </w:p>
        </w:tc>
        <w:tc>
          <w:tcPr>
            <w:tcW w:w="1406" w:type="dxa"/>
            <w:vAlign w:val="center"/>
          </w:tcPr>
          <w:p w14:paraId="6A83077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3E4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4D57DD8">
            <w:pPr>
              <w:rPr>
                <w:color w:val="000000" w:themeColor="text1"/>
              </w:rPr>
            </w:pPr>
          </w:p>
        </w:tc>
        <w:tc>
          <w:tcPr>
            <w:tcW w:w="1110" w:type="dxa"/>
            <w:vAlign w:val="center"/>
          </w:tcPr>
          <w:p w14:paraId="00DE13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F12AE6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F499A2E">
            <w:pPr>
              <w:jc w:val="center"/>
              <w:rPr>
                <w:rFonts w:ascii="仿宋_GB2312" w:hAnsi="黑体" w:eastAsia="仿宋_GB2312" w:cs="黑体"/>
                <w:color w:val="000000" w:themeColor="text1"/>
                <w:sz w:val="18"/>
                <w:szCs w:val="18"/>
              </w:rPr>
            </w:pPr>
          </w:p>
        </w:tc>
        <w:tc>
          <w:tcPr>
            <w:tcW w:w="1406" w:type="dxa"/>
            <w:vAlign w:val="center"/>
          </w:tcPr>
          <w:p w14:paraId="6B11C8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5729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449AE4A">
            <w:pPr>
              <w:rPr>
                <w:color w:val="000000" w:themeColor="text1"/>
              </w:rPr>
            </w:pPr>
          </w:p>
        </w:tc>
        <w:tc>
          <w:tcPr>
            <w:tcW w:w="1110" w:type="dxa"/>
            <w:vAlign w:val="center"/>
          </w:tcPr>
          <w:p w14:paraId="48240B7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B1B367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141C900">
            <w:pPr>
              <w:jc w:val="center"/>
              <w:rPr>
                <w:rFonts w:ascii="仿宋_GB2312" w:hAnsi="黑体" w:eastAsia="仿宋_GB2312" w:cs="黑体"/>
                <w:color w:val="000000" w:themeColor="text1"/>
                <w:sz w:val="18"/>
                <w:szCs w:val="18"/>
              </w:rPr>
            </w:pPr>
          </w:p>
        </w:tc>
        <w:tc>
          <w:tcPr>
            <w:tcW w:w="1406" w:type="dxa"/>
            <w:vAlign w:val="center"/>
          </w:tcPr>
          <w:p w14:paraId="3BF7B9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26A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11FD7495">
            <w:pPr>
              <w:rPr>
                <w:color w:val="000000" w:themeColor="text1"/>
              </w:rPr>
            </w:pPr>
          </w:p>
        </w:tc>
        <w:tc>
          <w:tcPr>
            <w:tcW w:w="1110" w:type="dxa"/>
            <w:vAlign w:val="center"/>
          </w:tcPr>
          <w:p w14:paraId="30F7DD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7DB4DE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59EC969">
            <w:pPr>
              <w:jc w:val="center"/>
              <w:rPr>
                <w:rFonts w:ascii="仿宋_GB2312" w:hAnsi="黑体" w:eastAsia="仿宋_GB2312" w:cs="黑体"/>
                <w:color w:val="000000" w:themeColor="text1"/>
                <w:sz w:val="18"/>
                <w:szCs w:val="18"/>
              </w:rPr>
            </w:pPr>
          </w:p>
        </w:tc>
        <w:tc>
          <w:tcPr>
            <w:tcW w:w="1406" w:type="dxa"/>
            <w:vAlign w:val="center"/>
          </w:tcPr>
          <w:p w14:paraId="5B8BA8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343B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1725E8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13B1DA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E92A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0D2E8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0FB063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9E1347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CF67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428C9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33FB1A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52276A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E65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3" w:hRule="atLeast"/>
          <w:jc w:val="center"/>
        </w:trPr>
        <w:tc>
          <w:tcPr>
            <w:tcW w:w="943" w:type="dxa"/>
            <w:vAlign w:val="center"/>
          </w:tcPr>
          <w:p w14:paraId="746D95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E6C6EA4">
            <w:pPr>
              <w:widowControl/>
              <w:jc w:val="left"/>
              <w:textAlignment w:val="center"/>
              <w:rPr>
                <w:rFonts w:ascii="黑体" w:eastAsia="黑体" w:cs="黑体"/>
                <w:color w:val="000000" w:themeColor="text1"/>
                <w:kern w:val="0"/>
                <w:sz w:val="18"/>
                <w:szCs w:val="18"/>
              </w:rPr>
            </w:pPr>
          </w:p>
        </w:tc>
      </w:tr>
    </w:tbl>
    <w:p w14:paraId="12A0C3A1">
      <w:pPr>
        <w:rPr>
          <w:color w:val="000000" w:themeColor="text1"/>
          <w:sz w:val="24"/>
        </w:rPr>
      </w:pPr>
    </w:p>
    <w:p w14:paraId="445EF4D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8171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7BF10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5A80A78">
            <w:pPr>
              <w:jc w:val="center"/>
              <w:rPr>
                <w:rFonts w:ascii="黑体" w:eastAsia="黑体" w:cs="黑体"/>
                <w:b/>
                <w:bCs/>
                <w:color w:val="000000" w:themeColor="text1"/>
                <w:szCs w:val="21"/>
              </w:rPr>
            </w:pPr>
            <w:r>
              <w:rPr>
                <w:rFonts w:ascii="黑体" w:eastAsia="黑体" w:cs="黑体"/>
                <w:b/>
                <w:bCs/>
                <w:color w:val="000000" w:themeColor="text1"/>
                <w:szCs w:val="21"/>
              </w:rPr>
              <w:t>145</w:t>
            </w:r>
          </w:p>
        </w:tc>
        <w:tc>
          <w:tcPr>
            <w:tcW w:w="1691" w:type="dxa"/>
            <w:vAlign w:val="center"/>
          </w:tcPr>
          <w:p w14:paraId="518F32F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76FD7E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739AB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A7C302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4AEC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41949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EA0027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对农村公路建设在筹集建设资金过程中，强制单位和个人集资，强迫农民出工、备料的；擅自降低征地补偿标准，或者拖欠工程款、征地拆迁款和农民工工资的行政处罚</w:t>
            </w:r>
          </w:p>
        </w:tc>
      </w:tr>
      <w:tr w14:paraId="3A00D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0A128B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BDA530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6DFF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5A303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2BA52B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【法律法规】《农村公路建设管理办法》（中华人民共和国交通运输部令</w:t>
            </w:r>
            <w:r>
              <w:rPr>
                <w:rFonts w:ascii="仿宋_GB2312" w:eastAsia="仿宋_GB2312" w:cs="仿宋_GB2312"/>
                <w:color w:val="000000" w:themeColor="text1"/>
                <w:kern w:val="0"/>
                <w:sz w:val="18"/>
                <w:szCs w:val="18"/>
              </w:rPr>
              <w:t>2018</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号）第四十六条违反本办法规定，有下列情形之一的，由有关交通运输主管部门或者由其向地方人民政府建议对责任单位进行通报批评，限期整改；情节严重的，对责任人依法给予行政处分：（一）在筹集农村公路建设资金过程中，强制单位和个人集资，强迫农民出工、备料的；（二）擅自降低征地补偿标准，或者拖欠工程款、征地拆迁款和农民工工资的。</w:t>
            </w:r>
          </w:p>
          <w:p w14:paraId="35A58889">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61FA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74FB0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70B27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DF587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D7867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B4D1B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22EE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5FFB0CF">
            <w:pPr>
              <w:rPr>
                <w:color w:val="000000" w:themeColor="text1"/>
              </w:rPr>
            </w:pPr>
          </w:p>
        </w:tc>
        <w:tc>
          <w:tcPr>
            <w:tcW w:w="1110" w:type="dxa"/>
            <w:vAlign w:val="center"/>
          </w:tcPr>
          <w:p w14:paraId="08CD89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8E154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F934F32">
            <w:pPr>
              <w:jc w:val="center"/>
              <w:rPr>
                <w:rFonts w:ascii="仿宋_GB2312" w:hAnsi="黑体" w:eastAsia="仿宋_GB2312" w:cs="黑体"/>
                <w:color w:val="000000" w:themeColor="text1"/>
                <w:sz w:val="18"/>
                <w:szCs w:val="18"/>
              </w:rPr>
            </w:pPr>
          </w:p>
        </w:tc>
        <w:tc>
          <w:tcPr>
            <w:tcW w:w="1406" w:type="dxa"/>
            <w:vAlign w:val="center"/>
          </w:tcPr>
          <w:p w14:paraId="0C4C4E4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90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9E85241">
            <w:pPr>
              <w:rPr>
                <w:color w:val="000000" w:themeColor="text1"/>
              </w:rPr>
            </w:pPr>
          </w:p>
        </w:tc>
        <w:tc>
          <w:tcPr>
            <w:tcW w:w="1110" w:type="dxa"/>
            <w:vAlign w:val="center"/>
          </w:tcPr>
          <w:p w14:paraId="7C06BC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87E372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0F06094">
            <w:pPr>
              <w:jc w:val="center"/>
              <w:rPr>
                <w:rFonts w:ascii="仿宋_GB2312" w:hAnsi="黑体" w:eastAsia="仿宋_GB2312" w:cs="黑体"/>
                <w:color w:val="000000" w:themeColor="text1"/>
                <w:sz w:val="18"/>
                <w:szCs w:val="18"/>
              </w:rPr>
            </w:pPr>
          </w:p>
        </w:tc>
        <w:tc>
          <w:tcPr>
            <w:tcW w:w="1406" w:type="dxa"/>
            <w:vAlign w:val="center"/>
          </w:tcPr>
          <w:p w14:paraId="55A8C6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A30C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D9FA9C7">
            <w:pPr>
              <w:rPr>
                <w:color w:val="000000" w:themeColor="text1"/>
              </w:rPr>
            </w:pPr>
          </w:p>
        </w:tc>
        <w:tc>
          <w:tcPr>
            <w:tcW w:w="1110" w:type="dxa"/>
            <w:vAlign w:val="center"/>
          </w:tcPr>
          <w:p w14:paraId="236FB4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BDB3FA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83CDD2C">
            <w:pPr>
              <w:jc w:val="center"/>
              <w:rPr>
                <w:rFonts w:ascii="仿宋_GB2312" w:hAnsi="黑体" w:eastAsia="仿宋_GB2312" w:cs="黑体"/>
                <w:color w:val="000000" w:themeColor="text1"/>
                <w:sz w:val="18"/>
                <w:szCs w:val="18"/>
              </w:rPr>
            </w:pPr>
          </w:p>
        </w:tc>
        <w:tc>
          <w:tcPr>
            <w:tcW w:w="1406" w:type="dxa"/>
            <w:vAlign w:val="center"/>
          </w:tcPr>
          <w:p w14:paraId="6EDD68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FBFA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975FD24">
            <w:pPr>
              <w:rPr>
                <w:color w:val="000000" w:themeColor="text1"/>
              </w:rPr>
            </w:pPr>
          </w:p>
        </w:tc>
        <w:tc>
          <w:tcPr>
            <w:tcW w:w="1110" w:type="dxa"/>
            <w:vAlign w:val="center"/>
          </w:tcPr>
          <w:p w14:paraId="256B08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86850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391EE06">
            <w:pPr>
              <w:jc w:val="center"/>
              <w:rPr>
                <w:rFonts w:ascii="仿宋_GB2312" w:hAnsi="黑体" w:eastAsia="仿宋_GB2312" w:cs="黑体"/>
                <w:color w:val="000000" w:themeColor="text1"/>
                <w:sz w:val="18"/>
                <w:szCs w:val="18"/>
              </w:rPr>
            </w:pPr>
          </w:p>
        </w:tc>
        <w:tc>
          <w:tcPr>
            <w:tcW w:w="1406" w:type="dxa"/>
            <w:vAlign w:val="center"/>
          </w:tcPr>
          <w:p w14:paraId="6B4647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C35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25B7989">
            <w:pPr>
              <w:rPr>
                <w:color w:val="000000" w:themeColor="text1"/>
              </w:rPr>
            </w:pPr>
          </w:p>
        </w:tc>
        <w:tc>
          <w:tcPr>
            <w:tcW w:w="1110" w:type="dxa"/>
            <w:vAlign w:val="center"/>
          </w:tcPr>
          <w:p w14:paraId="69A7535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D04765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4C12D02">
            <w:pPr>
              <w:jc w:val="center"/>
              <w:rPr>
                <w:rFonts w:ascii="仿宋_GB2312" w:hAnsi="黑体" w:eastAsia="仿宋_GB2312" w:cs="黑体"/>
                <w:color w:val="000000" w:themeColor="text1"/>
                <w:sz w:val="18"/>
                <w:szCs w:val="18"/>
              </w:rPr>
            </w:pPr>
          </w:p>
        </w:tc>
        <w:tc>
          <w:tcPr>
            <w:tcW w:w="1406" w:type="dxa"/>
            <w:vAlign w:val="center"/>
          </w:tcPr>
          <w:p w14:paraId="1175DC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BA5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366B08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944F44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B8B2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992C0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030E85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5FF85C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4E02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E5844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14DC8E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DC5D7F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D72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0" w:hRule="atLeast"/>
          <w:jc w:val="center"/>
        </w:trPr>
        <w:tc>
          <w:tcPr>
            <w:tcW w:w="943" w:type="dxa"/>
            <w:vAlign w:val="center"/>
          </w:tcPr>
          <w:p w14:paraId="6A00CBB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00C2DEE">
            <w:pPr>
              <w:widowControl/>
              <w:jc w:val="left"/>
              <w:textAlignment w:val="center"/>
              <w:rPr>
                <w:rFonts w:ascii="黑体" w:eastAsia="黑体" w:cs="黑体"/>
                <w:color w:val="000000" w:themeColor="text1"/>
                <w:kern w:val="0"/>
                <w:sz w:val="18"/>
                <w:szCs w:val="18"/>
              </w:rPr>
            </w:pPr>
          </w:p>
        </w:tc>
      </w:tr>
    </w:tbl>
    <w:p w14:paraId="414FF2AE">
      <w:pPr>
        <w:rPr>
          <w:color w:val="000000" w:themeColor="text1"/>
          <w:sz w:val="24"/>
        </w:rPr>
      </w:pPr>
    </w:p>
    <w:p w14:paraId="3EFFDD2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9820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D95B3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C6B6E91">
            <w:pPr>
              <w:jc w:val="center"/>
              <w:rPr>
                <w:rFonts w:ascii="黑体" w:eastAsia="黑体" w:cs="黑体"/>
                <w:b/>
                <w:bCs/>
                <w:color w:val="000000" w:themeColor="text1"/>
                <w:szCs w:val="21"/>
              </w:rPr>
            </w:pPr>
            <w:r>
              <w:rPr>
                <w:rFonts w:ascii="黑体" w:eastAsia="黑体" w:cs="黑体"/>
                <w:b/>
                <w:bCs/>
                <w:color w:val="000000" w:themeColor="text1"/>
                <w:szCs w:val="21"/>
              </w:rPr>
              <w:t>146</w:t>
            </w:r>
          </w:p>
        </w:tc>
        <w:tc>
          <w:tcPr>
            <w:tcW w:w="1691" w:type="dxa"/>
            <w:vAlign w:val="center"/>
          </w:tcPr>
          <w:p w14:paraId="069C9AF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0A5EB7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FD9F3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A7BC4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73FA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A7127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54BED8E">
            <w:pPr>
              <w:widowControl/>
              <w:jc w:val="center"/>
              <w:textAlignment w:val="center"/>
              <w:rPr>
                <w:rFonts w:ascii="仿宋" w:hAnsi="仿宋" w:eastAsia="仿宋" w:cs="宋体"/>
                <w:color w:val="000000" w:themeColor="text1"/>
                <w:kern w:val="0"/>
                <w:sz w:val="18"/>
                <w:szCs w:val="18"/>
              </w:rPr>
            </w:pPr>
            <w:r>
              <w:rPr>
                <w:rFonts w:hint="eastAsia" w:ascii="仿宋" w:hAnsi="仿宋" w:eastAsia="仿宋" w:cs="宋体"/>
                <w:color w:val="000000" w:themeColor="text1"/>
                <w:kern w:val="0"/>
                <w:sz w:val="18"/>
                <w:szCs w:val="18"/>
              </w:rPr>
              <w:t>对公路建设项目法人侵占、挪用公路建设资金等行为的行政处罚</w:t>
            </w:r>
          </w:p>
        </w:tc>
      </w:tr>
      <w:tr w14:paraId="7F66A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038AD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39832F4">
            <w:pPr>
              <w:jc w:val="center"/>
              <w:rPr>
                <w:rFonts w:ascii="黑体" w:hAnsi="黑体" w:eastAsia="黑体" w:cs="黑体"/>
                <w:color w:val="000000" w:themeColor="text1"/>
                <w:kern w:val="0"/>
                <w:sz w:val="18"/>
                <w:szCs w:val="18"/>
              </w:rPr>
            </w:pPr>
            <w:r>
              <w:rPr>
                <w:rFonts w:hint="eastAsia" w:ascii="黑体" w:hAnsi="黑体" w:eastAsia="黑体" w:cs="黑体"/>
                <w:color w:val="000000" w:themeColor="text1"/>
                <w:kern w:val="0"/>
                <w:sz w:val="18"/>
                <w:szCs w:val="18"/>
              </w:rPr>
              <w:t>抚宁辖区内</w:t>
            </w:r>
          </w:p>
        </w:tc>
      </w:tr>
      <w:tr w14:paraId="5A0CF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75FBC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3507579">
            <w:pPr>
              <w:spacing w:line="240" w:lineRule="exact"/>
              <w:rPr>
                <w:rFonts w:ascii="仿宋" w:hAnsi="仿宋" w:eastAsia="仿宋" w:cs="宋体"/>
                <w:color w:val="000000" w:themeColor="text1"/>
                <w:kern w:val="0"/>
                <w:sz w:val="18"/>
                <w:szCs w:val="18"/>
              </w:rPr>
            </w:pPr>
            <w:r>
              <w:rPr>
                <w:rFonts w:hint="eastAsia" w:ascii="仿宋" w:hAnsi="仿宋" w:eastAsia="仿宋" w:cs="仿宋_GB2312"/>
                <w:color w:val="000000" w:themeColor="text1"/>
                <w:kern w:val="0"/>
                <w:sz w:val="18"/>
                <w:szCs w:val="18"/>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《公路建设监督管理办法》第四十七条违反本办法第二十九条规定，项目法人侵占、挪用公路建设资金，非法扩大建设成本，责令限期整改，可给予警告处罚</w:t>
            </w:r>
            <w:r>
              <w:rPr>
                <w:rFonts w:ascii="仿宋" w:hAnsi="仿宋" w:eastAsia="仿宋" w:cs="宋体"/>
                <w:color w:val="000000" w:themeColor="text1"/>
                <w:kern w:val="0"/>
                <w:sz w:val="18"/>
                <w:szCs w:val="18"/>
              </w:rPr>
              <w:t>;</w:t>
            </w:r>
            <w:r>
              <w:rPr>
                <w:rFonts w:hint="eastAsia" w:ascii="仿宋" w:hAnsi="仿宋" w:eastAsia="仿宋" w:cs="宋体"/>
                <w:color w:val="000000" w:themeColor="text1"/>
                <w:kern w:val="0"/>
                <w:sz w:val="18"/>
                <w:szCs w:val="18"/>
              </w:rPr>
              <w:t>情节严重的，对全部或部分使用财政性资金的项目，可暂停项目执行或暂缓资金拨付，对直接责任人依法给予行政处分。</w:t>
            </w:r>
            <w:r>
              <w:rPr>
                <w:rFonts w:ascii="仿宋" w:hAnsi="仿宋" w:eastAsia="仿宋" w:cs="宋体"/>
                <w:color w:val="000000" w:themeColor="text1"/>
                <w:kern w:val="0"/>
                <w:sz w:val="18"/>
                <w:szCs w:val="18"/>
              </w:rPr>
              <w:t xml:space="preserve">  2.</w:t>
            </w:r>
            <w:r>
              <w:rPr>
                <w:rFonts w:hint="eastAsia" w:ascii="仿宋" w:hAnsi="仿宋" w:eastAsia="仿宋" w:cs="宋体"/>
                <w:color w:val="000000" w:themeColor="text1"/>
                <w:kern w:val="0"/>
                <w:sz w:val="18"/>
                <w:szCs w:val="18"/>
              </w:rPr>
              <w:t>《农村公路建设管理办法》第四十七条违反本办法规定，农村公路建设资金不按时支付，或者截留、挤占、挪用建设资金的，由有关交通运输主管部门或者由其向地方人民政府建议对责任单位进行通报批评，限期整改；情节严重的，对责任人依法给予行政处分。</w:t>
            </w:r>
          </w:p>
          <w:p w14:paraId="62DB22A0">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B86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2EFE9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63BDA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CE7D3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12777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FA520A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B483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0226E23">
            <w:pPr>
              <w:rPr>
                <w:color w:val="000000" w:themeColor="text1"/>
              </w:rPr>
            </w:pPr>
          </w:p>
        </w:tc>
        <w:tc>
          <w:tcPr>
            <w:tcW w:w="1110" w:type="dxa"/>
            <w:vAlign w:val="center"/>
          </w:tcPr>
          <w:p w14:paraId="24FAAB1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F5D772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21C8FBB">
            <w:pPr>
              <w:jc w:val="center"/>
              <w:rPr>
                <w:rFonts w:ascii="仿宋_GB2312" w:hAnsi="黑体" w:eastAsia="仿宋_GB2312" w:cs="黑体"/>
                <w:color w:val="000000" w:themeColor="text1"/>
                <w:sz w:val="18"/>
                <w:szCs w:val="18"/>
              </w:rPr>
            </w:pPr>
          </w:p>
        </w:tc>
        <w:tc>
          <w:tcPr>
            <w:tcW w:w="1406" w:type="dxa"/>
            <w:vAlign w:val="center"/>
          </w:tcPr>
          <w:p w14:paraId="5BAA28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21B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49C1CEC">
            <w:pPr>
              <w:rPr>
                <w:color w:val="000000" w:themeColor="text1"/>
              </w:rPr>
            </w:pPr>
          </w:p>
        </w:tc>
        <w:tc>
          <w:tcPr>
            <w:tcW w:w="1110" w:type="dxa"/>
            <w:vAlign w:val="center"/>
          </w:tcPr>
          <w:p w14:paraId="5B8513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07719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EFEB66F">
            <w:pPr>
              <w:jc w:val="center"/>
              <w:rPr>
                <w:rFonts w:ascii="仿宋_GB2312" w:hAnsi="黑体" w:eastAsia="仿宋_GB2312" w:cs="黑体"/>
                <w:color w:val="000000" w:themeColor="text1"/>
                <w:sz w:val="18"/>
                <w:szCs w:val="18"/>
              </w:rPr>
            </w:pPr>
          </w:p>
        </w:tc>
        <w:tc>
          <w:tcPr>
            <w:tcW w:w="1406" w:type="dxa"/>
            <w:vAlign w:val="center"/>
          </w:tcPr>
          <w:p w14:paraId="04351D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941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67C9C49">
            <w:pPr>
              <w:rPr>
                <w:color w:val="000000" w:themeColor="text1"/>
              </w:rPr>
            </w:pPr>
          </w:p>
        </w:tc>
        <w:tc>
          <w:tcPr>
            <w:tcW w:w="1110" w:type="dxa"/>
            <w:vAlign w:val="center"/>
          </w:tcPr>
          <w:p w14:paraId="794A3E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B46073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DE4D6E7">
            <w:pPr>
              <w:jc w:val="center"/>
              <w:rPr>
                <w:rFonts w:ascii="仿宋_GB2312" w:hAnsi="黑体" w:eastAsia="仿宋_GB2312" w:cs="黑体"/>
                <w:color w:val="000000" w:themeColor="text1"/>
                <w:sz w:val="18"/>
                <w:szCs w:val="18"/>
              </w:rPr>
            </w:pPr>
          </w:p>
        </w:tc>
        <w:tc>
          <w:tcPr>
            <w:tcW w:w="1406" w:type="dxa"/>
            <w:vAlign w:val="center"/>
          </w:tcPr>
          <w:p w14:paraId="4F918A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4D32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9E22670">
            <w:pPr>
              <w:rPr>
                <w:color w:val="000000" w:themeColor="text1"/>
              </w:rPr>
            </w:pPr>
          </w:p>
        </w:tc>
        <w:tc>
          <w:tcPr>
            <w:tcW w:w="1110" w:type="dxa"/>
            <w:vAlign w:val="center"/>
          </w:tcPr>
          <w:p w14:paraId="73C3DE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88924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603EEC3">
            <w:pPr>
              <w:jc w:val="center"/>
              <w:rPr>
                <w:rFonts w:ascii="仿宋_GB2312" w:hAnsi="黑体" w:eastAsia="仿宋_GB2312" w:cs="黑体"/>
                <w:color w:val="000000" w:themeColor="text1"/>
                <w:sz w:val="18"/>
                <w:szCs w:val="18"/>
              </w:rPr>
            </w:pPr>
          </w:p>
        </w:tc>
        <w:tc>
          <w:tcPr>
            <w:tcW w:w="1406" w:type="dxa"/>
            <w:vAlign w:val="center"/>
          </w:tcPr>
          <w:p w14:paraId="188DF2D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AD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0672DCA">
            <w:pPr>
              <w:rPr>
                <w:color w:val="000000" w:themeColor="text1"/>
              </w:rPr>
            </w:pPr>
          </w:p>
        </w:tc>
        <w:tc>
          <w:tcPr>
            <w:tcW w:w="1110" w:type="dxa"/>
            <w:vAlign w:val="center"/>
          </w:tcPr>
          <w:p w14:paraId="3434A7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793CA4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43D2E3B">
            <w:pPr>
              <w:jc w:val="center"/>
              <w:rPr>
                <w:rFonts w:ascii="仿宋_GB2312" w:hAnsi="黑体" w:eastAsia="仿宋_GB2312" w:cs="黑体"/>
                <w:color w:val="000000" w:themeColor="text1"/>
                <w:sz w:val="18"/>
                <w:szCs w:val="18"/>
              </w:rPr>
            </w:pPr>
          </w:p>
        </w:tc>
        <w:tc>
          <w:tcPr>
            <w:tcW w:w="1406" w:type="dxa"/>
            <w:vAlign w:val="center"/>
          </w:tcPr>
          <w:p w14:paraId="1773A2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324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AC077C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C1C1F4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2DC8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E7A67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C1E7EF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D4A501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812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27120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92A934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C3BBAE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3788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0" w:hRule="atLeast"/>
          <w:jc w:val="center"/>
        </w:trPr>
        <w:tc>
          <w:tcPr>
            <w:tcW w:w="943" w:type="dxa"/>
            <w:vAlign w:val="center"/>
          </w:tcPr>
          <w:p w14:paraId="016DC09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73F74F0">
            <w:pPr>
              <w:widowControl/>
              <w:jc w:val="left"/>
              <w:textAlignment w:val="center"/>
              <w:rPr>
                <w:rFonts w:ascii="黑体" w:eastAsia="黑体" w:cs="黑体"/>
                <w:color w:val="000000" w:themeColor="text1"/>
                <w:kern w:val="0"/>
                <w:sz w:val="18"/>
                <w:szCs w:val="18"/>
              </w:rPr>
            </w:pPr>
          </w:p>
        </w:tc>
      </w:tr>
    </w:tbl>
    <w:p w14:paraId="601F54B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B2A8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E35C9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9DD6B10">
            <w:pPr>
              <w:jc w:val="center"/>
              <w:rPr>
                <w:rFonts w:ascii="黑体" w:eastAsia="黑体" w:cs="黑体"/>
                <w:b/>
                <w:bCs/>
                <w:color w:val="000000" w:themeColor="text1"/>
                <w:szCs w:val="21"/>
              </w:rPr>
            </w:pPr>
            <w:r>
              <w:rPr>
                <w:rFonts w:ascii="黑体" w:eastAsia="黑体" w:cs="黑体"/>
                <w:b/>
                <w:bCs/>
                <w:color w:val="000000" w:themeColor="text1"/>
                <w:szCs w:val="21"/>
              </w:rPr>
              <w:t>147</w:t>
            </w:r>
          </w:p>
        </w:tc>
        <w:tc>
          <w:tcPr>
            <w:tcW w:w="1691" w:type="dxa"/>
            <w:vAlign w:val="center"/>
          </w:tcPr>
          <w:p w14:paraId="6EA24D4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904788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2ED19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525008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ABF5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6EC9F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52D6399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对交通运输领域建设工程项目建设单位肢解发包行为的行政处罚</w:t>
            </w:r>
          </w:p>
        </w:tc>
      </w:tr>
      <w:tr w14:paraId="4A476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E52150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EC51CC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B205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A2D41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040807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五十五条违反本条例规定，建设单位将建设工程肢解发包的，责令改正，处工程合同价款百分之零点五以上百分之一以下的罚款；对全部或者部分使用国有资金的项目，并可以暂停项目执行或者暂停资金拨付。</w:t>
            </w:r>
          </w:p>
          <w:p w14:paraId="21861C0F">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E002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2B0DB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E86DAE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C4E6F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F00F5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82D61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0953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4661933">
            <w:pPr>
              <w:rPr>
                <w:color w:val="000000" w:themeColor="text1"/>
              </w:rPr>
            </w:pPr>
          </w:p>
        </w:tc>
        <w:tc>
          <w:tcPr>
            <w:tcW w:w="1110" w:type="dxa"/>
            <w:vAlign w:val="center"/>
          </w:tcPr>
          <w:p w14:paraId="12FA52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711C54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7D2CC66">
            <w:pPr>
              <w:jc w:val="center"/>
              <w:rPr>
                <w:rFonts w:ascii="仿宋_GB2312" w:hAnsi="黑体" w:eastAsia="仿宋_GB2312" w:cs="黑体"/>
                <w:color w:val="000000" w:themeColor="text1"/>
                <w:sz w:val="18"/>
                <w:szCs w:val="18"/>
              </w:rPr>
            </w:pPr>
          </w:p>
        </w:tc>
        <w:tc>
          <w:tcPr>
            <w:tcW w:w="1406" w:type="dxa"/>
            <w:vAlign w:val="center"/>
          </w:tcPr>
          <w:p w14:paraId="333F59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AFDE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DE32809">
            <w:pPr>
              <w:rPr>
                <w:color w:val="000000" w:themeColor="text1"/>
              </w:rPr>
            </w:pPr>
          </w:p>
        </w:tc>
        <w:tc>
          <w:tcPr>
            <w:tcW w:w="1110" w:type="dxa"/>
            <w:vAlign w:val="center"/>
          </w:tcPr>
          <w:p w14:paraId="0416E18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6073C5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2CA4B5C">
            <w:pPr>
              <w:jc w:val="center"/>
              <w:rPr>
                <w:rFonts w:ascii="仿宋_GB2312" w:hAnsi="黑体" w:eastAsia="仿宋_GB2312" w:cs="黑体"/>
                <w:color w:val="000000" w:themeColor="text1"/>
                <w:sz w:val="18"/>
                <w:szCs w:val="18"/>
              </w:rPr>
            </w:pPr>
          </w:p>
        </w:tc>
        <w:tc>
          <w:tcPr>
            <w:tcW w:w="1406" w:type="dxa"/>
            <w:vAlign w:val="center"/>
          </w:tcPr>
          <w:p w14:paraId="4D1FA9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4E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AE197DD">
            <w:pPr>
              <w:rPr>
                <w:color w:val="000000" w:themeColor="text1"/>
              </w:rPr>
            </w:pPr>
          </w:p>
        </w:tc>
        <w:tc>
          <w:tcPr>
            <w:tcW w:w="1110" w:type="dxa"/>
            <w:vAlign w:val="center"/>
          </w:tcPr>
          <w:p w14:paraId="0371FD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2BF2E4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7802564">
            <w:pPr>
              <w:jc w:val="center"/>
              <w:rPr>
                <w:rFonts w:ascii="仿宋_GB2312" w:hAnsi="黑体" w:eastAsia="仿宋_GB2312" w:cs="黑体"/>
                <w:color w:val="000000" w:themeColor="text1"/>
                <w:sz w:val="18"/>
                <w:szCs w:val="18"/>
              </w:rPr>
            </w:pPr>
          </w:p>
        </w:tc>
        <w:tc>
          <w:tcPr>
            <w:tcW w:w="1406" w:type="dxa"/>
            <w:vAlign w:val="center"/>
          </w:tcPr>
          <w:p w14:paraId="7FD5B5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1882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7BC9406">
            <w:pPr>
              <w:rPr>
                <w:color w:val="000000" w:themeColor="text1"/>
              </w:rPr>
            </w:pPr>
          </w:p>
        </w:tc>
        <w:tc>
          <w:tcPr>
            <w:tcW w:w="1110" w:type="dxa"/>
            <w:vAlign w:val="center"/>
          </w:tcPr>
          <w:p w14:paraId="794D18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0FA66B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5238A1C">
            <w:pPr>
              <w:jc w:val="center"/>
              <w:rPr>
                <w:rFonts w:ascii="仿宋_GB2312" w:hAnsi="黑体" w:eastAsia="仿宋_GB2312" w:cs="黑体"/>
                <w:color w:val="000000" w:themeColor="text1"/>
                <w:sz w:val="18"/>
                <w:szCs w:val="18"/>
              </w:rPr>
            </w:pPr>
          </w:p>
        </w:tc>
        <w:tc>
          <w:tcPr>
            <w:tcW w:w="1406" w:type="dxa"/>
            <w:vAlign w:val="center"/>
          </w:tcPr>
          <w:p w14:paraId="33272A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7C76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F4940C8">
            <w:pPr>
              <w:rPr>
                <w:color w:val="000000" w:themeColor="text1"/>
              </w:rPr>
            </w:pPr>
          </w:p>
        </w:tc>
        <w:tc>
          <w:tcPr>
            <w:tcW w:w="1110" w:type="dxa"/>
            <w:vAlign w:val="center"/>
          </w:tcPr>
          <w:p w14:paraId="4998228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647A63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88F1709">
            <w:pPr>
              <w:jc w:val="center"/>
              <w:rPr>
                <w:rFonts w:ascii="仿宋_GB2312" w:hAnsi="黑体" w:eastAsia="仿宋_GB2312" w:cs="黑体"/>
                <w:color w:val="000000" w:themeColor="text1"/>
                <w:sz w:val="18"/>
                <w:szCs w:val="18"/>
              </w:rPr>
            </w:pPr>
          </w:p>
        </w:tc>
        <w:tc>
          <w:tcPr>
            <w:tcW w:w="1406" w:type="dxa"/>
            <w:vAlign w:val="center"/>
          </w:tcPr>
          <w:p w14:paraId="2E1689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6E46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7430B7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1ABECB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1ED2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F2991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87F637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4B37D3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DD6D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ABA56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79AEAD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054BA1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2C5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E66557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AA45C73">
            <w:pPr>
              <w:widowControl/>
              <w:jc w:val="left"/>
              <w:textAlignment w:val="center"/>
              <w:rPr>
                <w:rFonts w:ascii="黑体" w:eastAsia="黑体" w:cs="黑体"/>
                <w:color w:val="000000" w:themeColor="text1"/>
                <w:kern w:val="0"/>
                <w:sz w:val="18"/>
                <w:szCs w:val="18"/>
              </w:rPr>
            </w:pPr>
          </w:p>
        </w:tc>
      </w:tr>
    </w:tbl>
    <w:p w14:paraId="3DBC0DC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E22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6FBE9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271C51B">
            <w:pPr>
              <w:jc w:val="center"/>
              <w:rPr>
                <w:rFonts w:ascii="黑体" w:eastAsia="黑体" w:cs="黑体"/>
                <w:b/>
                <w:bCs/>
                <w:color w:val="000000" w:themeColor="text1"/>
                <w:szCs w:val="21"/>
              </w:rPr>
            </w:pPr>
            <w:r>
              <w:rPr>
                <w:rFonts w:ascii="黑体" w:eastAsia="黑体" w:cs="黑体"/>
                <w:b/>
                <w:bCs/>
                <w:color w:val="000000" w:themeColor="text1"/>
                <w:szCs w:val="21"/>
              </w:rPr>
              <w:t>148</w:t>
            </w:r>
          </w:p>
        </w:tc>
        <w:tc>
          <w:tcPr>
            <w:tcW w:w="1691" w:type="dxa"/>
            <w:vAlign w:val="center"/>
          </w:tcPr>
          <w:p w14:paraId="60C9379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D94BD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ED4B45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6CD0A6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799A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6A794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6DD588F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对交通运输领域建设工程项目中标人违法转分包行为的行政处罚</w:t>
            </w:r>
          </w:p>
        </w:tc>
      </w:tr>
      <w:tr w14:paraId="68EA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8D3071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D19550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1DCF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D8DDC4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C973095">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八条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《建设工程质量管理条例》（国务院令第</w:t>
            </w:r>
            <w:r>
              <w:rPr>
                <w:rFonts w:ascii="仿宋_GB2312" w:eastAsia="仿宋_GB2312" w:cs="仿宋_GB2312"/>
                <w:color w:val="000000" w:themeColor="text1"/>
                <w:kern w:val="0"/>
                <w:sz w:val="18"/>
                <w:szCs w:val="18"/>
              </w:rPr>
              <w:t>279</w:t>
            </w:r>
            <w:r>
              <w:rPr>
                <w:rFonts w:hint="eastAsia" w:ascii="仿宋_GB2312" w:eastAsia="仿宋_GB2312" w:cs="仿宋_GB2312"/>
                <w:color w:val="000000" w:themeColor="text1"/>
                <w:kern w:val="0"/>
                <w:sz w:val="18"/>
                <w:szCs w:val="18"/>
              </w:rPr>
              <w:t>号）第六十二条第一款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工程监理单位转让工程监理业务的，责令改正，没收违法所得，处合同约定的监理酬金</w:t>
            </w:r>
            <w:r>
              <w:rPr>
                <w:rFonts w:ascii="仿宋_GB2312" w:eastAsia="仿宋_GB2312" w:cs="仿宋_GB2312"/>
                <w:color w:val="000000" w:themeColor="text1"/>
                <w:kern w:val="0"/>
                <w:sz w:val="18"/>
                <w:szCs w:val="18"/>
              </w:rPr>
              <w:t xml:space="preserve"> 25%</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 xml:space="preserve"> 50%</w:t>
            </w:r>
            <w:r>
              <w:rPr>
                <w:rFonts w:hint="eastAsia" w:ascii="仿宋_GB2312" w:eastAsia="仿宋_GB2312" w:cs="仿宋_GB2312"/>
                <w:color w:val="000000" w:themeColor="text1"/>
                <w:kern w:val="0"/>
                <w:sz w:val="18"/>
                <w:szCs w:val="18"/>
              </w:rPr>
              <w:t>以下的罚款；可以责令停业整顿，降低资质等级；情节严重的，吊销资质证书。</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《建设工程勘察设计管理条例》（国务院令第</w:t>
            </w:r>
            <w:r>
              <w:rPr>
                <w:rFonts w:ascii="仿宋_GB2312" w:eastAsia="仿宋_GB2312" w:cs="仿宋_GB2312"/>
                <w:color w:val="000000" w:themeColor="text1"/>
                <w:kern w:val="0"/>
                <w:sz w:val="18"/>
                <w:szCs w:val="18"/>
              </w:rPr>
              <w:t>687</w:t>
            </w:r>
            <w:r>
              <w:rPr>
                <w:rFonts w:hint="eastAsia" w:ascii="仿宋_GB2312" w:eastAsia="仿宋_GB2312" w:cs="仿宋_GB2312"/>
                <w:color w:val="000000" w:themeColor="text1"/>
                <w:kern w:val="0"/>
                <w:sz w:val="18"/>
                <w:szCs w:val="18"/>
              </w:rPr>
              <w:t>号修订）第三十九条违反本条例规定，建设工程勘察、设计单位将所承揽的建设工程勘察、设计转包的，责令改正，没收违法所得，处合同约定的勘察费、设计费</w:t>
            </w:r>
            <w:r>
              <w:rPr>
                <w:rFonts w:ascii="仿宋_GB2312" w:eastAsia="仿宋_GB2312" w:cs="仿宋_GB2312"/>
                <w:color w:val="000000" w:themeColor="text1"/>
                <w:kern w:val="0"/>
                <w:sz w:val="18"/>
                <w:szCs w:val="18"/>
              </w:rPr>
              <w:t>25</w:t>
            </w:r>
            <w:r>
              <w:rPr>
                <w:rFonts w:hint="eastAsia" w:ascii="仿宋_GB2312" w:eastAsia="仿宋_GB2312" w:cs="仿宋_GB2312"/>
                <w:color w:val="000000" w:themeColor="text1"/>
                <w:kern w:val="0"/>
                <w:sz w:val="18"/>
                <w:szCs w:val="18"/>
              </w:rPr>
              <w:t>％以上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％以下的罚款，可以责令停业整顿，降低资质等级；情节严重的，吊销资质证书。</w:t>
            </w:r>
          </w:p>
          <w:p w14:paraId="710DD5D4">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DF1F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628DF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91A2C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A7829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A2377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CC2E79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E9B1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87" w:hRule="atLeast"/>
          <w:jc w:val="center"/>
        </w:trPr>
        <w:tc>
          <w:tcPr>
            <w:tcW w:w="943" w:type="dxa"/>
            <w:vMerge w:val="continue"/>
            <w:vAlign w:val="center"/>
          </w:tcPr>
          <w:p w14:paraId="71897310">
            <w:pPr>
              <w:rPr>
                <w:color w:val="000000" w:themeColor="text1"/>
              </w:rPr>
            </w:pPr>
          </w:p>
        </w:tc>
        <w:tc>
          <w:tcPr>
            <w:tcW w:w="1110" w:type="dxa"/>
            <w:vAlign w:val="center"/>
          </w:tcPr>
          <w:p w14:paraId="1A6F53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4C70AA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A3FA36F">
            <w:pPr>
              <w:jc w:val="center"/>
              <w:rPr>
                <w:rFonts w:ascii="仿宋_GB2312" w:hAnsi="黑体" w:eastAsia="仿宋_GB2312" w:cs="黑体"/>
                <w:color w:val="000000" w:themeColor="text1"/>
                <w:sz w:val="18"/>
                <w:szCs w:val="18"/>
              </w:rPr>
            </w:pPr>
          </w:p>
        </w:tc>
        <w:tc>
          <w:tcPr>
            <w:tcW w:w="1406" w:type="dxa"/>
            <w:vAlign w:val="center"/>
          </w:tcPr>
          <w:p w14:paraId="1B81BF4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8193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5" w:hRule="atLeast"/>
          <w:jc w:val="center"/>
        </w:trPr>
        <w:tc>
          <w:tcPr>
            <w:tcW w:w="943" w:type="dxa"/>
            <w:vMerge w:val="continue"/>
            <w:vAlign w:val="center"/>
          </w:tcPr>
          <w:p w14:paraId="10DEA3BA">
            <w:pPr>
              <w:rPr>
                <w:color w:val="000000" w:themeColor="text1"/>
              </w:rPr>
            </w:pPr>
          </w:p>
        </w:tc>
        <w:tc>
          <w:tcPr>
            <w:tcW w:w="1110" w:type="dxa"/>
            <w:vAlign w:val="center"/>
          </w:tcPr>
          <w:p w14:paraId="53765F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04446B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38F3DE0">
            <w:pPr>
              <w:jc w:val="center"/>
              <w:rPr>
                <w:rFonts w:ascii="仿宋_GB2312" w:hAnsi="黑体" w:eastAsia="仿宋_GB2312" w:cs="黑体"/>
                <w:color w:val="000000" w:themeColor="text1"/>
                <w:sz w:val="18"/>
                <w:szCs w:val="18"/>
              </w:rPr>
            </w:pPr>
          </w:p>
        </w:tc>
        <w:tc>
          <w:tcPr>
            <w:tcW w:w="1406" w:type="dxa"/>
            <w:vAlign w:val="center"/>
          </w:tcPr>
          <w:p w14:paraId="4EB18F8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D40D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7" w:hRule="atLeast"/>
          <w:jc w:val="center"/>
        </w:trPr>
        <w:tc>
          <w:tcPr>
            <w:tcW w:w="943" w:type="dxa"/>
            <w:vMerge w:val="continue"/>
            <w:vAlign w:val="center"/>
          </w:tcPr>
          <w:p w14:paraId="2BC91AB3">
            <w:pPr>
              <w:rPr>
                <w:color w:val="000000" w:themeColor="text1"/>
              </w:rPr>
            </w:pPr>
          </w:p>
        </w:tc>
        <w:tc>
          <w:tcPr>
            <w:tcW w:w="1110" w:type="dxa"/>
            <w:vAlign w:val="center"/>
          </w:tcPr>
          <w:p w14:paraId="5BCA7C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8460E1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B10772E">
            <w:pPr>
              <w:jc w:val="center"/>
              <w:rPr>
                <w:rFonts w:ascii="仿宋_GB2312" w:hAnsi="黑体" w:eastAsia="仿宋_GB2312" w:cs="黑体"/>
                <w:color w:val="000000" w:themeColor="text1"/>
                <w:sz w:val="18"/>
                <w:szCs w:val="18"/>
              </w:rPr>
            </w:pPr>
          </w:p>
        </w:tc>
        <w:tc>
          <w:tcPr>
            <w:tcW w:w="1406" w:type="dxa"/>
            <w:vAlign w:val="center"/>
          </w:tcPr>
          <w:p w14:paraId="310901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99C9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4" w:hRule="atLeast"/>
          <w:jc w:val="center"/>
        </w:trPr>
        <w:tc>
          <w:tcPr>
            <w:tcW w:w="943" w:type="dxa"/>
            <w:vMerge w:val="continue"/>
            <w:vAlign w:val="center"/>
          </w:tcPr>
          <w:p w14:paraId="684F410A">
            <w:pPr>
              <w:rPr>
                <w:color w:val="000000" w:themeColor="text1"/>
              </w:rPr>
            </w:pPr>
          </w:p>
        </w:tc>
        <w:tc>
          <w:tcPr>
            <w:tcW w:w="1110" w:type="dxa"/>
            <w:vAlign w:val="center"/>
          </w:tcPr>
          <w:p w14:paraId="50E5E6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DBA87B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4BD9335">
            <w:pPr>
              <w:jc w:val="center"/>
              <w:rPr>
                <w:rFonts w:ascii="仿宋_GB2312" w:hAnsi="黑体" w:eastAsia="仿宋_GB2312" w:cs="黑体"/>
                <w:color w:val="000000" w:themeColor="text1"/>
                <w:sz w:val="18"/>
                <w:szCs w:val="18"/>
              </w:rPr>
            </w:pPr>
          </w:p>
        </w:tc>
        <w:tc>
          <w:tcPr>
            <w:tcW w:w="1406" w:type="dxa"/>
            <w:vAlign w:val="center"/>
          </w:tcPr>
          <w:p w14:paraId="741E2E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874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8" w:hRule="atLeast"/>
          <w:jc w:val="center"/>
        </w:trPr>
        <w:tc>
          <w:tcPr>
            <w:tcW w:w="943" w:type="dxa"/>
            <w:vMerge w:val="continue"/>
            <w:vAlign w:val="center"/>
          </w:tcPr>
          <w:p w14:paraId="22FD3E22">
            <w:pPr>
              <w:rPr>
                <w:color w:val="000000" w:themeColor="text1"/>
              </w:rPr>
            </w:pPr>
          </w:p>
        </w:tc>
        <w:tc>
          <w:tcPr>
            <w:tcW w:w="1110" w:type="dxa"/>
            <w:vAlign w:val="center"/>
          </w:tcPr>
          <w:p w14:paraId="0E4078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E89B7B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728072D">
            <w:pPr>
              <w:jc w:val="center"/>
              <w:rPr>
                <w:rFonts w:ascii="仿宋_GB2312" w:hAnsi="黑体" w:eastAsia="仿宋_GB2312" w:cs="黑体"/>
                <w:color w:val="000000" w:themeColor="text1"/>
                <w:sz w:val="18"/>
                <w:szCs w:val="18"/>
              </w:rPr>
            </w:pPr>
          </w:p>
        </w:tc>
        <w:tc>
          <w:tcPr>
            <w:tcW w:w="1406" w:type="dxa"/>
            <w:vAlign w:val="center"/>
          </w:tcPr>
          <w:p w14:paraId="51C164A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216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DBE2B9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8C58AA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41F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BE3D2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52BC39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0AD5AC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6340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61305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2D0AD3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6F1BD4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55BC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3" w:hRule="atLeast"/>
          <w:jc w:val="center"/>
        </w:trPr>
        <w:tc>
          <w:tcPr>
            <w:tcW w:w="943" w:type="dxa"/>
            <w:vAlign w:val="center"/>
          </w:tcPr>
          <w:p w14:paraId="66B6099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A005BA0">
            <w:pPr>
              <w:widowControl/>
              <w:jc w:val="left"/>
              <w:textAlignment w:val="center"/>
              <w:rPr>
                <w:rFonts w:ascii="黑体" w:eastAsia="黑体" w:cs="黑体"/>
                <w:color w:val="000000" w:themeColor="text1"/>
                <w:kern w:val="0"/>
                <w:sz w:val="18"/>
                <w:szCs w:val="18"/>
              </w:rPr>
            </w:pPr>
          </w:p>
        </w:tc>
      </w:tr>
    </w:tbl>
    <w:p w14:paraId="07E048D0">
      <w:pPr>
        <w:rPr>
          <w:color w:val="000000" w:themeColor="text1"/>
          <w:sz w:val="24"/>
        </w:rPr>
      </w:pPr>
    </w:p>
    <w:p w14:paraId="1E72CA0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8A0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66526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E2D114F">
            <w:pPr>
              <w:jc w:val="center"/>
              <w:rPr>
                <w:rFonts w:ascii="黑体" w:eastAsia="黑体" w:cs="黑体"/>
                <w:b/>
                <w:bCs/>
                <w:color w:val="000000" w:themeColor="text1"/>
                <w:szCs w:val="21"/>
              </w:rPr>
            </w:pPr>
            <w:r>
              <w:rPr>
                <w:rFonts w:ascii="黑体" w:eastAsia="黑体" w:cs="黑体"/>
                <w:b/>
                <w:bCs/>
                <w:color w:val="000000" w:themeColor="text1"/>
                <w:szCs w:val="21"/>
              </w:rPr>
              <w:t>149</w:t>
            </w:r>
          </w:p>
        </w:tc>
        <w:tc>
          <w:tcPr>
            <w:tcW w:w="1691" w:type="dxa"/>
            <w:vAlign w:val="center"/>
          </w:tcPr>
          <w:p w14:paraId="0346B8B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8F66BF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81F42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5E1610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507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B4A40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05C970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对交通运输领域建设工程项目中标人不按照合同履行义务，情节较为严重行为的行政处罚</w:t>
            </w:r>
          </w:p>
        </w:tc>
      </w:tr>
      <w:tr w14:paraId="1FAF1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28473E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3940CF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C4CF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1CD8D7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5439E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第六十条第二款中标人不按照与招标人订立的合同履行义务，情节较为严重的，取消其二年至五年内参加依法必须进行招标的项目的投标资格并予以公告，直至由工商行政管理机关吊销营业执照。</w:t>
            </w:r>
          </w:p>
          <w:p w14:paraId="11F649E6">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17B1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06F4B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36526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1E258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CBE22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AC560D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A3D3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565185E">
            <w:pPr>
              <w:rPr>
                <w:color w:val="000000" w:themeColor="text1"/>
              </w:rPr>
            </w:pPr>
          </w:p>
        </w:tc>
        <w:tc>
          <w:tcPr>
            <w:tcW w:w="1110" w:type="dxa"/>
            <w:vAlign w:val="center"/>
          </w:tcPr>
          <w:p w14:paraId="481C54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F2B254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B4B3B85">
            <w:pPr>
              <w:jc w:val="center"/>
              <w:rPr>
                <w:rFonts w:ascii="仿宋_GB2312" w:hAnsi="黑体" w:eastAsia="仿宋_GB2312" w:cs="黑体"/>
                <w:color w:val="000000" w:themeColor="text1"/>
                <w:sz w:val="18"/>
                <w:szCs w:val="18"/>
              </w:rPr>
            </w:pPr>
          </w:p>
        </w:tc>
        <w:tc>
          <w:tcPr>
            <w:tcW w:w="1406" w:type="dxa"/>
            <w:vAlign w:val="center"/>
          </w:tcPr>
          <w:p w14:paraId="77FEED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519D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82C88CF">
            <w:pPr>
              <w:rPr>
                <w:color w:val="000000" w:themeColor="text1"/>
              </w:rPr>
            </w:pPr>
          </w:p>
        </w:tc>
        <w:tc>
          <w:tcPr>
            <w:tcW w:w="1110" w:type="dxa"/>
            <w:vAlign w:val="center"/>
          </w:tcPr>
          <w:p w14:paraId="00793E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6BEBA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B0601AA">
            <w:pPr>
              <w:jc w:val="center"/>
              <w:rPr>
                <w:rFonts w:ascii="仿宋_GB2312" w:hAnsi="黑体" w:eastAsia="仿宋_GB2312" w:cs="黑体"/>
                <w:color w:val="000000" w:themeColor="text1"/>
                <w:sz w:val="18"/>
                <w:szCs w:val="18"/>
              </w:rPr>
            </w:pPr>
          </w:p>
        </w:tc>
        <w:tc>
          <w:tcPr>
            <w:tcW w:w="1406" w:type="dxa"/>
            <w:vAlign w:val="center"/>
          </w:tcPr>
          <w:p w14:paraId="477E93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0DC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67C7F8D">
            <w:pPr>
              <w:rPr>
                <w:color w:val="000000" w:themeColor="text1"/>
              </w:rPr>
            </w:pPr>
          </w:p>
        </w:tc>
        <w:tc>
          <w:tcPr>
            <w:tcW w:w="1110" w:type="dxa"/>
            <w:vAlign w:val="center"/>
          </w:tcPr>
          <w:p w14:paraId="675F311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EDEC14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168D53B">
            <w:pPr>
              <w:jc w:val="center"/>
              <w:rPr>
                <w:rFonts w:ascii="仿宋_GB2312" w:hAnsi="黑体" w:eastAsia="仿宋_GB2312" w:cs="黑体"/>
                <w:color w:val="000000" w:themeColor="text1"/>
                <w:sz w:val="18"/>
                <w:szCs w:val="18"/>
              </w:rPr>
            </w:pPr>
          </w:p>
        </w:tc>
        <w:tc>
          <w:tcPr>
            <w:tcW w:w="1406" w:type="dxa"/>
            <w:vAlign w:val="center"/>
          </w:tcPr>
          <w:p w14:paraId="14A045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D7C5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5EEDEB1">
            <w:pPr>
              <w:rPr>
                <w:color w:val="000000" w:themeColor="text1"/>
              </w:rPr>
            </w:pPr>
          </w:p>
        </w:tc>
        <w:tc>
          <w:tcPr>
            <w:tcW w:w="1110" w:type="dxa"/>
            <w:vAlign w:val="center"/>
          </w:tcPr>
          <w:p w14:paraId="45C1D4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897439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9F13A1C">
            <w:pPr>
              <w:jc w:val="center"/>
              <w:rPr>
                <w:rFonts w:ascii="仿宋_GB2312" w:hAnsi="黑体" w:eastAsia="仿宋_GB2312" w:cs="黑体"/>
                <w:color w:val="000000" w:themeColor="text1"/>
                <w:sz w:val="18"/>
                <w:szCs w:val="18"/>
              </w:rPr>
            </w:pPr>
          </w:p>
        </w:tc>
        <w:tc>
          <w:tcPr>
            <w:tcW w:w="1406" w:type="dxa"/>
            <w:vAlign w:val="center"/>
          </w:tcPr>
          <w:p w14:paraId="20272E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B43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9BABED3">
            <w:pPr>
              <w:rPr>
                <w:color w:val="000000" w:themeColor="text1"/>
              </w:rPr>
            </w:pPr>
          </w:p>
        </w:tc>
        <w:tc>
          <w:tcPr>
            <w:tcW w:w="1110" w:type="dxa"/>
            <w:vAlign w:val="center"/>
          </w:tcPr>
          <w:p w14:paraId="20F45F4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3E5771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7580F86">
            <w:pPr>
              <w:jc w:val="center"/>
              <w:rPr>
                <w:rFonts w:ascii="仿宋_GB2312" w:hAnsi="黑体" w:eastAsia="仿宋_GB2312" w:cs="黑体"/>
                <w:color w:val="000000" w:themeColor="text1"/>
                <w:sz w:val="18"/>
                <w:szCs w:val="18"/>
              </w:rPr>
            </w:pPr>
          </w:p>
        </w:tc>
        <w:tc>
          <w:tcPr>
            <w:tcW w:w="1406" w:type="dxa"/>
            <w:vAlign w:val="center"/>
          </w:tcPr>
          <w:p w14:paraId="38E323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5A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34FDCA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F2C99C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DB76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A53A3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AF5BCC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083CA5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CF43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13E68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046FD1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ED5F5F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6F54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B46F9C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98A0367">
            <w:pPr>
              <w:widowControl/>
              <w:jc w:val="left"/>
              <w:textAlignment w:val="center"/>
              <w:rPr>
                <w:rFonts w:ascii="黑体" w:eastAsia="黑体" w:cs="黑体"/>
                <w:color w:val="000000" w:themeColor="text1"/>
                <w:kern w:val="0"/>
                <w:sz w:val="18"/>
                <w:szCs w:val="18"/>
              </w:rPr>
            </w:pPr>
          </w:p>
        </w:tc>
      </w:tr>
    </w:tbl>
    <w:p w14:paraId="53B3E5BB">
      <w:pPr>
        <w:rPr>
          <w:color w:val="000000" w:themeColor="text1"/>
          <w:sz w:val="24"/>
        </w:rPr>
      </w:pPr>
    </w:p>
    <w:p w14:paraId="70FE5011">
      <w:pPr>
        <w:pStyle w:val="8"/>
        <w:snapToGrid w:val="0"/>
        <w:spacing w:before="0" w:beforeAutospacing="0" w:after="0" w:afterAutospacing="0" w:line="240" w:lineRule="atLeast"/>
        <w:jc w:val="both"/>
        <w:rPr>
          <w:color w:val="000000" w:themeColor="text1"/>
          <w:sz w:val="11"/>
          <w:szCs w:val="11"/>
        </w:rPr>
      </w:pPr>
    </w:p>
    <w:p w14:paraId="2ADC283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9F0B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3D6FC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E2676CD">
            <w:pPr>
              <w:jc w:val="center"/>
              <w:rPr>
                <w:rFonts w:ascii="黑体" w:eastAsia="黑体" w:cs="黑体"/>
                <w:b/>
                <w:bCs/>
                <w:color w:val="000000" w:themeColor="text1"/>
                <w:szCs w:val="21"/>
              </w:rPr>
            </w:pPr>
            <w:r>
              <w:rPr>
                <w:rFonts w:ascii="黑体" w:eastAsia="黑体" w:cs="黑体"/>
                <w:b/>
                <w:bCs/>
                <w:color w:val="000000" w:themeColor="text1"/>
                <w:szCs w:val="21"/>
              </w:rPr>
              <w:t>150</w:t>
            </w:r>
          </w:p>
        </w:tc>
        <w:tc>
          <w:tcPr>
            <w:tcW w:w="1691" w:type="dxa"/>
            <w:vAlign w:val="center"/>
          </w:tcPr>
          <w:p w14:paraId="26594FB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01D96C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24176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76EE41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D0C1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36777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7FDB704">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对交通运输领域项目必须招标而不招标等行为的行政处罚</w:t>
            </w:r>
          </w:p>
        </w:tc>
      </w:tr>
      <w:tr w14:paraId="74991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643E67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682632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6417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C33553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50E815B">
            <w:pPr>
              <w:spacing w:line="20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p>
          <w:p w14:paraId="56BAFE10">
            <w:pPr>
              <w:spacing w:line="200" w:lineRule="exact"/>
              <w:rPr>
                <w:rFonts w:ascii="仿宋" w:hAnsi="仿宋" w:eastAsia="仿宋" w:cs="仿宋_GB2312"/>
                <w:color w:val="000000" w:themeColor="text1"/>
                <w:kern w:val="0"/>
                <w:sz w:val="18"/>
                <w:szCs w:val="18"/>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招标投标法》第四十九条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ascii="仿宋" w:hAnsi="仿宋" w:eastAsia="仿宋" w:cs="宋体"/>
                <w:color w:val="000000" w:themeColor="text1"/>
                <w:kern w:val="0"/>
                <w:sz w:val="18"/>
                <w:szCs w:val="18"/>
              </w:rPr>
              <w:t xml:space="preserve">  2.</w:t>
            </w:r>
            <w:r>
              <w:rPr>
                <w:rFonts w:hint="eastAsia" w:ascii="仿宋" w:hAnsi="仿宋" w:eastAsia="仿宋" w:cs="宋体"/>
                <w:color w:val="000000" w:themeColor="text1"/>
                <w:kern w:val="0"/>
                <w:sz w:val="18"/>
                <w:szCs w:val="18"/>
              </w:rPr>
              <w:t>《</w:t>
            </w:r>
            <w:r>
              <w:rPr>
                <w:rFonts w:hint="eastAsia" w:ascii="仿宋" w:hAnsi="仿宋" w:eastAsia="仿宋"/>
                <w:color w:val="000000" w:themeColor="text1"/>
                <w:sz w:val="18"/>
                <w:szCs w:val="18"/>
              </w:rPr>
              <w:t>中华人民共和国招标投标法实施条例</w:t>
            </w:r>
            <w:r>
              <w:rPr>
                <w:rFonts w:hint="eastAsia" w:ascii="仿宋" w:hAnsi="仿宋" w:eastAsia="仿宋" w:cs="宋体"/>
                <w:color w:val="000000" w:themeColor="text1"/>
                <w:kern w:val="0"/>
                <w:sz w:val="18"/>
                <w:szCs w:val="18"/>
              </w:rPr>
              <w:t>》</w:t>
            </w:r>
            <w:r>
              <w:rPr>
                <w:rFonts w:hint="eastAsia" w:ascii="仿宋" w:hAnsi="仿宋" w:eastAsia="仿宋" w:cs="仿宋_GB2312"/>
                <w:color w:val="000000" w:themeColor="text1"/>
                <w:kern w:val="0"/>
                <w:sz w:val="18"/>
                <w:szCs w:val="18"/>
              </w:rPr>
              <w:t>第六十三条第二款依法必须进行招标的项目的招标人不按照规定发布资格预审公告或者招标公告，构成规避招标的，依照招标投标法第四十九条的规定处罚。</w:t>
            </w:r>
            <w:r>
              <w:rPr>
                <w:rFonts w:ascii="仿宋" w:hAnsi="仿宋" w:eastAsia="仿宋" w:cs="仿宋_GB2312"/>
                <w:color w:val="000000" w:themeColor="text1"/>
                <w:kern w:val="0"/>
                <w:sz w:val="18"/>
                <w:szCs w:val="18"/>
              </w:rPr>
              <w:t>3.</w:t>
            </w:r>
            <w:r>
              <w:rPr>
                <w:rFonts w:hint="eastAsia" w:ascii="仿宋" w:hAnsi="仿宋" w:eastAsia="仿宋" w:cs="宋体"/>
                <w:color w:val="000000" w:themeColor="text1"/>
                <w:kern w:val="0"/>
                <w:sz w:val="18"/>
                <w:szCs w:val="18"/>
              </w:rPr>
              <w:t>河北省实施《中华人民共和国招标投标法》办法第四十条　违反本办法规定，必须进行招标的项目而不招标的，将必须进行招标的项目化整为零或者以其他方式规避招标的，以及虚假招标、与投标人串通损害国家利益、社会公共利益和其他投标人合法权益的，责令限期改正，可以处项目合同金额千分之五以上千分之十以下的罚款；对全部或者部分使用国有资金的项目，可以暂停项目执行或者暂停资金拨付；对单位直接负责的主管人员和其他直接责任人员依法给予行政处分；构成犯罪的，依法追究刑事责任。</w:t>
            </w:r>
          </w:p>
          <w:p w14:paraId="0261BDBB">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BB0A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9D7F4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65340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85C68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95F8C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CC128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1862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6" w:hRule="atLeast"/>
          <w:jc w:val="center"/>
        </w:trPr>
        <w:tc>
          <w:tcPr>
            <w:tcW w:w="943" w:type="dxa"/>
            <w:vMerge w:val="continue"/>
            <w:vAlign w:val="center"/>
          </w:tcPr>
          <w:p w14:paraId="7529AE55">
            <w:pPr>
              <w:rPr>
                <w:color w:val="000000" w:themeColor="text1"/>
              </w:rPr>
            </w:pPr>
          </w:p>
        </w:tc>
        <w:tc>
          <w:tcPr>
            <w:tcW w:w="1110" w:type="dxa"/>
            <w:vAlign w:val="center"/>
          </w:tcPr>
          <w:p w14:paraId="712DFB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5F4EC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D201143">
            <w:pPr>
              <w:jc w:val="center"/>
              <w:rPr>
                <w:rFonts w:ascii="仿宋_GB2312" w:hAnsi="黑体" w:eastAsia="仿宋_GB2312" w:cs="黑体"/>
                <w:color w:val="000000" w:themeColor="text1"/>
                <w:sz w:val="18"/>
                <w:szCs w:val="18"/>
              </w:rPr>
            </w:pPr>
          </w:p>
        </w:tc>
        <w:tc>
          <w:tcPr>
            <w:tcW w:w="1406" w:type="dxa"/>
            <w:vAlign w:val="center"/>
          </w:tcPr>
          <w:p w14:paraId="5B031B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D64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24916E0">
            <w:pPr>
              <w:rPr>
                <w:color w:val="000000" w:themeColor="text1"/>
              </w:rPr>
            </w:pPr>
          </w:p>
        </w:tc>
        <w:tc>
          <w:tcPr>
            <w:tcW w:w="1110" w:type="dxa"/>
            <w:vAlign w:val="center"/>
          </w:tcPr>
          <w:p w14:paraId="67F116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2C0E85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53EBB55">
            <w:pPr>
              <w:jc w:val="center"/>
              <w:rPr>
                <w:rFonts w:ascii="仿宋_GB2312" w:hAnsi="黑体" w:eastAsia="仿宋_GB2312" w:cs="黑体"/>
                <w:color w:val="000000" w:themeColor="text1"/>
                <w:sz w:val="18"/>
                <w:szCs w:val="18"/>
              </w:rPr>
            </w:pPr>
          </w:p>
        </w:tc>
        <w:tc>
          <w:tcPr>
            <w:tcW w:w="1406" w:type="dxa"/>
            <w:vAlign w:val="center"/>
          </w:tcPr>
          <w:p w14:paraId="4B219C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5ACE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44F0BED">
            <w:pPr>
              <w:rPr>
                <w:color w:val="000000" w:themeColor="text1"/>
              </w:rPr>
            </w:pPr>
          </w:p>
        </w:tc>
        <w:tc>
          <w:tcPr>
            <w:tcW w:w="1110" w:type="dxa"/>
            <w:vAlign w:val="center"/>
          </w:tcPr>
          <w:p w14:paraId="36588A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953B14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C78E0D0">
            <w:pPr>
              <w:jc w:val="center"/>
              <w:rPr>
                <w:rFonts w:ascii="仿宋_GB2312" w:hAnsi="黑体" w:eastAsia="仿宋_GB2312" w:cs="黑体"/>
                <w:color w:val="000000" w:themeColor="text1"/>
                <w:sz w:val="18"/>
                <w:szCs w:val="18"/>
              </w:rPr>
            </w:pPr>
          </w:p>
        </w:tc>
        <w:tc>
          <w:tcPr>
            <w:tcW w:w="1406" w:type="dxa"/>
            <w:vAlign w:val="center"/>
          </w:tcPr>
          <w:p w14:paraId="6926127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E0EF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A078976">
            <w:pPr>
              <w:rPr>
                <w:color w:val="000000" w:themeColor="text1"/>
              </w:rPr>
            </w:pPr>
          </w:p>
        </w:tc>
        <w:tc>
          <w:tcPr>
            <w:tcW w:w="1110" w:type="dxa"/>
            <w:vAlign w:val="center"/>
          </w:tcPr>
          <w:p w14:paraId="1BEF8E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8B6855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9A196D6">
            <w:pPr>
              <w:jc w:val="center"/>
              <w:rPr>
                <w:rFonts w:ascii="仿宋_GB2312" w:hAnsi="黑体" w:eastAsia="仿宋_GB2312" w:cs="黑体"/>
                <w:color w:val="000000" w:themeColor="text1"/>
                <w:sz w:val="18"/>
                <w:szCs w:val="18"/>
              </w:rPr>
            </w:pPr>
          </w:p>
        </w:tc>
        <w:tc>
          <w:tcPr>
            <w:tcW w:w="1406" w:type="dxa"/>
            <w:vAlign w:val="center"/>
          </w:tcPr>
          <w:p w14:paraId="394323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65A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8B58942">
            <w:pPr>
              <w:rPr>
                <w:color w:val="000000" w:themeColor="text1"/>
              </w:rPr>
            </w:pPr>
          </w:p>
        </w:tc>
        <w:tc>
          <w:tcPr>
            <w:tcW w:w="1110" w:type="dxa"/>
            <w:vAlign w:val="center"/>
          </w:tcPr>
          <w:p w14:paraId="5A7045C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A1A9D2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3278214">
            <w:pPr>
              <w:jc w:val="center"/>
              <w:rPr>
                <w:rFonts w:ascii="仿宋_GB2312" w:hAnsi="黑体" w:eastAsia="仿宋_GB2312" w:cs="黑体"/>
                <w:color w:val="000000" w:themeColor="text1"/>
                <w:sz w:val="18"/>
                <w:szCs w:val="18"/>
              </w:rPr>
            </w:pPr>
          </w:p>
        </w:tc>
        <w:tc>
          <w:tcPr>
            <w:tcW w:w="1406" w:type="dxa"/>
            <w:vAlign w:val="center"/>
          </w:tcPr>
          <w:p w14:paraId="022A966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4A77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E78F99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A9C838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EA87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A58BD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203A15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BB5072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9766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56A893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064FB6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17DB59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A938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2A15B4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EAAC33A">
            <w:pPr>
              <w:widowControl/>
              <w:jc w:val="left"/>
              <w:textAlignment w:val="center"/>
              <w:rPr>
                <w:rFonts w:ascii="黑体" w:eastAsia="黑体" w:cs="黑体"/>
                <w:color w:val="000000" w:themeColor="text1"/>
                <w:kern w:val="0"/>
                <w:sz w:val="18"/>
                <w:szCs w:val="18"/>
              </w:rPr>
            </w:pPr>
          </w:p>
        </w:tc>
      </w:tr>
    </w:tbl>
    <w:p w14:paraId="73B2081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783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B13E2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E9AD47B">
            <w:pPr>
              <w:jc w:val="center"/>
              <w:rPr>
                <w:rFonts w:ascii="黑体" w:eastAsia="黑体" w:cs="黑体"/>
                <w:b/>
                <w:bCs/>
                <w:color w:val="000000" w:themeColor="text1"/>
                <w:szCs w:val="21"/>
              </w:rPr>
            </w:pPr>
            <w:r>
              <w:rPr>
                <w:rFonts w:ascii="黑体" w:eastAsia="黑体" w:cs="黑体"/>
                <w:b/>
                <w:bCs/>
                <w:color w:val="000000" w:themeColor="text1"/>
                <w:szCs w:val="21"/>
              </w:rPr>
              <w:t>151</w:t>
            </w:r>
          </w:p>
        </w:tc>
        <w:tc>
          <w:tcPr>
            <w:tcW w:w="1691" w:type="dxa"/>
            <w:vAlign w:val="center"/>
          </w:tcPr>
          <w:p w14:paraId="331126D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F03E5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6EB83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CD2780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F103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9EA12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15792F8">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对交通运输领域项目招标代理机构泄密、串通、违法咨询等行为的行政处罚</w:t>
            </w:r>
          </w:p>
        </w:tc>
      </w:tr>
      <w:tr w14:paraId="44F3A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6691E0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EC438DE">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098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5ADE8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8A57FF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条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14:paraId="28C6140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前款所列行为影响中标结果的，中标无效。</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六十五条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14:paraId="75DE98E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7613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82773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22D12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2A4F3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D4FA1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220E8F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8D35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6" w:hRule="atLeast"/>
          <w:jc w:val="center"/>
        </w:trPr>
        <w:tc>
          <w:tcPr>
            <w:tcW w:w="943" w:type="dxa"/>
            <w:vMerge w:val="continue"/>
            <w:vAlign w:val="center"/>
          </w:tcPr>
          <w:p w14:paraId="693808A5">
            <w:pPr>
              <w:rPr>
                <w:color w:val="000000" w:themeColor="text1"/>
              </w:rPr>
            </w:pPr>
          </w:p>
        </w:tc>
        <w:tc>
          <w:tcPr>
            <w:tcW w:w="1110" w:type="dxa"/>
            <w:vAlign w:val="center"/>
          </w:tcPr>
          <w:p w14:paraId="6E7A6F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8F14B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4FE659B">
            <w:pPr>
              <w:jc w:val="center"/>
              <w:rPr>
                <w:rFonts w:ascii="仿宋_GB2312" w:hAnsi="黑体" w:eastAsia="仿宋_GB2312" w:cs="黑体"/>
                <w:color w:val="000000" w:themeColor="text1"/>
                <w:sz w:val="18"/>
                <w:szCs w:val="18"/>
              </w:rPr>
            </w:pPr>
          </w:p>
        </w:tc>
        <w:tc>
          <w:tcPr>
            <w:tcW w:w="1406" w:type="dxa"/>
            <w:vAlign w:val="center"/>
          </w:tcPr>
          <w:p w14:paraId="42A587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306A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1E9AF09">
            <w:pPr>
              <w:rPr>
                <w:color w:val="000000" w:themeColor="text1"/>
              </w:rPr>
            </w:pPr>
          </w:p>
        </w:tc>
        <w:tc>
          <w:tcPr>
            <w:tcW w:w="1110" w:type="dxa"/>
            <w:vAlign w:val="center"/>
          </w:tcPr>
          <w:p w14:paraId="0461F7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8ED71B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FA2F01E">
            <w:pPr>
              <w:jc w:val="center"/>
              <w:rPr>
                <w:rFonts w:ascii="仿宋_GB2312" w:hAnsi="黑体" w:eastAsia="仿宋_GB2312" w:cs="黑体"/>
                <w:color w:val="000000" w:themeColor="text1"/>
                <w:sz w:val="18"/>
                <w:szCs w:val="18"/>
              </w:rPr>
            </w:pPr>
          </w:p>
        </w:tc>
        <w:tc>
          <w:tcPr>
            <w:tcW w:w="1406" w:type="dxa"/>
            <w:vAlign w:val="center"/>
          </w:tcPr>
          <w:p w14:paraId="3905EB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6493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45CB3BA">
            <w:pPr>
              <w:rPr>
                <w:color w:val="000000" w:themeColor="text1"/>
              </w:rPr>
            </w:pPr>
          </w:p>
        </w:tc>
        <w:tc>
          <w:tcPr>
            <w:tcW w:w="1110" w:type="dxa"/>
            <w:vAlign w:val="center"/>
          </w:tcPr>
          <w:p w14:paraId="37AA0A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03D771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16308EB">
            <w:pPr>
              <w:jc w:val="center"/>
              <w:rPr>
                <w:rFonts w:ascii="仿宋_GB2312" w:hAnsi="黑体" w:eastAsia="仿宋_GB2312" w:cs="黑体"/>
                <w:color w:val="000000" w:themeColor="text1"/>
                <w:sz w:val="18"/>
                <w:szCs w:val="18"/>
              </w:rPr>
            </w:pPr>
          </w:p>
        </w:tc>
        <w:tc>
          <w:tcPr>
            <w:tcW w:w="1406" w:type="dxa"/>
            <w:vAlign w:val="center"/>
          </w:tcPr>
          <w:p w14:paraId="082849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8F7E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DDDB9DE">
            <w:pPr>
              <w:rPr>
                <w:color w:val="000000" w:themeColor="text1"/>
              </w:rPr>
            </w:pPr>
          </w:p>
        </w:tc>
        <w:tc>
          <w:tcPr>
            <w:tcW w:w="1110" w:type="dxa"/>
            <w:vAlign w:val="center"/>
          </w:tcPr>
          <w:p w14:paraId="78950C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410BB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223B593">
            <w:pPr>
              <w:jc w:val="center"/>
              <w:rPr>
                <w:rFonts w:ascii="仿宋_GB2312" w:hAnsi="黑体" w:eastAsia="仿宋_GB2312" w:cs="黑体"/>
                <w:color w:val="000000" w:themeColor="text1"/>
                <w:sz w:val="18"/>
                <w:szCs w:val="18"/>
              </w:rPr>
            </w:pPr>
          </w:p>
        </w:tc>
        <w:tc>
          <w:tcPr>
            <w:tcW w:w="1406" w:type="dxa"/>
            <w:vAlign w:val="center"/>
          </w:tcPr>
          <w:p w14:paraId="6B157F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F95C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1850E6B4">
            <w:pPr>
              <w:rPr>
                <w:color w:val="000000" w:themeColor="text1"/>
              </w:rPr>
            </w:pPr>
          </w:p>
        </w:tc>
        <w:tc>
          <w:tcPr>
            <w:tcW w:w="1110" w:type="dxa"/>
            <w:vAlign w:val="center"/>
          </w:tcPr>
          <w:p w14:paraId="3A4F04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11D87D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9B16646">
            <w:pPr>
              <w:jc w:val="center"/>
              <w:rPr>
                <w:rFonts w:ascii="仿宋_GB2312" w:hAnsi="黑体" w:eastAsia="仿宋_GB2312" w:cs="黑体"/>
                <w:color w:val="000000" w:themeColor="text1"/>
                <w:sz w:val="18"/>
                <w:szCs w:val="18"/>
              </w:rPr>
            </w:pPr>
          </w:p>
        </w:tc>
        <w:tc>
          <w:tcPr>
            <w:tcW w:w="1406" w:type="dxa"/>
            <w:vAlign w:val="center"/>
          </w:tcPr>
          <w:p w14:paraId="56E79C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79C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83A7AA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ED6C08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637D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258F0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2F8D66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757581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EE27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EFCC03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E9DB1D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58B984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A0DD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D910E9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B70B0F3">
            <w:pPr>
              <w:widowControl/>
              <w:jc w:val="left"/>
              <w:textAlignment w:val="center"/>
              <w:rPr>
                <w:rFonts w:ascii="黑体" w:eastAsia="黑体" w:cs="黑体"/>
                <w:color w:val="000000" w:themeColor="text1"/>
                <w:kern w:val="0"/>
                <w:sz w:val="18"/>
                <w:szCs w:val="18"/>
              </w:rPr>
            </w:pPr>
          </w:p>
        </w:tc>
      </w:tr>
    </w:tbl>
    <w:p w14:paraId="121077E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60A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52D7A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B0FBF18">
            <w:pPr>
              <w:jc w:val="center"/>
              <w:rPr>
                <w:rFonts w:ascii="黑体" w:eastAsia="黑体" w:cs="黑体"/>
                <w:b/>
                <w:bCs/>
                <w:color w:val="000000" w:themeColor="text1"/>
                <w:szCs w:val="21"/>
              </w:rPr>
            </w:pPr>
            <w:r>
              <w:rPr>
                <w:rFonts w:ascii="黑体" w:eastAsia="黑体" w:cs="黑体"/>
                <w:b/>
                <w:bCs/>
                <w:color w:val="000000" w:themeColor="text1"/>
                <w:szCs w:val="21"/>
              </w:rPr>
              <w:t>152</w:t>
            </w:r>
          </w:p>
        </w:tc>
        <w:tc>
          <w:tcPr>
            <w:tcW w:w="1691" w:type="dxa"/>
            <w:vAlign w:val="center"/>
          </w:tcPr>
          <w:p w14:paraId="0CE3666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4FDE25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F0F22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DE4028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4D38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608D9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985C054">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对交通运输领域项目招标人限制排斥潜在投标人行为及情形的行政处罚</w:t>
            </w:r>
          </w:p>
        </w:tc>
      </w:tr>
      <w:tr w14:paraId="3CBB6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1DD82E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600FA0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87E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03CCA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742192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一条招标人以不合理的条件限制或者排斥潜在投标人的，对潜在投标人实行歧视待遇的，强制要求投标人组成联合体共同投标的，或者限制投标人之间竞争的，责令改正，可以处一万元以上五万元以下的罚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六十三条第一款招标人有下列限制或者排斥潜在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标人申请资格预审或者投标。</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电子招标投标办法》第五十四条招标人或者电子招标投标系统运营机构存在以下情形的，视为限制或者排斥潜在投标人，依照招标投标法第五十一条规定处罚。（一）利用技术手段对享有相同权限的市场主体提供有差别的信息；（二）拒绝或者限制社会公众、市场主体免费注册并获取依法必须公开的招标投标信息；（三）违规设置注册登记、投标报名等前置条件；（四）故意与各类需要分离开发并符合技术规范规定的工具软件不兼容对接；（五）故意对递交或者解密投标文件设置障碍。</w:t>
            </w:r>
          </w:p>
          <w:p w14:paraId="28251941">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B753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C477F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2F656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096E6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462A4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C96DE6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47E8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C14C98E">
            <w:pPr>
              <w:rPr>
                <w:color w:val="000000" w:themeColor="text1"/>
              </w:rPr>
            </w:pPr>
          </w:p>
        </w:tc>
        <w:tc>
          <w:tcPr>
            <w:tcW w:w="1110" w:type="dxa"/>
            <w:vAlign w:val="center"/>
          </w:tcPr>
          <w:p w14:paraId="548AFD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DBF540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F9AF777">
            <w:pPr>
              <w:jc w:val="center"/>
              <w:rPr>
                <w:rFonts w:ascii="仿宋_GB2312" w:hAnsi="黑体" w:eastAsia="仿宋_GB2312" w:cs="黑体"/>
                <w:color w:val="000000" w:themeColor="text1"/>
                <w:sz w:val="18"/>
                <w:szCs w:val="18"/>
              </w:rPr>
            </w:pPr>
          </w:p>
        </w:tc>
        <w:tc>
          <w:tcPr>
            <w:tcW w:w="1406" w:type="dxa"/>
            <w:vAlign w:val="center"/>
          </w:tcPr>
          <w:p w14:paraId="47B9E8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D82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13A7C30">
            <w:pPr>
              <w:rPr>
                <w:color w:val="000000" w:themeColor="text1"/>
              </w:rPr>
            </w:pPr>
          </w:p>
        </w:tc>
        <w:tc>
          <w:tcPr>
            <w:tcW w:w="1110" w:type="dxa"/>
            <w:vAlign w:val="center"/>
          </w:tcPr>
          <w:p w14:paraId="070F37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9BFA16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274DE51">
            <w:pPr>
              <w:jc w:val="center"/>
              <w:rPr>
                <w:rFonts w:ascii="仿宋_GB2312" w:hAnsi="黑体" w:eastAsia="仿宋_GB2312" w:cs="黑体"/>
                <w:color w:val="000000" w:themeColor="text1"/>
                <w:sz w:val="18"/>
                <w:szCs w:val="18"/>
              </w:rPr>
            </w:pPr>
          </w:p>
        </w:tc>
        <w:tc>
          <w:tcPr>
            <w:tcW w:w="1406" w:type="dxa"/>
            <w:vAlign w:val="center"/>
          </w:tcPr>
          <w:p w14:paraId="3283C04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4B6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BBF035C">
            <w:pPr>
              <w:rPr>
                <w:color w:val="000000" w:themeColor="text1"/>
              </w:rPr>
            </w:pPr>
          </w:p>
        </w:tc>
        <w:tc>
          <w:tcPr>
            <w:tcW w:w="1110" w:type="dxa"/>
            <w:vAlign w:val="center"/>
          </w:tcPr>
          <w:p w14:paraId="6CD773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3625A2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81D19FF">
            <w:pPr>
              <w:jc w:val="center"/>
              <w:rPr>
                <w:rFonts w:ascii="仿宋_GB2312" w:hAnsi="黑体" w:eastAsia="仿宋_GB2312" w:cs="黑体"/>
                <w:color w:val="000000" w:themeColor="text1"/>
                <w:sz w:val="18"/>
                <w:szCs w:val="18"/>
              </w:rPr>
            </w:pPr>
          </w:p>
        </w:tc>
        <w:tc>
          <w:tcPr>
            <w:tcW w:w="1406" w:type="dxa"/>
            <w:vAlign w:val="center"/>
          </w:tcPr>
          <w:p w14:paraId="3C5C27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C1DB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57C0E24">
            <w:pPr>
              <w:rPr>
                <w:color w:val="000000" w:themeColor="text1"/>
              </w:rPr>
            </w:pPr>
          </w:p>
        </w:tc>
        <w:tc>
          <w:tcPr>
            <w:tcW w:w="1110" w:type="dxa"/>
            <w:vAlign w:val="center"/>
          </w:tcPr>
          <w:p w14:paraId="09D7ED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B140D1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7862621">
            <w:pPr>
              <w:jc w:val="center"/>
              <w:rPr>
                <w:rFonts w:ascii="仿宋_GB2312" w:hAnsi="黑体" w:eastAsia="仿宋_GB2312" w:cs="黑体"/>
                <w:color w:val="000000" w:themeColor="text1"/>
                <w:sz w:val="18"/>
                <w:szCs w:val="18"/>
              </w:rPr>
            </w:pPr>
          </w:p>
        </w:tc>
        <w:tc>
          <w:tcPr>
            <w:tcW w:w="1406" w:type="dxa"/>
            <w:vAlign w:val="center"/>
          </w:tcPr>
          <w:p w14:paraId="1EDE1EC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D4D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4BAC6D0">
            <w:pPr>
              <w:rPr>
                <w:color w:val="000000" w:themeColor="text1"/>
              </w:rPr>
            </w:pPr>
          </w:p>
        </w:tc>
        <w:tc>
          <w:tcPr>
            <w:tcW w:w="1110" w:type="dxa"/>
            <w:vAlign w:val="center"/>
          </w:tcPr>
          <w:p w14:paraId="30BA313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50A816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6DDD533">
            <w:pPr>
              <w:jc w:val="center"/>
              <w:rPr>
                <w:rFonts w:ascii="仿宋_GB2312" w:hAnsi="黑体" w:eastAsia="仿宋_GB2312" w:cs="黑体"/>
                <w:color w:val="000000" w:themeColor="text1"/>
                <w:sz w:val="18"/>
                <w:szCs w:val="18"/>
              </w:rPr>
            </w:pPr>
          </w:p>
        </w:tc>
        <w:tc>
          <w:tcPr>
            <w:tcW w:w="1406" w:type="dxa"/>
            <w:vAlign w:val="center"/>
          </w:tcPr>
          <w:p w14:paraId="757A0C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13BC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8" w:hRule="atLeast"/>
          <w:jc w:val="center"/>
        </w:trPr>
        <w:tc>
          <w:tcPr>
            <w:tcW w:w="943" w:type="dxa"/>
            <w:vAlign w:val="center"/>
          </w:tcPr>
          <w:p w14:paraId="2D846F5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A98C92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ADD5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0EA52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9304B0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332941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818D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A7F2B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231940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C19645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DDDF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9" w:hRule="atLeast"/>
          <w:jc w:val="center"/>
        </w:trPr>
        <w:tc>
          <w:tcPr>
            <w:tcW w:w="943" w:type="dxa"/>
            <w:vAlign w:val="center"/>
          </w:tcPr>
          <w:p w14:paraId="0703AA7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7A5F02C">
            <w:pPr>
              <w:widowControl/>
              <w:jc w:val="left"/>
              <w:textAlignment w:val="center"/>
              <w:rPr>
                <w:rFonts w:ascii="黑体" w:eastAsia="黑体" w:cs="黑体"/>
                <w:color w:val="000000" w:themeColor="text1"/>
                <w:kern w:val="0"/>
                <w:sz w:val="18"/>
                <w:szCs w:val="18"/>
              </w:rPr>
            </w:pPr>
          </w:p>
        </w:tc>
      </w:tr>
    </w:tbl>
    <w:p w14:paraId="69A2F8D1">
      <w:pPr>
        <w:rPr>
          <w:color w:val="000000" w:themeColor="text1"/>
          <w:sz w:val="24"/>
        </w:rPr>
      </w:pPr>
    </w:p>
    <w:p w14:paraId="5A7255A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1491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E89E0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0029A5A">
            <w:pPr>
              <w:jc w:val="center"/>
              <w:rPr>
                <w:rFonts w:ascii="黑体" w:eastAsia="黑体" w:cs="黑体"/>
                <w:b/>
                <w:bCs/>
                <w:color w:val="000000" w:themeColor="text1"/>
                <w:szCs w:val="21"/>
              </w:rPr>
            </w:pPr>
            <w:r>
              <w:rPr>
                <w:rFonts w:ascii="黑体" w:eastAsia="黑体" w:cs="黑体"/>
                <w:b/>
                <w:bCs/>
                <w:color w:val="000000" w:themeColor="text1"/>
                <w:szCs w:val="21"/>
              </w:rPr>
              <w:t>153</w:t>
            </w:r>
          </w:p>
        </w:tc>
        <w:tc>
          <w:tcPr>
            <w:tcW w:w="1691" w:type="dxa"/>
            <w:vAlign w:val="center"/>
          </w:tcPr>
          <w:p w14:paraId="6165222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E2F100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CF4F4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E94541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DFB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1CC8D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6995D5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对交通运输领域项目招标人影响公平竞争的行为的行政处罚</w:t>
            </w:r>
          </w:p>
        </w:tc>
      </w:tr>
      <w:tr w14:paraId="38FAB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6B9108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60699C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7A2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2455B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6B4AE3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二条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前款所列行为影响中标结果的，中标无效。</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电子招标投标办法》第五十六条电子招标投标系统运营机构向他人透露已获取招标文件的潜在投标人的名称、数量、投标文件内容或者对投标文件的评审和比较以及其他可能影响公平竞争的招标投标信息，参照招标投标法第五十二条关于招标人泄密的规定予以处罚。</w:t>
            </w:r>
          </w:p>
          <w:p w14:paraId="15A76B0A">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6529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96E5F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031D4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940E1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25A11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2DD8DD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457D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4CDD507">
            <w:pPr>
              <w:rPr>
                <w:color w:val="000000" w:themeColor="text1"/>
              </w:rPr>
            </w:pPr>
          </w:p>
        </w:tc>
        <w:tc>
          <w:tcPr>
            <w:tcW w:w="1110" w:type="dxa"/>
            <w:vAlign w:val="center"/>
          </w:tcPr>
          <w:p w14:paraId="652459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38E296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934AF59">
            <w:pPr>
              <w:jc w:val="center"/>
              <w:rPr>
                <w:rFonts w:ascii="仿宋_GB2312" w:hAnsi="黑体" w:eastAsia="仿宋_GB2312" w:cs="黑体"/>
                <w:color w:val="000000" w:themeColor="text1"/>
                <w:sz w:val="18"/>
                <w:szCs w:val="18"/>
              </w:rPr>
            </w:pPr>
          </w:p>
        </w:tc>
        <w:tc>
          <w:tcPr>
            <w:tcW w:w="1406" w:type="dxa"/>
            <w:vAlign w:val="center"/>
          </w:tcPr>
          <w:p w14:paraId="43B9C3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C48C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2FF3A0E">
            <w:pPr>
              <w:rPr>
                <w:color w:val="000000" w:themeColor="text1"/>
              </w:rPr>
            </w:pPr>
          </w:p>
        </w:tc>
        <w:tc>
          <w:tcPr>
            <w:tcW w:w="1110" w:type="dxa"/>
            <w:vAlign w:val="center"/>
          </w:tcPr>
          <w:p w14:paraId="4A13F06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B25F6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4567A78">
            <w:pPr>
              <w:jc w:val="center"/>
              <w:rPr>
                <w:rFonts w:ascii="仿宋_GB2312" w:hAnsi="黑体" w:eastAsia="仿宋_GB2312" w:cs="黑体"/>
                <w:color w:val="000000" w:themeColor="text1"/>
                <w:sz w:val="18"/>
                <w:szCs w:val="18"/>
              </w:rPr>
            </w:pPr>
          </w:p>
        </w:tc>
        <w:tc>
          <w:tcPr>
            <w:tcW w:w="1406" w:type="dxa"/>
            <w:vAlign w:val="center"/>
          </w:tcPr>
          <w:p w14:paraId="14ADC8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6CB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005A45F">
            <w:pPr>
              <w:rPr>
                <w:color w:val="000000" w:themeColor="text1"/>
              </w:rPr>
            </w:pPr>
          </w:p>
        </w:tc>
        <w:tc>
          <w:tcPr>
            <w:tcW w:w="1110" w:type="dxa"/>
            <w:vAlign w:val="center"/>
          </w:tcPr>
          <w:p w14:paraId="67A93D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6D59C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2CB5E94">
            <w:pPr>
              <w:jc w:val="center"/>
              <w:rPr>
                <w:rFonts w:ascii="仿宋_GB2312" w:hAnsi="黑体" w:eastAsia="仿宋_GB2312" w:cs="黑体"/>
                <w:color w:val="000000" w:themeColor="text1"/>
                <w:sz w:val="18"/>
                <w:szCs w:val="18"/>
              </w:rPr>
            </w:pPr>
          </w:p>
        </w:tc>
        <w:tc>
          <w:tcPr>
            <w:tcW w:w="1406" w:type="dxa"/>
            <w:vAlign w:val="center"/>
          </w:tcPr>
          <w:p w14:paraId="5D2559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D1E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5A08A3F">
            <w:pPr>
              <w:rPr>
                <w:color w:val="000000" w:themeColor="text1"/>
              </w:rPr>
            </w:pPr>
          </w:p>
        </w:tc>
        <w:tc>
          <w:tcPr>
            <w:tcW w:w="1110" w:type="dxa"/>
            <w:vAlign w:val="center"/>
          </w:tcPr>
          <w:p w14:paraId="3A4950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76A94D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A54630A">
            <w:pPr>
              <w:jc w:val="center"/>
              <w:rPr>
                <w:rFonts w:ascii="仿宋_GB2312" w:hAnsi="黑体" w:eastAsia="仿宋_GB2312" w:cs="黑体"/>
                <w:color w:val="000000" w:themeColor="text1"/>
                <w:sz w:val="18"/>
                <w:szCs w:val="18"/>
              </w:rPr>
            </w:pPr>
          </w:p>
        </w:tc>
        <w:tc>
          <w:tcPr>
            <w:tcW w:w="1406" w:type="dxa"/>
            <w:vAlign w:val="center"/>
          </w:tcPr>
          <w:p w14:paraId="37CC68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A38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A6D18EB">
            <w:pPr>
              <w:rPr>
                <w:color w:val="000000" w:themeColor="text1"/>
              </w:rPr>
            </w:pPr>
          </w:p>
        </w:tc>
        <w:tc>
          <w:tcPr>
            <w:tcW w:w="1110" w:type="dxa"/>
            <w:vAlign w:val="center"/>
          </w:tcPr>
          <w:p w14:paraId="20AE07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BA9A67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B52659F">
            <w:pPr>
              <w:jc w:val="center"/>
              <w:rPr>
                <w:rFonts w:ascii="仿宋_GB2312" w:hAnsi="黑体" w:eastAsia="仿宋_GB2312" w:cs="黑体"/>
                <w:color w:val="000000" w:themeColor="text1"/>
                <w:sz w:val="18"/>
                <w:szCs w:val="18"/>
              </w:rPr>
            </w:pPr>
          </w:p>
        </w:tc>
        <w:tc>
          <w:tcPr>
            <w:tcW w:w="1406" w:type="dxa"/>
            <w:vAlign w:val="center"/>
          </w:tcPr>
          <w:p w14:paraId="027938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E04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753EBB7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856647C">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C3EC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42E25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64988D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FAE3EA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D92E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A92CF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B614D7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CFE305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2DF3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1D47CF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00ED46C">
            <w:pPr>
              <w:widowControl/>
              <w:jc w:val="left"/>
              <w:textAlignment w:val="center"/>
              <w:rPr>
                <w:rFonts w:ascii="黑体" w:eastAsia="黑体" w:cs="黑体"/>
                <w:color w:val="000000" w:themeColor="text1"/>
                <w:kern w:val="0"/>
                <w:sz w:val="18"/>
                <w:szCs w:val="18"/>
              </w:rPr>
            </w:pPr>
          </w:p>
        </w:tc>
      </w:tr>
    </w:tbl>
    <w:p w14:paraId="4724C66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72CD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00BA1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B28CEAA">
            <w:pPr>
              <w:jc w:val="center"/>
              <w:rPr>
                <w:rFonts w:ascii="黑体" w:eastAsia="黑体" w:cs="黑体"/>
                <w:b/>
                <w:bCs/>
                <w:color w:val="000000" w:themeColor="text1"/>
                <w:szCs w:val="21"/>
              </w:rPr>
            </w:pPr>
            <w:r>
              <w:rPr>
                <w:rFonts w:ascii="黑体" w:eastAsia="黑体" w:cs="黑体"/>
                <w:b/>
                <w:bCs/>
                <w:color w:val="000000" w:themeColor="text1"/>
                <w:szCs w:val="21"/>
              </w:rPr>
              <w:t>154</w:t>
            </w:r>
          </w:p>
        </w:tc>
        <w:tc>
          <w:tcPr>
            <w:tcW w:w="1691" w:type="dxa"/>
            <w:vAlign w:val="center"/>
          </w:tcPr>
          <w:p w14:paraId="0DA6537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B1619B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85C15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991A8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749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2C4B67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B9A23E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对交通运输领域项目投标人与他人串通投标或者以行贿手段中标等行为的行政处罚</w:t>
            </w:r>
          </w:p>
        </w:tc>
      </w:tr>
      <w:tr w14:paraId="17C90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9F10AC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F6D53E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955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B254FAF">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3F621B9">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三条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六十七条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投标人有下列行为之一的，属于招标投标法第五十三条规定的情节严重行为，由有关行政监督部门取消其</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年至</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年内参加依法必须进行招标的项目的投标资格：（一）以行贿谋取中标；（二）</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年内</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次以上串通投标；（三）串通投标行为损害招标人、其他投标人或者国家、集体、公民的合法利益，造成直接经济损失</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万元以上；（四）其他串通投标情节严重的行为。投标人自本条第二款规定的处罚执行期限届满之日起</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年内又有该款所列违法行为之一的，或者串通投标、以行贿谋取中标情节特别严重的，由工商行政管理机关吊销营业执照。法律、行政法规对串通投标报价行为的处罚另有规定的，从其规定。</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《电子招标投标办法》第五十七条招标投标活动当事人和电子招标投标系统运营机构协助招标人、投标人串通投标的，依照招标投标法第五十三条和招标投标法实施条例第六十七条规定处罚。</w:t>
            </w:r>
          </w:p>
          <w:p w14:paraId="70FBC71A">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355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16162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AAB38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EFBDF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9A717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1FA08D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C607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72" w:hRule="atLeast"/>
          <w:jc w:val="center"/>
        </w:trPr>
        <w:tc>
          <w:tcPr>
            <w:tcW w:w="943" w:type="dxa"/>
            <w:vMerge w:val="continue"/>
            <w:vAlign w:val="center"/>
          </w:tcPr>
          <w:p w14:paraId="3CDA4234">
            <w:pPr>
              <w:rPr>
                <w:color w:val="000000" w:themeColor="text1"/>
              </w:rPr>
            </w:pPr>
          </w:p>
        </w:tc>
        <w:tc>
          <w:tcPr>
            <w:tcW w:w="1110" w:type="dxa"/>
            <w:vAlign w:val="center"/>
          </w:tcPr>
          <w:p w14:paraId="6C0727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7665C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21F8BFD">
            <w:pPr>
              <w:jc w:val="center"/>
              <w:rPr>
                <w:rFonts w:ascii="仿宋_GB2312" w:hAnsi="黑体" w:eastAsia="仿宋_GB2312" w:cs="黑体"/>
                <w:color w:val="000000" w:themeColor="text1"/>
                <w:sz w:val="18"/>
                <w:szCs w:val="18"/>
              </w:rPr>
            </w:pPr>
          </w:p>
        </w:tc>
        <w:tc>
          <w:tcPr>
            <w:tcW w:w="1406" w:type="dxa"/>
            <w:vAlign w:val="center"/>
          </w:tcPr>
          <w:p w14:paraId="447DEB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38B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4" w:hRule="atLeast"/>
          <w:jc w:val="center"/>
        </w:trPr>
        <w:tc>
          <w:tcPr>
            <w:tcW w:w="943" w:type="dxa"/>
            <w:vMerge w:val="continue"/>
            <w:vAlign w:val="center"/>
          </w:tcPr>
          <w:p w14:paraId="7FE99220">
            <w:pPr>
              <w:rPr>
                <w:color w:val="000000" w:themeColor="text1"/>
              </w:rPr>
            </w:pPr>
          </w:p>
        </w:tc>
        <w:tc>
          <w:tcPr>
            <w:tcW w:w="1110" w:type="dxa"/>
            <w:vAlign w:val="center"/>
          </w:tcPr>
          <w:p w14:paraId="3F3C4C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55897E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FBC119B">
            <w:pPr>
              <w:jc w:val="center"/>
              <w:rPr>
                <w:rFonts w:ascii="仿宋_GB2312" w:hAnsi="黑体" w:eastAsia="仿宋_GB2312" w:cs="黑体"/>
                <w:color w:val="000000" w:themeColor="text1"/>
                <w:sz w:val="18"/>
                <w:szCs w:val="18"/>
              </w:rPr>
            </w:pPr>
          </w:p>
        </w:tc>
        <w:tc>
          <w:tcPr>
            <w:tcW w:w="1406" w:type="dxa"/>
            <w:vAlign w:val="center"/>
          </w:tcPr>
          <w:p w14:paraId="4882D4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706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8" w:hRule="atLeast"/>
          <w:jc w:val="center"/>
        </w:trPr>
        <w:tc>
          <w:tcPr>
            <w:tcW w:w="943" w:type="dxa"/>
            <w:vMerge w:val="continue"/>
            <w:vAlign w:val="center"/>
          </w:tcPr>
          <w:p w14:paraId="0F98A2AF">
            <w:pPr>
              <w:rPr>
                <w:color w:val="000000" w:themeColor="text1"/>
              </w:rPr>
            </w:pPr>
          </w:p>
        </w:tc>
        <w:tc>
          <w:tcPr>
            <w:tcW w:w="1110" w:type="dxa"/>
            <w:vAlign w:val="center"/>
          </w:tcPr>
          <w:p w14:paraId="25BAC8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2661BE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2D5EE40">
            <w:pPr>
              <w:jc w:val="center"/>
              <w:rPr>
                <w:rFonts w:ascii="仿宋_GB2312" w:hAnsi="黑体" w:eastAsia="仿宋_GB2312" w:cs="黑体"/>
                <w:color w:val="000000" w:themeColor="text1"/>
                <w:sz w:val="18"/>
                <w:szCs w:val="18"/>
              </w:rPr>
            </w:pPr>
          </w:p>
        </w:tc>
        <w:tc>
          <w:tcPr>
            <w:tcW w:w="1406" w:type="dxa"/>
            <w:vAlign w:val="center"/>
          </w:tcPr>
          <w:p w14:paraId="4DF1B5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CCEE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7" w:hRule="atLeast"/>
          <w:jc w:val="center"/>
        </w:trPr>
        <w:tc>
          <w:tcPr>
            <w:tcW w:w="943" w:type="dxa"/>
            <w:vMerge w:val="continue"/>
            <w:vAlign w:val="center"/>
          </w:tcPr>
          <w:p w14:paraId="32B2C7CE">
            <w:pPr>
              <w:rPr>
                <w:color w:val="000000" w:themeColor="text1"/>
              </w:rPr>
            </w:pPr>
          </w:p>
        </w:tc>
        <w:tc>
          <w:tcPr>
            <w:tcW w:w="1110" w:type="dxa"/>
            <w:vAlign w:val="center"/>
          </w:tcPr>
          <w:p w14:paraId="649440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430AD4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AD9195E">
            <w:pPr>
              <w:jc w:val="center"/>
              <w:rPr>
                <w:rFonts w:ascii="仿宋_GB2312" w:hAnsi="黑体" w:eastAsia="仿宋_GB2312" w:cs="黑体"/>
                <w:color w:val="000000" w:themeColor="text1"/>
                <w:sz w:val="18"/>
                <w:szCs w:val="18"/>
              </w:rPr>
            </w:pPr>
          </w:p>
        </w:tc>
        <w:tc>
          <w:tcPr>
            <w:tcW w:w="1406" w:type="dxa"/>
            <w:vAlign w:val="center"/>
          </w:tcPr>
          <w:p w14:paraId="08DBCC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C77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4" w:hRule="atLeast"/>
          <w:jc w:val="center"/>
        </w:trPr>
        <w:tc>
          <w:tcPr>
            <w:tcW w:w="943" w:type="dxa"/>
            <w:vMerge w:val="continue"/>
            <w:vAlign w:val="center"/>
          </w:tcPr>
          <w:p w14:paraId="27944B62">
            <w:pPr>
              <w:rPr>
                <w:color w:val="000000" w:themeColor="text1"/>
              </w:rPr>
            </w:pPr>
          </w:p>
        </w:tc>
        <w:tc>
          <w:tcPr>
            <w:tcW w:w="1110" w:type="dxa"/>
            <w:vAlign w:val="center"/>
          </w:tcPr>
          <w:p w14:paraId="22A6F1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DC4930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BC3240">
            <w:pPr>
              <w:jc w:val="center"/>
              <w:rPr>
                <w:rFonts w:ascii="仿宋_GB2312" w:hAnsi="黑体" w:eastAsia="仿宋_GB2312" w:cs="黑体"/>
                <w:color w:val="000000" w:themeColor="text1"/>
                <w:sz w:val="18"/>
                <w:szCs w:val="18"/>
              </w:rPr>
            </w:pPr>
          </w:p>
        </w:tc>
        <w:tc>
          <w:tcPr>
            <w:tcW w:w="1406" w:type="dxa"/>
            <w:vAlign w:val="center"/>
          </w:tcPr>
          <w:p w14:paraId="1E89C9D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3375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37" w:hRule="atLeast"/>
          <w:jc w:val="center"/>
        </w:trPr>
        <w:tc>
          <w:tcPr>
            <w:tcW w:w="943" w:type="dxa"/>
            <w:vAlign w:val="center"/>
          </w:tcPr>
          <w:p w14:paraId="5AB6193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280E28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EB3E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6B707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E076C4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FADCE4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1AA8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546500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878E19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0AE419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0A8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4" w:hRule="atLeast"/>
          <w:jc w:val="center"/>
        </w:trPr>
        <w:tc>
          <w:tcPr>
            <w:tcW w:w="943" w:type="dxa"/>
            <w:vAlign w:val="center"/>
          </w:tcPr>
          <w:p w14:paraId="4719B5D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4015624">
            <w:pPr>
              <w:widowControl/>
              <w:jc w:val="left"/>
              <w:textAlignment w:val="center"/>
              <w:rPr>
                <w:rFonts w:ascii="黑体" w:eastAsia="黑体" w:cs="黑体"/>
                <w:color w:val="000000" w:themeColor="text1"/>
                <w:kern w:val="0"/>
                <w:sz w:val="18"/>
                <w:szCs w:val="18"/>
              </w:rPr>
            </w:pPr>
          </w:p>
        </w:tc>
      </w:tr>
    </w:tbl>
    <w:p w14:paraId="5FDF979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64D7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D7186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3A1D881">
            <w:pPr>
              <w:jc w:val="center"/>
              <w:rPr>
                <w:rFonts w:ascii="黑体" w:eastAsia="黑体" w:cs="黑体"/>
                <w:b/>
                <w:bCs/>
                <w:color w:val="000000" w:themeColor="text1"/>
                <w:szCs w:val="21"/>
              </w:rPr>
            </w:pPr>
            <w:r>
              <w:rPr>
                <w:rFonts w:ascii="黑体" w:eastAsia="黑体" w:cs="黑体"/>
                <w:b/>
                <w:bCs/>
                <w:color w:val="000000" w:themeColor="text1"/>
                <w:szCs w:val="21"/>
              </w:rPr>
              <w:t>155</w:t>
            </w:r>
          </w:p>
        </w:tc>
        <w:tc>
          <w:tcPr>
            <w:tcW w:w="1691" w:type="dxa"/>
            <w:vAlign w:val="center"/>
          </w:tcPr>
          <w:p w14:paraId="3D79137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855079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6F6C52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66983A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815E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E8405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0C9463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依法必须进行招标的项目的投标人以他人名义投标或者以其他方式弄虚作假未中标的行政处罚</w:t>
            </w:r>
          </w:p>
        </w:tc>
      </w:tr>
      <w:tr w14:paraId="0BACF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18B135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41AF5798">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FBA4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586597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6B6C353">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招标投标法》第五十四条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六十八条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投标人有下列行为之一的，属于招标投标法第五十四条规定的情节严重行为，由有关行政监督部门取消其</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年至</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年内参加依法必须进行招标的项目的投标资格：（一）伪造、变造资格、资质证书或者其他许可证件骗取中标；（二）</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年内</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次以上使用他人名义投标；（三）弄虚作假骗取中标给招标人造成直接经济损失</w:t>
            </w:r>
            <w:r>
              <w:rPr>
                <w:rFonts w:ascii="仿宋_GB2312" w:eastAsia="仿宋_GB2312" w:cs="仿宋_GB2312"/>
                <w:color w:val="000000" w:themeColor="text1"/>
                <w:kern w:val="0"/>
                <w:sz w:val="18"/>
                <w:szCs w:val="18"/>
              </w:rPr>
              <w:t>30</w:t>
            </w:r>
            <w:r>
              <w:rPr>
                <w:rFonts w:hint="eastAsia" w:ascii="仿宋_GB2312" w:eastAsia="仿宋_GB2312" w:cs="仿宋_GB2312"/>
                <w:color w:val="000000" w:themeColor="text1"/>
                <w:kern w:val="0"/>
                <w:sz w:val="18"/>
                <w:szCs w:val="18"/>
              </w:rPr>
              <w:t>万元以上；（四）其他弄虚作假骗取中标情节严重的行为。投标人自本条第二款规定的处罚执行期限届满之日起</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年内又有该款所列违法行为之一的，或者弄虚作假骗取中标情节特别严重的，由工商行政管理机关吊销营业执照。</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电子招标投标办法》第五十八条招标投标活动当事人和电子招标投标系统运营机构伪造、篡改、损毁招标投标信息，或者以其他方式弄虚作假的，依照招标投标法第五十四条和招标投标法实施条例第六十八条规定处罚。</w:t>
            </w:r>
          </w:p>
          <w:p w14:paraId="3A8BE8EB">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C2E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AAF22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7BB5A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74C08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F79F8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B095CC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5D2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82" w:hRule="atLeast"/>
          <w:jc w:val="center"/>
        </w:trPr>
        <w:tc>
          <w:tcPr>
            <w:tcW w:w="943" w:type="dxa"/>
            <w:vMerge w:val="continue"/>
            <w:vAlign w:val="center"/>
          </w:tcPr>
          <w:p w14:paraId="74520E71">
            <w:pPr>
              <w:rPr>
                <w:color w:val="000000" w:themeColor="text1"/>
              </w:rPr>
            </w:pPr>
          </w:p>
        </w:tc>
        <w:tc>
          <w:tcPr>
            <w:tcW w:w="1110" w:type="dxa"/>
            <w:vAlign w:val="center"/>
          </w:tcPr>
          <w:p w14:paraId="0F1720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C9FF78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2A329D4">
            <w:pPr>
              <w:jc w:val="center"/>
              <w:rPr>
                <w:rFonts w:ascii="仿宋_GB2312" w:hAnsi="黑体" w:eastAsia="仿宋_GB2312" w:cs="黑体"/>
                <w:color w:val="000000" w:themeColor="text1"/>
                <w:sz w:val="18"/>
                <w:szCs w:val="18"/>
              </w:rPr>
            </w:pPr>
          </w:p>
        </w:tc>
        <w:tc>
          <w:tcPr>
            <w:tcW w:w="1406" w:type="dxa"/>
            <w:vAlign w:val="center"/>
          </w:tcPr>
          <w:p w14:paraId="4EFD50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ACB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9" w:hRule="atLeast"/>
          <w:jc w:val="center"/>
        </w:trPr>
        <w:tc>
          <w:tcPr>
            <w:tcW w:w="943" w:type="dxa"/>
            <w:vMerge w:val="continue"/>
            <w:vAlign w:val="center"/>
          </w:tcPr>
          <w:p w14:paraId="3972CF04">
            <w:pPr>
              <w:rPr>
                <w:color w:val="000000" w:themeColor="text1"/>
              </w:rPr>
            </w:pPr>
          </w:p>
        </w:tc>
        <w:tc>
          <w:tcPr>
            <w:tcW w:w="1110" w:type="dxa"/>
            <w:vAlign w:val="center"/>
          </w:tcPr>
          <w:p w14:paraId="310F54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5D90B3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98FE920">
            <w:pPr>
              <w:jc w:val="center"/>
              <w:rPr>
                <w:rFonts w:ascii="仿宋_GB2312" w:hAnsi="黑体" w:eastAsia="仿宋_GB2312" w:cs="黑体"/>
                <w:color w:val="000000" w:themeColor="text1"/>
                <w:sz w:val="18"/>
                <w:szCs w:val="18"/>
              </w:rPr>
            </w:pPr>
          </w:p>
        </w:tc>
        <w:tc>
          <w:tcPr>
            <w:tcW w:w="1406" w:type="dxa"/>
            <w:vAlign w:val="center"/>
          </w:tcPr>
          <w:p w14:paraId="68693D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AA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4" w:hRule="atLeast"/>
          <w:jc w:val="center"/>
        </w:trPr>
        <w:tc>
          <w:tcPr>
            <w:tcW w:w="943" w:type="dxa"/>
            <w:vMerge w:val="continue"/>
            <w:vAlign w:val="center"/>
          </w:tcPr>
          <w:p w14:paraId="558AA920">
            <w:pPr>
              <w:rPr>
                <w:color w:val="000000" w:themeColor="text1"/>
              </w:rPr>
            </w:pPr>
          </w:p>
        </w:tc>
        <w:tc>
          <w:tcPr>
            <w:tcW w:w="1110" w:type="dxa"/>
            <w:vAlign w:val="center"/>
          </w:tcPr>
          <w:p w14:paraId="0C77A1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9C54AD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DDBAF21">
            <w:pPr>
              <w:jc w:val="center"/>
              <w:rPr>
                <w:rFonts w:ascii="仿宋_GB2312" w:hAnsi="黑体" w:eastAsia="仿宋_GB2312" w:cs="黑体"/>
                <w:color w:val="000000" w:themeColor="text1"/>
                <w:sz w:val="18"/>
                <w:szCs w:val="18"/>
              </w:rPr>
            </w:pPr>
          </w:p>
        </w:tc>
        <w:tc>
          <w:tcPr>
            <w:tcW w:w="1406" w:type="dxa"/>
            <w:vAlign w:val="center"/>
          </w:tcPr>
          <w:p w14:paraId="718212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8C8B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5" w:hRule="atLeast"/>
          <w:jc w:val="center"/>
        </w:trPr>
        <w:tc>
          <w:tcPr>
            <w:tcW w:w="943" w:type="dxa"/>
            <w:vMerge w:val="continue"/>
            <w:vAlign w:val="center"/>
          </w:tcPr>
          <w:p w14:paraId="246AA032">
            <w:pPr>
              <w:rPr>
                <w:color w:val="000000" w:themeColor="text1"/>
              </w:rPr>
            </w:pPr>
          </w:p>
        </w:tc>
        <w:tc>
          <w:tcPr>
            <w:tcW w:w="1110" w:type="dxa"/>
            <w:vAlign w:val="center"/>
          </w:tcPr>
          <w:p w14:paraId="422000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6B1EA3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9C43687">
            <w:pPr>
              <w:jc w:val="center"/>
              <w:rPr>
                <w:rFonts w:ascii="仿宋_GB2312" w:hAnsi="黑体" w:eastAsia="仿宋_GB2312" w:cs="黑体"/>
                <w:color w:val="000000" w:themeColor="text1"/>
                <w:sz w:val="18"/>
                <w:szCs w:val="18"/>
              </w:rPr>
            </w:pPr>
          </w:p>
        </w:tc>
        <w:tc>
          <w:tcPr>
            <w:tcW w:w="1406" w:type="dxa"/>
            <w:vAlign w:val="center"/>
          </w:tcPr>
          <w:p w14:paraId="1F7869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83A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0" w:hRule="atLeast"/>
          <w:jc w:val="center"/>
        </w:trPr>
        <w:tc>
          <w:tcPr>
            <w:tcW w:w="943" w:type="dxa"/>
            <w:vMerge w:val="continue"/>
            <w:vAlign w:val="center"/>
          </w:tcPr>
          <w:p w14:paraId="04386D2C">
            <w:pPr>
              <w:rPr>
                <w:color w:val="000000" w:themeColor="text1"/>
              </w:rPr>
            </w:pPr>
          </w:p>
        </w:tc>
        <w:tc>
          <w:tcPr>
            <w:tcW w:w="1110" w:type="dxa"/>
            <w:vAlign w:val="center"/>
          </w:tcPr>
          <w:p w14:paraId="6FE82C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92569A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A32E07D">
            <w:pPr>
              <w:jc w:val="center"/>
              <w:rPr>
                <w:rFonts w:ascii="仿宋_GB2312" w:hAnsi="黑体" w:eastAsia="仿宋_GB2312" w:cs="黑体"/>
                <w:color w:val="000000" w:themeColor="text1"/>
                <w:sz w:val="18"/>
                <w:szCs w:val="18"/>
              </w:rPr>
            </w:pPr>
          </w:p>
        </w:tc>
        <w:tc>
          <w:tcPr>
            <w:tcW w:w="1406" w:type="dxa"/>
            <w:vAlign w:val="center"/>
          </w:tcPr>
          <w:p w14:paraId="22DF201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D687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56" w:hRule="atLeast"/>
          <w:jc w:val="center"/>
        </w:trPr>
        <w:tc>
          <w:tcPr>
            <w:tcW w:w="943" w:type="dxa"/>
            <w:vAlign w:val="center"/>
          </w:tcPr>
          <w:p w14:paraId="0471A37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D710F3B">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12A3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0CEAA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F192FE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EAA4F5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646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35646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261C6B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8AE980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0ECC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943" w:type="dxa"/>
            <w:vAlign w:val="center"/>
          </w:tcPr>
          <w:p w14:paraId="20F2DA7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451533F">
            <w:pPr>
              <w:widowControl/>
              <w:jc w:val="left"/>
              <w:textAlignment w:val="center"/>
              <w:rPr>
                <w:rFonts w:ascii="黑体" w:eastAsia="黑体" w:cs="黑体"/>
                <w:color w:val="000000" w:themeColor="text1"/>
                <w:kern w:val="0"/>
                <w:sz w:val="18"/>
                <w:szCs w:val="18"/>
              </w:rPr>
            </w:pPr>
          </w:p>
        </w:tc>
      </w:tr>
    </w:tbl>
    <w:p w14:paraId="1F70F712">
      <w:pPr>
        <w:rPr>
          <w:color w:val="000000" w:themeColor="text1"/>
          <w:sz w:val="24"/>
        </w:rPr>
      </w:pPr>
    </w:p>
    <w:p w14:paraId="72AB27E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DD5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739FE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F53B5D1">
            <w:pPr>
              <w:jc w:val="center"/>
              <w:rPr>
                <w:rFonts w:ascii="黑体" w:eastAsia="黑体" w:cs="黑体"/>
                <w:b/>
                <w:bCs/>
                <w:color w:val="000000" w:themeColor="text1"/>
                <w:szCs w:val="21"/>
              </w:rPr>
            </w:pPr>
            <w:r>
              <w:rPr>
                <w:rFonts w:ascii="黑体" w:eastAsia="黑体" w:cs="黑体"/>
                <w:b/>
                <w:bCs/>
                <w:color w:val="000000" w:themeColor="text1"/>
                <w:szCs w:val="21"/>
              </w:rPr>
              <w:t>156</w:t>
            </w:r>
          </w:p>
        </w:tc>
        <w:tc>
          <w:tcPr>
            <w:tcW w:w="1691" w:type="dxa"/>
            <w:vAlign w:val="center"/>
          </w:tcPr>
          <w:p w14:paraId="184B549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C54E2B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954C2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617F35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9D8F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98760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028D17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对交通运输领域依法必须进行招标的项目，招标人违反规定，与投标人就实质内容进行谈判行为的行政处罚</w:t>
            </w:r>
          </w:p>
        </w:tc>
      </w:tr>
      <w:tr w14:paraId="15A6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E963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58837E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A75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FF965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7DBDE6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第五十五条依法必须进行招标的项目，招标人违反本法规定，与投标人就投标价格、投标方案等实质性内容进行谈判的，给予警告，对单位直接负责的主管人员和其他直接责任人员依法给予处分。前款所列行为影响中标结果的，中标无效。</w:t>
            </w:r>
          </w:p>
          <w:p w14:paraId="67D11410">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206B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81C18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E41DF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33CEDF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D46C0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5F02C8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430F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9878BB9">
            <w:pPr>
              <w:rPr>
                <w:color w:val="000000" w:themeColor="text1"/>
              </w:rPr>
            </w:pPr>
          </w:p>
        </w:tc>
        <w:tc>
          <w:tcPr>
            <w:tcW w:w="1110" w:type="dxa"/>
            <w:vAlign w:val="center"/>
          </w:tcPr>
          <w:p w14:paraId="211655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D7927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408FAD2">
            <w:pPr>
              <w:jc w:val="center"/>
              <w:rPr>
                <w:rFonts w:ascii="仿宋_GB2312" w:hAnsi="黑体" w:eastAsia="仿宋_GB2312" w:cs="黑体"/>
                <w:color w:val="000000" w:themeColor="text1"/>
                <w:sz w:val="18"/>
                <w:szCs w:val="18"/>
              </w:rPr>
            </w:pPr>
          </w:p>
        </w:tc>
        <w:tc>
          <w:tcPr>
            <w:tcW w:w="1406" w:type="dxa"/>
            <w:vAlign w:val="center"/>
          </w:tcPr>
          <w:p w14:paraId="5542BE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2E2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8F142C2">
            <w:pPr>
              <w:rPr>
                <w:color w:val="000000" w:themeColor="text1"/>
              </w:rPr>
            </w:pPr>
          </w:p>
        </w:tc>
        <w:tc>
          <w:tcPr>
            <w:tcW w:w="1110" w:type="dxa"/>
            <w:vAlign w:val="center"/>
          </w:tcPr>
          <w:p w14:paraId="74AE30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AD5405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1E0DDD5">
            <w:pPr>
              <w:jc w:val="center"/>
              <w:rPr>
                <w:rFonts w:ascii="仿宋_GB2312" w:hAnsi="黑体" w:eastAsia="仿宋_GB2312" w:cs="黑体"/>
                <w:color w:val="000000" w:themeColor="text1"/>
                <w:sz w:val="18"/>
                <w:szCs w:val="18"/>
              </w:rPr>
            </w:pPr>
          </w:p>
        </w:tc>
        <w:tc>
          <w:tcPr>
            <w:tcW w:w="1406" w:type="dxa"/>
            <w:vAlign w:val="center"/>
          </w:tcPr>
          <w:p w14:paraId="6F225F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48E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C79CA0C">
            <w:pPr>
              <w:rPr>
                <w:color w:val="000000" w:themeColor="text1"/>
              </w:rPr>
            </w:pPr>
          </w:p>
        </w:tc>
        <w:tc>
          <w:tcPr>
            <w:tcW w:w="1110" w:type="dxa"/>
            <w:vAlign w:val="center"/>
          </w:tcPr>
          <w:p w14:paraId="27244EF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53C4AF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A5E933F">
            <w:pPr>
              <w:jc w:val="center"/>
              <w:rPr>
                <w:rFonts w:ascii="仿宋_GB2312" w:hAnsi="黑体" w:eastAsia="仿宋_GB2312" w:cs="黑体"/>
                <w:color w:val="000000" w:themeColor="text1"/>
                <w:sz w:val="18"/>
                <w:szCs w:val="18"/>
              </w:rPr>
            </w:pPr>
          </w:p>
        </w:tc>
        <w:tc>
          <w:tcPr>
            <w:tcW w:w="1406" w:type="dxa"/>
            <w:vAlign w:val="center"/>
          </w:tcPr>
          <w:p w14:paraId="4269DB9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A848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7936D69">
            <w:pPr>
              <w:rPr>
                <w:color w:val="000000" w:themeColor="text1"/>
              </w:rPr>
            </w:pPr>
          </w:p>
        </w:tc>
        <w:tc>
          <w:tcPr>
            <w:tcW w:w="1110" w:type="dxa"/>
            <w:vAlign w:val="center"/>
          </w:tcPr>
          <w:p w14:paraId="51BC3F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2DE966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04FC48E">
            <w:pPr>
              <w:jc w:val="center"/>
              <w:rPr>
                <w:rFonts w:ascii="仿宋_GB2312" w:hAnsi="黑体" w:eastAsia="仿宋_GB2312" w:cs="黑体"/>
                <w:color w:val="000000" w:themeColor="text1"/>
                <w:sz w:val="18"/>
                <w:szCs w:val="18"/>
              </w:rPr>
            </w:pPr>
          </w:p>
        </w:tc>
        <w:tc>
          <w:tcPr>
            <w:tcW w:w="1406" w:type="dxa"/>
            <w:vAlign w:val="center"/>
          </w:tcPr>
          <w:p w14:paraId="05DF32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6D3A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42E9D0C">
            <w:pPr>
              <w:rPr>
                <w:color w:val="000000" w:themeColor="text1"/>
              </w:rPr>
            </w:pPr>
          </w:p>
        </w:tc>
        <w:tc>
          <w:tcPr>
            <w:tcW w:w="1110" w:type="dxa"/>
            <w:vAlign w:val="center"/>
          </w:tcPr>
          <w:p w14:paraId="7846E4A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8C93FC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637E21D">
            <w:pPr>
              <w:jc w:val="center"/>
              <w:rPr>
                <w:rFonts w:ascii="仿宋_GB2312" w:hAnsi="黑体" w:eastAsia="仿宋_GB2312" w:cs="黑体"/>
                <w:color w:val="000000" w:themeColor="text1"/>
                <w:sz w:val="18"/>
                <w:szCs w:val="18"/>
              </w:rPr>
            </w:pPr>
          </w:p>
        </w:tc>
        <w:tc>
          <w:tcPr>
            <w:tcW w:w="1406" w:type="dxa"/>
            <w:vAlign w:val="center"/>
          </w:tcPr>
          <w:p w14:paraId="57C84B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FC7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F61892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879F8D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4810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5D1EB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E0E7F4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D9E174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1489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389E34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3BF486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2D4241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83DD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349772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9642ED4">
            <w:pPr>
              <w:widowControl/>
              <w:jc w:val="left"/>
              <w:textAlignment w:val="center"/>
              <w:rPr>
                <w:rFonts w:ascii="黑体" w:eastAsia="黑体" w:cs="黑体"/>
                <w:color w:val="000000" w:themeColor="text1"/>
                <w:kern w:val="0"/>
                <w:sz w:val="18"/>
                <w:szCs w:val="18"/>
              </w:rPr>
            </w:pPr>
          </w:p>
        </w:tc>
      </w:tr>
    </w:tbl>
    <w:p w14:paraId="6A3A85A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D522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904C8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30034C82">
            <w:pPr>
              <w:jc w:val="center"/>
              <w:rPr>
                <w:rFonts w:ascii="黑体" w:eastAsia="黑体" w:cs="黑体"/>
                <w:b/>
                <w:bCs/>
                <w:color w:val="000000" w:themeColor="text1"/>
                <w:szCs w:val="21"/>
              </w:rPr>
            </w:pPr>
            <w:r>
              <w:rPr>
                <w:rFonts w:ascii="黑体" w:eastAsia="黑体" w:cs="黑体"/>
                <w:b/>
                <w:bCs/>
                <w:color w:val="000000" w:themeColor="text1"/>
                <w:szCs w:val="21"/>
              </w:rPr>
              <w:t>157</w:t>
            </w:r>
          </w:p>
        </w:tc>
        <w:tc>
          <w:tcPr>
            <w:tcW w:w="1691" w:type="dxa"/>
            <w:vAlign w:val="center"/>
          </w:tcPr>
          <w:p w14:paraId="536B931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5C3F28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6A329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B766B0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594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26784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28316D8">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对交通运输领域项目评标委员会成员收受投标人好处等行为的行政处罚</w:t>
            </w:r>
          </w:p>
        </w:tc>
      </w:tr>
      <w:tr w14:paraId="1D38A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C2E783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C70432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DC11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C7E20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61B6F0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 w:hAnsi="仿宋" w:eastAsia="仿宋" w:cs="宋体"/>
                <w:color w:val="000000" w:themeColor="text1"/>
                <w:kern w:val="0"/>
                <w:sz w:val="18"/>
                <w:szCs w:val="18"/>
              </w:rPr>
              <w:t>1.</w:t>
            </w:r>
            <w:r>
              <w:rPr>
                <w:rFonts w:hint="eastAsia" w:ascii="仿宋" w:hAnsi="仿宋" w:eastAsia="仿宋" w:cs="宋体"/>
                <w:color w:val="000000" w:themeColor="text1"/>
                <w:kern w:val="0"/>
                <w:sz w:val="18"/>
                <w:szCs w:val="18"/>
              </w:rPr>
              <w:t>《中华人民共和国招标投标法》</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五十六条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《中华人民共和国招标投标法实施条例》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第七十二条评标委员会成员收受投标人的财物或者其他好处的，没收收受的财物，处</w:t>
            </w:r>
            <w:r>
              <w:rPr>
                <w:rFonts w:ascii="仿宋" w:hAnsi="仿宋" w:eastAsia="仿宋" w:cs="宋体"/>
                <w:color w:val="000000" w:themeColor="text1"/>
                <w:kern w:val="0"/>
                <w:sz w:val="18"/>
                <w:szCs w:val="18"/>
              </w:rPr>
              <w:t>3000</w:t>
            </w:r>
            <w:r>
              <w:rPr>
                <w:rFonts w:hint="eastAsia" w:ascii="仿宋" w:hAnsi="仿宋" w:eastAsia="仿宋" w:cs="宋体"/>
                <w:color w:val="000000" w:themeColor="text1"/>
                <w:kern w:val="0"/>
                <w:sz w:val="18"/>
                <w:szCs w:val="18"/>
              </w:rPr>
              <w:t>元以上</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万元以下的罚款，取消担任评标委员会成员的资格，不得再参加依法必须进行招标的项目的评标；构成犯罪的，依法追究刑事责任。</w:t>
            </w:r>
          </w:p>
          <w:p w14:paraId="147ED10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A9D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A4586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D67C9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2C1372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45F49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0AC8F8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54F4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985936F">
            <w:pPr>
              <w:rPr>
                <w:color w:val="000000" w:themeColor="text1"/>
              </w:rPr>
            </w:pPr>
          </w:p>
        </w:tc>
        <w:tc>
          <w:tcPr>
            <w:tcW w:w="1110" w:type="dxa"/>
            <w:vAlign w:val="center"/>
          </w:tcPr>
          <w:p w14:paraId="70488A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38D57F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31E5F29">
            <w:pPr>
              <w:jc w:val="center"/>
              <w:rPr>
                <w:rFonts w:ascii="仿宋_GB2312" w:hAnsi="黑体" w:eastAsia="仿宋_GB2312" w:cs="黑体"/>
                <w:color w:val="000000" w:themeColor="text1"/>
                <w:sz w:val="18"/>
                <w:szCs w:val="18"/>
              </w:rPr>
            </w:pPr>
          </w:p>
        </w:tc>
        <w:tc>
          <w:tcPr>
            <w:tcW w:w="1406" w:type="dxa"/>
            <w:vAlign w:val="center"/>
          </w:tcPr>
          <w:p w14:paraId="7DFA85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610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3569746">
            <w:pPr>
              <w:rPr>
                <w:color w:val="000000" w:themeColor="text1"/>
              </w:rPr>
            </w:pPr>
          </w:p>
        </w:tc>
        <w:tc>
          <w:tcPr>
            <w:tcW w:w="1110" w:type="dxa"/>
            <w:vAlign w:val="center"/>
          </w:tcPr>
          <w:p w14:paraId="54B3A9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03323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800657D">
            <w:pPr>
              <w:jc w:val="center"/>
              <w:rPr>
                <w:rFonts w:ascii="仿宋_GB2312" w:hAnsi="黑体" w:eastAsia="仿宋_GB2312" w:cs="黑体"/>
                <w:color w:val="000000" w:themeColor="text1"/>
                <w:sz w:val="18"/>
                <w:szCs w:val="18"/>
              </w:rPr>
            </w:pPr>
          </w:p>
        </w:tc>
        <w:tc>
          <w:tcPr>
            <w:tcW w:w="1406" w:type="dxa"/>
            <w:vAlign w:val="center"/>
          </w:tcPr>
          <w:p w14:paraId="530F8A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469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3D4B81E">
            <w:pPr>
              <w:rPr>
                <w:color w:val="000000" w:themeColor="text1"/>
              </w:rPr>
            </w:pPr>
          </w:p>
        </w:tc>
        <w:tc>
          <w:tcPr>
            <w:tcW w:w="1110" w:type="dxa"/>
            <w:vAlign w:val="center"/>
          </w:tcPr>
          <w:p w14:paraId="53BA018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1094A7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642CB4C">
            <w:pPr>
              <w:jc w:val="center"/>
              <w:rPr>
                <w:rFonts w:ascii="仿宋_GB2312" w:hAnsi="黑体" w:eastAsia="仿宋_GB2312" w:cs="黑体"/>
                <w:color w:val="000000" w:themeColor="text1"/>
                <w:sz w:val="18"/>
                <w:szCs w:val="18"/>
              </w:rPr>
            </w:pPr>
          </w:p>
        </w:tc>
        <w:tc>
          <w:tcPr>
            <w:tcW w:w="1406" w:type="dxa"/>
            <w:vAlign w:val="center"/>
          </w:tcPr>
          <w:p w14:paraId="7A7D47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68C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17D543B">
            <w:pPr>
              <w:rPr>
                <w:color w:val="000000" w:themeColor="text1"/>
              </w:rPr>
            </w:pPr>
          </w:p>
        </w:tc>
        <w:tc>
          <w:tcPr>
            <w:tcW w:w="1110" w:type="dxa"/>
            <w:vAlign w:val="center"/>
          </w:tcPr>
          <w:p w14:paraId="03CD8F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893E6D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32F95BF">
            <w:pPr>
              <w:jc w:val="center"/>
              <w:rPr>
                <w:rFonts w:ascii="仿宋_GB2312" w:hAnsi="黑体" w:eastAsia="仿宋_GB2312" w:cs="黑体"/>
                <w:color w:val="000000" w:themeColor="text1"/>
                <w:sz w:val="18"/>
                <w:szCs w:val="18"/>
              </w:rPr>
            </w:pPr>
          </w:p>
        </w:tc>
        <w:tc>
          <w:tcPr>
            <w:tcW w:w="1406" w:type="dxa"/>
            <w:vAlign w:val="center"/>
          </w:tcPr>
          <w:p w14:paraId="102A85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F086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35D9E0E">
            <w:pPr>
              <w:rPr>
                <w:color w:val="000000" w:themeColor="text1"/>
              </w:rPr>
            </w:pPr>
          </w:p>
        </w:tc>
        <w:tc>
          <w:tcPr>
            <w:tcW w:w="1110" w:type="dxa"/>
            <w:vAlign w:val="center"/>
          </w:tcPr>
          <w:p w14:paraId="64CA304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9452B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F6055BA">
            <w:pPr>
              <w:jc w:val="center"/>
              <w:rPr>
                <w:rFonts w:ascii="仿宋_GB2312" w:hAnsi="黑体" w:eastAsia="仿宋_GB2312" w:cs="黑体"/>
                <w:color w:val="000000" w:themeColor="text1"/>
                <w:sz w:val="18"/>
                <w:szCs w:val="18"/>
              </w:rPr>
            </w:pPr>
          </w:p>
        </w:tc>
        <w:tc>
          <w:tcPr>
            <w:tcW w:w="1406" w:type="dxa"/>
            <w:vAlign w:val="center"/>
          </w:tcPr>
          <w:p w14:paraId="4080AD6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74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8DC045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573617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0958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BFC8E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43D436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13BE03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AEDA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357C4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C76DC7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2F345F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BE3B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C5EDD2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45C3AC3">
            <w:pPr>
              <w:widowControl/>
              <w:jc w:val="left"/>
              <w:textAlignment w:val="center"/>
              <w:rPr>
                <w:rFonts w:ascii="黑体" w:eastAsia="黑体" w:cs="黑体"/>
                <w:color w:val="000000" w:themeColor="text1"/>
                <w:kern w:val="0"/>
                <w:sz w:val="18"/>
                <w:szCs w:val="18"/>
              </w:rPr>
            </w:pPr>
          </w:p>
        </w:tc>
      </w:tr>
    </w:tbl>
    <w:p w14:paraId="706C37A5">
      <w:pPr>
        <w:rPr>
          <w:color w:val="000000" w:themeColor="text1"/>
          <w:sz w:val="24"/>
        </w:rPr>
      </w:pPr>
    </w:p>
    <w:p w14:paraId="2840379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BCA5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AA38D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4705F1">
            <w:pPr>
              <w:jc w:val="center"/>
              <w:rPr>
                <w:rFonts w:ascii="黑体" w:eastAsia="黑体" w:cs="黑体"/>
                <w:b/>
                <w:bCs/>
                <w:color w:val="000000" w:themeColor="text1"/>
                <w:szCs w:val="21"/>
              </w:rPr>
            </w:pPr>
            <w:r>
              <w:rPr>
                <w:rFonts w:ascii="黑体" w:eastAsia="黑体" w:cs="黑体"/>
                <w:b/>
                <w:bCs/>
                <w:color w:val="000000" w:themeColor="text1"/>
                <w:szCs w:val="21"/>
              </w:rPr>
              <w:t>158</w:t>
            </w:r>
          </w:p>
        </w:tc>
        <w:tc>
          <w:tcPr>
            <w:tcW w:w="1691" w:type="dxa"/>
            <w:vAlign w:val="center"/>
          </w:tcPr>
          <w:p w14:paraId="34374FE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EAD3B7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5FBE9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1F7BF0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A6AC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96F94E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5317A61">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对交通运输领域项目招标人在评标委员会依法推荐的中标候选人以外确定中标人行为的行政处罚</w:t>
            </w:r>
          </w:p>
        </w:tc>
      </w:tr>
      <w:tr w14:paraId="4DA0F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A5A1EA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5219B4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8CA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01B5FB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2FC8F9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《中华人民共和国招标投标法》</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五十七条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14:paraId="606B4AF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0DB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EB7E0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CC261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7020B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DA975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C6523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79D1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5DC1680">
            <w:pPr>
              <w:rPr>
                <w:color w:val="000000" w:themeColor="text1"/>
              </w:rPr>
            </w:pPr>
          </w:p>
        </w:tc>
        <w:tc>
          <w:tcPr>
            <w:tcW w:w="1110" w:type="dxa"/>
            <w:vAlign w:val="center"/>
          </w:tcPr>
          <w:p w14:paraId="520DC6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8E8BD5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6A212B7">
            <w:pPr>
              <w:jc w:val="center"/>
              <w:rPr>
                <w:rFonts w:ascii="仿宋_GB2312" w:hAnsi="黑体" w:eastAsia="仿宋_GB2312" w:cs="黑体"/>
                <w:color w:val="000000" w:themeColor="text1"/>
                <w:sz w:val="18"/>
                <w:szCs w:val="18"/>
              </w:rPr>
            </w:pPr>
          </w:p>
        </w:tc>
        <w:tc>
          <w:tcPr>
            <w:tcW w:w="1406" w:type="dxa"/>
            <w:vAlign w:val="center"/>
          </w:tcPr>
          <w:p w14:paraId="39495F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4D4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5D5321E">
            <w:pPr>
              <w:rPr>
                <w:color w:val="000000" w:themeColor="text1"/>
              </w:rPr>
            </w:pPr>
          </w:p>
        </w:tc>
        <w:tc>
          <w:tcPr>
            <w:tcW w:w="1110" w:type="dxa"/>
            <w:vAlign w:val="center"/>
          </w:tcPr>
          <w:p w14:paraId="2D4CDB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0C49D6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EFAF8AF">
            <w:pPr>
              <w:jc w:val="center"/>
              <w:rPr>
                <w:rFonts w:ascii="仿宋_GB2312" w:hAnsi="黑体" w:eastAsia="仿宋_GB2312" w:cs="黑体"/>
                <w:color w:val="000000" w:themeColor="text1"/>
                <w:sz w:val="18"/>
                <w:szCs w:val="18"/>
              </w:rPr>
            </w:pPr>
          </w:p>
        </w:tc>
        <w:tc>
          <w:tcPr>
            <w:tcW w:w="1406" w:type="dxa"/>
            <w:vAlign w:val="center"/>
          </w:tcPr>
          <w:p w14:paraId="56E79B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FA81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A5AB9AC">
            <w:pPr>
              <w:rPr>
                <w:color w:val="000000" w:themeColor="text1"/>
              </w:rPr>
            </w:pPr>
          </w:p>
        </w:tc>
        <w:tc>
          <w:tcPr>
            <w:tcW w:w="1110" w:type="dxa"/>
            <w:vAlign w:val="center"/>
          </w:tcPr>
          <w:p w14:paraId="4A27C7B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180F7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1A1596A">
            <w:pPr>
              <w:jc w:val="center"/>
              <w:rPr>
                <w:rFonts w:ascii="仿宋_GB2312" w:hAnsi="黑体" w:eastAsia="仿宋_GB2312" w:cs="黑体"/>
                <w:color w:val="000000" w:themeColor="text1"/>
                <w:sz w:val="18"/>
                <w:szCs w:val="18"/>
              </w:rPr>
            </w:pPr>
          </w:p>
        </w:tc>
        <w:tc>
          <w:tcPr>
            <w:tcW w:w="1406" w:type="dxa"/>
            <w:vAlign w:val="center"/>
          </w:tcPr>
          <w:p w14:paraId="70261D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31B7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09ADD82">
            <w:pPr>
              <w:rPr>
                <w:color w:val="000000" w:themeColor="text1"/>
              </w:rPr>
            </w:pPr>
          </w:p>
        </w:tc>
        <w:tc>
          <w:tcPr>
            <w:tcW w:w="1110" w:type="dxa"/>
            <w:vAlign w:val="center"/>
          </w:tcPr>
          <w:p w14:paraId="312D87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EC7986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7F3FBE1">
            <w:pPr>
              <w:jc w:val="center"/>
              <w:rPr>
                <w:rFonts w:ascii="仿宋_GB2312" w:hAnsi="黑体" w:eastAsia="仿宋_GB2312" w:cs="黑体"/>
                <w:color w:val="000000" w:themeColor="text1"/>
                <w:sz w:val="18"/>
                <w:szCs w:val="18"/>
              </w:rPr>
            </w:pPr>
          </w:p>
        </w:tc>
        <w:tc>
          <w:tcPr>
            <w:tcW w:w="1406" w:type="dxa"/>
            <w:vAlign w:val="center"/>
          </w:tcPr>
          <w:p w14:paraId="362F34F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12B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28688ED">
            <w:pPr>
              <w:rPr>
                <w:color w:val="000000" w:themeColor="text1"/>
              </w:rPr>
            </w:pPr>
          </w:p>
        </w:tc>
        <w:tc>
          <w:tcPr>
            <w:tcW w:w="1110" w:type="dxa"/>
            <w:vAlign w:val="center"/>
          </w:tcPr>
          <w:p w14:paraId="3656167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6D9C75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6749D4E">
            <w:pPr>
              <w:jc w:val="center"/>
              <w:rPr>
                <w:rFonts w:ascii="仿宋_GB2312" w:hAnsi="黑体" w:eastAsia="仿宋_GB2312" w:cs="黑体"/>
                <w:color w:val="000000" w:themeColor="text1"/>
                <w:sz w:val="18"/>
                <w:szCs w:val="18"/>
              </w:rPr>
            </w:pPr>
          </w:p>
        </w:tc>
        <w:tc>
          <w:tcPr>
            <w:tcW w:w="1406" w:type="dxa"/>
            <w:vAlign w:val="center"/>
          </w:tcPr>
          <w:p w14:paraId="422ACD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33D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EE3CEE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2D37D7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1E5B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597331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E71BD1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EE3DD6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753D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78FFE2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AACBE1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FC4718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F6C3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7523229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750E0926">
            <w:pPr>
              <w:widowControl/>
              <w:jc w:val="left"/>
              <w:textAlignment w:val="center"/>
              <w:rPr>
                <w:rFonts w:ascii="黑体" w:eastAsia="黑体" w:cs="黑体"/>
                <w:color w:val="000000" w:themeColor="text1"/>
                <w:kern w:val="0"/>
                <w:sz w:val="18"/>
                <w:szCs w:val="18"/>
              </w:rPr>
            </w:pPr>
          </w:p>
        </w:tc>
      </w:tr>
    </w:tbl>
    <w:p w14:paraId="6CB13463">
      <w:pPr>
        <w:rPr>
          <w:color w:val="000000" w:themeColor="text1"/>
          <w:sz w:val="24"/>
        </w:rPr>
      </w:pPr>
    </w:p>
    <w:p w14:paraId="30C2C81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0058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83E61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D66D100">
            <w:pPr>
              <w:jc w:val="center"/>
              <w:rPr>
                <w:rFonts w:ascii="黑体" w:eastAsia="黑体" w:cs="黑体"/>
                <w:b/>
                <w:bCs/>
                <w:color w:val="000000" w:themeColor="text1"/>
                <w:szCs w:val="21"/>
              </w:rPr>
            </w:pPr>
            <w:r>
              <w:rPr>
                <w:rFonts w:ascii="黑体" w:eastAsia="黑体" w:cs="黑体"/>
                <w:b/>
                <w:bCs/>
                <w:color w:val="000000" w:themeColor="text1"/>
                <w:szCs w:val="21"/>
              </w:rPr>
              <w:t>159</w:t>
            </w:r>
          </w:p>
        </w:tc>
        <w:tc>
          <w:tcPr>
            <w:tcW w:w="1691" w:type="dxa"/>
            <w:vAlign w:val="center"/>
          </w:tcPr>
          <w:p w14:paraId="57D0EE2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0B85F2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8284D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C63ADC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CE4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C7081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3EBE66E">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对交通运输领域项目招标人与中标人违法订立合同行为的行政处罚</w:t>
            </w:r>
          </w:p>
        </w:tc>
      </w:tr>
      <w:tr w14:paraId="0AE96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857039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664558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9339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B0089C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EE6374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 w:hAnsi="仿宋" w:eastAsia="仿宋" w:cs="宋体"/>
                <w:color w:val="000000" w:themeColor="text1"/>
                <w:kern w:val="0"/>
                <w:sz w:val="18"/>
                <w:szCs w:val="18"/>
              </w:rPr>
              <w:t>《中华人民共和国招标投标法》</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第五十九条招标人与中标人不按照招标文件和中标人的投标文件订立合同的，或者招标人、中标人订立背离合同实质性内容的协议的，责令改正；可以处中标项目金额千分之五以上千分之十以下的罚款。</w:t>
            </w:r>
            <w:r>
              <w:rPr>
                <w:rFonts w:ascii="仿宋" w:hAnsi="仿宋" w:eastAsia="仿宋" w:cs="宋体"/>
                <w:color w:val="000000" w:themeColor="text1"/>
                <w:kern w:val="0"/>
                <w:sz w:val="18"/>
                <w:szCs w:val="18"/>
              </w:rPr>
              <w:br w:type="textWrapping"/>
            </w:r>
            <w:r>
              <w:rPr>
                <w:rFonts w:ascii="仿宋" w:hAnsi="仿宋" w:eastAsia="仿宋" w:cs="宋体"/>
                <w:color w:val="000000" w:themeColor="text1"/>
                <w:kern w:val="0"/>
                <w:sz w:val="18"/>
                <w:szCs w:val="18"/>
              </w:rPr>
              <w:t>2.</w:t>
            </w:r>
            <w:r>
              <w:rPr>
                <w:rFonts w:hint="eastAsia" w:ascii="仿宋" w:hAnsi="仿宋" w:eastAsia="仿宋" w:cs="宋体"/>
                <w:color w:val="000000" w:themeColor="text1"/>
                <w:kern w:val="0"/>
                <w:sz w:val="18"/>
                <w:szCs w:val="18"/>
              </w:rPr>
              <w:t>《中华人民共和国招标投标法实施条例》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七十五条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‰以上</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‰以下的罚款。</w:t>
            </w:r>
          </w:p>
          <w:p w14:paraId="31C582A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01FC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13634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A8C57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3AD4C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07C53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62B5D9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DC4D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66E5104">
            <w:pPr>
              <w:rPr>
                <w:color w:val="000000" w:themeColor="text1"/>
              </w:rPr>
            </w:pPr>
          </w:p>
        </w:tc>
        <w:tc>
          <w:tcPr>
            <w:tcW w:w="1110" w:type="dxa"/>
            <w:vAlign w:val="center"/>
          </w:tcPr>
          <w:p w14:paraId="1B0EF76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9D7309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739A3B5">
            <w:pPr>
              <w:jc w:val="center"/>
              <w:rPr>
                <w:rFonts w:ascii="仿宋_GB2312" w:hAnsi="黑体" w:eastAsia="仿宋_GB2312" w:cs="黑体"/>
                <w:color w:val="000000" w:themeColor="text1"/>
                <w:sz w:val="18"/>
                <w:szCs w:val="18"/>
              </w:rPr>
            </w:pPr>
          </w:p>
        </w:tc>
        <w:tc>
          <w:tcPr>
            <w:tcW w:w="1406" w:type="dxa"/>
            <w:vAlign w:val="center"/>
          </w:tcPr>
          <w:p w14:paraId="74E8C78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19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4C4BB47">
            <w:pPr>
              <w:rPr>
                <w:color w:val="000000" w:themeColor="text1"/>
              </w:rPr>
            </w:pPr>
          </w:p>
        </w:tc>
        <w:tc>
          <w:tcPr>
            <w:tcW w:w="1110" w:type="dxa"/>
            <w:vAlign w:val="center"/>
          </w:tcPr>
          <w:p w14:paraId="7AC1B3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49CEF4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DBAFED3">
            <w:pPr>
              <w:jc w:val="center"/>
              <w:rPr>
                <w:rFonts w:ascii="仿宋_GB2312" w:hAnsi="黑体" w:eastAsia="仿宋_GB2312" w:cs="黑体"/>
                <w:color w:val="000000" w:themeColor="text1"/>
                <w:sz w:val="18"/>
                <w:szCs w:val="18"/>
              </w:rPr>
            </w:pPr>
          </w:p>
        </w:tc>
        <w:tc>
          <w:tcPr>
            <w:tcW w:w="1406" w:type="dxa"/>
            <w:vAlign w:val="center"/>
          </w:tcPr>
          <w:p w14:paraId="08F8D56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1DD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C79A0FB">
            <w:pPr>
              <w:rPr>
                <w:color w:val="000000" w:themeColor="text1"/>
              </w:rPr>
            </w:pPr>
          </w:p>
        </w:tc>
        <w:tc>
          <w:tcPr>
            <w:tcW w:w="1110" w:type="dxa"/>
            <w:vAlign w:val="center"/>
          </w:tcPr>
          <w:p w14:paraId="6132DAA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FFC124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4E7A937">
            <w:pPr>
              <w:jc w:val="center"/>
              <w:rPr>
                <w:rFonts w:ascii="仿宋_GB2312" w:hAnsi="黑体" w:eastAsia="仿宋_GB2312" w:cs="黑体"/>
                <w:color w:val="000000" w:themeColor="text1"/>
                <w:sz w:val="18"/>
                <w:szCs w:val="18"/>
              </w:rPr>
            </w:pPr>
          </w:p>
        </w:tc>
        <w:tc>
          <w:tcPr>
            <w:tcW w:w="1406" w:type="dxa"/>
            <w:vAlign w:val="center"/>
          </w:tcPr>
          <w:p w14:paraId="2AE5D1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EBC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FC50F2B">
            <w:pPr>
              <w:rPr>
                <w:color w:val="000000" w:themeColor="text1"/>
              </w:rPr>
            </w:pPr>
          </w:p>
        </w:tc>
        <w:tc>
          <w:tcPr>
            <w:tcW w:w="1110" w:type="dxa"/>
            <w:vAlign w:val="center"/>
          </w:tcPr>
          <w:p w14:paraId="286C60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215C0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BC676BA">
            <w:pPr>
              <w:jc w:val="center"/>
              <w:rPr>
                <w:rFonts w:ascii="仿宋_GB2312" w:hAnsi="黑体" w:eastAsia="仿宋_GB2312" w:cs="黑体"/>
                <w:color w:val="000000" w:themeColor="text1"/>
                <w:sz w:val="18"/>
                <w:szCs w:val="18"/>
              </w:rPr>
            </w:pPr>
          </w:p>
        </w:tc>
        <w:tc>
          <w:tcPr>
            <w:tcW w:w="1406" w:type="dxa"/>
            <w:vAlign w:val="center"/>
          </w:tcPr>
          <w:p w14:paraId="2BD29C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97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2254D35">
            <w:pPr>
              <w:rPr>
                <w:color w:val="000000" w:themeColor="text1"/>
              </w:rPr>
            </w:pPr>
          </w:p>
        </w:tc>
        <w:tc>
          <w:tcPr>
            <w:tcW w:w="1110" w:type="dxa"/>
            <w:vAlign w:val="center"/>
          </w:tcPr>
          <w:p w14:paraId="66F8A8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17278C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0B09017">
            <w:pPr>
              <w:jc w:val="center"/>
              <w:rPr>
                <w:rFonts w:ascii="仿宋_GB2312" w:hAnsi="黑体" w:eastAsia="仿宋_GB2312" w:cs="黑体"/>
                <w:color w:val="000000" w:themeColor="text1"/>
                <w:sz w:val="18"/>
                <w:szCs w:val="18"/>
              </w:rPr>
            </w:pPr>
          </w:p>
        </w:tc>
        <w:tc>
          <w:tcPr>
            <w:tcW w:w="1406" w:type="dxa"/>
            <w:vAlign w:val="center"/>
          </w:tcPr>
          <w:p w14:paraId="240BD5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ED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A93386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2652D0E">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BC7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ECE8B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7E60A8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0DE8F0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87E8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80635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1B3725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373777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9A83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3950064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206F786">
            <w:pPr>
              <w:widowControl/>
              <w:jc w:val="left"/>
              <w:textAlignment w:val="center"/>
              <w:rPr>
                <w:rFonts w:ascii="黑体" w:eastAsia="黑体" w:cs="黑体"/>
                <w:color w:val="000000" w:themeColor="text1"/>
                <w:kern w:val="0"/>
                <w:sz w:val="18"/>
                <w:szCs w:val="18"/>
              </w:rPr>
            </w:pPr>
          </w:p>
        </w:tc>
      </w:tr>
    </w:tbl>
    <w:p w14:paraId="1188EC90">
      <w:pPr>
        <w:rPr>
          <w:color w:val="000000" w:themeColor="text1"/>
          <w:sz w:val="24"/>
        </w:rPr>
      </w:pPr>
    </w:p>
    <w:p w14:paraId="1E1A8D9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E52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7A2A7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5ADF513">
            <w:pPr>
              <w:jc w:val="center"/>
              <w:rPr>
                <w:rFonts w:ascii="黑体" w:eastAsia="黑体" w:cs="黑体"/>
                <w:b/>
                <w:bCs/>
                <w:color w:val="000000" w:themeColor="text1"/>
                <w:szCs w:val="21"/>
              </w:rPr>
            </w:pPr>
            <w:r>
              <w:rPr>
                <w:rFonts w:ascii="黑体" w:eastAsia="黑体" w:cs="黑体"/>
                <w:b/>
                <w:bCs/>
                <w:color w:val="000000" w:themeColor="text1"/>
                <w:szCs w:val="21"/>
              </w:rPr>
              <w:t>160</w:t>
            </w:r>
          </w:p>
        </w:tc>
        <w:tc>
          <w:tcPr>
            <w:tcW w:w="1691" w:type="dxa"/>
            <w:vAlign w:val="center"/>
          </w:tcPr>
          <w:p w14:paraId="2B1E2F9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406755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7C87F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5C346A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083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4F377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E87537D">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对交通运输领域项目招标人依法应当公开招标而采用邀请招标情形的行政处罚</w:t>
            </w:r>
          </w:p>
        </w:tc>
      </w:tr>
      <w:tr w14:paraId="5ABE2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1EFC34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5F877F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37A3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27281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93A222C">
            <w:pPr>
              <w:spacing w:line="240" w:lineRule="exact"/>
              <w:rPr>
                <w:rFonts w:ascii="仿宋" w:hAnsi="仿宋" w:eastAsia="仿宋" w:cs="宋体"/>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hint="eastAsia" w:ascii="仿宋" w:hAnsi="仿宋" w:eastAsia="仿宋" w:cs="宋体"/>
                <w:color w:val="000000" w:themeColor="text1"/>
                <w:kern w:val="0"/>
                <w:sz w:val="18"/>
                <w:szCs w:val="18"/>
              </w:rPr>
              <w:t>《中华人民共和国招标投标法实施条例》</w:t>
            </w:r>
            <w:r>
              <w:rPr>
                <w:rFonts w:ascii="仿宋" w:hAnsi="仿宋" w:eastAsia="仿宋" w:cs="宋体"/>
                <w:color w:val="000000" w:themeColor="text1"/>
                <w:kern w:val="0"/>
                <w:sz w:val="18"/>
                <w:szCs w:val="18"/>
              </w:rPr>
              <w:br w:type="textWrapping"/>
            </w:r>
            <w:r>
              <w:rPr>
                <w:rFonts w:hint="eastAsia" w:ascii="仿宋" w:hAnsi="仿宋" w:eastAsia="仿宋" w:cs="宋体"/>
                <w:color w:val="000000" w:themeColor="text1"/>
                <w:kern w:val="0"/>
                <w:sz w:val="18"/>
                <w:szCs w:val="18"/>
              </w:rPr>
              <w:t>第六十四条招标人有下列情形之一的，由有关行政监督部门责令改正，可以处</w:t>
            </w:r>
            <w:r>
              <w:rPr>
                <w:rFonts w:ascii="仿宋" w:hAnsi="仿宋" w:eastAsia="仿宋" w:cs="宋体"/>
                <w:color w:val="000000" w:themeColor="text1"/>
                <w:kern w:val="0"/>
                <w:sz w:val="18"/>
                <w:szCs w:val="18"/>
              </w:rPr>
              <w:t>10</w:t>
            </w:r>
            <w:r>
              <w:rPr>
                <w:rFonts w:hint="eastAsia" w:ascii="仿宋" w:hAnsi="仿宋" w:eastAsia="仿宋" w:cs="宋体"/>
                <w:color w:val="000000" w:themeColor="text1"/>
                <w:kern w:val="0"/>
                <w:sz w:val="18"/>
                <w:szCs w:val="18"/>
              </w:rPr>
              <w:t>万元以下的罚款：（一）依法应当公开招标而采用邀请招标；（二）招标文件、资格预审文件的发售、澄清、修改的时限，或者确定的提交资格预审申请文件、投标文件的时限不符合招标投标法和本条例规定；（三）接受未通过资格预审的单位或者个人参加投标；（四）接受应当拒收的投标文件。</w:t>
            </w:r>
          </w:p>
          <w:p w14:paraId="5D957991">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628D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601FE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4FC7D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789FD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1FB28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E7BD2C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F9D6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BA30D2F">
            <w:pPr>
              <w:rPr>
                <w:color w:val="000000" w:themeColor="text1"/>
              </w:rPr>
            </w:pPr>
          </w:p>
        </w:tc>
        <w:tc>
          <w:tcPr>
            <w:tcW w:w="1110" w:type="dxa"/>
            <w:vAlign w:val="center"/>
          </w:tcPr>
          <w:p w14:paraId="3EAC1BD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44EAE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9FA77E3">
            <w:pPr>
              <w:jc w:val="center"/>
              <w:rPr>
                <w:rFonts w:ascii="仿宋_GB2312" w:hAnsi="黑体" w:eastAsia="仿宋_GB2312" w:cs="黑体"/>
                <w:color w:val="000000" w:themeColor="text1"/>
                <w:sz w:val="18"/>
                <w:szCs w:val="18"/>
              </w:rPr>
            </w:pPr>
          </w:p>
        </w:tc>
        <w:tc>
          <w:tcPr>
            <w:tcW w:w="1406" w:type="dxa"/>
            <w:vAlign w:val="center"/>
          </w:tcPr>
          <w:p w14:paraId="6BE0AD2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2EC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4894947">
            <w:pPr>
              <w:rPr>
                <w:color w:val="000000" w:themeColor="text1"/>
              </w:rPr>
            </w:pPr>
          </w:p>
        </w:tc>
        <w:tc>
          <w:tcPr>
            <w:tcW w:w="1110" w:type="dxa"/>
            <w:vAlign w:val="center"/>
          </w:tcPr>
          <w:p w14:paraId="32E9CE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025951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930E692">
            <w:pPr>
              <w:jc w:val="center"/>
              <w:rPr>
                <w:rFonts w:ascii="仿宋_GB2312" w:hAnsi="黑体" w:eastAsia="仿宋_GB2312" w:cs="黑体"/>
                <w:color w:val="000000" w:themeColor="text1"/>
                <w:sz w:val="18"/>
                <w:szCs w:val="18"/>
              </w:rPr>
            </w:pPr>
          </w:p>
        </w:tc>
        <w:tc>
          <w:tcPr>
            <w:tcW w:w="1406" w:type="dxa"/>
            <w:vAlign w:val="center"/>
          </w:tcPr>
          <w:p w14:paraId="0DFE32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D9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572188D">
            <w:pPr>
              <w:rPr>
                <w:color w:val="000000" w:themeColor="text1"/>
              </w:rPr>
            </w:pPr>
          </w:p>
        </w:tc>
        <w:tc>
          <w:tcPr>
            <w:tcW w:w="1110" w:type="dxa"/>
            <w:vAlign w:val="center"/>
          </w:tcPr>
          <w:p w14:paraId="75F2C0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D3500E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9B12735">
            <w:pPr>
              <w:jc w:val="center"/>
              <w:rPr>
                <w:rFonts w:ascii="仿宋_GB2312" w:hAnsi="黑体" w:eastAsia="仿宋_GB2312" w:cs="黑体"/>
                <w:color w:val="000000" w:themeColor="text1"/>
                <w:sz w:val="18"/>
                <w:szCs w:val="18"/>
              </w:rPr>
            </w:pPr>
          </w:p>
        </w:tc>
        <w:tc>
          <w:tcPr>
            <w:tcW w:w="1406" w:type="dxa"/>
            <w:vAlign w:val="center"/>
          </w:tcPr>
          <w:p w14:paraId="139F6B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E333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ED1C1FC">
            <w:pPr>
              <w:rPr>
                <w:color w:val="000000" w:themeColor="text1"/>
              </w:rPr>
            </w:pPr>
          </w:p>
        </w:tc>
        <w:tc>
          <w:tcPr>
            <w:tcW w:w="1110" w:type="dxa"/>
            <w:vAlign w:val="center"/>
          </w:tcPr>
          <w:p w14:paraId="5BC3D8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99BAFB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DB3B73E">
            <w:pPr>
              <w:jc w:val="center"/>
              <w:rPr>
                <w:rFonts w:ascii="仿宋_GB2312" w:hAnsi="黑体" w:eastAsia="仿宋_GB2312" w:cs="黑体"/>
                <w:color w:val="000000" w:themeColor="text1"/>
                <w:sz w:val="18"/>
                <w:szCs w:val="18"/>
              </w:rPr>
            </w:pPr>
          </w:p>
        </w:tc>
        <w:tc>
          <w:tcPr>
            <w:tcW w:w="1406" w:type="dxa"/>
            <w:vAlign w:val="center"/>
          </w:tcPr>
          <w:p w14:paraId="401C0E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BE0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1307AFF">
            <w:pPr>
              <w:rPr>
                <w:color w:val="000000" w:themeColor="text1"/>
              </w:rPr>
            </w:pPr>
          </w:p>
        </w:tc>
        <w:tc>
          <w:tcPr>
            <w:tcW w:w="1110" w:type="dxa"/>
            <w:vAlign w:val="center"/>
          </w:tcPr>
          <w:p w14:paraId="630610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831A76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0C7B39C">
            <w:pPr>
              <w:jc w:val="center"/>
              <w:rPr>
                <w:rFonts w:ascii="仿宋_GB2312" w:hAnsi="黑体" w:eastAsia="仿宋_GB2312" w:cs="黑体"/>
                <w:color w:val="000000" w:themeColor="text1"/>
                <w:sz w:val="18"/>
                <w:szCs w:val="18"/>
              </w:rPr>
            </w:pPr>
          </w:p>
        </w:tc>
        <w:tc>
          <w:tcPr>
            <w:tcW w:w="1406" w:type="dxa"/>
            <w:vAlign w:val="center"/>
          </w:tcPr>
          <w:p w14:paraId="5AF3333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9C78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0A7765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AB8EFB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503E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09FF48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27D3BA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CF7DFFE">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A27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68D0F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77A301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54DF46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D68D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4F9AE2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4142D03">
            <w:pPr>
              <w:widowControl/>
              <w:jc w:val="left"/>
              <w:textAlignment w:val="center"/>
              <w:rPr>
                <w:rFonts w:ascii="黑体" w:eastAsia="黑体" w:cs="黑体"/>
                <w:color w:val="000000" w:themeColor="text1"/>
                <w:kern w:val="0"/>
                <w:sz w:val="18"/>
                <w:szCs w:val="18"/>
              </w:rPr>
            </w:pPr>
          </w:p>
        </w:tc>
      </w:tr>
    </w:tbl>
    <w:p w14:paraId="559EC1DF">
      <w:pPr>
        <w:rPr>
          <w:color w:val="000000" w:themeColor="text1"/>
          <w:sz w:val="24"/>
        </w:rPr>
      </w:pPr>
    </w:p>
    <w:p w14:paraId="7D27105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17F3D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B636D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2A7327B">
            <w:pPr>
              <w:jc w:val="center"/>
              <w:rPr>
                <w:rFonts w:ascii="黑体" w:eastAsia="黑体" w:cs="黑体"/>
                <w:b/>
                <w:bCs/>
                <w:color w:val="000000" w:themeColor="text1"/>
                <w:szCs w:val="21"/>
              </w:rPr>
            </w:pPr>
            <w:r>
              <w:rPr>
                <w:rFonts w:ascii="黑体" w:eastAsia="黑体" w:cs="黑体"/>
                <w:b/>
                <w:bCs/>
                <w:color w:val="000000" w:themeColor="text1"/>
                <w:szCs w:val="21"/>
              </w:rPr>
              <w:t>161</w:t>
            </w:r>
          </w:p>
        </w:tc>
        <w:tc>
          <w:tcPr>
            <w:tcW w:w="1691" w:type="dxa"/>
            <w:vAlign w:val="center"/>
          </w:tcPr>
          <w:p w14:paraId="689E2FB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C31E49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A4B74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EF47EF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AA2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018BB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74A205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对交通运输领域项目招标人超额收取保证金或者不按规定退还保证金及利息行为的行政处罚</w:t>
            </w:r>
          </w:p>
        </w:tc>
      </w:tr>
      <w:tr w14:paraId="2C17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8842F6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38D7B5F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4F02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E7638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346A01F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号）第六十六条招标人超过本条例规定的比例收取投标保证金、履约保证金或者不按照规定退还投标保证金及银行同期存款利息的，由有关行政监督部门责令改正，可以处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万元以下的罚款；给他人造成损失的，依法承担赔偿责任。</w:t>
            </w:r>
          </w:p>
          <w:p w14:paraId="43FB404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CBF4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F1FED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301662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AEDC0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A1765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FCF214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FD3F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7F557BD">
            <w:pPr>
              <w:rPr>
                <w:color w:val="000000" w:themeColor="text1"/>
              </w:rPr>
            </w:pPr>
          </w:p>
        </w:tc>
        <w:tc>
          <w:tcPr>
            <w:tcW w:w="1110" w:type="dxa"/>
            <w:vAlign w:val="center"/>
          </w:tcPr>
          <w:p w14:paraId="4FBF4B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31AE24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CB7634D">
            <w:pPr>
              <w:jc w:val="center"/>
              <w:rPr>
                <w:rFonts w:ascii="仿宋_GB2312" w:hAnsi="黑体" w:eastAsia="仿宋_GB2312" w:cs="黑体"/>
                <w:color w:val="000000" w:themeColor="text1"/>
                <w:sz w:val="18"/>
                <w:szCs w:val="18"/>
              </w:rPr>
            </w:pPr>
          </w:p>
        </w:tc>
        <w:tc>
          <w:tcPr>
            <w:tcW w:w="1406" w:type="dxa"/>
            <w:vAlign w:val="center"/>
          </w:tcPr>
          <w:p w14:paraId="66811BD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0AB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9940D4F">
            <w:pPr>
              <w:rPr>
                <w:color w:val="000000" w:themeColor="text1"/>
              </w:rPr>
            </w:pPr>
          </w:p>
        </w:tc>
        <w:tc>
          <w:tcPr>
            <w:tcW w:w="1110" w:type="dxa"/>
            <w:vAlign w:val="center"/>
          </w:tcPr>
          <w:p w14:paraId="15BDA1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A0596E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5230FAE">
            <w:pPr>
              <w:jc w:val="center"/>
              <w:rPr>
                <w:rFonts w:ascii="仿宋_GB2312" w:hAnsi="黑体" w:eastAsia="仿宋_GB2312" w:cs="黑体"/>
                <w:color w:val="000000" w:themeColor="text1"/>
                <w:sz w:val="18"/>
                <w:szCs w:val="18"/>
              </w:rPr>
            </w:pPr>
          </w:p>
        </w:tc>
        <w:tc>
          <w:tcPr>
            <w:tcW w:w="1406" w:type="dxa"/>
            <w:vAlign w:val="center"/>
          </w:tcPr>
          <w:p w14:paraId="376AF2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3F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FC61A09">
            <w:pPr>
              <w:rPr>
                <w:color w:val="000000" w:themeColor="text1"/>
              </w:rPr>
            </w:pPr>
          </w:p>
        </w:tc>
        <w:tc>
          <w:tcPr>
            <w:tcW w:w="1110" w:type="dxa"/>
            <w:vAlign w:val="center"/>
          </w:tcPr>
          <w:p w14:paraId="4F3079B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BA8EDE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656C0FB">
            <w:pPr>
              <w:jc w:val="center"/>
              <w:rPr>
                <w:rFonts w:ascii="仿宋_GB2312" w:hAnsi="黑体" w:eastAsia="仿宋_GB2312" w:cs="黑体"/>
                <w:color w:val="000000" w:themeColor="text1"/>
                <w:sz w:val="18"/>
                <w:szCs w:val="18"/>
              </w:rPr>
            </w:pPr>
          </w:p>
        </w:tc>
        <w:tc>
          <w:tcPr>
            <w:tcW w:w="1406" w:type="dxa"/>
            <w:vAlign w:val="center"/>
          </w:tcPr>
          <w:p w14:paraId="615193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E4C2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28727BD">
            <w:pPr>
              <w:rPr>
                <w:color w:val="000000" w:themeColor="text1"/>
              </w:rPr>
            </w:pPr>
          </w:p>
        </w:tc>
        <w:tc>
          <w:tcPr>
            <w:tcW w:w="1110" w:type="dxa"/>
            <w:vAlign w:val="center"/>
          </w:tcPr>
          <w:p w14:paraId="3151E5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9F5B94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F340691">
            <w:pPr>
              <w:jc w:val="center"/>
              <w:rPr>
                <w:rFonts w:ascii="仿宋_GB2312" w:hAnsi="黑体" w:eastAsia="仿宋_GB2312" w:cs="黑体"/>
                <w:color w:val="000000" w:themeColor="text1"/>
                <w:sz w:val="18"/>
                <w:szCs w:val="18"/>
              </w:rPr>
            </w:pPr>
          </w:p>
        </w:tc>
        <w:tc>
          <w:tcPr>
            <w:tcW w:w="1406" w:type="dxa"/>
            <w:vAlign w:val="center"/>
          </w:tcPr>
          <w:p w14:paraId="7E51C0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314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AC85510">
            <w:pPr>
              <w:rPr>
                <w:color w:val="000000" w:themeColor="text1"/>
              </w:rPr>
            </w:pPr>
          </w:p>
        </w:tc>
        <w:tc>
          <w:tcPr>
            <w:tcW w:w="1110" w:type="dxa"/>
            <w:vAlign w:val="center"/>
          </w:tcPr>
          <w:p w14:paraId="561611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59CFC9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0A16B8D">
            <w:pPr>
              <w:jc w:val="center"/>
              <w:rPr>
                <w:rFonts w:ascii="仿宋_GB2312" w:hAnsi="黑体" w:eastAsia="仿宋_GB2312" w:cs="黑体"/>
                <w:color w:val="000000" w:themeColor="text1"/>
                <w:sz w:val="18"/>
                <w:szCs w:val="18"/>
              </w:rPr>
            </w:pPr>
          </w:p>
        </w:tc>
        <w:tc>
          <w:tcPr>
            <w:tcW w:w="1406" w:type="dxa"/>
            <w:vAlign w:val="center"/>
          </w:tcPr>
          <w:p w14:paraId="5E39E5C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760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7F809B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52DAB5C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B13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D4C52F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E435FC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E81717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D8A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33081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073BFA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C3B212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1ED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6173F7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10A0F13">
            <w:pPr>
              <w:widowControl/>
              <w:jc w:val="left"/>
              <w:textAlignment w:val="center"/>
              <w:rPr>
                <w:rFonts w:ascii="黑体" w:eastAsia="黑体" w:cs="黑体"/>
                <w:color w:val="000000" w:themeColor="text1"/>
                <w:kern w:val="0"/>
                <w:sz w:val="18"/>
                <w:szCs w:val="18"/>
              </w:rPr>
            </w:pPr>
          </w:p>
        </w:tc>
      </w:tr>
    </w:tbl>
    <w:p w14:paraId="37AF49C5">
      <w:pPr>
        <w:rPr>
          <w:color w:val="000000" w:themeColor="text1"/>
          <w:sz w:val="24"/>
        </w:rPr>
      </w:pPr>
    </w:p>
    <w:p w14:paraId="237FEEE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EDBE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95F0F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9F65658">
            <w:pPr>
              <w:jc w:val="center"/>
              <w:rPr>
                <w:rFonts w:ascii="黑体" w:eastAsia="黑体" w:cs="黑体"/>
                <w:b/>
                <w:bCs/>
                <w:color w:val="000000" w:themeColor="text1"/>
                <w:szCs w:val="21"/>
              </w:rPr>
            </w:pPr>
            <w:r>
              <w:rPr>
                <w:rFonts w:ascii="黑体" w:eastAsia="黑体" w:cs="黑体"/>
                <w:b/>
                <w:bCs/>
                <w:color w:val="000000" w:themeColor="text1"/>
                <w:szCs w:val="21"/>
              </w:rPr>
              <w:t>162</w:t>
            </w:r>
          </w:p>
        </w:tc>
        <w:tc>
          <w:tcPr>
            <w:tcW w:w="1691" w:type="dxa"/>
            <w:vAlign w:val="center"/>
          </w:tcPr>
          <w:p w14:paraId="1BB94D1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9209D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C75C94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060937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7AE8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D8BD0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FF72E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对交通运输领域项目招标人不按照规定组建评标委员会行为的行政处罚</w:t>
            </w:r>
          </w:p>
        </w:tc>
      </w:tr>
      <w:tr w14:paraId="0EAD2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60586F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4417194">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8956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88FED9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1049A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号）第七十条第一款依法必须进行招标的项目的招标人不按照规定组建评标委员会，或者确定、更换评标委员会成员违反招标投标法和本条例规定的，由有关行政监督部门责令改正，可以处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万元以下的罚款，对单位直接负责的主管人员和其他直接责任人员依法给予处分；违法确定或者更换的评标委员会成员作出的评审结论无效，依法重新进行评审。</w:t>
            </w:r>
          </w:p>
          <w:p w14:paraId="3686F473">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ACC9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6C97E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E3E40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E5B7C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A3AE3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EFB68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6A1C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678167A">
            <w:pPr>
              <w:rPr>
                <w:color w:val="000000" w:themeColor="text1"/>
              </w:rPr>
            </w:pPr>
          </w:p>
        </w:tc>
        <w:tc>
          <w:tcPr>
            <w:tcW w:w="1110" w:type="dxa"/>
            <w:vAlign w:val="center"/>
          </w:tcPr>
          <w:p w14:paraId="50A714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0EE2B35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15EED44">
            <w:pPr>
              <w:jc w:val="center"/>
              <w:rPr>
                <w:rFonts w:ascii="仿宋_GB2312" w:hAnsi="黑体" w:eastAsia="仿宋_GB2312" w:cs="黑体"/>
                <w:color w:val="000000" w:themeColor="text1"/>
                <w:sz w:val="18"/>
                <w:szCs w:val="18"/>
              </w:rPr>
            </w:pPr>
          </w:p>
        </w:tc>
        <w:tc>
          <w:tcPr>
            <w:tcW w:w="1406" w:type="dxa"/>
            <w:vAlign w:val="center"/>
          </w:tcPr>
          <w:p w14:paraId="4B91A2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B2A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44E3D707">
            <w:pPr>
              <w:rPr>
                <w:color w:val="000000" w:themeColor="text1"/>
              </w:rPr>
            </w:pPr>
          </w:p>
        </w:tc>
        <w:tc>
          <w:tcPr>
            <w:tcW w:w="1110" w:type="dxa"/>
            <w:vAlign w:val="center"/>
          </w:tcPr>
          <w:p w14:paraId="23D961E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333657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06C540B">
            <w:pPr>
              <w:jc w:val="center"/>
              <w:rPr>
                <w:rFonts w:ascii="仿宋_GB2312" w:hAnsi="黑体" w:eastAsia="仿宋_GB2312" w:cs="黑体"/>
                <w:color w:val="000000" w:themeColor="text1"/>
                <w:sz w:val="18"/>
                <w:szCs w:val="18"/>
              </w:rPr>
            </w:pPr>
          </w:p>
        </w:tc>
        <w:tc>
          <w:tcPr>
            <w:tcW w:w="1406" w:type="dxa"/>
            <w:vAlign w:val="center"/>
          </w:tcPr>
          <w:p w14:paraId="34C385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9DE0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4A06E48F">
            <w:pPr>
              <w:rPr>
                <w:color w:val="000000" w:themeColor="text1"/>
              </w:rPr>
            </w:pPr>
          </w:p>
        </w:tc>
        <w:tc>
          <w:tcPr>
            <w:tcW w:w="1110" w:type="dxa"/>
            <w:vAlign w:val="center"/>
          </w:tcPr>
          <w:p w14:paraId="6B3360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1C9588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8BCCEE5">
            <w:pPr>
              <w:jc w:val="center"/>
              <w:rPr>
                <w:rFonts w:ascii="仿宋_GB2312" w:hAnsi="黑体" w:eastAsia="仿宋_GB2312" w:cs="黑体"/>
                <w:color w:val="000000" w:themeColor="text1"/>
                <w:sz w:val="18"/>
                <w:szCs w:val="18"/>
              </w:rPr>
            </w:pPr>
          </w:p>
        </w:tc>
        <w:tc>
          <w:tcPr>
            <w:tcW w:w="1406" w:type="dxa"/>
            <w:vAlign w:val="center"/>
          </w:tcPr>
          <w:p w14:paraId="478E44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E7EB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B08A9FF">
            <w:pPr>
              <w:rPr>
                <w:color w:val="000000" w:themeColor="text1"/>
              </w:rPr>
            </w:pPr>
          </w:p>
        </w:tc>
        <w:tc>
          <w:tcPr>
            <w:tcW w:w="1110" w:type="dxa"/>
            <w:vAlign w:val="center"/>
          </w:tcPr>
          <w:p w14:paraId="5A294C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B7DE21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1E507F1">
            <w:pPr>
              <w:jc w:val="center"/>
              <w:rPr>
                <w:rFonts w:ascii="仿宋_GB2312" w:hAnsi="黑体" w:eastAsia="仿宋_GB2312" w:cs="黑体"/>
                <w:color w:val="000000" w:themeColor="text1"/>
                <w:sz w:val="18"/>
                <w:szCs w:val="18"/>
              </w:rPr>
            </w:pPr>
          </w:p>
        </w:tc>
        <w:tc>
          <w:tcPr>
            <w:tcW w:w="1406" w:type="dxa"/>
            <w:vAlign w:val="center"/>
          </w:tcPr>
          <w:p w14:paraId="3395AA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FD47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66B0C11">
            <w:pPr>
              <w:rPr>
                <w:color w:val="000000" w:themeColor="text1"/>
              </w:rPr>
            </w:pPr>
          </w:p>
        </w:tc>
        <w:tc>
          <w:tcPr>
            <w:tcW w:w="1110" w:type="dxa"/>
            <w:vAlign w:val="center"/>
          </w:tcPr>
          <w:p w14:paraId="5876B2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EFFF25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0BF017A">
            <w:pPr>
              <w:jc w:val="center"/>
              <w:rPr>
                <w:rFonts w:ascii="仿宋_GB2312" w:hAnsi="黑体" w:eastAsia="仿宋_GB2312" w:cs="黑体"/>
                <w:color w:val="000000" w:themeColor="text1"/>
                <w:sz w:val="18"/>
                <w:szCs w:val="18"/>
              </w:rPr>
            </w:pPr>
          </w:p>
        </w:tc>
        <w:tc>
          <w:tcPr>
            <w:tcW w:w="1406" w:type="dxa"/>
            <w:vAlign w:val="center"/>
          </w:tcPr>
          <w:p w14:paraId="7CC958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1DF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46D222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F981BAA">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5ED0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5EE26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589A18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D26F5D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53B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74F180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0FA586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DA3BA2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C06A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9" w:hRule="atLeast"/>
          <w:jc w:val="center"/>
        </w:trPr>
        <w:tc>
          <w:tcPr>
            <w:tcW w:w="943" w:type="dxa"/>
            <w:vAlign w:val="center"/>
          </w:tcPr>
          <w:p w14:paraId="545F41F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AD7EA70">
            <w:pPr>
              <w:widowControl/>
              <w:jc w:val="left"/>
              <w:textAlignment w:val="center"/>
              <w:rPr>
                <w:rFonts w:ascii="黑体" w:eastAsia="黑体" w:cs="黑体"/>
                <w:color w:val="000000" w:themeColor="text1"/>
                <w:kern w:val="0"/>
                <w:sz w:val="18"/>
                <w:szCs w:val="18"/>
              </w:rPr>
            </w:pPr>
          </w:p>
        </w:tc>
      </w:tr>
    </w:tbl>
    <w:p w14:paraId="1A9482FB">
      <w:pPr>
        <w:pStyle w:val="8"/>
        <w:snapToGrid w:val="0"/>
        <w:spacing w:before="0" w:beforeAutospacing="0" w:after="0" w:afterAutospacing="0" w:line="240" w:lineRule="atLeast"/>
        <w:jc w:val="both"/>
        <w:rPr>
          <w:color w:val="000000" w:themeColor="text1"/>
          <w:sz w:val="11"/>
          <w:szCs w:val="11"/>
        </w:rPr>
      </w:pPr>
    </w:p>
    <w:p w14:paraId="2F8CC79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39C0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7857C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F549699">
            <w:pPr>
              <w:jc w:val="center"/>
              <w:rPr>
                <w:rFonts w:ascii="黑体" w:eastAsia="黑体" w:cs="黑体"/>
                <w:b/>
                <w:bCs/>
                <w:color w:val="000000" w:themeColor="text1"/>
                <w:szCs w:val="21"/>
              </w:rPr>
            </w:pPr>
            <w:r>
              <w:rPr>
                <w:rFonts w:ascii="黑体" w:eastAsia="黑体" w:cs="黑体"/>
                <w:b/>
                <w:bCs/>
                <w:color w:val="000000" w:themeColor="text1"/>
                <w:szCs w:val="21"/>
              </w:rPr>
              <w:t>163</w:t>
            </w:r>
          </w:p>
        </w:tc>
        <w:tc>
          <w:tcPr>
            <w:tcW w:w="1691" w:type="dxa"/>
            <w:vAlign w:val="center"/>
          </w:tcPr>
          <w:p w14:paraId="7A272AF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93DFC4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B2343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559C7E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193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19A6B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CFA9AC6">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color w:val="000000" w:themeColor="text1"/>
                <w:kern w:val="0"/>
                <w:sz w:val="18"/>
                <w:szCs w:val="18"/>
              </w:rPr>
              <w:t>对交通运输领域项目评标委员会成员不客观、不公正履行职务等行为的行政处罚</w:t>
            </w:r>
          </w:p>
        </w:tc>
      </w:tr>
      <w:tr w14:paraId="6B919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7B3BCC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0BE4B6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3B48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004A3E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DA3592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七十一条评标委员会成员有下列行为之一的，由有关行政监督部门责令改正；情节严重的，禁止其在一定期限内参加依法必须进行招标的项目的评标；情节特别严重的，取消其担任评标委员会成员的资格：（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p w14:paraId="5AFBD561">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A7E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26E92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90CC51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6614C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69E3A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529C4B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695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1061376">
            <w:pPr>
              <w:rPr>
                <w:color w:val="000000" w:themeColor="text1"/>
              </w:rPr>
            </w:pPr>
          </w:p>
        </w:tc>
        <w:tc>
          <w:tcPr>
            <w:tcW w:w="1110" w:type="dxa"/>
            <w:vAlign w:val="center"/>
          </w:tcPr>
          <w:p w14:paraId="55A75E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70CBB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769A785">
            <w:pPr>
              <w:jc w:val="center"/>
              <w:rPr>
                <w:rFonts w:ascii="仿宋_GB2312" w:hAnsi="黑体" w:eastAsia="仿宋_GB2312" w:cs="黑体"/>
                <w:color w:val="000000" w:themeColor="text1"/>
                <w:sz w:val="18"/>
                <w:szCs w:val="18"/>
              </w:rPr>
            </w:pPr>
          </w:p>
        </w:tc>
        <w:tc>
          <w:tcPr>
            <w:tcW w:w="1406" w:type="dxa"/>
            <w:vAlign w:val="center"/>
          </w:tcPr>
          <w:p w14:paraId="1C17E3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647F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56DA482">
            <w:pPr>
              <w:rPr>
                <w:color w:val="000000" w:themeColor="text1"/>
              </w:rPr>
            </w:pPr>
          </w:p>
        </w:tc>
        <w:tc>
          <w:tcPr>
            <w:tcW w:w="1110" w:type="dxa"/>
            <w:vAlign w:val="center"/>
          </w:tcPr>
          <w:p w14:paraId="41E16B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755CBF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C3358E9">
            <w:pPr>
              <w:jc w:val="center"/>
              <w:rPr>
                <w:rFonts w:ascii="仿宋_GB2312" w:hAnsi="黑体" w:eastAsia="仿宋_GB2312" w:cs="黑体"/>
                <w:color w:val="000000" w:themeColor="text1"/>
                <w:sz w:val="18"/>
                <w:szCs w:val="18"/>
              </w:rPr>
            </w:pPr>
          </w:p>
        </w:tc>
        <w:tc>
          <w:tcPr>
            <w:tcW w:w="1406" w:type="dxa"/>
            <w:vAlign w:val="center"/>
          </w:tcPr>
          <w:p w14:paraId="23999E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2CE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33655CB">
            <w:pPr>
              <w:rPr>
                <w:color w:val="000000" w:themeColor="text1"/>
              </w:rPr>
            </w:pPr>
          </w:p>
        </w:tc>
        <w:tc>
          <w:tcPr>
            <w:tcW w:w="1110" w:type="dxa"/>
            <w:vAlign w:val="center"/>
          </w:tcPr>
          <w:p w14:paraId="617267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670EB8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46D13FE">
            <w:pPr>
              <w:jc w:val="center"/>
              <w:rPr>
                <w:rFonts w:ascii="仿宋_GB2312" w:hAnsi="黑体" w:eastAsia="仿宋_GB2312" w:cs="黑体"/>
                <w:color w:val="000000" w:themeColor="text1"/>
                <w:sz w:val="18"/>
                <w:szCs w:val="18"/>
              </w:rPr>
            </w:pPr>
          </w:p>
        </w:tc>
        <w:tc>
          <w:tcPr>
            <w:tcW w:w="1406" w:type="dxa"/>
            <w:vAlign w:val="center"/>
          </w:tcPr>
          <w:p w14:paraId="2B92A7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6D7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5F481B33">
            <w:pPr>
              <w:rPr>
                <w:color w:val="000000" w:themeColor="text1"/>
              </w:rPr>
            </w:pPr>
          </w:p>
        </w:tc>
        <w:tc>
          <w:tcPr>
            <w:tcW w:w="1110" w:type="dxa"/>
            <w:vAlign w:val="center"/>
          </w:tcPr>
          <w:p w14:paraId="34592A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B5F99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5E7E747">
            <w:pPr>
              <w:jc w:val="center"/>
              <w:rPr>
                <w:rFonts w:ascii="仿宋_GB2312" w:hAnsi="黑体" w:eastAsia="仿宋_GB2312" w:cs="黑体"/>
                <w:color w:val="000000" w:themeColor="text1"/>
                <w:sz w:val="18"/>
                <w:szCs w:val="18"/>
              </w:rPr>
            </w:pPr>
          </w:p>
        </w:tc>
        <w:tc>
          <w:tcPr>
            <w:tcW w:w="1406" w:type="dxa"/>
            <w:vAlign w:val="center"/>
          </w:tcPr>
          <w:p w14:paraId="2C100F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979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10CA1E6">
            <w:pPr>
              <w:rPr>
                <w:color w:val="000000" w:themeColor="text1"/>
              </w:rPr>
            </w:pPr>
          </w:p>
        </w:tc>
        <w:tc>
          <w:tcPr>
            <w:tcW w:w="1110" w:type="dxa"/>
            <w:vAlign w:val="center"/>
          </w:tcPr>
          <w:p w14:paraId="4F7D3FB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F638C8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0F26C8A">
            <w:pPr>
              <w:jc w:val="center"/>
              <w:rPr>
                <w:rFonts w:ascii="仿宋_GB2312" w:hAnsi="黑体" w:eastAsia="仿宋_GB2312" w:cs="黑体"/>
                <w:color w:val="000000" w:themeColor="text1"/>
                <w:sz w:val="18"/>
                <w:szCs w:val="18"/>
              </w:rPr>
            </w:pPr>
          </w:p>
        </w:tc>
        <w:tc>
          <w:tcPr>
            <w:tcW w:w="1406" w:type="dxa"/>
            <w:vAlign w:val="center"/>
          </w:tcPr>
          <w:p w14:paraId="3391589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786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82C99A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3C12F2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EBE4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D999E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1BFDFD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790EED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F36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126D4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F57655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C9D5B7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B6F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7ABE166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C11FE06">
            <w:pPr>
              <w:widowControl/>
              <w:jc w:val="left"/>
              <w:textAlignment w:val="center"/>
              <w:rPr>
                <w:rFonts w:ascii="黑体" w:eastAsia="黑体" w:cs="黑体"/>
                <w:color w:val="000000" w:themeColor="text1"/>
                <w:kern w:val="0"/>
                <w:sz w:val="18"/>
                <w:szCs w:val="18"/>
              </w:rPr>
            </w:pPr>
          </w:p>
        </w:tc>
      </w:tr>
    </w:tbl>
    <w:p w14:paraId="77D2874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C47D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8A0EF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867BA79">
            <w:pPr>
              <w:jc w:val="center"/>
              <w:rPr>
                <w:rFonts w:ascii="黑体" w:eastAsia="黑体" w:cs="黑体"/>
                <w:b/>
                <w:bCs/>
                <w:color w:val="000000" w:themeColor="text1"/>
                <w:szCs w:val="21"/>
              </w:rPr>
            </w:pPr>
            <w:r>
              <w:rPr>
                <w:rFonts w:ascii="黑体" w:eastAsia="黑体" w:cs="黑体"/>
                <w:b/>
                <w:bCs/>
                <w:color w:val="000000" w:themeColor="text1"/>
                <w:szCs w:val="21"/>
              </w:rPr>
              <w:t>164</w:t>
            </w:r>
          </w:p>
        </w:tc>
        <w:tc>
          <w:tcPr>
            <w:tcW w:w="1691" w:type="dxa"/>
            <w:vAlign w:val="center"/>
          </w:tcPr>
          <w:p w14:paraId="1F3D662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FA1726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E66DA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483196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BB1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41646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C3DF4FA">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对交通运输领域项目招标人不按规定确定中标人等情形的行政处罚</w:t>
            </w:r>
          </w:p>
        </w:tc>
      </w:tr>
      <w:tr w14:paraId="5BAAC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95DA20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91C2537">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2F2A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FBF2B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B8EA0C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号）第七十三条依法必须进行招标的项目的招标人有下列情形之一的，由有关行政监督部门责令改正，可以处中标项目金额</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w:t>
            </w:r>
          </w:p>
          <w:p w14:paraId="7559D03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EC8F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546E2C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252C1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AAADFE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34C50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BF2B13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EDFC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CFE4EC2">
            <w:pPr>
              <w:rPr>
                <w:color w:val="000000" w:themeColor="text1"/>
              </w:rPr>
            </w:pPr>
          </w:p>
        </w:tc>
        <w:tc>
          <w:tcPr>
            <w:tcW w:w="1110" w:type="dxa"/>
            <w:vAlign w:val="center"/>
          </w:tcPr>
          <w:p w14:paraId="0B3D25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BC837F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35AD0A9">
            <w:pPr>
              <w:jc w:val="center"/>
              <w:rPr>
                <w:rFonts w:ascii="仿宋_GB2312" w:hAnsi="黑体" w:eastAsia="仿宋_GB2312" w:cs="黑体"/>
                <w:color w:val="000000" w:themeColor="text1"/>
                <w:sz w:val="18"/>
                <w:szCs w:val="18"/>
              </w:rPr>
            </w:pPr>
          </w:p>
        </w:tc>
        <w:tc>
          <w:tcPr>
            <w:tcW w:w="1406" w:type="dxa"/>
            <w:vAlign w:val="center"/>
          </w:tcPr>
          <w:p w14:paraId="3A6A57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A26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4FCCE8F">
            <w:pPr>
              <w:rPr>
                <w:color w:val="000000" w:themeColor="text1"/>
              </w:rPr>
            </w:pPr>
          </w:p>
        </w:tc>
        <w:tc>
          <w:tcPr>
            <w:tcW w:w="1110" w:type="dxa"/>
            <w:vAlign w:val="center"/>
          </w:tcPr>
          <w:p w14:paraId="66FAC2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B48EB5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80E9E18">
            <w:pPr>
              <w:jc w:val="center"/>
              <w:rPr>
                <w:rFonts w:ascii="仿宋_GB2312" w:hAnsi="黑体" w:eastAsia="仿宋_GB2312" w:cs="黑体"/>
                <w:color w:val="000000" w:themeColor="text1"/>
                <w:sz w:val="18"/>
                <w:szCs w:val="18"/>
              </w:rPr>
            </w:pPr>
          </w:p>
        </w:tc>
        <w:tc>
          <w:tcPr>
            <w:tcW w:w="1406" w:type="dxa"/>
            <w:vAlign w:val="center"/>
          </w:tcPr>
          <w:p w14:paraId="18A4D7B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C03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C7955BA">
            <w:pPr>
              <w:rPr>
                <w:color w:val="000000" w:themeColor="text1"/>
              </w:rPr>
            </w:pPr>
          </w:p>
        </w:tc>
        <w:tc>
          <w:tcPr>
            <w:tcW w:w="1110" w:type="dxa"/>
            <w:vAlign w:val="center"/>
          </w:tcPr>
          <w:p w14:paraId="3DEB0C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E3F03C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A7FF8D4">
            <w:pPr>
              <w:jc w:val="center"/>
              <w:rPr>
                <w:rFonts w:ascii="仿宋_GB2312" w:hAnsi="黑体" w:eastAsia="仿宋_GB2312" w:cs="黑体"/>
                <w:color w:val="000000" w:themeColor="text1"/>
                <w:sz w:val="18"/>
                <w:szCs w:val="18"/>
              </w:rPr>
            </w:pPr>
          </w:p>
        </w:tc>
        <w:tc>
          <w:tcPr>
            <w:tcW w:w="1406" w:type="dxa"/>
            <w:vAlign w:val="center"/>
          </w:tcPr>
          <w:p w14:paraId="2DD430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A603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EE134DD">
            <w:pPr>
              <w:rPr>
                <w:color w:val="000000" w:themeColor="text1"/>
              </w:rPr>
            </w:pPr>
          </w:p>
        </w:tc>
        <w:tc>
          <w:tcPr>
            <w:tcW w:w="1110" w:type="dxa"/>
            <w:vAlign w:val="center"/>
          </w:tcPr>
          <w:p w14:paraId="5275EE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2080BF0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0C37945">
            <w:pPr>
              <w:jc w:val="center"/>
              <w:rPr>
                <w:rFonts w:ascii="仿宋_GB2312" w:hAnsi="黑体" w:eastAsia="仿宋_GB2312" w:cs="黑体"/>
                <w:color w:val="000000" w:themeColor="text1"/>
                <w:sz w:val="18"/>
                <w:szCs w:val="18"/>
              </w:rPr>
            </w:pPr>
          </w:p>
        </w:tc>
        <w:tc>
          <w:tcPr>
            <w:tcW w:w="1406" w:type="dxa"/>
            <w:vAlign w:val="center"/>
          </w:tcPr>
          <w:p w14:paraId="626C2A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F479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C2401B8">
            <w:pPr>
              <w:rPr>
                <w:color w:val="000000" w:themeColor="text1"/>
              </w:rPr>
            </w:pPr>
          </w:p>
        </w:tc>
        <w:tc>
          <w:tcPr>
            <w:tcW w:w="1110" w:type="dxa"/>
            <w:vAlign w:val="center"/>
          </w:tcPr>
          <w:p w14:paraId="43F3311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981E1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06587D7">
            <w:pPr>
              <w:jc w:val="center"/>
              <w:rPr>
                <w:rFonts w:ascii="仿宋_GB2312" w:hAnsi="黑体" w:eastAsia="仿宋_GB2312" w:cs="黑体"/>
                <w:color w:val="000000" w:themeColor="text1"/>
                <w:sz w:val="18"/>
                <w:szCs w:val="18"/>
              </w:rPr>
            </w:pPr>
          </w:p>
        </w:tc>
        <w:tc>
          <w:tcPr>
            <w:tcW w:w="1406" w:type="dxa"/>
            <w:vAlign w:val="center"/>
          </w:tcPr>
          <w:p w14:paraId="7EC9D1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AA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AFE83E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22F0120">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868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A8272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E84E1E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A92C42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E43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BA5E9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B906F1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C2244F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17F8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5DDA016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BE7EF35">
            <w:pPr>
              <w:widowControl/>
              <w:jc w:val="left"/>
              <w:textAlignment w:val="center"/>
              <w:rPr>
                <w:rFonts w:ascii="黑体" w:eastAsia="黑体" w:cs="黑体"/>
                <w:color w:val="000000" w:themeColor="text1"/>
                <w:kern w:val="0"/>
                <w:sz w:val="18"/>
                <w:szCs w:val="18"/>
              </w:rPr>
            </w:pPr>
          </w:p>
        </w:tc>
      </w:tr>
    </w:tbl>
    <w:p w14:paraId="5F965E70">
      <w:pPr>
        <w:rPr>
          <w:color w:val="000000" w:themeColor="text1"/>
          <w:sz w:val="24"/>
        </w:rPr>
      </w:pPr>
    </w:p>
    <w:p w14:paraId="14E055E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B514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06503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4E3031D">
            <w:pPr>
              <w:jc w:val="center"/>
              <w:rPr>
                <w:rFonts w:ascii="黑体" w:eastAsia="黑体" w:cs="黑体"/>
                <w:b/>
                <w:bCs/>
                <w:color w:val="000000" w:themeColor="text1"/>
                <w:szCs w:val="21"/>
              </w:rPr>
            </w:pPr>
            <w:r>
              <w:rPr>
                <w:rFonts w:ascii="黑体" w:eastAsia="黑体" w:cs="黑体"/>
                <w:b/>
                <w:bCs/>
                <w:color w:val="000000" w:themeColor="text1"/>
                <w:szCs w:val="21"/>
              </w:rPr>
              <w:t>165</w:t>
            </w:r>
          </w:p>
        </w:tc>
        <w:tc>
          <w:tcPr>
            <w:tcW w:w="1691" w:type="dxa"/>
            <w:vAlign w:val="center"/>
          </w:tcPr>
          <w:p w14:paraId="5650DF5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E8781E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F5F75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6F94FC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2A7A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3007A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FA9E49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对交通运输领域项目中标人无正当理由不与招标人订立合同，在签订合同时向招标人提出附加条件，或者不按照招标文件要求提交履约保证金的行政处罚</w:t>
            </w:r>
          </w:p>
        </w:tc>
      </w:tr>
      <w:tr w14:paraId="4FC04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2F37A5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42C8FB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EEC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1359A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4CCA26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【法律法规】《中华人民共和国招标投标法实施条例》（国务院令第</w:t>
            </w:r>
            <w:r>
              <w:rPr>
                <w:rFonts w:ascii="仿宋_GB2312" w:eastAsia="仿宋_GB2312" w:cs="仿宋_GB2312"/>
                <w:color w:val="000000" w:themeColor="text1"/>
                <w:kern w:val="0"/>
                <w:sz w:val="18"/>
                <w:szCs w:val="18"/>
              </w:rPr>
              <w:t>709</w:t>
            </w:r>
            <w:r>
              <w:rPr>
                <w:rFonts w:hint="eastAsia" w:ascii="仿宋_GB2312" w:eastAsia="仿宋_GB2312" w:cs="仿宋_GB2312"/>
                <w:color w:val="000000" w:themeColor="text1"/>
                <w:kern w:val="0"/>
                <w:sz w:val="18"/>
                <w:szCs w:val="18"/>
              </w:rPr>
              <w:t>号）第七十四条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‰以下的罚款。</w:t>
            </w:r>
          </w:p>
          <w:p w14:paraId="09CD3F06">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6A8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EF8FC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74D75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445AA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A1DF0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1D42B4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EE19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4B31F6B">
            <w:pPr>
              <w:rPr>
                <w:color w:val="000000" w:themeColor="text1"/>
              </w:rPr>
            </w:pPr>
          </w:p>
        </w:tc>
        <w:tc>
          <w:tcPr>
            <w:tcW w:w="1110" w:type="dxa"/>
            <w:vAlign w:val="center"/>
          </w:tcPr>
          <w:p w14:paraId="1AD08CA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72D8E1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82B9E93">
            <w:pPr>
              <w:jc w:val="center"/>
              <w:rPr>
                <w:rFonts w:ascii="仿宋_GB2312" w:hAnsi="黑体" w:eastAsia="仿宋_GB2312" w:cs="黑体"/>
                <w:color w:val="000000" w:themeColor="text1"/>
                <w:sz w:val="18"/>
                <w:szCs w:val="18"/>
              </w:rPr>
            </w:pPr>
          </w:p>
        </w:tc>
        <w:tc>
          <w:tcPr>
            <w:tcW w:w="1406" w:type="dxa"/>
            <w:vAlign w:val="center"/>
          </w:tcPr>
          <w:p w14:paraId="6AE733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0EF5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7386254">
            <w:pPr>
              <w:rPr>
                <w:color w:val="000000" w:themeColor="text1"/>
              </w:rPr>
            </w:pPr>
          </w:p>
        </w:tc>
        <w:tc>
          <w:tcPr>
            <w:tcW w:w="1110" w:type="dxa"/>
            <w:vAlign w:val="center"/>
          </w:tcPr>
          <w:p w14:paraId="6942B2A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1093062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977C429">
            <w:pPr>
              <w:jc w:val="center"/>
              <w:rPr>
                <w:rFonts w:ascii="仿宋_GB2312" w:hAnsi="黑体" w:eastAsia="仿宋_GB2312" w:cs="黑体"/>
                <w:color w:val="000000" w:themeColor="text1"/>
                <w:sz w:val="18"/>
                <w:szCs w:val="18"/>
              </w:rPr>
            </w:pPr>
          </w:p>
        </w:tc>
        <w:tc>
          <w:tcPr>
            <w:tcW w:w="1406" w:type="dxa"/>
            <w:vAlign w:val="center"/>
          </w:tcPr>
          <w:p w14:paraId="0FF55F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1E1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9DD5A02">
            <w:pPr>
              <w:rPr>
                <w:color w:val="000000" w:themeColor="text1"/>
              </w:rPr>
            </w:pPr>
          </w:p>
        </w:tc>
        <w:tc>
          <w:tcPr>
            <w:tcW w:w="1110" w:type="dxa"/>
            <w:vAlign w:val="center"/>
          </w:tcPr>
          <w:p w14:paraId="5594D0F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3F7451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360DE3AE">
            <w:pPr>
              <w:jc w:val="center"/>
              <w:rPr>
                <w:rFonts w:ascii="仿宋_GB2312" w:hAnsi="黑体" w:eastAsia="仿宋_GB2312" w:cs="黑体"/>
                <w:color w:val="000000" w:themeColor="text1"/>
                <w:sz w:val="18"/>
                <w:szCs w:val="18"/>
              </w:rPr>
            </w:pPr>
          </w:p>
        </w:tc>
        <w:tc>
          <w:tcPr>
            <w:tcW w:w="1406" w:type="dxa"/>
            <w:vAlign w:val="center"/>
          </w:tcPr>
          <w:p w14:paraId="4994A3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24BE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9D803D4">
            <w:pPr>
              <w:rPr>
                <w:color w:val="000000" w:themeColor="text1"/>
              </w:rPr>
            </w:pPr>
          </w:p>
        </w:tc>
        <w:tc>
          <w:tcPr>
            <w:tcW w:w="1110" w:type="dxa"/>
            <w:vAlign w:val="center"/>
          </w:tcPr>
          <w:p w14:paraId="3F4D9A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A8A001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9750EF1">
            <w:pPr>
              <w:jc w:val="center"/>
              <w:rPr>
                <w:rFonts w:ascii="仿宋_GB2312" w:hAnsi="黑体" w:eastAsia="仿宋_GB2312" w:cs="黑体"/>
                <w:color w:val="000000" w:themeColor="text1"/>
                <w:sz w:val="18"/>
                <w:szCs w:val="18"/>
              </w:rPr>
            </w:pPr>
          </w:p>
        </w:tc>
        <w:tc>
          <w:tcPr>
            <w:tcW w:w="1406" w:type="dxa"/>
            <w:vAlign w:val="center"/>
          </w:tcPr>
          <w:p w14:paraId="7E6281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F11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CBA1D77">
            <w:pPr>
              <w:rPr>
                <w:color w:val="000000" w:themeColor="text1"/>
              </w:rPr>
            </w:pPr>
          </w:p>
        </w:tc>
        <w:tc>
          <w:tcPr>
            <w:tcW w:w="1110" w:type="dxa"/>
            <w:vAlign w:val="center"/>
          </w:tcPr>
          <w:p w14:paraId="44DCF9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576BFA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B065A9D">
            <w:pPr>
              <w:jc w:val="center"/>
              <w:rPr>
                <w:rFonts w:ascii="仿宋_GB2312" w:hAnsi="黑体" w:eastAsia="仿宋_GB2312" w:cs="黑体"/>
                <w:color w:val="000000" w:themeColor="text1"/>
                <w:sz w:val="18"/>
                <w:szCs w:val="18"/>
              </w:rPr>
            </w:pPr>
          </w:p>
        </w:tc>
        <w:tc>
          <w:tcPr>
            <w:tcW w:w="1406" w:type="dxa"/>
            <w:vAlign w:val="center"/>
          </w:tcPr>
          <w:p w14:paraId="1922D7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402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33E5BFF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0E25B4D">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10AD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9A0055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37B84F6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38C5C2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E786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36BA2DF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842598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A26BD0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60C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996EF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BEA1F1E">
            <w:pPr>
              <w:widowControl/>
              <w:jc w:val="left"/>
              <w:textAlignment w:val="center"/>
              <w:rPr>
                <w:rFonts w:ascii="黑体" w:eastAsia="黑体" w:cs="黑体"/>
                <w:color w:val="000000" w:themeColor="text1"/>
                <w:kern w:val="0"/>
                <w:sz w:val="18"/>
                <w:szCs w:val="18"/>
              </w:rPr>
            </w:pPr>
          </w:p>
        </w:tc>
      </w:tr>
    </w:tbl>
    <w:p w14:paraId="6D55BB69">
      <w:pPr>
        <w:rPr>
          <w:color w:val="000000" w:themeColor="text1"/>
          <w:sz w:val="24"/>
        </w:rPr>
      </w:pPr>
    </w:p>
    <w:p w14:paraId="709D421D">
      <w:pPr>
        <w:rPr>
          <w:color w:val="000000" w:themeColor="text1"/>
          <w:sz w:val="24"/>
        </w:rPr>
      </w:pPr>
    </w:p>
    <w:p w14:paraId="5C5B8CE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CA9D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1" w:hRule="atLeast"/>
          <w:jc w:val="center"/>
        </w:trPr>
        <w:tc>
          <w:tcPr>
            <w:tcW w:w="943" w:type="dxa"/>
            <w:vAlign w:val="center"/>
          </w:tcPr>
          <w:p w14:paraId="293C9D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72573D96">
            <w:pPr>
              <w:jc w:val="center"/>
              <w:rPr>
                <w:rFonts w:ascii="黑体" w:eastAsia="黑体" w:cs="黑体"/>
                <w:b/>
                <w:bCs/>
                <w:color w:val="000000" w:themeColor="text1"/>
                <w:szCs w:val="21"/>
              </w:rPr>
            </w:pPr>
            <w:r>
              <w:rPr>
                <w:rFonts w:ascii="黑体" w:eastAsia="黑体" w:cs="黑体"/>
                <w:b/>
                <w:bCs/>
                <w:color w:val="000000" w:themeColor="text1"/>
                <w:szCs w:val="21"/>
              </w:rPr>
              <w:t>166</w:t>
            </w:r>
          </w:p>
        </w:tc>
        <w:tc>
          <w:tcPr>
            <w:tcW w:w="1691" w:type="dxa"/>
            <w:vAlign w:val="center"/>
          </w:tcPr>
          <w:p w14:paraId="49775C2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CA98F5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26886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55237B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7CA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D5889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867754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对公路项目不具备招标条件而进行招标等行为的行政处</w:t>
            </w:r>
          </w:p>
        </w:tc>
      </w:tr>
      <w:tr w14:paraId="5027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795509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78FCB33">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46B7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18C11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10C000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【法律法规】《公路工程建设项目招标投标管理办法》（</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仿宋_GB2312"/>
                <w:color w:val="000000" w:themeColor="text1"/>
                <w:kern w:val="0"/>
                <w:sz w:val="18"/>
                <w:szCs w:val="18"/>
              </w:rPr>
              <w:t>交通运输部令</w:t>
            </w:r>
            <w:r>
              <w:rPr>
                <w:rFonts w:ascii="仿宋_GB2312" w:eastAsia="仿宋_GB2312" w:cs="仿宋_GB2312"/>
                <w:color w:val="000000" w:themeColor="text1"/>
                <w:kern w:val="0"/>
                <w:sz w:val="18"/>
                <w:szCs w:val="18"/>
              </w:rPr>
              <w:t>2015</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24</w:t>
            </w:r>
            <w:r>
              <w:rPr>
                <w:rFonts w:hint="eastAsia" w:ascii="仿宋_GB2312" w:eastAsia="仿宋_GB2312" w:cs="仿宋_GB2312"/>
                <w:color w:val="000000" w:themeColor="text1"/>
                <w:kern w:val="0"/>
                <w:sz w:val="18"/>
                <w:szCs w:val="18"/>
              </w:rPr>
              <w:t>号）第六十八条招标人有下列情形之一的，由交通运输主管部门责令改正，可以处三万元以下的罚款：（一）不满足本办法第八条规定的条件而进行招标的；（二）不按照本办法规定将资格预审文件、招标文件和招标投标情况的书面报告备案的；（三）邀请招标不依法发出投标邀请书的；（四）不按照项目审批、核准部门确定的招标范围、招标方式、招标组织形式进行招标的；（五）不按照本办法规定编制资格预审文件或者招标文件的；（六）由于招标人原因导致资格审查报告存在重大偏差且影响资格预审结果的；（七）挪用投标保证金，增设或者变相增设保证金的；（八）投标人数量不符合法定要求不重新招标的；（九）向评标委员会提供的评标信息不符合本办法规定的；（十）不按照本办法规定公示中标候选人的；（十一）招标文件中规定的履约保证金的金额、支付形式不符合本办法规定的。</w:t>
            </w:r>
          </w:p>
          <w:p w14:paraId="16F0E63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997A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34ECA9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73D43D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E84B7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819DB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7E7F52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C212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1BDCBBC">
            <w:pPr>
              <w:rPr>
                <w:color w:val="000000" w:themeColor="text1"/>
              </w:rPr>
            </w:pPr>
          </w:p>
        </w:tc>
        <w:tc>
          <w:tcPr>
            <w:tcW w:w="1110" w:type="dxa"/>
            <w:vAlign w:val="center"/>
          </w:tcPr>
          <w:p w14:paraId="32FC8F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903150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316DF2BE">
            <w:pPr>
              <w:jc w:val="center"/>
              <w:rPr>
                <w:rFonts w:ascii="仿宋_GB2312" w:hAnsi="黑体" w:eastAsia="仿宋_GB2312" w:cs="黑体"/>
                <w:color w:val="000000" w:themeColor="text1"/>
                <w:sz w:val="18"/>
                <w:szCs w:val="18"/>
              </w:rPr>
            </w:pPr>
          </w:p>
        </w:tc>
        <w:tc>
          <w:tcPr>
            <w:tcW w:w="1406" w:type="dxa"/>
            <w:vAlign w:val="center"/>
          </w:tcPr>
          <w:p w14:paraId="3F4854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19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63FA246">
            <w:pPr>
              <w:rPr>
                <w:color w:val="000000" w:themeColor="text1"/>
              </w:rPr>
            </w:pPr>
          </w:p>
        </w:tc>
        <w:tc>
          <w:tcPr>
            <w:tcW w:w="1110" w:type="dxa"/>
            <w:vAlign w:val="center"/>
          </w:tcPr>
          <w:p w14:paraId="16FA53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134500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2245673">
            <w:pPr>
              <w:jc w:val="center"/>
              <w:rPr>
                <w:rFonts w:ascii="仿宋_GB2312" w:hAnsi="黑体" w:eastAsia="仿宋_GB2312" w:cs="黑体"/>
                <w:color w:val="000000" w:themeColor="text1"/>
                <w:sz w:val="18"/>
                <w:szCs w:val="18"/>
              </w:rPr>
            </w:pPr>
          </w:p>
        </w:tc>
        <w:tc>
          <w:tcPr>
            <w:tcW w:w="1406" w:type="dxa"/>
            <w:vAlign w:val="center"/>
          </w:tcPr>
          <w:p w14:paraId="7F295A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0A7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DD8DBB3">
            <w:pPr>
              <w:rPr>
                <w:color w:val="000000" w:themeColor="text1"/>
              </w:rPr>
            </w:pPr>
          </w:p>
        </w:tc>
        <w:tc>
          <w:tcPr>
            <w:tcW w:w="1110" w:type="dxa"/>
            <w:vAlign w:val="center"/>
          </w:tcPr>
          <w:p w14:paraId="2CC6FC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462E9E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5A3A453">
            <w:pPr>
              <w:jc w:val="center"/>
              <w:rPr>
                <w:rFonts w:ascii="仿宋_GB2312" w:hAnsi="黑体" w:eastAsia="仿宋_GB2312" w:cs="黑体"/>
                <w:color w:val="000000" w:themeColor="text1"/>
                <w:sz w:val="18"/>
                <w:szCs w:val="18"/>
              </w:rPr>
            </w:pPr>
          </w:p>
        </w:tc>
        <w:tc>
          <w:tcPr>
            <w:tcW w:w="1406" w:type="dxa"/>
            <w:vAlign w:val="center"/>
          </w:tcPr>
          <w:p w14:paraId="0F13CB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21B2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3D19951">
            <w:pPr>
              <w:rPr>
                <w:color w:val="000000" w:themeColor="text1"/>
              </w:rPr>
            </w:pPr>
          </w:p>
        </w:tc>
        <w:tc>
          <w:tcPr>
            <w:tcW w:w="1110" w:type="dxa"/>
            <w:vAlign w:val="center"/>
          </w:tcPr>
          <w:p w14:paraId="2089EF2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662999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6300960B">
            <w:pPr>
              <w:jc w:val="center"/>
              <w:rPr>
                <w:rFonts w:ascii="仿宋_GB2312" w:hAnsi="黑体" w:eastAsia="仿宋_GB2312" w:cs="黑体"/>
                <w:color w:val="000000" w:themeColor="text1"/>
                <w:sz w:val="18"/>
                <w:szCs w:val="18"/>
              </w:rPr>
            </w:pPr>
          </w:p>
        </w:tc>
        <w:tc>
          <w:tcPr>
            <w:tcW w:w="1406" w:type="dxa"/>
            <w:vAlign w:val="center"/>
          </w:tcPr>
          <w:p w14:paraId="1F1EE1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B06E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048D60F">
            <w:pPr>
              <w:rPr>
                <w:color w:val="000000" w:themeColor="text1"/>
              </w:rPr>
            </w:pPr>
          </w:p>
        </w:tc>
        <w:tc>
          <w:tcPr>
            <w:tcW w:w="1110" w:type="dxa"/>
            <w:vAlign w:val="center"/>
          </w:tcPr>
          <w:p w14:paraId="40F8F4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FDDF6E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FD5D055">
            <w:pPr>
              <w:jc w:val="center"/>
              <w:rPr>
                <w:rFonts w:ascii="仿宋_GB2312" w:hAnsi="黑体" w:eastAsia="仿宋_GB2312" w:cs="黑体"/>
                <w:color w:val="000000" w:themeColor="text1"/>
                <w:sz w:val="18"/>
                <w:szCs w:val="18"/>
              </w:rPr>
            </w:pPr>
          </w:p>
        </w:tc>
        <w:tc>
          <w:tcPr>
            <w:tcW w:w="1406" w:type="dxa"/>
            <w:vAlign w:val="center"/>
          </w:tcPr>
          <w:p w14:paraId="697E0F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A33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78" w:hRule="atLeast"/>
          <w:jc w:val="center"/>
        </w:trPr>
        <w:tc>
          <w:tcPr>
            <w:tcW w:w="943" w:type="dxa"/>
            <w:vAlign w:val="center"/>
          </w:tcPr>
          <w:p w14:paraId="663ACB7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B9664B9">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7C3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AD2D6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0EC675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9719AC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5BAD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4C4AD1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B15D8A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26D4E6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61BC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4" w:hRule="atLeast"/>
          <w:jc w:val="center"/>
        </w:trPr>
        <w:tc>
          <w:tcPr>
            <w:tcW w:w="943" w:type="dxa"/>
            <w:vAlign w:val="center"/>
          </w:tcPr>
          <w:p w14:paraId="0AFE24D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9F9FA84">
            <w:pPr>
              <w:widowControl/>
              <w:jc w:val="left"/>
              <w:textAlignment w:val="center"/>
              <w:rPr>
                <w:rFonts w:ascii="黑体" w:eastAsia="黑体" w:cs="黑体"/>
                <w:color w:val="000000" w:themeColor="text1"/>
                <w:kern w:val="0"/>
                <w:sz w:val="18"/>
                <w:szCs w:val="18"/>
              </w:rPr>
            </w:pPr>
          </w:p>
        </w:tc>
      </w:tr>
    </w:tbl>
    <w:p w14:paraId="6B55F3B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1331"/>
        <w:gridCol w:w="641"/>
        <w:gridCol w:w="1691"/>
        <w:gridCol w:w="1963"/>
        <w:gridCol w:w="992"/>
        <w:gridCol w:w="567"/>
        <w:gridCol w:w="525"/>
        <w:gridCol w:w="1406"/>
      </w:tblGrid>
      <w:tr w14:paraId="62D1B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1182" w:type="dxa"/>
            <w:vAlign w:val="center"/>
          </w:tcPr>
          <w:p w14:paraId="7E2B4E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72" w:type="dxa"/>
            <w:gridSpan w:val="2"/>
            <w:vAlign w:val="center"/>
          </w:tcPr>
          <w:p w14:paraId="48AA0254">
            <w:pPr>
              <w:jc w:val="center"/>
              <w:rPr>
                <w:rFonts w:ascii="黑体" w:eastAsia="黑体" w:cs="黑体"/>
                <w:b/>
                <w:bCs/>
                <w:color w:val="000000" w:themeColor="text1"/>
                <w:szCs w:val="21"/>
              </w:rPr>
            </w:pPr>
            <w:r>
              <w:rPr>
                <w:rFonts w:ascii="黑体" w:eastAsia="黑体" w:cs="黑体"/>
                <w:b/>
                <w:bCs/>
                <w:color w:val="000000" w:themeColor="text1"/>
                <w:szCs w:val="21"/>
              </w:rPr>
              <w:t>167</w:t>
            </w:r>
          </w:p>
        </w:tc>
        <w:tc>
          <w:tcPr>
            <w:tcW w:w="1691" w:type="dxa"/>
            <w:tcMar>
              <w:top w:w="15" w:type="dxa"/>
              <w:left w:w="15" w:type="dxa"/>
              <w:bottom w:w="15" w:type="dxa"/>
              <w:right w:w="15" w:type="dxa"/>
            </w:tcMar>
            <w:vAlign w:val="center"/>
          </w:tcPr>
          <w:p w14:paraId="3CB9FD2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tcMar>
              <w:top w:w="15" w:type="dxa"/>
              <w:left w:w="15" w:type="dxa"/>
              <w:bottom w:w="15" w:type="dxa"/>
              <w:right w:w="15" w:type="dxa"/>
            </w:tcMar>
            <w:vAlign w:val="center"/>
          </w:tcPr>
          <w:p w14:paraId="7397D19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tcMar>
              <w:top w:w="15" w:type="dxa"/>
              <w:left w:w="15" w:type="dxa"/>
              <w:bottom w:w="15" w:type="dxa"/>
              <w:right w:w="15" w:type="dxa"/>
            </w:tcMar>
            <w:vAlign w:val="center"/>
          </w:tcPr>
          <w:p w14:paraId="0E544F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tcMar>
              <w:top w:w="15" w:type="dxa"/>
              <w:left w:w="15" w:type="dxa"/>
              <w:bottom w:w="15" w:type="dxa"/>
              <w:right w:w="15" w:type="dxa"/>
            </w:tcMar>
            <w:vAlign w:val="center"/>
          </w:tcPr>
          <w:p w14:paraId="012639C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1B2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2A8E7D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6" w:type="dxa"/>
            <w:gridSpan w:val="8"/>
            <w:tcMar>
              <w:top w:w="15" w:type="dxa"/>
              <w:left w:w="15" w:type="dxa"/>
              <w:bottom w:w="15" w:type="dxa"/>
              <w:right w:w="15" w:type="dxa"/>
            </w:tcMar>
            <w:vAlign w:val="center"/>
          </w:tcPr>
          <w:p w14:paraId="0F2247EC">
            <w:pPr>
              <w:widowControl/>
              <w:ind w:firstLine="1980" w:firstLineChars="1100"/>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对水运工程建设项目未履行相关审批、核准手续开展招标活动行为的行政处罚</w:t>
            </w:r>
          </w:p>
        </w:tc>
      </w:tr>
      <w:tr w14:paraId="0A379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jc w:val="center"/>
        </w:trPr>
        <w:tc>
          <w:tcPr>
            <w:tcW w:w="1182" w:type="dxa"/>
            <w:tcMar>
              <w:top w:w="15" w:type="dxa"/>
              <w:left w:w="15" w:type="dxa"/>
              <w:bottom w:w="15" w:type="dxa"/>
              <w:right w:w="15" w:type="dxa"/>
            </w:tcMar>
            <w:vAlign w:val="center"/>
          </w:tcPr>
          <w:p w14:paraId="21FE730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6" w:type="dxa"/>
            <w:gridSpan w:val="8"/>
            <w:tcMar>
              <w:top w:w="15" w:type="dxa"/>
              <w:left w:w="15" w:type="dxa"/>
              <w:bottom w:w="15" w:type="dxa"/>
              <w:right w:w="15" w:type="dxa"/>
            </w:tcMar>
            <w:vAlign w:val="center"/>
          </w:tcPr>
          <w:p w14:paraId="5C7AC21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C030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32" w:hRule="atLeast"/>
          <w:jc w:val="center"/>
        </w:trPr>
        <w:tc>
          <w:tcPr>
            <w:tcW w:w="1182" w:type="dxa"/>
            <w:tcMar>
              <w:top w:w="15" w:type="dxa"/>
              <w:left w:w="15" w:type="dxa"/>
              <w:bottom w:w="15" w:type="dxa"/>
              <w:right w:w="15" w:type="dxa"/>
            </w:tcMar>
            <w:vAlign w:val="center"/>
          </w:tcPr>
          <w:p w14:paraId="517C11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6" w:type="dxa"/>
            <w:gridSpan w:val="8"/>
            <w:tcMar>
              <w:top w:w="15" w:type="dxa"/>
              <w:left w:w="15" w:type="dxa"/>
              <w:bottom w:w="15" w:type="dxa"/>
              <w:right w:w="15" w:type="dxa"/>
            </w:tcMar>
            <w:vAlign w:val="center"/>
          </w:tcPr>
          <w:p w14:paraId="2865DD76">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【法律法规】《水运工程建设项目招投标管理办法》</w:t>
            </w:r>
          </w:p>
          <w:p w14:paraId="57C5D23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第九条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按照国家有关规定需要履行项目立项审批、核准手续的水运工程建设项目，在取得批准后方可开展勘察、设计招标。</w:t>
            </w:r>
          </w:p>
          <w:p w14:paraId="6BC240B8">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水运工程建设项目通过初步设计审批后，方可开展监理、施工、设备、材料等招标。</w:t>
            </w:r>
            <w:r>
              <w:rPr>
                <w:rFonts w:ascii="仿宋" w:hAnsi="仿宋" w:eastAsia="仿宋" w:cs="仿宋_GB2312"/>
                <w:color w:val="000000" w:themeColor="text1"/>
                <w:kern w:val="0"/>
                <w:sz w:val="15"/>
                <w:szCs w:val="15"/>
              </w:rPr>
              <w:t xml:space="preserve">                </w:t>
            </w:r>
          </w:p>
          <w:p w14:paraId="704A5394">
            <w:pPr>
              <w:spacing w:line="240" w:lineRule="exact"/>
              <w:rPr>
                <w:rFonts w:ascii="仿宋" w:hAnsi="仿宋" w:eastAsia="仿宋" w:cs="仿宋_GB2312"/>
                <w:color w:val="000000" w:themeColor="text1"/>
                <w:kern w:val="0"/>
                <w:sz w:val="15"/>
                <w:szCs w:val="15"/>
              </w:rPr>
            </w:pPr>
            <w:r>
              <w:rPr>
                <w:rFonts w:hint="eastAsia" w:ascii="仿宋" w:hAnsi="仿宋" w:eastAsia="仿宋" w:cs="仿宋_GB2312"/>
                <w:color w:val="000000" w:themeColor="text1"/>
                <w:kern w:val="0"/>
                <w:sz w:val="15"/>
                <w:szCs w:val="15"/>
              </w:rPr>
              <w:t>第六十六条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违反本办法第九条规定，水运工程建设项目未履行相关审批、核准手续开展招标活动的，由交通运输主管部门责令改正，可处三万元以下罚款。</w:t>
            </w:r>
          </w:p>
          <w:p w14:paraId="05123D8A">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八条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p w14:paraId="44EE66BD">
            <w:pPr>
              <w:rPr>
                <w:rFonts w:ascii="仿宋" w:hAnsi="仿宋" w:eastAsia="仿宋" w:cs="仿宋_GB2312"/>
                <w:color w:val="000000" w:themeColor="text1"/>
                <w:kern w:val="0"/>
                <w:sz w:val="18"/>
                <w:szCs w:val="18"/>
              </w:rPr>
            </w:pPr>
          </w:p>
          <w:p w14:paraId="320D6BB4">
            <w:pPr>
              <w:spacing w:line="240" w:lineRule="exact"/>
              <w:rPr>
                <w:rFonts w:ascii="仿宋_GB2312" w:eastAsia="仿宋_GB2312" w:cs="黑体"/>
                <w:b/>
                <w:bCs/>
                <w:color w:val="000000" w:themeColor="text1"/>
                <w:szCs w:val="21"/>
              </w:rPr>
            </w:pPr>
          </w:p>
        </w:tc>
      </w:tr>
      <w:tr w14:paraId="4917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jc w:val="center"/>
        </w:trPr>
        <w:tc>
          <w:tcPr>
            <w:tcW w:w="1182" w:type="dxa"/>
            <w:vMerge w:val="restart"/>
            <w:tcMar>
              <w:top w:w="15" w:type="dxa"/>
              <w:left w:w="15" w:type="dxa"/>
              <w:bottom w:w="15" w:type="dxa"/>
              <w:right w:w="15" w:type="dxa"/>
            </w:tcMar>
            <w:vAlign w:val="center"/>
          </w:tcPr>
          <w:p w14:paraId="34AE1F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331" w:type="dxa"/>
            <w:tcMar>
              <w:top w:w="15" w:type="dxa"/>
              <w:left w:w="15" w:type="dxa"/>
              <w:bottom w:w="15" w:type="dxa"/>
              <w:right w:w="15" w:type="dxa"/>
            </w:tcMar>
            <w:vAlign w:val="center"/>
          </w:tcPr>
          <w:p w14:paraId="6AB530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tcMar>
              <w:top w:w="15" w:type="dxa"/>
              <w:left w:w="15" w:type="dxa"/>
              <w:bottom w:w="15" w:type="dxa"/>
              <w:right w:w="15" w:type="dxa"/>
            </w:tcMar>
            <w:vAlign w:val="center"/>
          </w:tcPr>
          <w:p w14:paraId="29B2E1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tcMar>
              <w:top w:w="15" w:type="dxa"/>
              <w:left w:w="15" w:type="dxa"/>
              <w:bottom w:w="15" w:type="dxa"/>
              <w:right w:w="15" w:type="dxa"/>
            </w:tcMar>
            <w:vAlign w:val="center"/>
          </w:tcPr>
          <w:p w14:paraId="3ECE69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tcMar>
              <w:top w:w="15" w:type="dxa"/>
              <w:left w:w="15" w:type="dxa"/>
              <w:bottom w:w="15" w:type="dxa"/>
              <w:right w:w="15" w:type="dxa"/>
            </w:tcMar>
            <w:vAlign w:val="center"/>
          </w:tcPr>
          <w:p w14:paraId="50BC675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350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182" w:type="dxa"/>
            <w:vMerge w:val="continue"/>
            <w:vAlign w:val="center"/>
          </w:tcPr>
          <w:p w14:paraId="42667617">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7ADB402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立案调查</w:t>
            </w:r>
          </w:p>
        </w:tc>
        <w:tc>
          <w:tcPr>
            <w:tcW w:w="5287" w:type="dxa"/>
            <w:gridSpan w:val="4"/>
            <w:tcMar>
              <w:top w:w="15" w:type="dxa"/>
              <w:left w:w="15" w:type="dxa"/>
              <w:bottom w:w="15" w:type="dxa"/>
              <w:right w:w="15" w:type="dxa"/>
            </w:tcMar>
            <w:vAlign w:val="center"/>
          </w:tcPr>
          <w:p w14:paraId="05E1C90F">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1092" w:type="dxa"/>
            <w:gridSpan w:val="2"/>
            <w:tcMar>
              <w:top w:w="15" w:type="dxa"/>
              <w:left w:w="15" w:type="dxa"/>
              <w:bottom w:w="15" w:type="dxa"/>
              <w:right w:w="15" w:type="dxa"/>
            </w:tcMar>
            <w:vAlign w:val="center"/>
          </w:tcPr>
          <w:p w14:paraId="32B96DDD">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E50D6AD">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46BAE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1E2F431D">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1CD3D250">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4"/>
            <w:tcMar>
              <w:top w:w="15" w:type="dxa"/>
              <w:left w:w="15" w:type="dxa"/>
              <w:bottom w:w="15" w:type="dxa"/>
              <w:right w:w="15" w:type="dxa"/>
            </w:tcMar>
            <w:vAlign w:val="center"/>
          </w:tcPr>
          <w:p w14:paraId="2A8C9E31">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1092" w:type="dxa"/>
            <w:gridSpan w:val="2"/>
            <w:tcMar>
              <w:top w:w="15" w:type="dxa"/>
              <w:left w:w="15" w:type="dxa"/>
              <w:bottom w:w="15" w:type="dxa"/>
              <w:right w:w="15" w:type="dxa"/>
            </w:tcMar>
            <w:vAlign w:val="center"/>
          </w:tcPr>
          <w:p w14:paraId="7BDE086C">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40EBAB7F">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00397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2E5CEDF">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0A7BE9F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告知</w:t>
            </w:r>
          </w:p>
        </w:tc>
        <w:tc>
          <w:tcPr>
            <w:tcW w:w="5287" w:type="dxa"/>
            <w:gridSpan w:val="4"/>
            <w:tcMar>
              <w:top w:w="15" w:type="dxa"/>
              <w:left w:w="15" w:type="dxa"/>
              <w:bottom w:w="15" w:type="dxa"/>
              <w:right w:w="15" w:type="dxa"/>
            </w:tcMar>
            <w:vAlign w:val="center"/>
          </w:tcPr>
          <w:p w14:paraId="5508DBB4">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1092" w:type="dxa"/>
            <w:gridSpan w:val="2"/>
            <w:tcMar>
              <w:top w:w="15" w:type="dxa"/>
              <w:left w:w="15" w:type="dxa"/>
              <w:bottom w:w="15" w:type="dxa"/>
              <w:right w:w="15" w:type="dxa"/>
            </w:tcMar>
            <w:vAlign w:val="center"/>
          </w:tcPr>
          <w:p w14:paraId="22E05993">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0E96AFF7">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3BD8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1182" w:type="dxa"/>
            <w:vMerge w:val="continue"/>
            <w:vAlign w:val="center"/>
          </w:tcPr>
          <w:p w14:paraId="25DD6671">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2005EF9A">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决定送达</w:t>
            </w:r>
          </w:p>
        </w:tc>
        <w:tc>
          <w:tcPr>
            <w:tcW w:w="5287" w:type="dxa"/>
            <w:gridSpan w:val="4"/>
            <w:tcMar>
              <w:top w:w="15" w:type="dxa"/>
              <w:left w:w="15" w:type="dxa"/>
              <w:bottom w:w="15" w:type="dxa"/>
              <w:right w:w="15" w:type="dxa"/>
            </w:tcMar>
            <w:vAlign w:val="center"/>
          </w:tcPr>
          <w:p w14:paraId="6BF42B75">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根据案件审查情况分别作出相应行政处罚决定，并按法律规定的方式将相关执法文书送达当事人。</w:t>
            </w:r>
          </w:p>
        </w:tc>
        <w:tc>
          <w:tcPr>
            <w:tcW w:w="1092" w:type="dxa"/>
            <w:gridSpan w:val="2"/>
            <w:tcMar>
              <w:top w:w="15" w:type="dxa"/>
              <w:left w:w="15" w:type="dxa"/>
              <w:bottom w:w="15" w:type="dxa"/>
              <w:right w:w="15" w:type="dxa"/>
            </w:tcMar>
            <w:vAlign w:val="center"/>
          </w:tcPr>
          <w:p w14:paraId="527EA020">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461725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7EE06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182" w:type="dxa"/>
            <w:vMerge w:val="continue"/>
            <w:vAlign w:val="center"/>
          </w:tcPr>
          <w:p w14:paraId="665E816C">
            <w:pPr>
              <w:widowControl/>
              <w:jc w:val="left"/>
              <w:rPr>
                <w:rFonts w:ascii="黑体" w:eastAsia="黑体" w:cs="黑体"/>
                <w:b/>
                <w:bCs/>
                <w:color w:val="000000" w:themeColor="text1"/>
                <w:szCs w:val="21"/>
              </w:rPr>
            </w:pPr>
          </w:p>
        </w:tc>
        <w:tc>
          <w:tcPr>
            <w:tcW w:w="1331" w:type="dxa"/>
            <w:tcMar>
              <w:top w:w="15" w:type="dxa"/>
              <w:left w:w="15" w:type="dxa"/>
              <w:bottom w:w="15" w:type="dxa"/>
              <w:right w:w="15" w:type="dxa"/>
            </w:tcMar>
            <w:vAlign w:val="center"/>
          </w:tcPr>
          <w:p w14:paraId="5FBDF235">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执行</w:t>
            </w:r>
          </w:p>
        </w:tc>
        <w:tc>
          <w:tcPr>
            <w:tcW w:w="5287" w:type="dxa"/>
            <w:gridSpan w:val="4"/>
            <w:tcMar>
              <w:top w:w="15" w:type="dxa"/>
              <w:left w:w="15" w:type="dxa"/>
              <w:bottom w:w="15" w:type="dxa"/>
              <w:right w:w="15" w:type="dxa"/>
            </w:tcMar>
            <w:vAlign w:val="center"/>
          </w:tcPr>
          <w:p w14:paraId="1D02B9C7">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按照规定执行处罚决定。</w:t>
            </w:r>
          </w:p>
        </w:tc>
        <w:tc>
          <w:tcPr>
            <w:tcW w:w="1092" w:type="dxa"/>
            <w:gridSpan w:val="2"/>
            <w:tcMar>
              <w:top w:w="15" w:type="dxa"/>
              <w:left w:w="15" w:type="dxa"/>
              <w:bottom w:w="15" w:type="dxa"/>
              <w:right w:w="15" w:type="dxa"/>
            </w:tcMar>
            <w:vAlign w:val="center"/>
          </w:tcPr>
          <w:p w14:paraId="0EADF385">
            <w:pPr>
              <w:jc w:val="center"/>
              <w:rPr>
                <w:rFonts w:ascii="仿宋_GB2312" w:hAnsi="黑体" w:eastAsia="仿宋_GB2312" w:cs="黑体"/>
                <w:color w:val="000000" w:themeColor="text1"/>
                <w:sz w:val="18"/>
                <w:szCs w:val="18"/>
              </w:rPr>
            </w:pPr>
          </w:p>
        </w:tc>
        <w:tc>
          <w:tcPr>
            <w:tcW w:w="1406" w:type="dxa"/>
            <w:tcMar>
              <w:top w:w="15" w:type="dxa"/>
              <w:left w:w="15" w:type="dxa"/>
              <w:bottom w:w="15" w:type="dxa"/>
              <w:right w:w="15" w:type="dxa"/>
            </w:tcMar>
            <w:vAlign w:val="center"/>
          </w:tcPr>
          <w:p w14:paraId="12C3A75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区交通运输综合行政执法大队</w:t>
            </w:r>
          </w:p>
        </w:tc>
      </w:tr>
      <w:tr w14:paraId="635C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0" w:hRule="atLeast"/>
          <w:jc w:val="center"/>
        </w:trPr>
        <w:tc>
          <w:tcPr>
            <w:tcW w:w="1182" w:type="dxa"/>
            <w:tcMar>
              <w:top w:w="15" w:type="dxa"/>
              <w:left w:w="15" w:type="dxa"/>
              <w:bottom w:w="15" w:type="dxa"/>
              <w:right w:w="15" w:type="dxa"/>
            </w:tcMar>
            <w:vAlign w:val="center"/>
          </w:tcPr>
          <w:p w14:paraId="01C68E3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6" w:type="dxa"/>
            <w:gridSpan w:val="8"/>
            <w:tcMar>
              <w:top w:w="15" w:type="dxa"/>
              <w:left w:w="15" w:type="dxa"/>
              <w:bottom w:w="15" w:type="dxa"/>
              <w:right w:w="15" w:type="dxa"/>
            </w:tcMar>
            <w:vAlign w:val="center"/>
          </w:tcPr>
          <w:p w14:paraId="0F8D5C51">
            <w:pPr>
              <w:spacing w:line="240" w:lineRule="exact"/>
              <w:rPr>
                <w:rFonts w:ascii="仿宋" w:hAnsi="仿宋" w:eastAsia="仿宋" w:cs="黑体"/>
                <w:color w:val="000000" w:themeColor="text1"/>
                <w:szCs w:val="21"/>
              </w:rPr>
            </w:pPr>
            <w:r>
              <w:rPr>
                <w:rFonts w:hint="eastAsia" w:ascii="仿宋" w:hAnsi="仿宋" w:eastAsia="仿宋" w:cs="仿宋_GB2312"/>
                <w:color w:val="000000" w:themeColor="text1"/>
                <w:kern w:val="0"/>
                <w:sz w:val="18"/>
                <w:szCs w:val="18"/>
              </w:rPr>
              <w:t>因不履行或不正确履行行政职责，有下列情形的，行政机关及相关工作人员应承担相应责任：</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没有法律和事实依据实施行政处罚的；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行政处罚显失公正的；</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执法人员玩忽职守，对应当予以制止和处罚的违法行为不予制止、处罚，致使职工合法权益遭受损害的；</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不具备行政执法资格实施行政处罚的；</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在制止以及查处违法案件中受阻，依照有关规定应当向本级人民政府或者上级主管部门报告而未报告的；</w:t>
            </w:r>
            <w:r>
              <w:rPr>
                <w:rFonts w:ascii="仿宋" w:hAnsi="仿宋" w:eastAsia="仿宋" w:cs="仿宋_GB2312"/>
                <w:color w:val="000000" w:themeColor="text1"/>
                <w:kern w:val="0"/>
                <w:sz w:val="18"/>
                <w:szCs w:val="18"/>
              </w:rPr>
              <w:t>6.</w:t>
            </w:r>
            <w:r>
              <w:rPr>
                <w:rFonts w:hint="eastAsia" w:ascii="仿宋" w:hAnsi="仿宋" w:eastAsia="仿宋" w:cs="仿宋_GB2312"/>
                <w:color w:val="000000" w:themeColor="text1"/>
                <w:kern w:val="0"/>
                <w:sz w:val="18"/>
                <w:szCs w:val="18"/>
              </w:rPr>
              <w:t>应当依法移送追究刑事责任，而未依法移送有权机关的；</w:t>
            </w:r>
            <w:r>
              <w:rPr>
                <w:rFonts w:ascii="仿宋" w:hAnsi="仿宋" w:eastAsia="仿宋" w:cs="仿宋_GB2312"/>
                <w:color w:val="000000" w:themeColor="text1"/>
                <w:kern w:val="0"/>
                <w:sz w:val="18"/>
                <w:szCs w:val="18"/>
              </w:rPr>
              <w:t>7.</w:t>
            </w:r>
            <w:r>
              <w:rPr>
                <w:rFonts w:hint="eastAsia" w:ascii="仿宋" w:hAnsi="仿宋" w:eastAsia="仿宋" w:cs="仿宋_GB2312"/>
                <w:color w:val="000000" w:themeColor="text1"/>
                <w:kern w:val="0"/>
                <w:sz w:val="18"/>
                <w:szCs w:val="18"/>
              </w:rPr>
              <w:t>擅自改变行政处罚种类、幅度的；</w:t>
            </w:r>
            <w:r>
              <w:rPr>
                <w:rFonts w:ascii="仿宋" w:hAnsi="仿宋" w:eastAsia="仿宋" w:cs="仿宋_GB2312"/>
                <w:color w:val="000000" w:themeColor="text1"/>
                <w:kern w:val="0"/>
                <w:sz w:val="18"/>
                <w:szCs w:val="18"/>
              </w:rPr>
              <w:t>8.</w:t>
            </w:r>
            <w:r>
              <w:rPr>
                <w:rFonts w:hint="eastAsia" w:ascii="仿宋" w:hAnsi="仿宋" w:eastAsia="仿宋" w:cs="仿宋_GB2312"/>
                <w:color w:val="000000" w:themeColor="text1"/>
                <w:kern w:val="0"/>
                <w:sz w:val="18"/>
                <w:szCs w:val="18"/>
              </w:rPr>
              <w:t>违反法定的行政处罚程序的；</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符合听证条件、行政管理相对人要求听证，应予组织听证而不组织听证的；</w:t>
            </w:r>
            <w:r>
              <w:rPr>
                <w:rFonts w:ascii="仿宋" w:hAnsi="仿宋" w:eastAsia="仿宋" w:cs="仿宋_GB2312"/>
                <w:color w:val="000000" w:themeColor="text1"/>
                <w:kern w:val="0"/>
                <w:sz w:val="18"/>
                <w:szCs w:val="18"/>
              </w:rPr>
              <w:t>10.</w:t>
            </w:r>
            <w:r>
              <w:rPr>
                <w:rFonts w:hint="eastAsia" w:ascii="仿宋" w:hAnsi="仿宋" w:eastAsia="仿宋" w:cs="仿宋_GB2312"/>
                <w:color w:val="000000" w:themeColor="text1"/>
                <w:kern w:val="0"/>
                <w:sz w:val="18"/>
                <w:szCs w:val="18"/>
              </w:rPr>
              <w:t>在行政处罚过程中发生腐败行为的；</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其他违反法律法规规章文件规定的行为。</w:t>
            </w:r>
          </w:p>
        </w:tc>
      </w:tr>
      <w:tr w14:paraId="3D55E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82" w:type="dxa"/>
            <w:tcMar>
              <w:top w:w="15" w:type="dxa"/>
              <w:left w:w="15" w:type="dxa"/>
              <w:bottom w:w="15" w:type="dxa"/>
              <w:right w:w="15" w:type="dxa"/>
            </w:tcMar>
            <w:vAlign w:val="center"/>
          </w:tcPr>
          <w:p w14:paraId="0BE382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6" w:type="dxa"/>
            <w:gridSpan w:val="8"/>
            <w:tcMar>
              <w:top w:w="15" w:type="dxa"/>
              <w:left w:w="15" w:type="dxa"/>
              <w:bottom w:w="15" w:type="dxa"/>
              <w:right w:w="15" w:type="dxa"/>
            </w:tcMar>
            <w:vAlign w:val="center"/>
          </w:tcPr>
          <w:p w14:paraId="4190EB9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BC571F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54FC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6" w:hRule="atLeast"/>
          <w:jc w:val="center"/>
        </w:trPr>
        <w:tc>
          <w:tcPr>
            <w:tcW w:w="1182" w:type="dxa"/>
            <w:tcMar>
              <w:top w:w="15" w:type="dxa"/>
              <w:left w:w="15" w:type="dxa"/>
              <w:bottom w:w="15" w:type="dxa"/>
              <w:right w:w="15" w:type="dxa"/>
            </w:tcMar>
            <w:vAlign w:val="center"/>
          </w:tcPr>
          <w:p w14:paraId="0E5BA7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6" w:type="dxa"/>
            <w:gridSpan w:val="8"/>
            <w:tcMar>
              <w:top w:w="15" w:type="dxa"/>
              <w:left w:w="15" w:type="dxa"/>
              <w:bottom w:w="15" w:type="dxa"/>
              <w:right w:w="15" w:type="dxa"/>
            </w:tcMar>
            <w:vAlign w:val="center"/>
          </w:tcPr>
          <w:p w14:paraId="2BB4725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60EA63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E903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1182" w:type="dxa"/>
            <w:tcMar>
              <w:top w:w="15" w:type="dxa"/>
              <w:left w:w="15" w:type="dxa"/>
              <w:bottom w:w="15" w:type="dxa"/>
              <w:right w:w="15" w:type="dxa"/>
            </w:tcMar>
            <w:vAlign w:val="center"/>
          </w:tcPr>
          <w:p w14:paraId="25116AE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6" w:type="dxa"/>
            <w:gridSpan w:val="8"/>
            <w:tcMar>
              <w:top w:w="15" w:type="dxa"/>
              <w:left w:w="15" w:type="dxa"/>
              <w:bottom w:w="15" w:type="dxa"/>
              <w:right w:w="15" w:type="dxa"/>
            </w:tcMar>
            <w:vAlign w:val="center"/>
          </w:tcPr>
          <w:p w14:paraId="732E0EB7">
            <w:pPr>
              <w:widowControl/>
              <w:jc w:val="left"/>
              <w:textAlignment w:val="center"/>
              <w:rPr>
                <w:rFonts w:ascii="黑体" w:eastAsia="黑体" w:cs="黑体"/>
                <w:color w:val="000000" w:themeColor="text1"/>
                <w:kern w:val="0"/>
                <w:sz w:val="18"/>
                <w:szCs w:val="18"/>
              </w:rPr>
            </w:pPr>
          </w:p>
        </w:tc>
      </w:tr>
    </w:tbl>
    <w:p w14:paraId="11C0CCEB">
      <w:pPr>
        <w:pStyle w:val="8"/>
        <w:snapToGrid w:val="0"/>
        <w:spacing w:before="0" w:beforeAutospacing="0" w:after="0" w:afterAutospacing="0" w:line="240" w:lineRule="atLeast"/>
        <w:jc w:val="both"/>
        <w:rPr>
          <w:color w:val="000000" w:themeColor="text1"/>
          <w:sz w:val="11"/>
          <w:szCs w:val="11"/>
        </w:rPr>
      </w:pPr>
    </w:p>
    <w:p w14:paraId="7B96BF29">
      <w:pPr>
        <w:rPr>
          <w:color w:val="000000" w:themeColor="text1"/>
          <w:sz w:val="24"/>
        </w:rPr>
      </w:pPr>
    </w:p>
    <w:p w14:paraId="1B1EF5D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D561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4D2449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1D88BB1F">
            <w:pPr>
              <w:jc w:val="center"/>
              <w:rPr>
                <w:rFonts w:ascii="黑体" w:eastAsia="黑体" w:cs="黑体"/>
                <w:b/>
                <w:bCs/>
                <w:color w:val="000000" w:themeColor="text1"/>
                <w:szCs w:val="21"/>
              </w:rPr>
            </w:pPr>
            <w:r>
              <w:rPr>
                <w:rFonts w:ascii="黑体" w:eastAsia="黑体" w:cs="黑体"/>
                <w:b/>
                <w:bCs/>
                <w:color w:val="000000" w:themeColor="text1"/>
                <w:szCs w:val="21"/>
              </w:rPr>
              <w:t>168</w:t>
            </w:r>
          </w:p>
        </w:tc>
        <w:tc>
          <w:tcPr>
            <w:tcW w:w="1691" w:type="dxa"/>
            <w:vAlign w:val="center"/>
          </w:tcPr>
          <w:p w14:paraId="42F4696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C40A18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D041D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D6D44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F347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FC6EE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FF7640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对交通运输领域项目招标方案未经核准或未按核准的招标方案进行招标行为的行政处罚</w:t>
            </w:r>
          </w:p>
        </w:tc>
      </w:tr>
      <w:tr w14:paraId="5831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324799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423199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6554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DAE10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88A336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【法律法规】《河北省实施</w:t>
            </w:r>
            <w:r>
              <w:rPr>
                <w:rFonts w:ascii="仿宋_GB2312" w:eastAsia="仿宋_GB2312" w:cs="仿宋_GB2312"/>
                <w:color w:val="000000" w:themeColor="text1"/>
                <w:kern w:val="0"/>
                <w:sz w:val="18"/>
                <w:szCs w:val="18"/>
              </w:rPr>
              <w:t>&lt;</w:t>
            </w:r>
            <w:r>
              <w:rPr>
                <w:rFonts w:hint="eastAsia" w:ascii="仿宋_GB2312" w:eastAsia="仿宋_GB2312" w:cs="仿宋_GB2312"/>
                <w:color w:val="000000" w:themeColor="text1"/>
                <w:kern w:val="0"/>
                <w:sz w:val="18"/>
                <w:szCs w:val="18"/>
              </w:rPr>
              <w:t>中华人民共和国招标投标法</w:t>
            </w:r>
            <w:r>
              <w:rPr>
                <w:rFonts w:ascii="仿宋_GB2312" w:eastAsia="仿宋_GB2312" w:cs="仿宋_GB2312"/>
                <w:color w:val="000000" w:themeColor="text1"/>
                <w:kern w:val="0"/>
                <w:sz w:val="18"/>
                <w:szCs w:val="18"/>
              </w:rPr>
              <w:t>&gt;</w:t>
            </w:r>
            <w:r>
              <w:rPr>
                <w:rFonts w:hint="eastAsia" w:ascii="仿宋_GB2312" w:eastAsia="仿宋_GB2312" w:cs="仿宋_GB2312"/>
                <w:color w:val="000000" w:themeColor="text1"/>
                <w:kern w:val="0"/>
                <w:sz w:val="18"/>
                <w:szCs w:val="18"/>
              </w:rPr>
              <w:t>办法》第四十一条违反本办法规定，依法必须进行招标项目的招标方案应当经项目审批部门核准而未经核准的，或者未按项目审批部门核准的招标方案进行招标的，由项目审批部门责令限期改正，可以处一万元以上五万元以下的罚款；对单位直接负责的主管人员和其他直接责任人员依法给予行政处分。</w:t>
            </w:r>
          </w:p>
          <w:p w14:paraId="6B41B7F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F52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98A8F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0382F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7D0264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9E58E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CC815D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33A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4F3C373">
            <w:pPr>
              <w:rPr>
                <w:color w:val="000000" w:themeColor="text1"/>
              </w:rPr>
            </w:pPr>
          </w:p>
        </w:tc>
        <w:tc>
          <w:tcPr>
            <w:tcW w:w="1110" w:type="dxa"/>
            <w:vAlign w:val="center"/>
          </w:tcPr>
          <w:p w14:paraId="773657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FA12EF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59194727">
            <w:pPr>
              <w:jc w:val="center"/>
              <w:rPr>
                <w:rFonts w:ascii="仿宋_GB2312" w:hAnsi="黑体" w:eastAsia="仿宋_GB2312" w:cs="黑体"/>
                <w:color w:val="000000" w:themeColor="text1"/>
                <w:sz w:val="18"/>
                <w:szCs w:val="18"/>
              </w:rPr>
            </w:pPr>
          </w:p>
        </w:tc>
        <w:tc>
          <w:tcPr>
            <w:tcW w:w="1406" w:type="dxa"/>
            <w:vAlign w:val="center"/>
          </w:tcPr>
          <w:p w14:paraId="58E8262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7090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95F8285">
            <w:pPr>
              <w:rPr>
                <w:color w:val="000000" w:themeColor="text1"/>
              </w:rPr>
            </w:pPr>
          </w:p>
        </w:tc>
        <w:tc>
          <w:tcPr>
            <w:tcW w:w="1110" w:type="dxa"/>
            <w:vAlign w:val="center"/>
          </w:tcPr>
          <w:p w14:paraId="195B52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63FEF8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F59C9F4">
            <w:pPr>
              <w:jc w:val="center"/>
              <w:rPr>
                <w:rFonts w:ascii="仿宋_GB2312" w:hAnsi="黑体" w:eastAsia="仿宋_GB2312" w:cs="黑体"/>
                <w:color w:val="000000" w:themeColor="text1"/>
                <w:sz w:val="18"/>
                <w:szCs w:val="18"/>
              </w:rPr>
            </w:pPr>
          </w:p>
        </w:tc>
        <w:tc>
          <w:tcPr>
            <w:tcW w:w="1406" w:type="dxa"/>
            <w:vAlign w:val="center"/>
          </w:tcPr>
          <w:p w14:paraId="73C85A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181A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E8018EF">
            <w:pPr>
              <w:rPr>
                <w:color w:val="000000" w:themeColor="text1"/>
              </w:rPr>
            </w:pPr>
          </w:p>
        </w:tc>
        <w:tc>
          <w:tcPr>
            <w:tcW w:w="1110" w:type="dxa"/>
            <w:vAlign w:val="center"/>
          </w:tcPr>
          <w:p w14:paraId="085F3F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33AA60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A569978">
            <w:pPr>
              <w:jc w:val="center"/>
              <w:rPr>
                <w:rFonts w:ascii="仿宋_GB2312" w:hAnsi="黑体" w:eastAsia="仿宋_GB2312" w:cs="黑体"/>
                <w:color w:val="000000" w:themeColor="text1"/>
                <w:sz w:val="18"/>
                <w:szCs w:val="18"/>
              </w:rPr>
            </w:pPr>
          </w:p>
        </w:tc>
        <w:tc>
          <w:tcPr>
            <w:tcW w:w="1406" w:type="dxa"/>
            <w:vAlign w:val="center"/>
          </w:tcPr>
          <w:p w14:paraId="7F1AA5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EA4B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1A1FE33">
            <w:pPr>
              <w:rPr>
                <w:color w:val="000000" w:themeColor="text1"/>
              </w:rPr>
            </w:pPr>
          </w:p>
        </w:tc>
        <w:tc>
          <w:tcPr>
            <w:tcW w:w="1110" w:type="dxa"/>
            <w:vAlign w:val="center"/>
          </w:tcPr>
          <w:p w14:paraId="3C058E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86BC40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7D428851">
            <w:pPr>
              <w:jc w:val="center"/>
              <w:rPr>
                <w:rFonts w:ascii="仿宋_GB2312" w:hAnsi="黑体" w:eastAsia="仿宋_GB2312" w:cs="黑体"/>
                <w:color w:val="000000" w:themeColor="text1"/>
                <w:sz w:val="18"/>
                <w:szCs w:val="18"/>
              </w:rPr>
            </w:pPr>
          </w:p>
        </w:tc>
        <w:tc>
          <w:tcPr>
            <w:tcW w:w="1406" w:type="dxa"/>
            <w:vAlign w:val="center"/>
          </w:tcPr>
          <w:p w14:paraId="3671CB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0E8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0B9C55ED">
            <w:pPr>
              <w:rPr>
                <w:color w:val="000000" w:themeColor="text1"/>
              </w:rPr>
            </w:pPr>
          </w:p>
        </w:tc>
        <w:tc>
          <w:tcPr>
            <w:tcW w:w="1110" w:type="dxa"/>
            <w:vAlign w:val="center"/>
          </w:tcPr>
          <w:p w14:paraId="19B222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4ADF9A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D2A4D25">
            <w:pPr>
              <w:jc w:val="center"/>
              <w:rPr>
                <w:rFonts w:ascii="仿宋_GB2312" w:hAnsi="黑体" w:eastAsia="仿宋_GB2312" w:cs="黑体"/>
                <w:color w:val="000000" w:themeColor="text1"/>
                <w:sz w:val="18"/>
                <w:szCs w:val="18"/>
              </w:rPr>
            </w:pPr>
          </w:p>
        </w:tc>
        <w:tc>
          <w:tcPr>
            <w:tcW w:w="1406" w:type="dxa"/>
            <w:vAlign w:val="center"/>
          </w:tcPr>
          <w:p w14:paraId="57F609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D54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1E3B791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46041D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5026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DE801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313F47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26A248F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9F0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F6FA3C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1533816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1331A8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EF89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48899FD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1BA452D">
            <w:pPr>
              <w:widowControl/>
              <w:jc w:val="left"/>
              <w:textAlignment w:val="center"/>
              <w:rPr>
                <w:rFonts w:ascii="黑体" w:eastAsia="黑体" w:cs="黑体"/>
                <w:color w:val="000000" w:themeColor="text1"/>
                <w:kern w:val="0"/>
                <w:sz w:val="18"/>
                <w:szCs w:val="18"/>
              </w:rPr>
            </w:pPr>
          </w:p>
        </w:tc>
      </w:tr>
    </w:tbl>
    <w:p w14:paraId="3D141B7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2E79D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711E0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E0BCD2A">
            <w:pPr>
              <w:jc w:val="center"/>
              <w:rPr>
                <w:rFonts w:ascii="黑体" w:eastAsia="黑体" w:cs="黑体"/>
                <w:b/>
                <w:bCs/>
                <w:color w:val="000000" w:themeColor="text1"/>
                <w:szCs w:val="21"/>
              </w:rPr>
            </w:pPr>
            <w:r>
              <w:rPr>
                <w:rFonts w:ascii="黑体" w:eastAsia="黑体" w:cs="黑体"/>
                <w:b/>
                <w:bCs/>
                <w:color w:val="000000" w:themeColor="text1"/>
                <w:szCs w:val="21"/>
              </w:rPr>
              <w:t>169</w:t>
            </w:r>
          </w:p>
        </w:tc>
        <w:tc>
          <w:tcPr>
            <w:tcW w:w="1691" w:type="dxa"/>
            <w:vAlign w:val="center"/>
          </w:tcPr>
          <w:p w14:paraId="3E6C2E7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FCE31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6BBDA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CFD21E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1239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8D156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80B644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对交通运输领域生产经营单位不具备安全生产条件行为的行政处罚</w:t>
            </w:r>
          </w:p>
        </w:tc>
      </w:tr>
      <w:tr w14:paraId="4D9F6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93" w:hRule="atLeast"/>
          <w:jc w:val="center"/>
        </w:trPr>
        <w:tc>
          <w:tcPr>
            <w:tcW w:w="943" w:type="dxa"/>
            <w:vAlign w:val="center"/>
          </w:tcPr>
          <w:p w14:paraId="11EB487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699189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78C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2BA5E918">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9D1905A">
            <w:pPr>
              <w:widowControl/>
              <w:spacing w:line="18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8"/>
                <w:szCs w:val="18"/>
              </w:rPr>
              <w:t>《中华人民共和国安全生产法》第九十三条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有前款违法行为，导致发生生产安全事故的，对生产经营单位的主要负责人给予撤职处分，对个人经营的投资人处二万元以上二十万元以下的罚款；构成犯罪的，依照刑法有关规定追究刑事责任。第一百一十三条第二款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二）经停产停业整顿，仍不具备法律、行政法规和国家标准或者行业标准规定的安全生产条件的；</w:t>
            </w:r>
            <w:r>
              <w:rPr>
                <w:rFonts w:ascii="仿宋" w:hAnsi="仿宋" w:eastAsia="仿宋" w:cs="仿宋_GB2312"/>
                <w:color w:val="000000" w:themeColor="text1"/>
                <w:kern w:val="0"/>
                <w:sz w:val="18"/>
                <w:szCs w:val="18"/>
              </w:rPr>
              <w:t>2.</w:t>
            </w:r>
            <w:r>
              <w:rPr>
                <w:rFonts w:hint="eastAsia" w:ascii="仿宋" w:hAnsi="仿宋" w:eastAsia="仿宋" w:cs="仿宋_GB2312"/>
                <w:color w:val="000000" w:themeColor="text1"/>
                <w:kern w:val="0"/>
                <w:sz w:val="18"/>
                <w:szCs w:val="18"/>
              </w:rPr>
              <w:t>《建设工程安全生产管理条例》（国务院令第</w:t>
            </w:r>
            <w:r>
              <w:rPr>
                <w:rFonts w:ascii="仿宋" w:hAnsi="仿宋" w:eastAsia="仿宋" w:cs="仿宋_GB2312"/>
                <w:color w:val="000000" w:themeColor="text1"/>
                <w:kern w:val="0"/>
                <w:sz w:val="18"/>
                <w:szCs w:val="18"/>
              </w:rPr>
              <w:t>393</w:t>
            </w:r>
            <w:r>
              <w:rPr>
                <w:rFonts w:hint="eastAsia" w:ascii="仿宋" w:hAnsi="仿宋" w:eastAsia="仿宋" w:cs="仿宋_GB2312"/>
                <w:color w:val="000000" w:themeColor="text1"/>
                <w:kern w:val="0"/>
                <w:sz w:val="18"/>
                <w:szCs w:val="18"/>
              </w:rPr>
              <w:t>号）第五十四条违反本条例的规定，建设单位未提供建设工程安全生产作业环境及安全施工措施所需费用的，责令限期改正；逾期未改正的，责令该建设工程停止施工。</w:t>
            </w:r>
            <w:r>
              <w:rPr>
                <w:rFonts w:ascii="仿宋" w:hAnsi="仿宋" w:eastAsia="仿宋" w:cs="仿宋_GB2312"/>
                <w:color w:val="000000" w:themeColor="text1"/>
                <w:kern w:val="0"/>
                <w:sz w:val="18"/>
                <w:szCs w:val="18"/>
              </w:rPr>
              <w:t>3.</w:t>
            </w:r>
            <w:r>
              <w:rPr>
                <w:rFonts w:hint="eastAsia" w:ascii="仿宋" w:hAnsi="仿宋" w:eastAsia="仿宋" w:cs="仿宋_GB2312"/>
                <w:color w:val="000000" w:themeColor="text1"/>
                <w:kern w:val="0"/>
                <w:sz w:val="18"/>
                <w:szCs w:val="18"/>
              </w:rPr>
              <w:t>《河北省安全生产条例》（河北省人民代表大会常务委员会公告</w:t>
            </w:r>
            <w:r>
              <w:rPr>
                <w:rFonts w:ascii="仿宋" w:hAnsi="仿宋" w:eastAsia="仿宋" w:cs="仿宋_GB2312"/>
                <w:color w:val="000000" w:themeColor="text1"/>
                <w:kern w:val="0"/>
                <w:sz w:val="18"/>
                <w:szCs w:val="18"/>
              </w:rPr>
              <w:t>2024</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26</w:t>
            </w:r>
            <w:r>
              <w:rPr>
                <w:rFonts w:hint="eastAsia" w:ascii="仿宋" w:hAnsi="仿宋" w:eastAsia="仿宋" w:cs="仿宋_GB2312"/>
                <w:color w:val="000000" w:themeColor="text1"/>
                <w:kern w:val="0"/>
                <w:sz w:val="18"/>
                <w:szCs w:val="18"/>
              </w:rPr>
              <w:t>号）第八十三条</w:t>
            </w:r>
            <w:r>
              <w:rPr>
                <w:rFonts w:ascii="仿宋" w:hAnsi="仿宋" w:eastAsia="仿宋" w:cs="仿宋_GB2312"/>
                <w:color w:val="000000" w:themeColor="text1"/>
                <w:kern w:val="0"/>
                <w:sz w:val="18"/>
                <w:szCs w:val="18"/>
              </w:rPr>
              <w:t xml:space="preserve">  </w:t>
            </w:r>
            <w:r>
              <w:rPr>
                <w:rFonts w:hint="eastAsia" w:ascii="仿宋" w:hAnsi="仿宋" w:eastAsia="仿宋" w:cs="仿宋_GB2312"/>
                <w:color w:val="000000" w:themeColor="text1"/>
                <w:kern w:val="0"/>
                <w:sz w:val="18"/>
                <w:szCs w:val="18"/>
              </w:rPr>
              <w:t>生产经营单位的决策机构、主要负责人、个人经营的投资人未按照本条例规定保证安全生产所必需的资金投入，致使生产经营单位不具备安全生产条件的，责令限期改正，提供必需的资金；逾期未改正的，责令生产经营单位停产停业整顿。有前款违法行为，导致发生生产安全事故的，对生产经营单位的主要负责人给予撤职处分；对个人经营的投资人处二万元以上五万元以下的罚款，情节较重的处五万元以上十万元以下的罚款，情节严重的处十万元以上二十万元以下的罚款；构成犯罪的，依法追究刑事责任。</w:t>
            </w:r>
            <w:r>
              <w:rPr>
                <w:rFonts w:ascii="仿宋" w:hAnsi="仿宋" w:eastAsia="仿宋" w:cs="仿宋_GB2312"/>
                <w:color w:val="000000" w:themeColor="text1"/>
                <w:kern w:val="0"/>
                <w:sz w:val="18"/>
                <w:szCs w:val="18"/>
              </w:rPr>
              <w:t xml:space="preserve"> </w:t>
            </w:r>
            <w:r>
              <w:rPr>
                <w:rFonts w:ascii="仿宋" w:hAnsi="仿宋" w:eastAsia="仿宋" w:cs="宋体"/>
                <w:color w:val="000000" w:themeColor="text1"/>
                <w:kern w:val="0"/>
                <w:sz w:val="18"/>
                <w:szCs w:val="18"/>
              </w:rPr>
              <w:t>4.</w:t>
            </w:r>
            <w:r>
              <w:rPr>
                <w:rFonts w:hint="eastAsia" w:ascii="仿宋" w:hAnsi="仿宋" w:eastAsia="仿宋" w:cs="宋体"/>
                <w:color w:val="000000" w:themeColor="text1"/>
                <w:kern w:val="0"/>
                <w:sz w:val="18"/>
                <w:szCs w:val="18"/>
              </w:rPr>
              <w:t>《道路旅客运输及客运站管理规定》第一百条　违反本规定，客运经营者、客运站经营者存在重大运输安全隐患等情形，导致不具备安全生产条件，经停产停业整顿仍不具备安全生产条件的，由交通运输主管部门依法吊销相应许可</w:t>
            </w:r>
            <w:r>
              <w:rPr>
                <w:rFonts w:ascii="仿宋" w:hAnsi="仿宋" w:eastAsia="仿宋" w:cs="宋体"/>
                <w:color w:val="000000" w:themeColor="text1"/>
                <w:kern w:val="0"/>
                <w:sz w:val="18"/>
                <w:szCs w:val="18"/>
              </w:rPr>
              <w:t>.5.</w:t>
            </w:r>
            <w:r>
              <w:rPr>
                <w:rFonts w:hint="eastAsia" w:ascii="仿宋" w:hAnsi="仿宋" w:eastAsia="仿宋" w:cs="宋体"/>
                <w:color w:val="000000" w:themeColor="text1"/>
                <w:kern w:val="0"/>
                <w:sz w:val="18"/>
                <w:szCs w:val="18"/>
              </w:rPr>
              <w:t>《道路货物运输及站场管理规定》第五十八条交通运输主管部门在实施道路运输监督检查过程中，发现取得道路货物运输经营许可的道路货物运输经营者不再具备开业要求的安全生产条件的，应当由原许可机关撤销原许可</w:t>
            </w:r>
            <w:r>
              <w:rPr>
                <w:rFonts w:ascii="仿宋" w:hAnsi="仿宋" w:eastAsia="仿宋" w:cs="宋体"/>
                <w:color w:val="000000" w:themeColor="text1"/>
                <w:kern w:val="0"/>
                <w:sz w:val="18"/>
                <w:szCs w:val="18"/>
              </w:rPr>
              <w:t xml:space="preserve">.6. </w:t>
            </w:r>
            <w:r>
              <w:rPr>
                <w:rFonts w:hint="eastAsia" w:ascii="仿宋" w:hAnsi="仿宋" w:eastAsia="仿宋" w:cs="宋体"/>
                <w:color w:val="000000" w:themeColor="text1"/>
                <w:kern w:val="0"/>
                <w:sz w:val="18"/>
                <w:szCs w:val="18"/>
              </w:rPr>
              <w:t>《放射性物品道路运输管理规定》第四十三条</w:t>
            </w:r>
            <w:r>
              <w:rPr>
                <w:rFonts w:hint="eastAsia" w:ascii="仿宋" w:hAnsi="仿宋" w:eastAsia="仿宋"/>
                <w:color w:val="000000" w:themeColor="text1"/>
                <w:sz w:val="18"/>
                <w:szCs w:val="18"/>
                <w:shd w:val="clear" w:color="auto" w:fill="FFFFFF"/>
              </w:rPr>
              <w:t>违反本规定，放射性物品道路运输企业或者单位已不具备许可要求的有关安全条件，存在重大运输安全隐患的，由交通运输主管部门依照《中华人民共和国安全生产法》的规定，给予罚款、停产停业整顿、吊销相关许可证件等处罚。</w:t>
            </w:r>
          </w:p>
          <w:p w14:paraId="5C635967">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2AD7D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A721A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36510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F7E81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D66CB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28D838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292B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4" w:hRule="atLeast"/>
          <w:jc w:val="center"/>
        </w:trPr>
        <w:tc>
          <w:tcPr>
            <w:tcW w:w="943" w:type="dxa"/>
            <w:vMerge w:val="continue"/>
            <w:vAlign w:val="center"/>
          </w:tcPr>
          <w:p w14:paraId="70A919C2">
            <w:pPr>
              <w:rPr>
                <w:color w:val="000000" w:themeColor="text1"/>
              </w:rPr>
            </w:pPr>
          </w:p>
        </w:tc>
        <w:tc>
          <w:tcPr>
            <w:tcW w:w="1110" w:type="dxa"/>
            <w:vAlign w:val="center"/>
          </w:tcPr>
          <w:p w14:paraId="4192C3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5E521DA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59C16AC">
            <w:pPr>
              <w:jc w:val="center"/>
              <w:rPr>
                <w:rFonts w:ascii="仿宋_GB2312" w:hAnsi="黑体" w:eastAsia="仿宋_GB2312" w:cs="黑体"/>
                <w:color w:val="000000" w:themeColor="text1"/>
                <w:sz w:val="18"/>
                <w:szCs w:val="18"/>
              </w:rPr>
            </w:pPr>
          </w:p>
        </w:tc>
        <w:tc>
          <w:tcPr>
            <w:tcW w:w="1406" w:type="dxa"/>
            <w:vAlign w:val="center"/>
          </w:tcPr>
          <w:p w14:paraId="1E1902C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2EDD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7" w:hRule="atLeast"/>
          <w:jc w:val="center"/>
        </w:trPr>
        <w:tc>
          <w:tcPr>
            <w:tcW w:w="943" w:type="dxa"/>
            <w:vMerge w:val="continue"/>
            <w:vAlign w:val="center"/>
          </w:tcPr>
          <w:p w14:paraId="350DD13A">
            <w:pPr>
              <w:rPr>
                <w:color w:val="000000" w:themeColor="text1"/>
              </w:rPr>
            </w:pPr>
          </w:p>
        </w:tc>
        <w:tc>
          <w:tcPr>
            <w:tcW w:w="1110" w:type="dxa"/>
            <w:vAlign w:val="center"/>
          </w:tcPr>
          <w:p w14:paraId="25CEEB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14FDC2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22E1C696">
            <w:pPr>
              <w:jc w:val="center"/>
              <w:rPr>
                <w:rFonts w:ascii="仿宋_GB2312" w:hAnsi="黑体" w:eastAsia="仿宋_GB2312" w:cs="黑体"/>
                <w:color w:val="000000" w:themeColor="text1"/>
                <w:sz w:val="18"/>
                <w:szCs w:val="18"/>
              </w:rPr>
            </w:pPr>
          </w:p>
        </w:tc>
        <w:tc>
          <w:tcPr>
            <w:tcW w:w="1406" w:type="dxa"/>
            <w:vAlign w:val="center"/>
          </w:tcPr>
          <w:p w14:paraId="65CD1F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CD56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6" w:hRule="atLeast"/>
          <w:jc w:val="center"/>
        </w:trPr>
        <w:tc>
          <w:tcPr>
            <w:tcW w:w="943" w:type="dxa"/>
            <w:vMerge w:val="continue"/>
            <w:vAlign w:val="center"/>
          </w:tcPr>
          <w:p w14:paraId="497C6C38">
            <w:pPr>
              <w:rPr>
                <w:color w:val="000000" w:themeColor="text1"/>
              </w:rPr>
            </w:pPr>
          </w:p>
        </w:tc>
        <w:tc>
          <w:tcPr>
            <w:tcW w:w="1110" w:type="dxa"/>
            <w:vAlign w:val="center"/>
          </w:tcPr>
          <w:p w14:paraId="5342B7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58AC1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1B3983F">
            <w:pPr>
              <w:jc w:val="center"/>
              <w:rPr>
                <w:rFonts w:ascii="仿宋_GB2312" w:hAnsi="黑体" w:eastAsia="仿宋_GB2312" w:cs="黑体"/>
                <w:color w:val="000000" w:themeColor="text1"/>
                <w:sz w:val="18"/>
                <w:szCs w:val="18"/>
              </w:rPr>
            </w:pPr>
          </w:p>
        </w:tc>
        <w:tc>
          <w:tcPr>
            <w:tcW w:w="1406" w:type="dxa"/>
            <w:vAlign w:val="center"/>
          </w:tcPr>
          <w:p w14:paraId="09A96A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C6A8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7" w:hRule="atLeast"/>
          <w:jc w:val="center"/>
        </w:trPr>
        <w:tc>
          <w:tcPr>
            <w:tcW w:w="943" w:type="dxa"/>
            <w:vMerge w:val="continue"/>
            <w:vAlign w:val="center"/>
          </w:tcPr>
          <w:p w14:paraId="0C5A8C16">
            <w:pPr>
              <w:rPr>
                <w:color w:val="000000" w:themeColor="text1"/>
              </w:rPr>
            </w:pPr>
          </w:p>
        </w:tc>
        <w:tc>
          <w:tcPr>
            <w:tcW w:w="1110" w:type="dxa"/>
            <w:vAlign w:val="center"/>
          </w:tcPr>
          <w:p w14:paraId="677018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CD6472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222F2F5">
            <w:pPr>
              <w:jc w:val="center"/>
              <w:rPr>
                <w:rFonts w:ascii="仿宋_GB2312" w:hAnsi="黑体" w:eastAsia="仿宋_GB2312" w:cs="黑体"/>
                <w:color w:val="000000" w:themeColor="text1"/>
                <w:sz w:val="18"/>
                <w:szCs w:val="18"/>
              </w:rPr>
            </w:pPr>
          </w:p>
        </w:tc>
        <w:tc>
          <w:tcPr>
            <w:tcW w:w="1406" w:type="dxa"/>
            <w:vAlign w:val="center"/>
          </w:tcPr>
          <w:p w14:paraId="4578950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FF73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98" w:hRule="atLeast"/>
          <w:jc w:val="center"/>
        </w:trPr>
        <w:tc>
          <w:tcPr>
            <w:tcW w:w="943" w:type="dxa"/>
            <w:vMerge w:val="continue"/>
            <w:vAlign w:val="center"/>
          </w:tcPr>
          <w:p w14:paraId="17F2090E">
            <w:pPr>
              <w:rPr>
                <w:color w:val="000000" w:themeColor="text1"/>
              </w:rPr>
            </w:pPr>
          </w:p>
        </w:tc>
        <w:tc>
          <w:tcPr>
            <w:tcW w:w="1110" w:type="dxa"/>
            <w:vAlign w:val="center"/>
          </w:tcPr>
          <w:p w14:paraId="274A4C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5D65B4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9BF3795">
            <w:pPr>
              <w:jc w:val="center"/>
              <w:rPr>
                <w:rFonts w:ascii="仿宋_GB2312" w:hAnsi="黑体" w:eastAsia="仿宋_GB2312" w:cs="黑体"/>
                <w:color w:val="000000" w:themeColor="text1"/>
                <w:sz w:val="18"/>
                <w:szCs w:val="18"/>
              </w:rPr>
            </w:pPr>
          </w:p>
        </w:tc>
        <w:tc>
          <w:tcPr>
            <w:tcW w:w="1406" w:type="dxa"/>
            <w:vAlign w:val="center"/>
          </w:tcPr>
          <w:p w14:paraId="06A773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E58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Align w:val="center"/>
          </w:tcPr>
          <w:p w14:paraId="59505F3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5D60CD9">
            <w:pPr>
              <w:spacing w:line="240" w:lineRule="exact"/>
              <w:rPr>
                <w:rFonts w:ascii="黑体" w:eastAsia="黑体" w:cs="黑体"/>
                <w:color w:val="000000" w:themeColor="text1"/>
                <w:sz w:val="13"/>
                <w:szCs w:val="13"/>
              </w:rPr>
            </w:pPr>
            <w:r>
              <w:rPr>
                <w:rFonts w:hint="eastAsia" w:ascii="仿宋_GB2312" w:eastAsia="仿宋_GB2312" w:cs="仿宋_GB2312"/>
                <w:color w:val="000000" w:themeColor="text1"/>
                <w:kern w:val="0"/>
                <w:sz w:val="13"/>
                <w:szCs w:val="13"/>
              </w:rPr>
              <w:t>因不履行或不正确履行行政职责，有下列情形的，行政机关及相关工作人员应承担相应责任：</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没有法律和事实依据实施行政处罚的；</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行政处罚显失公正的；</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执法人员玩忽职守，对应当予以制止和处罚的违法行为不予制止、处罚，致使职工合法权益遭受损害的；</w:t>
            </w:r>
            <w:r>
              <w:rPr>
                <w:rFonts w:ascii="仿宋_GB2312" w:eastAsia="仿宋_GB2312" w:cs="仿宋_GB2312"/>
                <w:color w:val="000000" w:themeColor="text1"/>
                <w:kern w:val="0"/>
                <w:sz w:val="13"/>
                <w:szCs w:val="13"/>
              </w:rPr>
              <w:t>4.</w:t>
            </w:r>
            <w:r>
              <w:rPr>
                <w:rFonts w:hint="eastAsia" w:ascii="仿宋_GB2312" w:eastAsia="仿宋_GB2312" w:cs="仿宋_GB2312"/>
                <w:color w:val="000000" w:themeColor="text1"/>
                <w:kern w:val="0"/>
                <w:sz w:val="13"/>
                <w:szCs w:val="13"/>
              </w:rPr>
              <w:t>不具备行政执法资格实施行政处罚的；</w:t>
            </w:r>
            <w:r>
              <w:rPr>
                <w:rFonts w:ascii="仿宋_GB2312" w:eastAsia="仿宋_GB2312" w:cs="仿宋_GB2312"/>
                <w:color w:val="000000" w:themeColor="text1"/>
                <w:kern w:val="0"/>
                <w:sz w:val="13"/>
                <w:szCs w:val="13"/>
              </w:rPr>
              <w:t>5.</w:t>
            </w:r>
            <w:r>
              <w:rPr>
                <w:rFonts w:hint="eastAsia" w:ascii="仿宋_GB2312" w:eastAsia="仿宋_GB2312" w:cs="仿宋_GB2312"/>
                <w:color w:val="000000" w:themeColor="text1"/>
                <w:kern w:val="0"/>
                <w:sz w:val="13"/>
                <w:szCs w:val="13"/>
              </w:rPr>
              <w:t>在制止以及查处违法案件中受阻，依照有关规定应当向本级人民政府或者上级主管部门报告而未报告的；</w:t>
            </w:r>
            <w:r>
              <w:rPr>
                <w:rFonts w:ascii="仿宋_GB2312" w:eastAsia="仿宋_GB2312" w:cs="仿宋_GB2312"/>
                <w:color w:val="000000" w:themeColor="text1"/>
                <w:kern w:val="0"/>
                <w:sz w:val="13"/>
                <w:szCs w:val="13"/>
              </w:rPr>
              <w:t>6.</w:t>
            </w:r>
            <w:r>
              <w:rPr>
                <w:rFonts w:hint="eastAsia" w:ascii="仿宋_GB2312" w:eastAsia="仿宋_GB2312" w:cs="仿宋_GB2312"/>
                <w:color w:val="000000" w:themeColor="text1"/>
                <w:kern w:val="0"/>
                <w:sz w:val="13"/>
                <w:szCs w:val="13"/>
              </w:rPr>
              <w:t>应当依法移送追究刑事责任，而未依法移送有权机关的；</w:t>
            </w:r>
            <w:r>
              <w:rPr>
                <w:rFonts w:ascii="仿宋_GB2312" w:eastAsia="仿宋_GB2312" w:cs="仿宋_GB2312"/>
                <w:color w:val="000000" w:themeColor="text1"/>
                <w:kern w:val="0"/>
                <w:sz w:val="13"/>
                <w:szCs w:val="13"/>
              </w:rPr>
              <w:t>7.</w:t>
            </w:r>
            <w:r>
              <w:rPr>
                <w:rFonts w:hint="eastAsia" w:ascii="仿宋_GB2312" w:eastAsia="仿宋_GB2312" w:cs="仿宋_GB2312"/>
                <w:color w:val="000000" w:themeColor="text1"/>
                <w:kern w:val="0"/>
                <w:sz w:val="13"/>
                <w:szCs w:val="13"/>
              </w:rPr>
              <w:t>擅自改变行政处罚种类、幅度的；</w:t>
            </w:r>
            <w:r>
              <w:rPr>
                <w:rFonts w:ascii="仿宋_GB2312" w:eastAsia="仿宋_GB2312" w:cs="仿宋_GB2312"/>
                <w:color w:val="000000" w:themeColor="text1"/>
                <w:kern w:val="0"/>
                <w:sz w:val="13"/>
                <w:szCs w:val="13"/>
              </w:rPr>
              <w:t>8.</w:t>
            </w:r>
            <w:r>
              <w:rPr>
                <w:rFonts w:hint="eastAsia" w:ascii="仿宋_GB2312" w:eastAsia="仿宋_GB2312" w:cs="仿宋_GB2312"/>
                <w:color w:val="000000" w:themeColor="text1"/>
                <w:kern w:val="0"/>
                <w:sz w:val="13"/>
                <w:szCs w:val="13"/>
              </w:rPr>
              <w:t>违反法定的行政处罚程序的；</w:t>
            </w:r>
            <w:r>
              <w:rPr>
                <w:rFonts w:ascii="仿宋_GB2312" w:eastAsia="仿宋_GB2312" w:cs="仿宋_GB2312"/>
                <w:color w:val="000000" w:themeColor="text1"/>
                <w:kern w:val="0"/>
                <w:sz w:val="13"/>
                <w:szCs w:val="13"/>
              </w:rPr>
              <w:t>9.</w:t>
            </w:r>
            <w:r>
              <w:rPr>
                <w:rFonts w:hint="eastAsia" w:ascii="仿宋_GB2312" w:eastAsia="仿宋_GB2312" w:cs="仿宋_GB2312"/>
                <w:color w:val="000000" w:themeColor="text1"/>
                <w:kern w:val="0"/>
                <w:sz w:val="13"/>
                <w:szCs w:val="13"/>
              </w:rPr>
              <w:t>符合听证条件、行政管理相对人要求听证，应予组织听证而不组织听证的；</w:t>
            </w:r>
            <w:r>
              <w:rPr>
                <w:rFonts w:ascii="仿宋_GB2312" w:eastAsia="仿宋_GB2312" w:cs="仿宋_GB2312"/>
                <w:color w:val="000000" w:themeColor="text1"/>
                <w:kern w:val="0"/>
                <w:sz w:val="13"/>
                <w:szCs w:val="13"/>
              </w:rPr>
              <w:t>10.</w:t>
            </w:r>
            <w:r>
              <w:rPr>
                <w:rFonts w:hint="eastAsia" w:ascii="仿宋_GB2312" w:eastAsia="仿宋_GB2312" w:cs="仿宋_GB2312"/>
                <w:color w:val="000000" w:themeColor="text1"/>
                <w:kern w:val="0"/>
                <w:sz w:val="13"/>
                <w:szCs w:val="13"/>
              </w:rPr>
              <w:t>在行政处罚过程中发生腐败行为的；</w:t>
            </w:r>
            <w:r>
              <w:rPr>
                <w:rFonts w:ascii="仿宋_GB2312" w:eastAsia="仿宋_GB2312" w:cs="仿宋_GB2312"/>
                <w:color w:val="000000" w:themeColor="text1"/>
                <w:kern w:val="0"/>
                <w:sz w:val="13"/>
                <w:szCs w:val="13"/>
              </w:rPr>
              <w:t>11.</w:t>
            </w:r>
            <w:r>
              <w:rPr>
                <w:rFonts w:hint="eastAsia" w:ascii="仿宋_GB2312" w:eastAsia="仿宋_GB2312" w:cs="仿宋_GB2312"/>
                <w:color w:val="000000" w:themeColor="text1"/>
                <w:kern w:val="0"/>
                <w:sz w:val="13"/>
                <w:szCs w:val="13"/>
              </w:rPr>
              <w:t>其他违反法律法规规章文件规定的行为。</w:t>
            </w:r>
          </w:p>
        </w:tc>
      </w:tr>
      <w:tr w14:paraId="7A12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3" w:hRule="atLeast"/>
          <w:jc w:val="center"/>
        </w:trPr>
        <w:tc>
          <w:tcPr>
            <w:tcW w:w="943" w:type="dxa"/>
            <w:vAlign w:val="center"/>
          </w:tcPr>
          <w:p w14:paraId="17A287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2A19C10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9978CB8">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5E13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5" w:hRule="atLeast"/>
          <w:jc w:val="center"/>
        </w:trPr>
        <w:tc>
          <w:tcPr>
            <w:tcW w:w="943" w:type="dxa"/>
            <w:vAlign w:val="center"/>
          </w:tcPr>
          <w:p w14:paraId="1E3473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709FDF6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6337FC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591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05A8C17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427E3BB">
            <w:pPr>
              <w:widowControl/>
              <w:jc w:val="left"/>
              <w:textAlignment w:val="center"/>
              <w:rPr>
                <w:rFonts w:ascii="黑体" w:eastAsia="黑体" w:cs="黑体"/>
                <w:color w:val="000000" w:themeColor="text1"/>
                <w:kern w:val="0"/>
                <w:sz w:val="18"/>
                <w:szCs w:val="18"/>
              </w:rPr>
            </w:pPr>
          </w:p>
        </w:tc>
      </w:tr>
    </w:tbl>
    <w:p w14:paraId="070E594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1809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8" w:hRule="atLeast"/>
          <w:jc w:val="center"/>
        </w:trPr>
        <w:tc>
          <w:tcPr>
            <w:tcW w:w="943" w:type="dxa"/>
            <w:vAlign w:val="center"/>
          </w:tcPr>
          <w:p w14:paraId="744C610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8AF66F0">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170</w:t>
            </w:r>
          </w:p>
        </w:tc>
        <w:tc>
          <w:tcPr>
            <w:tcW w:w="1691" w:type="dxa"/>
            <w:vAlign w:val="center"/>
          </w:tcPr>
          <w:p w14:paraId="42F59C40">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05AEAEF">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E4EF93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EDDB385">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0F5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98622F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BF4A7F0">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对交通运输领域生产经营单位主要负责人、其他负责人及其安全生产管理人员未履行安全生产管理职责的行政处罚</w:t>
            </w:r>
          </w:p>
        </w:tc>
      </w:tr>
      <w:tr w14:paraId="08024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1E72D78">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1A88602">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6ED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B374F1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5D23AF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九十四条生产经营单位的主要负责人未履行本法规定的安全生产管理职责的，责令限期改正，处二万元以上五万元以下的罚款；逾期未改正的，处五万元以上十万元以下的罚款，责令生产经营单位停产停业整顿。生产经营单位的主要负责人有前款违法行为，导致发生生产安全事故的，给予撤职处分；构成犯罪的，依照刑法有关规定追究刑事责任。</w:t>
            </w:r>
          </w:p>
          <w:p w14:paraId="5EB67143">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第一百零三条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w:t>
            </w:r>
          </w:p>
          <w:p w14:paraId="367B2AED">
            <w:pPr>
              <w:spacing w:line="20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六条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作业人员不服管理、违反规章制度和操作规程冒险作业造成重大伤亡事故或者其他严重后果，构成犯罪的，依照刑法有关规定追究刑事责任。施工单位的主要负责人、项目负责人有前款违法行为，尚不够刑事处罚的，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万元以下的罚款或者按照管理权限给予撤职处分；自刑罚执行完毕或者受处分之日起，</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年内不得担任任何施工单位的主要负责人、项目负责人。</w:t>
            </w:r>
          </w:p>
          <w:p w14:paraId="55463EAD">
            <w:pPr>
              <w:spacing w:line="200" w:lineRule="exact"/>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号）第八十二条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生产经营单位的主要负责人违反本条例规定，未履行安全生产管理职责的，责令限期改正，处二万元以上五万元以下的罚款；逾期未改正的，处五万元以上十万元以下的罚款，责令生产经营单位停产停业整顿。生产经营单位的主要负责人有前款违法行为，导致发生生产安全事故的，给予撤职处分；构成犯罪的，依法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生产经营单位的主要负责人对生产安全事故隐瞒不报、谎报或者迟报的，依照《中华人民共和国安全生产法》第一百一十条的规定处罚。</w:t>
            </w:r>
          </w:p>
          <w:p w14:paraId="46DA35F3">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217F8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15" w:hRule="atLeast"/>
          <w:jc w:val="center"/>
        </w:trPr>
        <w:tc>
          <w:tcPr>
            <w:tcW w:w="943" w:type="dxa"/>
            <w:vMerge w:val="restart"/>
            <w:vAlign w:val="center"/>
          </w:tcPr>
          <w:p w14:paraId="3B586EE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595021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B5C1A00">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ACC643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FC94482">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05FE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1" w:hRule="atLeast"/>
          <w:jc w:val="center"/>
        </w:trPr>
        <w:tc>
          <w:tcPr>
            <w:tcW w:w="943" w:type="dxa"/>
            <w:vMerge w:val="continue"/>
            <w:vAlign w:val="center"/>
          </w:tcPr>
          <w:p w14:paraId="20715153">
            <w:pPr>
              <w:spacing w:line="200" w:lineRule="exact"/>
              <w:rPr>
                <w:color w:val="000000" w:themeColor="text1"/>
              </w:rPr>
            </w:pPr>
          </w:p>
        </w:tc>
        <w:tc>
          <w:tcPr>
            <w:tcW w:w="1110" w:type="dxa"/>
            <w:vAlign w:val="center"/>
          </w:tcPr>
          <w:p w14:paraId="128412F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FEC1C9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69EF6CF">
            <w:pPr>
              <w:spacing w:line="200" w:lineRule="exact"/>
              <w:jc w:val="center"/>
              <w:rPr>
                <w:rFonts w:ascii="仿宋_GB2312" w:hAnsi="黑体" w:eastAsia="仿宋_GB2312" w:cs="黑体"/>
                <w:color w:val="000000" w:themeColor="text1"/>
                <w:sz w:val="18"/>
                <w:szCs w:val="18"/>
              </w:rPr>
            </w:pPr>
          </w:p>
        </w:tc>
        <w:tc>
          <w:tcPr>
            <w:tcW w:w="1406" w:type="dxa"/>
            <w:vAlign w:val="center"/>
          </w:tcPr>
          <w:p w14:paraId="5E277A1B">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C7DF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42" w:hRule="atLeast"/>
          <w:jc w:val="center"/>
        </w:trPr>
        <w:tc>
          <w:tcPr>
            <w:tcW w:w="943" w:type="dxa"/>
            <w:vMerge w:val="continue"/>
            <w:vAlign w:val="center"/>
          </w:tcPr>
          <w:p w14:paraId="6FAF7423">
            <w:pPr>
              <w:spacing w:line="200" w:lineRule="exact"/>
              <w:rPr>
                <w:color w:val="000000" w:themeColor="text1"/>
              </w:rPr>
            </w:pPr>
          </w:p>
        </w:tc>
        <w:tc>
          <w:tcPr>
            <w:tcW w:w="1110" w:type="dxa"/>
            <w:vAlign w:val="center"/>
          </w:tcPr>
          <w:p w14:paraId="5BDBEB1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2908F8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7903331">
            <w:pPr>
              <w:spacing w:line="200" w:lineRule="exact"/>
              <w:jc w:val="center"/>
              <w:rPr>
                <w:rFonts w:ascii="仿宋_GB2312" w:hAnsi="黑体" w:eastAsia="仿宋_GB2312" w:cs="黑体"/>
                <w:color w:val="000000" w:themeColor="text1"/>
                <w:sz w:val="18"/>
                <w:szCs w:val="18"/>
              </w:rPr>
            </w:pPr>
          </w:p>
        </w:tc>
        <w:tc>
          <w:tcPr>
            <w:tcW w:w="1406" w:type="dxa"/>
            <w:vAlign w:val="center"/>
          </w:tcPr>
          <w:p w14:paraId="488C649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CF0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9" w:hRule="atLeast"/>
          <w:jc w:val="center"/>
        </w:trPr>
        <w:tc>
          <w:tcPr>
            <w:tcW w:w="943" w:type="dxa"/>
            <w:vMerge w:val="continue"/>
            <w:vAlign w:val="center"/>
          </w:tcPr>
          <w:p w14:paraId="4694E9DE">
            <w:pPr>
              <w:spacing w:line="200" w:lineRule="exact"/>
              <w:rPr>
                <w:color w:val="000000" w:themeColor="text1"/>
              </w:rPr>
            </w:pPr>
          </w:p>
        </w:tc>
        <w:tc>
          <w:tcPr>
            <w:tcW w:w="1110" w:type="dxa"/>
            <w:vAlign w:val="center"/>
          </w:tcPr>
          <w:p w14:paraId="7D0E4D7C">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49BD69B">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8ABF14E">
            <w:pPr>
              <w:spacing w:line="200" w:lineRule="exact"/>
              <w:jc w:val="center"/>
              <w:rPr>
                <w:rFonts w:ascii="仿宋_GB2312" w:hAnsi="黑体" w:eastAsia="仿宋_GB2312" w:cs="黑体"/>
                <w:color w:val="000000" w:themeColor="text1"/>
                <w:sz w:val="18"/>
                <w:szCs w:val="18"/>
              </w:rPr>
            </w:pPr>
          </w:p>
        </w:tc>
        <w:tc>
          <w:tcPr>
            <w:tcW w:w="1406" w:type="dxa"/>
            <w:vAlign w:val="center"/>
          </w:tcPr>
          <w:p w14:paraId="336AB6B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44A1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ABCD30C">
            <w:pPr>
              <w:spacing w:line="200" w:lineRule="exact"/>
              <w:rPr>
                <w:color w:val="000000" w:themeColor="text1"/>
              </w:rPr>
            </w:pPr>
          </w:p>
        </w:tc>
        <w:tc>
          <w:tcPr>
            <w:tcW w:w="1110" w:type="dxa"/>
            <w:vAlign w:val="center"/>
          </w:tcPr>
          <w:p w14:paraId="540B6832">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9CE8097">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0A48A6A">
            <w:pPr>
              <w:spacing w:line="200" w:lineRule="exact"/>
              <w:jc w:val="center"/>
              <w:rPr>
                <w:rFonts w:ascii="仿宋_GB2312" w:hAnsi="黑体" w:eastAsia="仿宋_GB2312" w:cs="黑体"/>
                <w:color w:val="000000" w:themeColor="text1"/>
                <w:sz w:val="18"/>
                <w:szCs w:val="18"/>
              </w:rPr>
            </w:pPr>
          </w:p>
        </w:tc>
        <w:tc>
          <w:tcPr>
            <w:tcW w:w="1406" w:type="dxa"/>
            <w:vAlign w:val="center"/>
          </w:tcPr>
          <w:p w14:paraId="136139F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764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2" w:hRule="atLeast"/>
          <w:jc w:val="center"/>
        </w:trPr>
        <w:tc>
          <w:tcPr>
            <w:tcW w:w="943" w:type="dxa"/>
            <w:vMerge w:val="continue"/>
            <w:vAlign w:val="center"/>
          </w:tcPr>
          <w:p w14:paraId="20E9D921">
            <w:pPr>
              <w:spacing w:line="200" w:lineRule="exact"/>
              <w:rPr>
                <w:color w:val="000000" w:themeColor="text1"/>
              </w:rPr>
            </w:pPr>
          </w:p>
        </w:tc>
        <w:tc>
          <w:tcPr>
            <w:tcW w:w="1110" w:type="dxa"/>
            <w:vAlign w:val="center"/>
          </w:tcPr>
          <w:p w14:paraId="3FF84027">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6A98116">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C9CF74B">
            <w:pPr>
              <w:spacing w:line="200" w:lineRule="exact"/>
              <w:jc w:val="center"/>
              <w:rPr>
                <w:rFonts w:ascii="仿宋_GB2312" w:hAnsi="黑体" w:eastAsia="仿宋_GB2312" w:cs="黑体"/>
                <w:color w:val="000000" w:themeColor="text1"/>
                <w:sz w:val="18"/>
                <w:szCs w:val="18"/>
              </w:rPr>
            </w:pPr>
          </w:p>
        </w:tc>
        <w:tc>
          <w:tcPr>
            <w:tcW w:w="1406" w:type="dxa"/>
            <w:vAlign w:val="center"/>
          </w:tcPr>
          <w:p w14:paraId="7733CE91">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C34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04" w:hRule="atLeast"/>
          <w:jc w:val="center"/>
        </w:trPr>
        <w:tc>
          <w:tcPr>
            <w:tcW w:w="943" w:type="dxa"/>
            <w:vAlign w:val="center"/>
          </w:tcPr>
          <w:p w14:paraId="00831ED9">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983F2C6">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F8AE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19" w:hRule="atLeast"/>
          <w:jc w:val="center"/>
        </w:trPr>
        <w:tc>
          <w:tcPr>
            <w:tcW w:w="943" w:type="dxa"/>
            <w:vAlign w:val="center"/>
          </w:tcPr>
          <w:p w14:paraId="1420E942">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EE0FCA0">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C53437F">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76BD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9" w:hRule="atLeast"/>
          <w:jc w:val="center"/>
        </w:trPr>
        <w:tc>
          <w:tcPr>
            <w:tcW w:w="943" w:type="dxa"/>
            <w:vAlign w:val="center"/>
          </w:tcPr>
          <w:p w14:paraId="7072880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44539D5">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5885D89">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0FCF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661E03BA">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64180DC">
            <w:pPr>
              <w:widowControl/>
              <w:spacing w:line="200" w:lineRule="exact"/>
              <w:jc w:val="left"/>
              <w:textAlignment w:val="center"/>
              <w:rPr>
                <w:rFonts w:ascii="黑体" w:eastAsia="黑体" w:cs="黑体"/>
                <w:color w:val="000000" w:themeColor="text1"/>
                <w:kern w:val="0"/>
                <w:sz w:val="18"/>
                <w:szCs w:val="18"/>
              </w:rPr>
            </w:pPr>
          </w:p>
        </w:tc>
      </w:tr>
    </w:tbl>
    <w:p w14:paraId="58390AC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0A90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8" w:hRule="atLeast"/>
          <w:jc w:val="center"/>
        </w:trPr>
        <w:tc>
          <w:tcPr>
            <w:tcW w:w="943" w:type="dxa"/>
            <w:vAlign w:val="center"/>
          </w:tcPr>
          <w:p w14:paraId="0D067F9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66042FC">
            <w:pPr>
              <w:spacing w:line="200" w:lineRule="exact"/>
              <w:jc w:val="center"/>
              <w:rPr>
                <w:rFonts w:ascii="黑体" w:eastAsia="黑体" w:cs="黑体"/>
                <w:b/>
                <w:bCs/>
                <w:color w:val="000000" w:themeColor="text1"/>
                <w:szCs w:val="21"/>
              </w:rPr>
            </w:pPr>
            <w:r>
              <w:rPr>
                <w:rFonts w:ascii="黑体" w:eastAsia="黑体" w:cs="黑体"/>
                <w:b/>
                <w:bCs/>
                <w:color w:val="000000" w:themeColor="text1"/>
                <w:szCs w:val="21"/>
              </w:rPr>
              <w:t>171</w:t>
            </w:r>
          </w:p>
        </w:tc>
        <w:tc>
          <w:tcPr>
            <w:tcW w:w="1691" w:type="dxa"/>
            <w:vAlign w:val="center"/>
          </w:tcPr>
          <w:p w14:paraId="1D50D146">
            <w:pPr>
              <w:spacing w:line="200" w:lineRule="exact"/>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ACDD026">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BD8F30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BF7B188">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C2FD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0DD3E6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611E647">
            <w:pPr>
              <w:widowControl/>
              <w:spacing w:line="200" w:lineRule="exact"/>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对交通运输领域生产经营单位未按规定设置安全生产管理机构或者配备安全生产管理人员等行为的行政处罚</w:t>
            </w:r>
          </w:p>
        </w:tc>
      </w:tr>
      <w:tr w14:paraId="32159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3050D76">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6254FBE">
            <w:pPr>
              <w:spacing w:line="200" w:lineRule="exact"/>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A1B2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7EE6AC1">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29BB7F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九十七条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未按照规定设置安全生产管理机构或者配备安全生产管理人员、注册安全工程师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二条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未设立安全生产管理机构、配备专职安全生产管理人员或者分部分项工程施工时无专职安全生产管理人员现场监督的；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施工单位的主要负责人、项目负责人、专职安全生产管理人员、作业人员或者特种作业人员，未经安全教育培训或者经考核不合格即从事相关工作的；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号）第八十六条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未按照规定设置安全生产管理机构、安全总监，或者配备安全生产管理人员、注册安全工程师的，责令限期改正，处十万元以下的罚款；逾期未改正的，责令停产停业整顿，并处十万元以上二十万元以下的罚款，对其直接负责的主管人员和其他直接责任人员处二万元以上五万元以下的罚款。第八十七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未按照规定开展安全生产教育培训或者未如实记录教育培训情况，或者未设立教育培训档案的，责令限期改正，处十万元以下的罚款；逾期未改正的，责令停产停业整顿，并处十万元以上二十万元以下的罚款，对其直接负责的主管人员和其他直接责任人员处二万元以上五万元以下的罚款。</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《道路危险货物运输管理规定》第五十九条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违反本规定，道路危险货物运输企业或者单位未配备专职安全管理人员的，由交通运输主管部门依照《中华人民共和国安全生产法》的规定进行处罚。</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《公路水运工程安全生产监督管理办法》（中华人民共和国交通运输部令</w:t>
            </w:r>
            <w:r>
              <w:rPr>
                <w:rFonts w:ascii="仿宋_GB2312" w:eastAsia="仿宋_GB2312" w:cs="仿宋_GB2312"/>
                <w:color w:val="000000" w:themeColor="text1"/>
                <w:kern w:val="0"/>
                <w:sz w:val="18"/>
                <w:szCs w:val="18"/>
              </w:rPr>
              <w:t>2017</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25</w:t>
            </w:r>
            <w:r>
              <w:rPr>
                <w:rFonts w:hint="eastAsia" w:ascii="仿宋_GB2312" w:eastAsia="仿宋_GB2312" w:cs="仿宋_GB2312"/>
                <w:color w:val="000000" w:themeColor="text1"/>
                <w:kern w:val="0"/>
                <w:sz w:val="18"/>
                <w:szCs w:val="18"/>
              </w:rPr>
              <w:t>号）第五十六条　施工单位有下列行为之一的，责令限期改正，可以处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万元以下的罚款</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逾期未改正的，责令停产停业整顿，并处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万元以下的罚款，对其直接负责的主管人员和其他直接责任人员处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万元以下的罚款：（一）未按照规定设置安全生产管理机构或者配备安全生产管理人员的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（二）主要负责人和安全生产管理人员未按照规定经考核合格的。</w:t>
            </w:r>
          </w:p>
          <w:p w14:paraId="31A86E81">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2950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15" w:hRule="atLeast"/>
          <w:jc w:val="center"/>
        </w:trPr>
        <w:tc>
          <w:tcPr>
            <w:tcW w:w="943" w:type="dxa"/>
            <w:vMerge w:val="restart"/>
            <w:vAlign w:val="center"/>
          </w:tcPr>
          <w:p w14:paraId="029132D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B58903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1877D2A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9CF0DF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6C0B83D">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9B32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1" w:hRule="atLeast"/>
          <w:jc w:val="center"/>
        </w:trPr>
        <w:tc>
          <w:tcPr>
            <w:tcW w:w="943" w:type="dxa"/>
            <w:vMerge w:val="continue"/>
            <w:vAlign w:val="center"/>
          </w:tcPr>
          <w:p w14:paraId="6E06E3E2">
            <w:pPr>
              <w:spacing w:line="200" w:lineRule="exact"/>
              <w:rPr>
                <w:color w:val="000000" w:themeColor="text1"/>
              </w:rPr>
            </w:pPr>
          </w:p>
        </w:tc>
        <w:tc>
          <w:tcPr>
            <w:tcW w:w="1110" w:type="dxa"/>
            <w:vAlign w:val="center"/>
          </w:tcPr>
          <w:p w14:paraId="73EE285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B830CC1">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567D2EF">
            <w:pPr>
              <w:spacing w:line="200" w:lineRule="exact"/>
              <w:jc w:val="center"/>
              <w:rPr>
                <w:rFonts w:ascii="仿宋_GB2312" w:hAnsi="黑体" w:eastAsia="仿宋_GB2312" w:cs="黑体"/>
                <w:color w:val="000000" w:themeColor="text1"/>
                <w:sz w:val="18"/>
                <w:szCs w:val="18"/>
              </w:rPr>
            </w:pPr>
          </w:p>
        </w:tc>
        <w:tc>
          <w:tcPr>
            <w:tcW w:w="1406" w:type="dxa"/>
            <w:vAlign w:val="center"/>
          </w:tcPr>
          <w:p w14:paraId="6C2751F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BA46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42" w:hRule="atLeast"/>
          <w:jc w:val="center"/>
        </w:trPr>
        <w:tc>
          <w:tcPr>
            <w:tcW w:w="943" w:type="dxa"/>
            <w:vMerge w:val="continue"/>
            <w:vAlign w:val="center"/>
          </w:tcPr>
          <w:p w14:paraId="4A9E5BB3">
            <w:pPr>
              <w:spacing w:line="200" w:lineRule="exact"/>
              <w:rPr>
                <w:color w:val="000000" w:themeColor="text1"/>
              </w:rPr>
            </w:pPr>
          </w:p>
        </w:tc>
        <w:tc>
          <w:tcPr>
            <w:tcW w:w="1110" w:type="dxa"/>
            <w:vAlign w:val="center"/>
          </w:tcPr>
          <w:p w14:paraId="4F71218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BB0CCBE">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933C174">
            <w:pPr>
              <w:spacing w:line="200" w:lineRule="exact"/>
              <w:jc w:val="center"/>
              <w:rPr>
                <w:rFonts w:ascii="仿宋_GB2312" w:hAnsi="黑体" w:eastAsia="仿宋_GB2312" w:cs="黑体"/>
                <w:color w:val="000000" w:themeColor="text1"/>
                <w:sz w:val="18"/>
                <w:szCs w:val="18"/>
              </w:rPr>
            </w:pPr>
          </w:p>
        </w:tc>
        <w:tc>
          <w:tcPr>
            <w:tcW w:w="1406" w:type="dxa"/>
            <w:vAlign w:val="center"/>
          </w:tcPr>
          <w:p w14:paraId="378F0296">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FB8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9" w:hRule="atLeast"/>
          <w:jc w:val="center"/>
        </w:trPr>
        <w:tc>
          <w:tcPr>
            <w:tcW w:w="943" w:type="dxa"/>
            <w:vMerge w:val="continue"/>
            <w:vAlign w:val="center"/>
          </w:tcPr>
          <w:p w14:paraId="4856DF88">
            <w:pPr>
              <w:spacing w:line="200" w:lineRule="exact"/>
              <w:rPr>
                <w:color w:val="000000" w:themeColor="text1"/>
              </w:rPr>
            </w:pPr>
          </w:p>
        </w:tc>
        <w:tc>
          <w:tcPr>
            <w:tcW w:w="1110" w:type="dxa"/>
            <w:vAlign w:val="center"/>
          </w:tcPr>
          <w:p w14:paraId="6080F28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5460A07E">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96796FB">
            <w:pPr>
              <w:spacing w:line="200" w:lineRule="exact"/>
              <w:jc w:val="center"/>
              <w:rPr>
                <w:rFonts w:ascii="仿宋_GB2312" w:hAnsi="黑体" w:eastAsia="仿宋_GB2312" w:cs="黑体"/>
                <w:color w:val="000000" w:themeColor="text1"/>
                <w:sz w:val="18"/>
                <w:szCs w:val="18"/>
              </w:rPr>
            </w:pPr>
          </w:p>
        </w:tc>
        <w:tc>
          <w:tcPr>
            <w:tcW w:w="1406" w:type="dxa"/>
            <w:vAlign w:val="center"/>
          </w:tcPr>
          <w:p w14:paraId="331AD02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3682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390DBB27">
            <w:pPr>
              <w:spacing w:line="200" w:lineRule="exact"/>
              <w:rPr>
                <w:color w:val="000000" w:themeColor="text1"/>
              </w:rPr>
            </w:pPr>
          </w:p>
        </w:tc>
        <w:tc>
          <w:tcPr>
            <w:tcW w:w="1110" w:type="dxa"/>
            <w:vAlign w:val="center"/>
          </w:tcPr>
          <w:p w14:paraId="36B3EDC0">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B77A82C">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369500D">
            <w:pPr>
              <w:spacing w:line="200" w:lineRule="exact"/>
              <w:jc w:val="center"/>
              <w:rPr>
                <w:rFonts w:ascii="仿宋_GB2312" w:hAnsi="黑体" w:eastAsia="仿宋_GB2312" w:cs="黑体"/>
                <w:color w:val="000000" w:themeColor="text1"/>
                <w:sz w:val="18"/>
                <w:szCs w:val="18"/>
              </w:rPr>
            </w:pPr>
          </w:p>
        </w:tc>
        <w:tc>
          <w:tcPr>
            <w:tcW w:w="1406" w:type="dxa"/>
            <w:vAlign w:val="center"/>
          </w:tcPr>
          <w:p w14:paraId="791C075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24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2" w:hRule="atLeast"/>
          <w:jc w:val="center"/>
        </w:trPr>
        <w:tc>
          <w:tcPr>
            <w:tcW w:w="943" w:type="dxa"/>
            <w:vMerge w:val="continue"/>
            <w:vAlign w:val="center"/>
          </w:tcPr>
          <w:p w14:paraId="5940BC62">
            <w:pPr>
              <w:spacing w:line="200" w:lineRule="exact"/>
              <w:rPr>
                <w:color w:val="000000" w:themeColor="text1"/>
              </w:rPr>
            </w:pPr>
          </w:p>
        </w:tc>
        <w:tc>
          <w:tcPr>
            <w:tcW w:w="1110" w:type="dxa"/>
            <w:vAlign w:val="center"/>
          </w:tcPr>
          <w:p w14:paraId="5D902D99">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19BA8CA0">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DC7408B">
            <w:pPr>
              <w:spacing w:line="200" w:lineRule="exact"/>
              <w:jc w:val="center"/>
              <w:rPr>
                <w:rFonts w:ascii="仿宋_GB2312" w:hAnsi="黑体" w:eastAsia="仿宋_GB2312" w:cs="黑体"/>
                <w:color w:val="000000" w:themeColor="text1"/>
                <w:sz w:val="18"/>
                <w:szCs w:val="18"/>
              </w:rPr>
            </w:pPr>
          </w:p>
        </w:tc>
        <w:tc>
          <w:tcPr>
            <w:tcW w:w="1406" w:type="dxa"/>
            <w:vAlign w:val="center"/>
          </w:tcPr>
          <w:p w14:paraId="518663A8">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B99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04" w:hRule="atLeast"/>
          <w:jc w:val="center"/>
        </w:trPr>
        <w:tc>
          <w:tcPr>
            <w:tcW w:w="943" w:type="dxa"/>
            <w:vAlign w:val="center"/>
          </w:tcPr>
          <w:p w14:paraId="06EAC83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7052353">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55EF8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19" w:hRule="atLeast"/>
          <w:jc w:val="center"/>
        </w:trPr>
        <w:tc>
          <w:tcPr>
            <w:tcW w:w="943" w:type="dxa"/>
            <w:vAlign w:val="center"/>
          </w:tcPr>
          <w:p w14:paraId="32C72B73">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3B6F527">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1CEF700">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4484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9" w:hRule="atLeast"/>
          <w:jc w:val="center"/>
        </w:trPr>
        <w:tc>
          <w:tcPr>
            <w:tcW w:w="943" w:type="dxa"/>
            <w:vAlign w:val="center"/>
          </w:tcPr>
          <w:p w14:paraId="083F998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916013C">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2C0084DF">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E05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0" w:hRule="atLeast"/>
          <w:jc w:val="center"/>
        </w:trPr>
        <w:tc>
          <w:tcPr>
            <w:tcW w:w="943" w:type="dxa"/>
            <w:vAlign w:val="center"/>
          </w:tcPr>
          <w:p w14:paraId="6AED7D74">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D5D32E3">
            <w:pPr>
              <w:widowControl/>
              <w:spacing w:line="200" w:lineRule="exact"/>
              <w:jc w:val="left"/>
              <w:textAlignment w:val="center"/>
              <w:rPr>
                <w:rFonts w:ascii="黑体" w:eastAsia="黑体" w:cs="黑体"/>
                <w:color w:val="000000" w:themeColor="text1"/>
                <w:kern w:val="0"/>
                <w:sz w:val="18"/>
                <w:szCs w:val="18"/>
              </w:rPr>
            </w:pPr>
          </w:p>
        </w:tc>
      </w:tr>
    </w:tbl>
    <w:p w14:paraId="0D4821C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75BA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A6CA5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9CF59D0">
            <w:pPr>
              <w:jc w:val="center"/>
              <w:rPr>
                <w:rFonts w:ascii="黑体" w:eastAsia="黑体" w:cs="黑体"/>
                <w:b/>
                <w:bCs/>
                <w:color w:val="000000" w:themeColor="text1"/>
                <w:szCs w:val="21"/>
              </w:rPr>
            </w:pPr>
            <w:r>
              <w:rPr>
                <w:rFonts w:ascii="黑体" w:eastAsia="黑体" w:cs="黑体"/>
                <w:b/>
                <w:bCs/>
                <w:color w:val="000000" w:themeColor="text1"/>
                <w:szCs w:val="21"/>
              </w:rPr>
              <w:t>172</w:t>
            </w:r>
          </w:p>
        </w:tc>
        <w:tc>
          <w:tcPr>
            <w:tcW w:w="1691" w:type="dxa"/>
            <w:vAlign w:val="center"/>
          </w:tcPr>
          <w:p w14:paraId="4B40AC4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D8C83D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DB5AE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F05AC6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0900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487BA7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CEB5E3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对交通运输领域生产经营单位未在有较大危险因素的生产经营场所和有关设施、设备上设置明显的安全警示标志等行为的行政处罚</w:t>
            </w:r>
          </w:p>
        </w:tc>
      </w:tr>
      <w:tr w14:paraId="15B35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549A7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04C8E6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0968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6BAED536">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05F7D12">
            <w:pPr>
              <w:spacing w:line="200" w:lineRule="exact"/>
              <w:rPr>
                <w:rFonts w:ascii="仿宋_GB2312" w:eastAsia="仿宋_GB2312" w:cs="仿宋_GB2312"/>
                <w:color w:val="000000" w:themeColor="text1"/>
                <w:kern w:val="0"/>
                <w:sz w:val="13"/>
                <w:szCs w:val="13"/>
              </w:rPr>
            </w:pPr>
            <w:r>
              <w:rPr>
                <w:rFonts w:hint="eastAsia" w:ascii="仿宋_GB2312" w:eastAsia="仿宋_GB2312" w:cs="仿宋_GB2312"/>
                <w:color w:val="000000" w:themeColor="text1"/>
                <w:kern w:val="0"/>
                <w:sz w:val="13"/>
                <w:szCs w:val="13"/>
              </w:rPr>
              <w:t>【法律法规】</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中华人民共和国安全生产法》第九十九条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一）未在有较大危险因素的生产经营场所和有关设施、设备上设置明显的安全警示标志的；（二）安全设备的安装、使用、检测、改造和报废不符合国家标准或者行业标准的；（三）未对安全设备进行经常性维护、保养和定期检测的；（四）关闭、破坏直接关系生产安全的监控、报警、防护、救生设备、设施，或者篡改、隐瞒、销毁其相关数据、信息的；（五）未为从业人员提供符合国家标准或者行业标准的劳动防护用品的；（六）危险物品的容器、运输工具，以及涉及人身安全、危险性较大的海洋石油开采特种设备和矿山井下特种设备未经具有专业资质的机构检测、检验合格，取得安全使用证或者安全标志，投入使用的；（七）使用应当淘汰的危及生产安全的工艺、设备的；（八）餐饮等行业的生产经营单位使用燃气未安装可燃气体报警装置的。</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《建设工程安全生产管理条例》（国务院令第</w:t>
            </w:r>
            <w:r>
              <w:rPr>
                <w:rFonts w:ascii="仿宋_GB2312" w:eastAsia="仿宋_GB2312" w:cs="仿宋_GB2312"/>
                <w:color w:val="000000" w:themeColor="text1"/>
                <w:kern w:val="0"/>
                <w:sz w:val="13"/>
                <w:szCs w:val="13"/>
              </w:rPr>
              <w:t>393</w:t>
            </w:r>
            <w:r>
              <w:rPr>
                <w:rFonts w:hint="eastAsia" w:ascii="仿宋_GB2312" w:eastAsia="仿宋_GB2312" w:cs="仿宋_GB2312"/>
                <w:color w:val="000000" w:themeColor="text1"/>
                <w:kern w:val="0"/>
                <w:sz w:val="13"/>
                <w:szCs w:val="13"/>
              </w:rPr>
              <w:t>号）第六十二条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三</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未在施工现场的危险部位设置明显的安全警示标志，或者未按照国家有关规定在施工现场设置消防通道、消防水源、配备消防设施和灭火器材的</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四</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未向作业人员提供安全防护用具和安全防护服装的</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六</w:t>
            </w:r>
            <w:r>
              <w:rPr>
                <w:rFonts w:ascii="仿宋_GB2312" w:eastAsia="仿宋_GB2312" w:cs="仿宋_GB2312"/>
                <w:color w:val="000000" w:themeColor="text1"/>
                <w:kern w:val="0"/>
                <w:sz w:val="13"/>
                <w:szCs w:val="13"/>
              </w:rPr>
              <w:t>)</w:t>
            </w:r>
            <w:r>
              <w:rPr>
                <w:rFonts w:hint="eastAsia" w:ascii="仿宋_GB2312" w:eastAsia="仿宋_GB2312" w:cs="仿宋_GB2312"/>
                <w:color w:val="000000" w:themeColor="text1"/>
                <w:kern w:val="0"/>
                <w:sz w:val="13"/>
                <w:szCs w:val="13"/>
              </w:rPr>
              <w:t>使用国家明令淘汰、禁止使用的危及施工安全的工艺、设备、材料的。</w:t>
            </w:r>
            <w:r>
              <w:rPr>
                <w:rFonts w:ascii="仿宋" w:hAnsi="仿宋" w:eastAsia="仿宋" w:cs="宋体"/>
                <w:color w:val="000000" w:themeColor="text1"/>
                <w:kern w:val="0"/>
                <w:sz w:val="13"/>
                <w:szCs w:val="13"/>
              </w:rPr>
              <w:t>3.</w:t>
            </w:r>
            <w:r>
              <w:rPr>
                <w:rFonts w:hint="eastAsia" w:ascii="仿宋" w:hAnsi="仿宋" w:eastAsia="仿宋" w:cs="宋体"/>
                <w:color w:val="000000" w:themeColor="text1"/>
                <w:kern w:val="0"/>
                <w:sz w:val="13"/>
                <w:szCs w:val="13"/>
              </w:rPr>
              <w:t>《危险货物道路运输安全管理办法》第四十条罐式车辆罐体应当在检验有效期内装载危险货物。检验有效期届满后，罐式车辆罐体应当经具有专业资质的检验机构重新检验合格，方可投入使用。第四十一条装载危险货物的常压罐式车辆罐体的重大维修、改造，应当委托具备罐体生产资质的企业实施，并通过具有专业资质的检验机构维修、改造检验，取得检验合格证书，方可重新投入使用。第四十二条运输危险货物的可移动罐柜、罐箱应当经具有专业资质的检验机构检验合格，取得检验合格证书，并取得相应的安全合格标志，按照规定用途使用。第六十二条交通运输主管部门对危险货物承运人违反本办法第四十条、第四十一条、第四十二条，使用未经检验合格或者超出检验有效期的罐式车辆罐体、可移动罐柜、罐箱从事危险货物运输的，应当责令限期改正，可以处</w:t>
            </w:r>
            <w:r>
              <w:rPr>
                <w:rFonts w:ascii="仿宋" w:hAnsi="仿宋" w:eastAsia="仿宋" w:cs="宋体"/>
                <w:color w:val="000000" w:themeColor="text1"/>
                <w:kern w:val="0"/>
                <w:sz w:val="13"/>
                <w:szCs w:val="13"/>
              </w:rPr>
              <w:t>5</w:t>
            </w:r>
            <w:r>
              <w:rPr>
                <w:rFonts w:hint="eastAsia" w:ascii="仿宋" w:hAnsi="仿宋" w:eastAsia="仿宋" w:cs="宋体"/>
                <w:color w:val="000000" w:themeColor="text1"/>
                <w:kern w:val="0"/>
                <w:sz w:val="13"/>
                <w:szCs w:val="13"/>
              </w:rPr>
              <w:t>万元以下的罚款；逾期未改正的，处</w:t>
            </w:r>
            <w:r>
              <w:rPr>
                <w:rFonts w:ascii="仿宋" w:hAnsi="仿宋" w:eastAsia="仿宋" w:cs="宋体"/>
                <w:color w:val="000000" w:themeColor="text1"/>
                <w:kern w:val="0"/>
                <w:sz w:val="13"/>
                <w:szCs w:val="13"/>
              </w:rPr>
              <w:t>5</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20</w:t>
            </w:r>
            <w:r>
              <w:rPr>
                <w:rFonts w:hint="eastAsia" w:ascii="仿宋" w:hAnsi="仿宋" w:eastAsia="仿宋" w:cs="宋体"/>
                <w:color w:val="000000" w:themeColor="text1"/>
                <w:kern w:val="0"/>
                <w:sz w:val="13"/>
                <w:szCs w:val="13"/>
              </w:rPr>
              <w:t>万元以下的罚款，对其直接负责的主管人员和其他直接责任人员处</w:t>
            </w:r>
            <w:r>
              <w:rPr>
                <w:rFonts w:ascii="仿宋" w:hAnsi="仿宋" w:eastAsia="仿宋" w:cs="宋体"/>
                <w:color w:val="000000" w:themeColor="text1"/>
                <w:kern w:val="0"/>
                <w:sz w:val="13"/>
                <w:szCs w:val="13"/>
              </w:rPr>
              <w:t>1</w:t>
            </w:r>
            <w:r>
              <w:rPr>
                <w:rFonts w:hint="eastAsia" w:ascii="仿宋" w:hAnsi="仿宋" w:eastAsia="仿宋" w:cs="宋体"/>
                <w:color w:val="000000" w:themeColor="text1"/>
                <w:kern w:val="0"/>
                <w:sz w:val="13"/>
                <w:szCs w:val="13"/>
              </w:rPr>
              <w:t>万元以上</w:t>
            </w:r>
            <w:r>
              <w:rPr>
                <w:rFonts w:ascii="仿宋" w:hAnsi="仿宋" w:eastAsia="仿宋" w:cs="宋体"/>
                <w:color w:val="000000" w:themeColor="text1"/>
                <w:kern w:val="0"/>
                <w:sz w:val="13"/>
                <w:szCs w:val="13"/>
              </w:rPr>
              <w:t>2</w:t>
            </w:r>
            <w:r>
              <w:rPr>
                <w:rFonts w:hint="eastAsia" w:ascii="仿宋" w:hAnsi="仿宋" w:eastAsia="仿宋" w:cs="宋体"/>
                <w:color w:val="000000" w:themeColor="text1"/>
                <w:kern w:val="0"/>
                <w:sz w:val="13"/>
                <w:szCs w:val="13"/>
              </w:rPr>
              <w:t>万元以下的罚款；情节严重的，责令停产停业整顿。</w:t>
            </w:r>
          </w:p>
          <w:p w14:paraId="659820FB">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3"/>
                <w:szCs w:val="13"/>
              </w:rPr>
              <w:t>【三定规定】抚办字【</w:t>
            </w:r>
            <w:r>
              <w:rPr>
                <w:rFonts w:ascii="仿宋" w:hAnsi="仿宋" w:eastAsia="仿宋" w:cs="仿宋_GB2312"/>
                <w:color w:val="000000" w:themeColor="text1"/>
                <w:kern w:val="0"/>
                <w:sz w:val="13"/>
                <w:szCs w:val="13"/>
              </w:rPr>
              <w:t>2019</w:t>
            </w:r>
            <w:r>
              <w:rPr>
                <w:rFonts w:hint="eastAsia" w:ascii="仿宋" w:hAnsi="仿宋" w:eastAsia="仿宋" w:cs="仿宋_GB2312"/>
                <w:color w:val="000000" w:themeColor="text1"/>
                <w:kern w:val="0"/>
                <w:sz w:val="13"/>
                <w:szCs w:val="13"/>
              </w:rPr>
              <w:t>】</w:t>
            </w:r>
            <w:r>
              <w:rPr>
                <w:rFonts w:ascii="仿宋" w:hAnsi="仿宋" w:eastAsia="仿宋" w:cs="仿宋_GB2312"/>
                <w:color w:val="000000" w:themeColor="text1"/>
                <w:kern w:val="0"/>
                <w:sz w:val="13"/>
                <w:szCs w:val="13"/>
              </w:rPr>
              <w:t>11</w:t>
            </w:r>
            <w:r>
              <w:rPr>
                <w:rFonts w:hint="eastAsia" w:ascii="仿宋" w:hAnsi="仿宋" w:eastAsia="仿宋" w:cs="仿宋_GB2312"/>
                <w:color w:val="000000" w:themeColor="text1"/>
                <w:kern w:val="0"/>
                <w:sz w:val="13"/>
                <w:szCs w:val="13"/>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3149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09883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50D0E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20286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D3CB0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1BD842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99DF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86" w:hRule="atLeast"/>
          <w:jc w:val="center"/>
        </w:trPr>
        <w:tc>
          <w:tcPr>
            <w:tcW w:w="943" w:type="dxa"/>
            <w:vMerge w:val="continue"/>
            <w:vAlign w:val="center"/>
          </w:tcPr>
          <w:p w14:paraId="442C8BF3">
            <w:pPr>
              <w:rPr>
                <w:color w:val="000000" w:themeColor="text1"/>
              </w:rPr>
            </w:pPr>
          </w:p>
        </w:tc>
        <w:tc>
          <w:tcPr>
            <w:tcW w:w="1110" w:type="dxa"/>
            <w:vAlign w:val="center"/>
          </w:tcPr>
          <w:p w14:paraId="2881455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514D91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0672D3C">
            <w:pPr>
              <w:jc w:val="center"/>
              <w:rPr>
                <w:rFonts w:ascii="仿宋_GB2312" w:hAnsi="黑体" w:eastAsia="仿宋_GB2312" w:cs="黑体"/>
                <w:color w:val="000000" w:themeColor="text1"/>
                <w:sz w:val="18"/>
                <w:szCs w:val="18"/>
              </w:rPr>
            </w:pPr>
          </w:p>
        </w:tc>
        <w:tc>
          <w:tcPr>
            <w:tcW w:w="1406" w:type="dxa"/>
            <w:vAlign w:val="center"/>
          </w:tcPr>
          <w:p w14:paraId="735D55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E26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1" w:hRule="atLeast"/>
          <w:jc w:val="center"/>
        </w:trPr>
        <w:tc>
          <w:tcPr>
            <w:tcW w:w="943" w:type="dxa"/>
            <w:vMerge w:val="continue"/>
            <w:vAlign w:val="center"/>
          </w:tcPr>
          <w:p w14:paraId="1B070111">
            <w:pPr>
              <w:rPr>
                <w:color w:val="000000" w:themeColor="text1"/>
              </w:rPr>
            </w:pPr>
          </w:p>
        </w:tc>
        <w:tc>
          <w:tcPr>
            <w:tcW w:w="1110" w:type="dxa"/>
            <w:vAlign w:val="center"/>
          </w:tcPr>
          <w:p w14:paraId="214030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920139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B3E0CBF">
            <w:pPr>
              <w:jc w:val="center"/>
              <w:rPr>
                <w:rFonts w:ascii="仿宋_GB2312" w:hAnsi="黑体" w:eastAsia="仿宋_GB2312" w:cs="黑体"/>
                <w:color w:val="000000" w:themeColor="text1"/>
                <w:sz w:val="18"/>
                <w:szCs w:val="18"/>
              </w:rPr>
            </w:pPr>
          </w:p>
        </w:tc>
        <w:tc>
          <w:tcPr>
            <w:tcW w:w="1406" w:type="dxa"/>
            <w:vAlign w:val="center"/>
          </w:tcPr>
          <w:p w14:paraId="76E1C0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F22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7" w:hRule="atLeast"/>
          <w:jc w:val="center"/>
        </w:trPr>
        <w:tc>
          <w:tcPr>
            <w:tcW w:w="943" w:type="dxa"/>
            <w:vMerge w:val="continue"/>
            <w:vAlign w:val="center"/>
          </w:tcPr>
          <w:p w14:paraId="34FB597D">
            <w:pPr>
              <w:rPr>
                <w:color w:val="000000" w:themeColor="text1"/>
              </w:rPr>
            </w:pPr>
          </w:p>
        </w:tc>
        <w:tc>
          <w:tcPr>
            <w:tcW w:w="1110" w:type="dxa"/>
            <w:vAlign w:val="center"/>
          </w:tcPr>
          <w:p w14:paraId="78448C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451A47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8CAE38B">
            <w:pPr>
              <w:jc w:val="center"/>
              <w:rPr>
                <w:rFonts w:ascii="仿宋_GB2312" w:hAnsi="黑体" w:eastAsia="仿宋_GB2312" w:cs="黑体"/>
                <w:color w:val="000000" w:themeColor="text1"/>
                <w:sz w:val="18"/>
                <w:szCs w:val="18"/>
              </w:rPr>
            </w:pPr>
          </w:p>
        </w:tc>
        <w:tc>
          <w:tcPr>
            <w:tcW w:w="1406" w:type="dxa"/>
            <w:vAlign w:val="center"/>
          </w:tcPr>
          <w:p w14:paraId="6A8BDAF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D15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D3211AE">
            <w:pPr>
              <w:rPr>
                <w:color w:val="000000" w:themeColor="text1"/>
              </w:rPr>
            </w:pPr>
          </w:p>
        </w:tc>
        <w:tc>
          <w:tcPr>
            <w:tcW w:w="1110" w:type="dxa"/>
            <w:vAlign w:val="center"/>
          </w:tcPr>
          <w:p w14:paraId="309618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86034F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E364724">
            <w:pPr>
              <w:jc w:val="center"/>
              <w:rPr>
                <w:rFonts w:ascii="仿宋_GB2312" w:hAnsi="黑体" w:eastAsia="仿宋_GB2312" w:cs="黑体"/>
                <w:color w:val="000000" w:themeColor="text1"/>
                <w:sz w:val="18"/>
                <w:szCs w:val="18"/>
              </w:rPr>
            </w:pPr>
          </w:p>
        </w:tc>
        <w:tc>
          <w:tcPr>
            <w:tcW w:w="1406" w:type="dxa"/>
            <w:vAlign w:val="center"/>
          </w:tcPr>
          <w:p w14:paraId="13A828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B6A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6" w:hRule="atLeast"/>
          <w:jc w:val="center"/>
        </w:trPr>
        <w:tc>
          <w:tcPr>
            <w:tcW w:w="943" w:type="dxa"/>
            <w:vMerge w:val="continue"/>
            <w:vAlign w:val="center"/>
          </w:tcPr>
          <w:p w14:paraId="57C876EF">
            <w:pPr>
              <w:rPr>
                <w:color w:val="000000" w:themeColor="text1"/>
              </w:rPr>
            </w:pPr>
          </w:p>
        </w:tc>
        <w:tc>
          <w:tcPr>
            <w:tcW w:w="1110" w:type="dxa"/>
            <w:vAlign w:val="center"/>
          </w:tcPr>
          <w:p w14:paraId="2FB5BB4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8CB53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33FD248">
            <w:pPr>
              <w:jc w:val="center"/>
              <w:rPr>
                <w:rFonts w:ascii="仿宋_GB2312" w:hAnsi="黑体" w:eastAsia="仿宋_GB2312" w:cs="黑体"/>
                <w:color w:val="000000" w:themeColor="text1"/>
                <w:sz w:val="18"/>
                <w:szCs w:val="18"/>
              </w:rPr>
            </w:pPr>
          </w:p>
        </w:tc>
        <w:tc>
          <w:tcPr>
            <w:tcW w:w="1406" w:type="dxa"/>
            <w:vAlign w:val="center"/>
          </w:tcPr>
          <w:p w14:paraId="7A7BEF2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6789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62" w:hRule="atLeast"/>
          <w:jc w:val="center"/>
        </w:trPr>
        <w:tc>
          <w:tcPr>
            <w:tcW w:w="943" w:type="dxa"/>
            <w:vAlign w:val="center"/>
          </w:tcPr>
          <w:p w14:paraId="3D49BFA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A85CE8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69EC6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1C8DD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3945EC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5C5896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16E9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8" w:hRule="atLeast"/>
          <w:jc w:val="center"/>
        </w:trPr>
        <w:tc>
          <w:tcPr>
            <w:tcW w:w="943" w:type="dxa"/>
            <w:vAlign w:val="center"/>
          </w:tcPr>
          <w:p w14:paraId="285A54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E6714A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51509A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3EF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1" w:hRule="atLeast"/>
          <w:jc w:val="center"/>
        </w:trPr>
        <w:tc>
          <w:tcPr>
            <w:tcW w:w="943" w:type="dxa"/>
            <w:vAlign w:val="center"/>
          </w:tcPr>
          <w:p w14:paraId="0132E95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443A0DF0">
            <w:pPr>
              <w:widowControl/>
              <w:jc w:val="left"/>
              <w:textAlignment w:val="center"/>
              <w:rPr>
                <w:rFonts w:ascii="黑体" w:eastAsia="黑体" w:cs="黑体"/>
                <w:color w:val="000000" w:themeColor="text1"/>
                <w:kern w:val="0"/>
                <w:sz w:val="18"/>
                <w:szCs w:val="18"/>
              </w:rPr>
            </w:pPr>
          </w:p>
        </w:tc>
      </w:tr>
    </w:tbl>
    <w:p w14:paraId="31D6BA6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7E91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694586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199F117">
            <w:pPr>
              <w:jc w:val="center"/>
              <w:rPr>
                <w:rFonts w:ascii="黑体" w:eastAsia="黑体" w:cs="黑体"/>
                <w:b/>
                <w:bCs/>
                <w:color w:val="000000" w:themeColor="text1"/>
                <w:szCs w:val="21"/>
              </w:rPr>
            </w:pPr>
            <w:r>
              <w:rPr>
                <w:rFonts w:ascii="黑体" w:eastAsia="黑体" w:cs="黑体"/>
                <w:b/>
                <w:bCs/>
                <w:color w:val="000000" w:themeColor="text1"/>
                <w:szCs w:val="21"/>
              </w:rPr>
              <w:t>173</w:t>
            </w:r>
          </w:p>
        </w:tc>
        <w:tc>
          <w:tcPr>
            <w:tcW w:w="1691" w:type="dxa"/>
            <w:vAlign w:val="center"/>
          </w:tcPr>
          <w:p w14:paraId="5A473F4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B7358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FB733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6C4336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214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923FD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000A97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对交通运输领域生产、经营、运输、储存、使用危险物品或者处置废弃危险品，未建立专门安全管理制度、未采取可靠的安全措施等行为的行政处罚</w:t>
            </w:r>
          </w:p>
        </w:tc>
      </w:tr>
      <w:tr w14:paraId="605E9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C031B1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B1BEFDF">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1D298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FCCFD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C69F7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安全生产法》第一百零一条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生产、经营、运输、储存、使用危险物品或者处置废弃危险物品，未建立专门安全管理制度、未采取可靠的安全措施的；（二）对重大危险源未登记建档，未进行定期检测、评估、监控，未制定应急预案，或者未告知应急措施的；（三）进行爆破、吊装、动火、临时用电以及国务院应急管理部门会同国务院有关部门规定的其他危险作业，未安排专门人员进行现场安全管理的；（四）未建立安全风险分级管控制度或者未按照安全风险分级采取相应管控措施的；（五）未建立事故隐患排查治理制度，或者重大事故隐患排查治理情况未按照规定报告的。</w:t>
            </w:r>
          </w:p>
          <w:p w14:paraId="78B7DB4C">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0BA1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FA28BF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3C1FD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0D8D3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3A2594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48DF26C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56E2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6AA2699">
            <w:pPr>
              <w:rPr>
                <w:color w:val="000000" w:themeColor="text1"/>
              </w:rPr>
            </w:pPr>
          </w:p>
        </w:tc>
        <w:tc>
          <w:tcPr>
            <w:tcW w:w="1110" w:type="dxa"/>
            <w:vAlign w:val="center"/>
          </w:tcPr>
          <w:p w14:paraId="603C295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AE0A0C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A58316E">
            <w:pPr>
              <w:jc w:val="center"/>
              <w:rPr>
                <w:rFonts w:ascii="仿宋_GB2312" w:hAnsi="黑体" w:eastAsia="仿宋_GB2312" w:cs="黑体"/>
                <w:color w:val="000000" w:themeColor="text1"/>
                <w:sz w:val="18"/>
                <w:szCs w:val="18"/>
              </w:rPr>
            </w:pPr>
          </w:p>
        </w:tc>
        <w:tc>
          <w:tcPr>
            <w:tcW w:w="1406" w:type="dxa"/>
            <w:vAlign w:val="center"/>
          </w:tcPr>
          <w:p w14:paraId="25DB7F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574B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E50E701">
            <w:pPr>
              <w:rPr>
                <w:color w:val="000000" w:themeColor="text1"/>
              </w:rPr>
            </w:pPr>
          </w:p>
        </w:tc>
        <w:tc>
          <w:tcPr>
            <w:tcW w:w="1110" w:type="dxa"/>
            <w:vAlign w:val="center"/>
          </w:tcPr>
          <w:p w14:paraId="06EDC6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451AE3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56BB40C9">
            <w:pPr>
              <w:jc w:val="center"/>
              <w:rPr>
                <w:rFonts w:ascii="仿宋_GB2312" w:hAnsi="黑体" w:eastAsia="仿宋_GB2312" w:cs="黑体"/>
                <w:color w:val="000000" w:themeColor="text1"/>
                <w:sz w:val="18"/>
                <w:szCs w:val="18"/>
              </w:rPr>
            </w:pPr>
          </w:p>
        </w:tc>
        <w:tc>
          <w:tcPr>
            <w:tcW w:w="1406" w:type="dxa"/>
            <w:vAlign w:val="center"/>
          </w:tcPr>
          <w:p w14:paraId="1B803EC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99DC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5A547BCD">
            <w:pPr>
              <w:rPr>
                <w:color w:val="000000" w:themeColor="text1"/>
              </w:rPr>
            </w:pPr>
          </w:p>
        </w:tc>
        <w:tc>
          <w:tcPr>
            <w:tcW w:w="1110" w:type="dxa"/>
            <w:vAlign w:val="center"/>
          </w:tcPr>
          <w:p w14:paraId="66D100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FA7DD81">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E42F51E">
            <w:pPr>
              <w:jc w:val="center"/>
              <w:rPr>
                <w:rFonts w:ascii="仿宋_GB2312" w:hAnsi="黑体" w:eastAsia="仿宋_GB2312" w:cs="黑体"/>
                <w:color w:val="000000" w:themeColor="text1"/>
                <w:sz w:val="18"/>
                <w:szCs w:val="18"/>
              </w:rPr>
            </w:pPr>
          </w:p>
        </w:tc>
        <w:tc>
          <w:tcPr>
            <w:tcW w:w="1406" w:type="dxa"/>
            <w:vAlign w:val="center"/>
          </w:tcPr>
          <w:p w14:paraId="7BF9AD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0249B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6FEFC74D">
            <w:pPr>
              <w:rPr>
                <w:color w:val="000000" w:themeColor="text1"/>
              </w:rPr>
            </w:pPr>
          </w:p>
        </w:tc>
        <w:tc>
          <w:tcPr>
            <w:tcW w:w="1110" w:type="dxa"/>
            <w:vAlign w:val="center"/>
          </w:tcPr>
          <w:p w14:paraId="6C4B90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5716F4D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C386A45">
            <w:pPr>
              <w:jc w:val="center"/>
              <w:rPr>
                <w:rFonts w:ascii="仿宋_GB2312" w:hAnsi="黑体" w:eastAsia="仿宋_GB2312" w:cs="黑体"/>
                <w:color w:val="000000" w:themeColor="text1"/>
                <w:sz w:val="18"/>
                <w:szCs w:val="18"/>
              </w:rPr>
            </w:pPr>
          </w:p>
        </w:tc>
        <w:tc>
          <w:tcPr>
            <w:tcW w:w="1406" w:type="dxa"/>
            <w:vAlign w:val="center"/>
          </w:tcPr>
          <w:p w14:paraId="2918D01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4F4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4BB43B38">
            <w:pPr>
              <w:rPr>
                <w:color w:val="000000" w:themeColor="text1"/>
              </w:rPr>
            </w:pPr>
          </w:p>
        </w:tc>
        <w:tc>
          <w:tcPr>
            <w:tcW w:w="1110" w:type="dxa"/>
            <w:vAlign w:val="center"/>
          </w:tcPr>
          <w:p w14:paraId="10C1EA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5F92BB3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301C3CE">
            <w:pPr>
              <w:jc w:val="center"/>
              <w:rPr>
                <w:rFonts w:ascii="仿宋_GB2312" w:hAnsi="黑体" w:eastAsia="仿宋_GB2312" w:cs="黑体"/>
                <w:color w:val="000000" w:themeColor="text1"/>
                <w:sz w:val="18"/>
                <w:szCs w:val="18"/>
              </w:rPr>
            </w:pPr>
          </w:p>
        </w:tc>
        <w:tc>
          <w:tcPr>
            <w:tcW w:w="1406" w:type="dxa"/>
            <w:vAlign w:val="center"/>
          </w:tcPr>
          <w:p w14:paraId="7F191D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C61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D66EC8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E69FBDF">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642D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9F4DD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8FE261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B9D10C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6CB0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14F4B6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6B7E4C7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34DB180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2332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9" w:hRule="atLeast"/>
          <w:jc w:val="center"/>
        </w:trPr>
        <w:tc>
          <w:tcPr>
            <w:tcW w:w="943" w:type="dxa"/>
            <w:vAlign w:val="center"/>
          </w:tcPr>
          <w:p w14:paraId="0AA9989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575073C">
            <w:pPr>
              <w:widowControl/>
              <w:jc w:val="left"/>
              <w:textAlignment w:val="center"/>
              <w:rPr>
                <w:rFonts w:ascii="黑体" w:eastAsia="黑体" w:cs="黑体"/>
                <w:color w:val="000000" w:themeColor="text1"/>
                <w:kern w:val="0"/>
                <w:sz w:val="18"/>
                <w:szCs w:val="18"/>
              </w:rPr>
            </w:pPr>
          </w:p>
        </w:tc>
      </w:tr>
    </w:tbl>
    <w:p w14:paraId="444F3BA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EDA1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03213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1041825">
            <w:pPr>
              <w:jc w:val="center"/>
              <w:rPr>
                <w:rFonts w:ascii="黑体" w:eastAsia="黑体" w:cs="黑体"/>
                <w:b/>
                <w:bCs/>
                <w:color w:val="000000" w:themeColor="text1"/>
                <w:szCs w:val="21"/>
              </w:rPr>
            </w:pPr>
            <w:r>
              <w:rPr>
                <w:rFonts w:ascii="黑体" w:eastAsia="黑体" w:cs="黑体"/>
                <w:b/>
                <w:bCs/>
                <w:color w:val="000000" w:themeColor="text1"/>
                <w:szCs w:val="21"/>
              </w:rPr>
              <w:t>174</w:t>
            </w:r>
          </w:p>
        </w:tc>
        <w:tc>
          <w:tcPr>
            <w:tcW w:w="1691" w:type="dxa"/>
            <w:vAlign w:val="center"/>
          </w:tcPr>
          <w:p w14:paraId="31BE6B3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7DF2F7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0A69AA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58FE50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A59C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1179C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E4259D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对生产经营单位未采取措施消除事故隐患行为的行政处罚</w:t>
            </w:r>
          </w:p>
        </w:tc>
      </w:tr>
      <w:tr w14:paraId="2785C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3DC8993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0F2AA3A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35F1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5A769B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75E7F5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二条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号）第八十四条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违反本条例规定，生产经营单位未按照规定进行安全检查的，或者未按照规定制定整改方案并组织实施的，责令限期改正，处二万元以上五万元以下的罚款。</w:t>
            </w:r>
          </w:p>
          <w:p w14:paraId="4D4BBDF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法追究刑事责任。</w:t>
            </w:r>
          </w:p>
          <w:p w14:paraId="5EDBE518">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4FDD0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7617E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C8F0F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27AED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D86AC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26FCFA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0F9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A2EC0DD">
            <w:pPr>
              <w:rPr>
                <w:color w:val="000000" w:themeColor="text1"/>
              </w:rPr>
            </w:pPr>
          </w:p>
        </w:tc>
        <w:tc>
          <w:tcPr>
            <w:tcW w:w="1110" w:type="dxa"/>
            <w:vAlign w:val="center"/>
          </w:tcPr>
          <w:p w14:paraId="4DB99C7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6861A4F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0E732FB">
            <w:pPr>
              <w:jc w:val="center"/>
              <w:rPr>
                <w:rFonts w:ascii="仿宋_GB2312" w:hAnsi="黑体" w:eastAsia="仿宋_GB2312" w:cs="黑体"/>
                <w:color w:val="000000" w:themeColor="text1"/>
                <w:sz w:val="18"/>
                <w:szCs w:val="18"/>
              </w:rPr>
            </w:pPr>
          </w:p>
        </w:tc>
        <w:tc>
          <w:tcPr>
            <w:tcW w:w="1406" w:type="dxa"/>
            <w:vAlign w:val="center"/>
          </w:tcPr>
          <w:p w14:paraId="18D40E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DACB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3A0D11BA">
            <w:pPr>
              <w:rPr>
                <w:color w:val="000000" w:themeColor="text1"/>
              </w:rPr>
            </w:pPr>
          </w:p>
        </w:tc>
        <w:tc>
          <w:tcPr>
            <w:tcW w:w="1110" w:type="dxa"/>
            <w:vAlign w:val="center"/>
          </w:tcPr>
          <w:p w14:paraId="79FFCDD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D0D24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E3F0B9D">
            <w:pPr>
              <w:jc w:val="center"/>
              <w:rPr>
                <w:rFonts w:ascii="仿宋_GB2312" w:hAnsi="黑体" w:eastAsia="仿宋_GB2312" w:cs="黑体"/>
                <w:color w:val="000000" w:themeColor="text1"/>
                <w:sz w:val="18"/>
                <w:szCs w:val="18"/>
              </w:rPr>
            </w:pPr>
          </w:p>
        </w:tc>
        <w:tc>
          <w:tcPr>
            <w:tcW w:w="1406" w:type="dxa"/>
            <w:vAlign w:val="center"/>
          </w:tcPr>
          <w:p w14:paraId="20A7BA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BCC3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8EE6CFC">
            <w:pPr>
              <w:rPr>
                <w:color w:val="000000" w:themeColor="text1"/>
              </w:rPr>
            </w:pPr>
          </w:p>
        </w:tc>
        <w:tc>
          <w:tcPr>
            <w:tcW w:w="1110" w:type="dxa"/>
            <w:vAlign w:val="center"/>
          </w:tcPr>
          <w:p w14:paraId="1F2EDAB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92669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99A65D3">
            <w:pPr>
              <w:jc w:val="center"/>
              <w:rPr>
                <w:rFonts w:ascii="仿宋_GB2312" w:hAnsi="黑体" w:eastAsia="仿宋_GB2312" w:cs="黑体"/>
                <w:color w:val="000000" w:themeColor="text1"/>
                <w:sz w:val="18"/>
                <w:szCs w:val="18"/>
              </w:rPr>
            </w:pPr>
          </w:p>
        </w:tc>
        <w:tc>
          <w:tcPr>
            <w:tcW w:w="1406" w:type="dxa"/>
            <w:vAlign w:val="center"/>
          </w:tcPr>
          <w:p w14:paraId="140703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70F20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39FA195">
            <w:pPr>
              <w:rPr>
                <w:color w:val="000000" w:themeColor="text1"/>
              </w:rPr>
            </w:pPr>
          </w:p>
        </w:tc>
        <w:tc>
          <w:tcPr>
            <w:tcW w:w="1110" w:type="dxa"/>
            <w:vAlign w:val="center"/>
          </w:tcPr>
          <w:p w14:paraId="617A89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6776F7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58AE4E9">
            <w:pPr>
              <w:jc w:val="center"/>
              <w:rPr>
                <w:rFonts w:ascii="仿宋_GB2312" w:hAnsi="黑体" w:eastAsia="仿宋_GB2312" w:cs="黑体"/>
                <w:color w:val="000000" w:themeColor="text1"/>
                <w:sz w:val="18"/>
                <w:szCs w:val="18"/>
              </w:rPr>
            </w:pPr>
          </w:p>
        </w:tc>
        <w:tc>
          <w:tcPr>
            <w:tcW w:w="1406" w:type="dxa"/>
            <w:vAlign w:val="center"/>
          </w:tcPr>
          <w:p w14:paraId="024DA49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4D7E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B932A91">
            <w:pPr>
              <w:rPr>
                <w:color w:val="000000" w:themeColor="text1"/>
              </w:rPr>
            </w:pPr>
          </w:p>
        </w:tc>
        <w:tc>
          <w:tcPr>
            <w:tcW w:w="1110" w:type="dxa"/>
            <w:vAlign w:val="center"/>
          </w:tcPr>
          <w:p w14:paraId="31F2BA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0286BB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008EDB0">
            <w:pPr>
              <w:jc w:val="center"/>
              <w:rPr>
                <w:rFonts w:ascii="仿宋_GB2312" w:hAnsi="黑体" w:eastAsia="仿宋_GB2312" w:cs="黑体"/>
                <w:color w:val="000000" w:themeColor="text1"/>
                <w:sz w:val="18"/>
                <w:szCs w:val="18"/>
              </w:rPr>
            </w:pPr>
          </w:p>
        </w:tc>
        <w:tc>
          <w:tcPr>
            <w:tcW w:w="1406" w:type="dxa"/>
            <w:vAlign w:val="center"/>
          </w:tcPr>
          <w:p w14:paraId="40E4DA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74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8BF20E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385804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7659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53699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B7A1AE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10317B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454C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821A7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DD4449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81C00A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95C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0" w:hRule="atLeast"/>
          <w:jc w:val="center"/>
        </w:trPr>
        <w:tc>
          <w:tcPr>
            <w:tcW w:w="943" w:type="dxa"/>
            <w:vAlign w:val="center"/>
          </w:tcPr>
          <w:p w14:paraId="31D118C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667F9D6">
            <w:pPr>
              <w:widowControl/>
              <w:jc w:val="left"/>
              <w:textAlignment w:val="center"/>
              <w:rPr>
                <w:rFonts w:ascii="黑体" w:eastAsia="黑体" w:cs="黑体"/>
                <w:color w:val="000000" w:themeColor="text1"/>
                <w:kern w:val="0"/>
                <w:sz w:val="18"/>
                <w:szCs w:val="18"/>
              </w:rPr>
            </w:pPr>
          </w:p>
        </w:tc>
      </w:tr>
    </w:tbl>
    <w:p w14:paraId="1FE0FBA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E03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B8B59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DEC4F88">
            <w:pPr>
              <w:jc w:val="center"/>
              <w:rPr>
                <w:rFonts w:ascii="黑体" w:eastAsia="黑体" w:cs="黑体"/>
                <w:b/>
                <w:bCs/>
                <w:color w:val="000000" w:themeColor="text1"/>
                <w:szCs w:val="21"/>
              </w:rPr>
            </w:pPr>
            <w:r>
              <w:rPr>
                <w:rFonts w:ascii="黑体" w:eastAsia="黑体" w:cs="黑体"/>
                <w:b/>
                <w:bCs/>
                <w:color w:val="000000" w:themeColor="text1"/>
                <w:szCs w:val="21"/>
              </w:rPr>
              <w:t>175</w:t>
            </w:r>
          </w:p>
        </w:tc>
        <w:tc>
          <w:tcPr>
            <w:tcW w:w="1691" w:type="dxa"/>
            <w:vAlign w:val="center"/>
          </w:tcPr>
          <w:p w14:paraId="191EC85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3181EA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5DBE5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BF3E83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E88B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E8551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C0C19E8">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宋体"/>
                <w:b/>
                <w:color w:val="000000" w:themeColor="text1"/>
                <w:kern w:val="0"/>
                <w:sz w:val="18"/>
                <w:szCs w:val="18"/>
              </w:rPr>
              <w:t>对交通运输领域生产经营单位将工程发包给不具备安全生产条件或者相应资质的单位或者个人的行政处罚</w:t>
            </w:r>
          </w:p>
        </w:tc>
      </w:tr>
      <w:tr w14:paraId="17FB7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280032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63FCFF6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96C4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1CA9D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1AC94A6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三条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号）第五十五条　违反本条例的规定，建设单位有下列行为之一的，责令限期改正，处</w:t>
            </w:r>
            <w:r>
              <w:rPr>
                <w:rFonts w:ascii="仿宋_GB2312" w:eastAsia="仿宋_GB2312" w:cs="仿宋_GB2312"/>
                <w:color w:val="000000" w:themeColor="text1"/>
                <w:kern w:val="0"/>
                <w:sz w:val="18"/>
                <w:szCs w:val="18"/>
              </w:rPr>
              <w:t>20</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50</w:t>
            </w:r>
            <w:r>
              <w:rPr>
                <w:rFonts w:hint="eastAsia" w:ascii="仿宋_GB2312" w:eastAsia="仿宋_GB2312" w:cs="仿宋_GB2312"/>
                <w:color w:val="000000" w:themeColor="text1"/>
                <w:kern w:val="0"/>
                <w:sz w:val="18"/>
                <w:szCs w:val="18"/>
              </w:rPr>
              <w:t>万元以下的罚款；造成重大安全事故，构成犯罪的，对直接责任人员，依照刑法有关规定追究刑事责任；造成损失的，依法承担赔偿责任：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三</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将拆除工程发包给不具有相应资质等级的施工单位的。</w:t>
            </w:r>
          </w:p>
          <w:p w14:paraId="15AC62D2">
            <w:pPr>
              <w:snapToGrid w:val="0"/>
              <w:spacing w:line="240" w:lineRule="atLeas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035B0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1A3CA4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9CFCFD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609CD5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B72C5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3D4D20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146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72A064D7">
            <w:pPr>
              <w:rPr>
                <w:color w:val="000000" w:themeColor="text1"/>
              </w:rPr>
            </w:pPr>
          </w:p>
        </w:tc>
        <w:tc>
          <w:tcPr>
            <w:tcW w:w="1110" w:type="dxa"/>
            <w:vAlign w:val="center"/>
          </w:tcPr>
          <w:p w14:paraId="29B1AD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EBB079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6D66590">
            <w:pPr>
              <w:jc w:val="center"/>
              <w:rPr>
                <w:rFonts w:ascii="仿宋_GB2312" w:hAnsi="黑体" w:eastAsia="仿宋_GB2312" w:cs="黑体"/>
                <w:color w:val="000000" w:themeColor="text1"/>
                <w:sz w:val="18"/>
                <w:szCs w:val="18"/>
              </w:rPr>
            </w:pPr>
          </w:p>
        </w:tc>
        <w:tc>
          <w:tcPr>
            <w:tcW w:w="1406" w:type="dxa"/>
            <w:vAlign w:val="center"/>
          </w:tcPr>
          <w:p w14:paraId="76C172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87D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1A9E383A">
            <w:pPr>
              <w:rPr>
                <w:color w:val="000000" w:themeColor="text1"/>
              </w:rPr>
            </w:pPr>
          </w:p>
        </w:tc>
        <w:tc>
          <w:tcPr>
            <w:tcW w:w="1110" w:type="dxa"/>
            <w:vAlign w:val="center"/>
          </w:tcPr>
          <w:p w14:paraId="4FE71F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C07C27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E5EB1CC">
            <w:pPr>
              <w:jc w:val="center"/>
              <w:rPr>
                <w:rFonts w:ascii="仿宋_GB2312" w:hAnsi="黑体" w:eastAsia="仿宋_GB2312" w:cs="黑体"/>
                <w:color w:val="000000" w:themeColor="text1"/>
                <w:sz w:val="18"/>
                <w:szCs w:val="18"/>
              </w:rPr>
            </w:pPr>
          </w:p>
        </w:tc>
        <w:tc>
          <w:tcPr>
            <w:tcW w:w="1406" w:type="dxa"/>
            <w:vAlign w:val="center"/>
          </w:tcPr>
          <w:p w14:paraId="3F3E0E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F4EF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3CDC0854">
            <w:pPr>
              <w:rPr>
                <w:color w:val="000000" w:themeColor="text1"/>
              </w:rPr>
            </w:pPr>
          </w:p>
        </w:tc>
        <w:tc>
          <w:tcPr>
            <w:tcW w:w="1110" w:type="dxa"/>
            <w:vAlign w:val="center"/>
          </w:tcPr>
          <w:p w14:paraId="4CB5A8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80437C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62B3ED0">
            <w:pPr>
              <w:jc w:val="center"/>
              <w:rPr>
                <w:rFonts w:ascii="仿宋_GB2312" w:hAnsi="黑体" w:eastAsia="仿宋_GB2312" w:cs="黑体"/>
                <w:color w:val="000000" w:themeColor="text1"/>
                <w:sz w:val="18"/>
                <w:szCs w:val="18"/>
              </w:rPr>
            </w:pPr>
          </w:p>
        </w:tc>
        <w:tc>
          <w:tcPr>
            <w:tcW w:w="1406" w:type="dxa"/>
            <w:vAlign w:val="center"/>
          </w:tcPr>
          <w:p w14:paraId="60ECDF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376A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0B73C7E">
            <w:pPr>
              <w:rPr>
                <w:color w:val="000000" w:themeColor="text1"/>
              </w:rPr>
            </w:pPr>
          </w:p>
        </w:tc>
        <w:tc>
          <w:tcPr>
            <w:tcW w:w="1110" w:type="dxa"/>
            <w:vAlign w:val="center"/>
          </w:tcPr>
          <w:p w14:paraId="676233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E2E03D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9CEDB77">
            <w:pPr>
              <w:jc w:val="center"/>
              <w:rPr>
                <w:rFonts w:ascii="仿宋_GB2312" w:hAnsi="黑体" w:eastAsia="仿宋_GB2312" w:cs="黑体"/>
                <w:color w:val="000000" w:themeColor="text1"/>
                <w:sz w:val="18"/>
                <w:szCs w:val="18"/>
              </w:rPr>
            </w:pPr>
          </w:p>
        </w:tc>
        <w:tc>
          <w:tcPr>
            <w:tcW w:w="1406" w:type="dxa"/>
            <w:vAlign w:val="center"/>
          </w:tcPr>
          <w:p w14:paraId="570481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638A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5DAEAB9">
            <w:pPr>
              <w:rPr>
                <w:color w:val="000000" w:themeColor="text1"/>
              </w:rPr>
            </w:pPr>
          </w:p>
        </w:tc>
        <w:tc>
          <w:tcPr>
            <w:tcW w:w="1110" w:type="dxa"/>
            <w:vAlign w:val="center"/>
          </w:tcPr>
          <w:p w14:paraId="7060D4D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D3189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C13B485">
            <w:pPr>
              <w:jc w:val="center"/>
              <w:rPr>
                <w:rFonts w:ascii="仿宋_GB2312" w:hAnsi="黑体" w:eastAsia="仿宋_GB2312" w:cs="黑体"/>
                <w:color w:val="000000" w:themeColor="text1"/>
                <w:sz w:val="18"/>
                <w:szCs w:val="18"/>
              </w:rPr>
            </w:pPr>
          </w:p>
        </w:tc>
        <w:tc>
          <w:tcPr>
            <w:tcW w:w="1406" w:type="dxa"/>
            <w:vAlign w:val="center"/>
          </w:tcPr>
          <w:p w14:paraId="4DCA91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2F05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666945D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8F2FF70">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D228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D061A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08CD22A2">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27A6131">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21CB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6F447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20E93F6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CCAAE1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270E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1" w:hRule="atLeast"/>
          <w:jc w:val="center"/>
        </w:trPr>
        <w:tc>
          <w:tcPr>
            <w:tcW w:w="943" w:type="dxa"/>
            <w:vAlign w:val="center"/>
          </w:tcPr>
          <w:p w14:paraId="2F38D82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EB1ED16">
            <w:pPr>
              <w:widowControl/>
              <w:jc w:val="left"/>
              <w:textAlignment w:val="center"/>
              <w:rPr>
                <w:rFonts w:ascii="黑体" w:eastAsia="黑体" w:cs="黑体"/>
                <w:color w:val="000000" w:themeColor="text1"/>
                <w:kern w:val="0"/>
                <w:sz w:val="18"/>
                <w:szCs w:val="18"/>
              </w:rPr>
            </w:pPr>
          </w:p>
        </w:tc>
      </w:tr>
    </w:tbl>
    <w:p w14:paraId="2D5C259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AA46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A8AB3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02709A4">
            <w:pPr>
              <w:jc w:val="center"/>
              <w:rPr>
                <w:rFonts w:ascii="黑体" w:eastAsia="黑体" w:cs="黑体"/>
                <w:b/>
                <w:bCs/>
                <w:color w:val="000000" w:themeColor="text1"/>
                <w:szCs w:val="21"/>
              </w:rPr>
            </w:pPr>
            <w:r>
              <w:rPr>
                <w:rFonts w:ascii="黑体" w:eastAsia="黑体" w:cs="黑体"/>
                <w:b/>
                <w:bCs/>
                <w:color w:val="000000" w:themeColor="text1"/>
                <w:szCs w:val="21"/>
              </w:rPr>
              <w:t>176</w:t>
            </w:r>
          </w:p>
        </w:tc>
        <w:tc>
          <w:tcPr>
            <w:tcW w:w="1691" w:type="dxa"/>
            <w:vAlign w:val="center"/>
          </w:tcPr>
          <w:p w14:paraId="1ADF941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19E7A8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F50B2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5682F3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5370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8EF59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384DF1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未与承包单位、承租单位签订专门的安全生产管理协议或者未在承包合同、租赁合同中明确各自的安全生产管理职责，或者未对承包单位、承租单位的安全生产统一协调、管理的行政处罚</w:t>
            </w:r>
          </w:p>
        </w:tc>
      </w:tr>
      <w:tr w14:paraId="575B6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D0B89F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6128810">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DDBC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68124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58D0131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3453A54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0E86F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02FD8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69E6C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A6731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D2418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D509D5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6CD6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55AD6537">
            <w:pPr>
              <w:rPr>
                <w:color w:val="000000" w:themeColor="text1"/>
              </w:rPr>
            </w:pPr>
          </w:p>
        </w:tc>
        <w:tc>
          <w:tcPr>
            <w:tcW w:w="1110" w:type="dxa"/>
            <w:vAlign w:val="center"/>
          </w:tcPr>
          <w:p w14:paraId="671D9D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DD59A8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F037346">
            <w:pPr>
              <w:jc w:val="center"/>
              <w:rPr>
                <w:rFonts w:ascii="仿宋_GB2312" w:hAnsi="黑体" w:eastAsia="仿宋_GB2312" w:cs="黑体"/>
                <w:color w:val="000000" w:themeColor="text1"/>
                <w:sz w:val="18"/>
                <w:szCs w:val="18"/>
              </w:rPr>
            </w:pPr>
          </w:p>
        </w:tc>
        <w:tc>
          <w:tcPr>
            <w:tcW w:w="1406" w:type="dxa"/>
            <w:vAlign w:val="center"/>
          </w:tcPr>
          <w:p w14:paraId="3CC0FCB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D7E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09A7C76F">
            <w:pPr>
              <w:rPr>
                <w:color w:val="000000" w:themeColor="text1"/>
              </w:rPr>
            </w:pPr>
          </w:p>
        </w:tc>
        <w:tc>
          <w:tcPr>
            <w:tcW w:w="1110" w:type="dxa"/>
            <w:vAlign w:val="center"/>
          </w:tcPr>
          <w:p w14:paraId="3280EDD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4E1BBF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1411DD63">
            <w:pPr>
              <w:jc w:val="center"/>
              <w:rPr>
                <w:rFonts w:ascii="仿宋_GB2312" w:hAnsi="黑体" w:eastAsia="仿宋_GB2312" w:cs="黑体"/>
                <w:color w:val="000000" w:themeColor="text1"/>
                <w:sz w:val="18"/>
                <w:szCs w:val="18"/>
              </w:rPr>
            </w:pPr>
          </w:p>
        </w:tc>
        <w:tc>
          <w:tcPr>
            <w:tcW w:w="1406" w:type="dxa"/>
            <w:vAlign w:val="center"/>
          </w:tcPr>
          <w:p w14:paraId="28BD933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8BAB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C7B57D7">
            <w:pPr>
              <w:rPr>
                <w:color w:val="000000" w:themeColor="text1"/>
              </w:rPr>
            </w:pPr>
          </w:p>
        </w:tc>
        <w:tc>
          <w:tcPr>
            <w:tcW w:w="1110" w:type="dxa"/>
            <w:vAlign w:val="center"/>
          </w:tcPr>
          <w:p w14:paraId="46DF68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1366F53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4EBD934">
            <w:pPr>
              <w:jc w:val="center"/>
              <w:rPr>
                <w:rFonts w:ascii="仿宋_GB2312" w:hAnsi="黑体" w:eastAsia="仿宋_GB2312" w:cs="黑体"/>
                <w:color w:val="000000" w:themeColor="text1"/>
                <w:sz w:val="18"/>
                <w:szCs w:val="18"/>
              </w:rPr>
            </w:pPr>
          </w:p>
        </w:tc>
        <w:tc>
          <w:tcPr>
            <w:tcW w:w="1406" w:type="dxa"/>
            <w:vAlign w:val="center"/>
          </w:tcPr>
          <w:p w14:paraId="67B31A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239C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0F14E417">
            <w:pPr>
              <w:rPr>
                <w:color w:val="000000" w:themeColor="text1"/>
              </w:rPr>
            </w:pPr>
          </w:p>
        </w:tc>
        <w:tc>
          <w:tcPr>
            <w:tcW w:w="1110" w:type="dxa"/>
            <w:vAlign w:val="center"/>
          </w:tcPr>
          <w:p w14:paraId="64C624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7A1DED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22DF3A6">
            <w:pPr>
              <w:jc w:val="center"/>
              <w:rPr>
                <w:rFonts w:ascii="仿宋_GB2312" w:hAnsi="黑体" w:eastAsia="仿宋_GB2312" w:cs="黑体"/>
                <w:color w:val="000000" w:themeColor="text1"/>
                <w:sz w:val="18"/>
                <w:szCs w:val="18"/>
              </w:rPr>
            </w:pPr>
          </w:p>
        </w:tc>
        <w:tc>
          <w:tcPr>
            <w:tcW w:w="1406" w:type="dxa"/>
            <w:vAlign w:val="center"/>
          </w:tcPr>
          <w:p w14:paraId="72B2304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4E8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6AB93EF3">
            <w:pPr>
              <w:rPr>
                <w:color w:val="000000" w:themeColor="text1"/>
              </w:rPr>
            </w:pPr>
          </w:p>
        </w:tc>
        <w:tc>
          <w:tcPr>
            <w:tcW w:w="1110" w:type="dxa"/>
            <w:vAlign w:val="center"/>
          </w:tcPr>
          <w:p w14:paraId="5C3CDFB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38F25C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C876454">
            <w:pPr>
              <w:jc w:val="center"/>
              <w:rPr>
                <w:rFonts w:ascii="仿宋_GB2312" w:hAnsi="黑体" w:eastAsia="仿宋_GB2312" w:cs="黑体"/>
                <w:color w:val="000000" w:themeColor="text1"/>
                <w:sz w:val="18"/>
                <w:szCs w:val="18"/>
              </w:rPr>
            </w:pPr>
          </w:p>
        </w:tc>
        <w:tc>
          <w:tcPr>
            <w:tcW w:w="1406" w:type="dxa"/>
            <w:vAlign w:val="center"/>
          </w:tcPr>
          <w:p w14:paraId="7B4A1E3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DE0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53B9FD1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888D4D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5523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6624B6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5AC47C7D">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04C30E3">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A0A4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625C18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5347CBA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42DDAAB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6A32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1" w:hRule="atLeast"/>
          <w:jc w:val="center"/>
        </w:trPr>
        <w:tc>
          <w:tcPr>
            <w:tcW w:w="943" w:type="dxa"/>
            <w:vAlign w:val="center"/>
          </w:tcPr>
          <w:p w14:paraId="0E412E8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6232E23F">
            <w:pPr>
              <w:widowControl/>
              <w:jc w:val="left"/>
              <w:textAlignment w:val="center"/>
              <w:rPr>
                <w:rFonts w:ascii="黑体" w:eastAsia="黑体" w:cs="黑体"/>
                <w:color w:val="000000" w:themeColor="text1"/>
                <w:kern w:val="0"/>
                <w:sz w:val="18"/>
                <w:szCs w:val="18"/>
              </w:rPr>
            </w:pPr>
          </w:p>
        </w:tc>
      </w:tr>
    </w:tbl>
    <w:p w14:paraId="2B662AE7">
      <w:pPr>
        <w:rPr>
          <w:color w:val="000000" w:themeColor="text1"/>
          <w:sz w:val="24"/>
        </w:rPr>
      </w:pPr>
    </w:p>
    <w:p w14:paraId="530B5A4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363C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A9DF38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E5768C5">
            <w:pPr>
              <w:jc w:val="center"/>
              <w:rPr>
                <w:rFonts w:ascii="黑体" w:eastAsia="黑体" w:cs="黑体"/>
                <w:b/>
                <w:bCs/>
                <w:color w:val="000000" w:themeColor="text1"/>
                <w:szCs w:val="21"/>
              </w:rPr>
            </w:pPr>
            <w:r>
              <w:rPr>
                <w:rFonts w:ascii="黑体" w:eastAsia="黑体" w:cs="黑体"/>
                <w:b/>
                <w:bCs/>
                <w:color w:val="000000" w:themeColor="text1"/>
                <w:szCs w:val="21"/>
              </w:rPr>
              <w:t>177</w:t>
            </w:r>
          </w:p>
        </w:tc>
        <w:tc>
          <w:tcPr>
            <w:tcW w:w="1691" w:type="dxa"/>
            <w:vAlign w:val="center"/>
          </w:tcPr>
          <w:p w14:paraId="161DA3F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0F784B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2F85FB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8F0DA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389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5258B6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488D97A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对交通运输领域两个以上生产经营单位在同一作业区域内进行可能危及对方安全生产的生产经营活动，未签订安全生产管理协议或者未指定专职安全生产管理人员进行安全检查与协调的行政处罚</w:t>
            </w:r>
          </w:p>
        </w:tc>
      </w:tr>
      <w:tr w14:paraId="2369C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CBC840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3FC49AD">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64758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72444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B279F4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安全生产法》第一百零四条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14:paraId="6B730B2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77D0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4D64CE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4A4F19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42C1C4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2E7694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BCEDC8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6126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7D4577E">
            <w:pPr>
              <w:rPr>
                <w:color w:val="000000" w:themeColor="text1"/>
              </w:rPr>
            </w:pPr>
          </w:p>
        </w:tc>
        <w:tc>
          <w:tcPr>
            <w:tcW w:w="1110" w:type="dxa"/>
            <w:vAlign w:val="center"/>
          </w:tcPr>
          <w:p w14:paraId="3E3F4F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A98C80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F4EA0E6">
            <w:pPr>
              <w:jc w:val="center"/>
              <w:rPr>
                <w:rFonts w:ascii="仿宋_GB2312" w:hAnsi="黑体" w:eastAsia="仿宋_GB2312" w:cs="黑体"/>
                <w:color w:val="000000" w:themeColor="text1"/>
                <w:sz w:val="18"/>
                <w:szCs w:val="18"/>
              </w:rPr>
            </w:pPr>
          </w:p>
        </w:tc>
        <w:tc>
          <w:tcPr>
            <w:tcW w:w="1406" w:type="dxa"/>
            <w:vAlign w:val="center"/>
          </w:tcPr>
          <w:p w14:paraId="12A49A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AFB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FA590B3">
            <w:pPr>
              <w:rPr>
                <w:color w:val="000000" w:themeColor="text1"/>
              </w:rPr>
            </w:pPr>
          </w:p>
        </w:tc>
        <w:tc>
          <w:tcPr>
            <w:tcW w:w="1110" w:type="dxa"/>
            <w:vAlign w:val="center"/>
          </w:tcPr>
          <w:p w14:paraId="5D7BC7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7EEE34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4858B37">
            <w:pPr>
              <w:jc w:val="center"/>
              <w:rPr>
                <w:rFonts w:ascii="仿宋_GB2312" w:hAnsi="黑体" w:eastAsia="仿宋_GB2312" w:cs="黑体"/>
                <w:color w:val="000000" w:themeColor="text1"/>
                <w:sz w:val="18"/>
                <w:szCs w:val="18"/>
              </w:rPr>
            </w:pPr>
          </w:p>
        </w:tc>
        <w:tc>
          <w:tcPr>
            <w:tcW w:w="1406" w:type="dxa"/>
            <w:vAlign w:val="center"/>
          </w:tcPr>
          <w:p w14:paraId="2C9325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1F21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3AD985B">
            <w:pPr>
              <w:rPr>
                <w:color w:val="000000" w:themeColor="text1"/>
              </w:rPr>
            </w:pPr>
          </w:p>
        </w:tc>
        <w:tc>
          <w:tcPr>
            <w:tcW w:w="1110" w:type="dxa"/>
            <w:vAlign w:val="center"/>
          </w:tcPr>
          <w:p w14:paraId="0C444E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A022023">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EA5B66E">
            <w:pPr>
              <w:jc w:val="center"/>
              <w:rPr>
                <w:rFonts w:ascii="仿宋_GB2312" w:hAnsi="黑体" w:eastAsia="仿宋_GB2312" w:cs="黑体"/>
                <w:color w:val="000000" w:themeColor="text1"/>
                <w:sz w:val="18"/>
                <w:szCs w:val="18"/>
              </w:rPr>
            </w:pPr>
          </w:p>
        </w:tc>
        <w:tc>
          <w:tcPr>
            <w:tcW w:w="1406" w:type="dxa"/>
            <w:vAlign w:val="center"/>
          </w:tcPr>
          <w:p w14:paraId="2844566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2452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77508FE2">
            <w:pPr>
              <w:rPr>
                <w:color w:val="000000" w:themeColor="text1"/>
              </w:rPr>
            </w:pPr>
          </w:p>
        </w:tc>
        <w:tc>
          <w:tcPr>
            <w:tcW w:w="1110" w:type="dxa"/>
            <w:vAlign w:val="center"/>
          </w:tcPr>
          <w:p w14:paraId="3CB9FAF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4236F2E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968792A">
            <w:pPr>
              <w:jc w:val="center"/>
              <w:rPr>
                <w:rFonts w:ascii="仿宋_GB2312" w:hAnsi="黑体" w:eastAsia="仿宋_GB2312" w:cs="黑体"/>
                <w:color w:val="000000" w:themeColor="text1"/>
                <w:sz w:val="18"/>
                <w:szCs w:val="18"/>
              </w:rPr>
            </w:pPr>
          </w:p>
        </w:tc>
        <w:tc>
          <w:tcPr>
            <w:tcW w:w="1406" w:type="dxa"/>
            <w:vAlign w:val="center"/>
          </w:tcPr>
          <w:p w14:paraId="4F686E3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AF4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ED7B91E">
            <w:pPr>
              <w:rPr>
                <w:color w:val="000000" w:themeColor="text1"/>
              </w:rPr>
            </w:pPr>
          </w:p>
        </w:tc>
        <w:tc>
          <w:tcPr>
            <w:tcW w:w="1110" w:type="dxa"/>
            <w:vAlign w:val="center"/>
          </w:tcPr>
          <w:p w14:paraId="21FAE1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D5DD63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E7DE4EC">
            <w:pPr>
              <w:jc w:val="center"/>
              <w:rPr>
                <w:rFonts w:ascii="仿宋_GB2312" w:hAnsi="黑体" w:eastAsia="仿宋_GB2312" w:cs="黑体"/>
                <w:color w:val="000000" w:themeColor="text1"/>
                <w:sz w:val="18"/>
                <w:szCs w:val="18"/>
              </w:rPr>
            </w:pPr>
          </w:p>
        </w:tc>
        <w:tc>
          <w:tcPr>
            <w:tcW w:w="1406" w:type="dxa"/>
            <w:vAlign w:val="center"/>
          </w:tcPr>
          <w:p w14:paraId="4A0F6E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C54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7E47DE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8F34EB7">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01F9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DA59A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E8AA71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21BD55F">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BBC2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3EE69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691B0B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04ED7EC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7307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4" w:hRule="atLeast"/>
          <w:jc w:val="center"/>
        </w:trPr>
        <w:tc>
          <w:tcPr>
            <w:tcW w:w="943" w:type="dxa"/>
            <w:vAlign w:val="center"/>
          </w:tcPr>
          <w:p w14:paraId="6FB1C14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BF6ECA2">
            <w:pPr>
              <w:widowControl/>
              <w:jc w:val="left"/>
              <w:textAlignment w:val="center"/>
              <w:rPr>
                <w:rFonts w:ascii="黑体" w:eastAsia="黑体" w:cs="黑体"/>
                <w:color w:val="000000" w:themeColor="text1"/>
                <w:kern w:val="0"/>
                <w:sz w:val="18"/>
                <w:szCs w:val="18"/>
              </w:rPr>
            </w:pPr>
          </w:p>
        </w:tc>
      </w:tr>
    </w:tbl>
    <w:p w14:paraId="79BA526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A690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339CB2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A172CFF">
            <w:pPr>
              <w:jc w:val="center"/>
              <w:rPr>
                <w:rFonts w:ascii="黑体" w:eastAsia="黑体" w:cs="黑体"/>
                <w:b/>
                <w:bCs/>
                <w:color w:val="000000" w:themeColor="text1"/>
                <w:szCs w:val="21"/>
              </w:rPr>
            </w:pPr>
            <w:r>
              <w:rPr>
                <w:rFonts w:ascii="黑体" w:eastAsia="黑体" w:cs="黑体"/>
                <w:b/>
                <w:bCs/>
                <w:color w:val="000000" w:themeColor="text1"/>
                <w:szCs w:val="21"/>
              </w:rPr>
              <w:t>178</w:t>
            </w:r>
          </w:p>
        </w:tc>
        <w:tc>
          <w:tcPr>
            <w:tcW w:w="1691" w:type="dxa"/>
            <w:vAlign w:val="center"/>
          </w:tcPr>
          <w:p w14:paraId="055B4FA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547F3A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DE6E6B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10CBE7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14F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E6AFD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96294A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对交通运输领域生产经营单位储存危险物品的仓库与员工宿舍在同一座建筑内，</w:t>
            </w:r>
          </w:p>
          <w:p w14:paraId="7893436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或者与员工宿舍的距离不符合安全要求等行为的行政处罚</w:t>
            </w:r>
          </w:p>
        </w:tc>
      </w:tr>
      <w:tr w14:paraId="64B1C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51AE1D0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F55A616">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1EC3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A52E4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DAC05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一）生产、经营、储存、使用危险物品的车间、商店、仓库与员工宿舍在同一座建筑内，或者与员工宿舍的距离不符合安全要求的；（二）生产经营场所和员工宿舍未设有符合紧急疏散需要、标志明显、保持畅通的出口、疏散通道，或者占用、锁闭、封堵生产经营场所或者员工宿舍出口、疏散通道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《建设工程安全生产管理条例》（国务院令第</w:t>
            </w:r>
            <w:r>
              <w:rPr>
                <w:rFonts w:ascii="仿宋_GB2312" w:eastAsia="仿宋_GB2312" w:cs="仿宋_GB2312"/>
                <w:color w:val="000000" w:themeColor="text1"/>
                <w:kern w:val="0"/>
                <w:sz w:val="18"/>
                <w:szCs w:val="18"/>
              </w:rPr>
              <w:t>393</w:t>
            </w:r>
            <w:r>
              <w:rPr>
                <w:rFonts w:hint="eastAsia" w:ascii="仿宋_GB2312" w:eastAsia="仿宋_GB2312" w:cs="仿宋_GB2312"/>
                <w:color w:val="000000" w:themeColor="text1"/>
                <w:kern w:val="0"/>
                <w:sz w:val="18"/>
                <w:szCs w:val="18"/>
              </w:rPr>
              <w:t>号）第六十四条　违反本条例的规定，施工单位有下列行为之一的，责令限期改正；逾期未改正的，责令停业整顿，并处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万元以上</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万元以下的罚款；造成重大安全事故，构成犯罪的，对直接责任人员，依照刑法有关规定追究刑事责任：</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三</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在尚未竣工的建筑物内设置员工集体宿舍的；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四</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施工现场临时搭建的建筑物不符合安全使用要求的；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五</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未对因建设工程施工可能造成损害的毗邻建筑物、构筑物和地下管线等采取专项防护措施的。施工单位有前款规定第</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四</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项，第</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五</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项行为，造成损失的，依法承担赔偿责任。</w:t>
            </w:r>
          </w:p>
          <w:p w14:paraId="0A0C330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71BF3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32230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FB876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6B014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5C3367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3748DF7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C9C0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40" w:hRule="atLeast"/>
          <w:jc w:val="center"/>
        </w:trPr>
        <w:tc>
          <w:tcPr>
            <w:tcW w:w="943" w:type="dxa"/>
            <w:vMerge w:val="continue"/>
            <w:vAlign w:val="center"/>
          </w:tcPr>
          <w:p w14:paraId="0CA8C214">
            <w:pPr>
              <w:rPr>
                <w:color w:val="000000" w:themeColor="text1"/>
              </w:rPr>
            </w:pPr>
          </w:p>
        </w:tc>
        <w:tc>
          <w:tcPr>
            <w:tcW w:w="1110" w:type="dxa"/>
            <w:vAlign w:val="center"/>
          </w:tcPr>
          <w:p w14:paraId="2B06FD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4B9F92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3088C69">
            <w:pPr>
              <w:jc w:val="center"/>
              <w:rPr>
                <w:rFonts w:ascii="仿宋_GB2312" w:hAnsi="黑体" w:eastAsia="仿宋_GB2312" w:cs="黑体"/>
                <w:color w:val="000000" w:themeColor="text1"/>
                <w:sz w:val="18"/>
                <w:szCs w:val="18"/>
              </w:rPr>
            </w:pPr>
          </w:p>
        </w:tc>
        <w:tc>
          <w:tcPr>
            <w:tcW w:w="1406" w:type="dxa"/>
            <w:vAlign w:val="center"/>
          </w:tcPr>
          <w:p w14:paraId="0D70E7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D3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0" w:hRule="atLeast"/>
          <w:jc w:val="center"/>
        </w:trPr>
        <w:tc>
          <w:tcPr>
            <w:tcW w:w="943" w:type="dxa"/>
            <w:vMerge w:val="continue"/>
            <w:vAlign w:val="center"/>
          </w:tcPr>
          <w:p w14:paraId="7EE39EF6">
            <w:pPr>
              <w:rPr>
                <w:color w:val="000000" w:themeColor="text1"/>
              </w:rPr>
            </w:pPr>
          </w:p>
        </w:tc>
        <w:tc>
          <w:tcPr>
            <w:tcW w:w="1110" w:type="dxa"/>
            <w:vAlign w:val="center"/>
          </w:tcPr>
          <w:p w14:paraId="0DC74D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46FB084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4EF7BBF">
            <w:pPr>
              <w:jc w:val="center"/>
              <w:rPr>
                <w:rFonts w:ascii="仿宋_GB2312" w:hAnsi="黑体" w:eastAsia="仿宋_GB2312" w:cs="黑体"/>
                <w:color w:val="000000" w:themeColor="text1"/>
                <w:sz w:val="18"/>
                <w:szCs w:val="18"/>
              </w:rPr>
            </w:pPr>
          </w:p>
        </w:tc>
        <w:tc>
          <w:tcPr>
            <w:tcW w:w="1406" w:type="dxa"/>
            <w:vAlign w:val="center"/>
          </w:tcPr>
          <w:p w14:paraId="08BDDF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5F8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11409AF">
            <w:pPr>
              <w:rPr>
                <w:color w:val="000000" w:themeColor="text1"/>
              </w:rPr>
            </w:pPr>
          </w:p>
        </w:tc>
        <w:tc>
          <w:tcPr>
            <w:tcW w:w="1110" w:type="dxa"/>
            <w:vAlign w:val="center"/>
          </w:tcPr>
          <w:p w14:paraId="060167D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29A1903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7C27FDC7">
            <w:pPr>
              <w:jc w:val="center"/>
              <w:rPr>
                <w:rFonts w:ascii="仿宋_GB2312" w:hAnsi="黑体" w:eastAsia="仿宋_GB2312" w:cs="黑体"/>
                <w:color w:val="000000" w:themeColor="text1"/>
                <w:sz w:val="18"/>
                <w:szCs w:val="18"/>
              </w:rPr>
            </w:pPr>
          </w:p>
        </w:tc>
        <w:tc>
          <w:tcPr>
            <w:tcW w:w="1406" w:type="dxa"/>
            <w:vAlign w:val="center"/>
          </w:tcPr>
          <w:p w14:paraId="34EA818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522D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1ACDDFB">
            <w:pPr>
              <w:rPr>
                <w:color w:val="000000" w:themeColor="text1"/>
              </w:rPr>
            </w:pPr>
          </w:p>
        </w:tc>
        <w:tc>
          <w:tcPr>
            <w:tcW w:w="1110" w:type="dxa"/>
            <w:vAlign w:val="center"/>
          </w:tcPr>
          <w:p w14:paraId="7364CE0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34BC4D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67FEE72">
            <w:pPr>
              <w:jc w:val="center"/>
              <w:rPr>
                <w:rFonts w:ascii="仿宋_GB2312" w:hAnsi="黑体" w:eastAsia="仿宋_GB2312" w:cs="黑体"/>
                <w:color w:val="000000" w:themeColor="text1"/>
                <w:sz w:val="18"/>
                <w:szCs w:val="18"/>
              </w:rPr>
            </w:pPr>
          </w:p>
        </w:tc>
        <w:tc>
          <w:tcPr>
            <w:tcW w:w="1406" w:type="dxa"/>
            <w:vAlign w:val="center"/>
          </w:tcPr>
          <w:p w14:paraId="7EF5142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0F2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9" w:hRule="atLeast"/>
          <w:jc w:val="center"/>
        </w:trPr>
        <w:tc>
          <w:tcPr>
            <w:tcW w:w="943" w:type="dxa"/>
            <w:vMerge w:val="continue"/>
            <w:vAlign w:val="center"/>
          </w:tcPr>
          <w:p w14:paraId="752B7D26">
            <w:pPr>
              <w:rPr>
                <w:color w:val="000000" w:themeColor="text1"/>
              </w:rPr>
            </w:pPr>
          </w:p>
        </w:tc>
        <w:tc>
          <w:tcPr>
            <w:tcW w:w="1110" w:type="dxa"/>
            <w:vAlign w:val="center"/>
          </w:tcPr>
          <w:p w14:paraId="11CDCB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FDD6B1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1C819FC7">
            <w:pPr>
              <w:jc w:val="center"/>
              <w:rPr>
                <w:rFonts w:ascii="仿宋_GB2312" w:hAnsi="黑体" w:eastAsia="仿宋_GB2312" w:cs="黑体"/>
                <w:color w:val="000000" w:themeColor="text1"/>
                <w:sz w:val="18"/>
                <w:szCs w:val="18"/>
              </w:rPr>
            </w:pPr>
          </w:p>
        </w:tc>
        <w:tc>
          <w:tcPr>
            <w:tcW w:w="1406" w:type="dxa"/>
            <w:vAlign w:val="center"/>
          </w:tcPr>
          <w:p w14:paraId="5F23A0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AB19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8" w:hRule="atLeast"/>
          <w:jc w:val="center"/>
        </w:trPr>
        <w:tc>
          <w:tcPr>
            <w:tcW w:w="943" w:type="dxa"/>
            <w:vAlign w:val="center"/>
          </w:tcPr>
          <w:p w14:paraId="6E14351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D820F59">
            <w:pPr>
              <w:spacing w:line="240" w:lineRule="exact"/>
              <w:rPr>
                <w:rFonts w:ascii="黑体" w:eastAsia="黑体" w:cs="黑体"/>
                <w:color w:val="000000" w:themeColor="text1"/>
                <w:sz w:val="13"/>
                <w:szCs w:val="13"/>
              </w:rPr>
            </w:pPr>
            <w:r>
              <w:rPr>
                <w:rFonts w:hint="eastAsia" w:ascii="仿宋_GB2312" w:eastAsia="仿宋_GB2312" w:cs="仿宋_GB2312"/>
                <w:color w:val="000000" w:themeColor="text1"/>
                <w:kern w:val="0"/>
                <w:sz w:val="13"/>
                <w:szCs w:val="13"/>
              </w:rPr>
              <w:t>因不履行或不正确履行行政职责，有下列情形的，行政机关及相关工作人员应承担相应责任：</w:t>
            </w:r>
            <w:r>
              <w:rPr>
                <w:rFonts w:ascii="仿宋_GB2312" w:eastAsia="仿宋_GB2312" w:cs="仿宋_GB2312"/>
                <w:color w:val="000000" w:themeColor="text1"/>
                <w:kern w:val="0"/>
                <w:sz w:val="13"/>
                <w:szCs w:val="13"/>
              </w:rPr>
              <w:t>1.</w:t>
            </w:r>
            <w:r>
              <w:rPr>
                <w:rFonts w:hint="eastAsia" w:ascii="仿宋_GB2312" w:eastAsia="仿宋_GB2312" w:cs="仿宋_GB2312"/>
                <w:color w:val="000000" w:themeColor="text1"/>
                <w:kern w:val="0"/>
                <w:sz w:val="13"/>
                <w:szCs w:val="13"/>
              </w:rPr>
              <w:t>没有法律和事实依据实施行政处罚的；</w:t>
            </w:r>
            <w:r>
              <w:rPr>
                <w:rFonts w:ascii="仿宋_GB2312" w:eastAsia="仿宋_GB2312" w:cs="仿宋_GB2312"/>
                <w:color w:val="000000" w:themeColor="text1"/>
                <w:kern w:val="0"/>
                <w:sz w:val="13"/>
                <w:szCs w:val="13"/>
              </w:rPr>
              <w:t>2.</w:t>
            </w:r>
            <w:r>
              <w:rPr>
                <w:rFonts w:hint="eastAsia" w:ascii="仿宋_GB2312" w:eastAsia="仿宋_GB2312" w:cs="仿宋_GB2312"/>
                <w:color w:val="000000" w:themeColor="text1"/>
                <w:kern w:val="0"/>
                <w:sz w:val="13"/>
                <w:szCs w:val="13"/>
              </w:rPr>
              <w:t>行政处罚显失公正的；</w:t>
            </w:r>
            <w:r>
              <w:rPr>
                <w:rFonts w:ascii="仿宋_GB2312" w:eastAsia="仿宋_GB2312" w:cs="仿宋_GB2312"/>
                <w:color w:val="000000" w:themeColor="text1"/>
                <w:kern w:val="0"/>
                <w:sz w:val="13"/>
                <w:szCs w:val="13"/>
              </w:rPr>
              <w:t>3.</w:t>
            </w:r>
            <w:r>
              <w:rPr>
                <w:rFonts w:hint="eastAsia" w:ascii="仿宋_GB2312" w:eastAsia="仿宋_GB2312" w:cs="仿宋_GB2312"/>
                <w:color w:val="000000" w:themeColor="text1"/>
                <w:kern w:val="0"/>
                <w:sz w:val="13"/>
                <w:szCs w:val="13"/>
              </w:rPr>
              <w:t>执法人员玩忽职守，对应当予以制止和处罚的违法行为不予制止、处罚，致使职工合法权益遭受损害的；</w:t>
            </w:r>
            <w:r>
              <w:rPr>
                <w:rFonts w:ascii="仿宋_GB2312" w:eastAsia="仿宋_GB2312" w:cs="仿宋_GB2312"/>
                <w:color w:val="000000" w:themeColor="text1"/>
                <w:kern w:val="0"/>
                <w:sz w:val="13"/>
                <w:szCs w:val="13"/>
              </w:rPr>
              <w:t>4.</w:t>
            </w:r>
            <w:r>
              <w:rPr>
                <w:rFonts w:hint="eastAsia" w:ascii="仿宋_GB2312" w:eastAsia="仿宋_GB2312" w:cs="仿宋_GB2312"/>
                <w:color w:val="000000" w:themeColor="text1"/>
                <w:kern w:val="0"/>
                <w:sz w:val="13"/>
                <w:szCs w:val="13"/>
              </w:rPr>
              <w:t>不具备行政执法资格实施行政处罚的；</w:t>
            </w:r>
            <w:r>
              <w:rPr>
                <w:rFonts w:ascii="仿宋_GB2312" w:eastAsia="仿宋_GB2312" w:cs="仿宋_GB2312"/>
                <w:color w:val="000000" w:themeColor="text1"/>
                <w:kern w:val="0"/>
                <w:sz w:val="13"/>
                <w:szCs w:val="13"/>
              </w:rPr>
              <w:t>5.</w:t>
            </w:r>
            <w:r>
              <w:rPr>
                <w:rFonts w:hint="eastAsia" w:ascii="仿宋_GB2312" w:eastAsia="仿宋_GB2312" w:cs="仿宋_GB2312"/>
                <w:color w:val="000000" w:themeColor="text1"/>
                <w:kern w:val="0"/>
                <w:sz w:val="13"/>
                <w:szCs w:val="13"/>
              </w:rPr>
              <w:t>在制止以及查处违法案件中受阻，依照有关规定应当向本级人民政府或者上级主管部门报告而未报告的；</w:t>
            </w:r>
            <w:r>
              <w:rPr>
                <w:rFonts w:ascii="仿宋_GB2312" w:eastAsia="仿宋_GB2312" w:cs="仿宋_GB2312"/>
                <w:color w:val="000000" w:themeColor="text1"/>
                <w:kern w:val="0"/>
                <w:sz w:val="13"/>
                <w:szCs w:val="13"/>
              </w:rPr>
              <w:t>6.</w:t>
            </w:r>
            <w:r>
              <w:rPr>
                <w:rFonts w:hint="eastAsia" w:ascii="仿宋_GB2312" w:eastAsia="仿宋_GB2312" w:cs="仿宋_GB2312"/>
                <w:color w:val="000000" w:themeColor="text1"/>
                <w:kern w:val="0"/>
                <w:sz w:val="13"/>
                <w:szCs w:val="13"/>
              </w:rPr>
              <w:t>应当依法移送追究刑事责任，而未依法移送有权机关的；</w:t>
            </w:r>
            <w:r>
              <w:rPr>
                <w:rFonts w:ascii="仿宋_GB2312" w:eastAsia="仿宋_GB2312" w:cs="仿宋_GB2312"/>
                <w:color w:val="000000" w:themeColor="text1"/>
                <w:kern w:val="0"/>
                <w:sz w:val="13"/>
                <w:szCs w:val="13"/>
              </w:rPr>
              <w:t>7.</w:t>
            </w:r>
            <w:r>
              <w:rPr>
                <w:rFonts w:hint="eastAsia" w:ascii="仿宋_GB2312" w:eastAsia="仿宋_GB2312" w:cs="仿宋_GB2312"/>
                <w:color w:val="000000" w:themeColor="text1"/>
                <w:kern w:val="0"/>
                <w:sz w:val="13"/>
                <w:szCs w:val="13"/>
              </w:rPr>
              <w:t>擅自改变行政处罚种类、幅度的；</w:t>
            </w:r>
            <w:r>
              <w:rPr>
                <w:rFonts w:ascii="仿宋_GB2312" w:eastAsia="仿宋_GB2312" w:cs="仿宋_GB2312"/>
                <w:color w:val="000000" w:themeColor="text1"/>
                <w:kern w:val="0"/>
                <w:sz w:val="13"/>
                <w:szCs w:val="13"/>
              </w:rPr>
              <w:t>8.</w:t>
            </w:r>
            <w:r>
              <w:rPr>
                <w:rFonts w:hint="eastAsia" w:ascii="仿宋_GB2312" w:eastAsia="仿宋_GB2312" w:cs="仿宋_GB2312"/>
                <w:color w:val="000000" w:themeColor="text1"/>
                <w:kern w:val="0"/>
                <w:sz w:val="13"/>
                <w:szCs w:val="13"/>
              </w:rPr>
              <w:t>违反法定的行政处罚程序的；</w:t>
            </w:r>
            <w:r>
              <w:rPr>
                <w:rFonts w:ascii="仿宋_GB2312" w:eastAsia="仿宋_GB2312" w:cs="仿宋_GB2312"/>
                <w:color w:val="000000" w:themeColor="text1"/>
                <w:kern w:val="0"/>
                <w:sz w:val="13"/>
                <w:szCs w:val="13"/>
              </w:rPr>
              <w:t>9.</w:t>
            </w:r>
            <w:r>
              <w:rPr>
                <w:rFonts w:hint="eastAsia" w:ascii="仿宋_GB2312" w:eastAsia="仿宋_GB2312" w:cs="仿宋_GB2312"/>
                <w:color w:val="000000" w:themeColor="text1"/>
                <w:kern w:val="0"/>
                <w:sz w:val="13"/>
                <w:szCs w:val="13"/>
              </w:rPr>
              <w:t>符合听证条件、行政管理相对人要求听证，应予组织听证而不组织听证的；</w:t>
            </w:r>
            <w:r>
              <w:rPr>
                <w:rFonts w:ascii="仿宋_GB2312" w:eastAsia="仿宋_GB2312" w:cs="仿宋_GB2312"/>
                <w:color w:val="000000" w:themeColor="text1"/>
                <w:kern w:val="0"/>
                <w:sz w:val="13"/>
                <w:szCs w:val="13"/>
              </w:rPr>
              <w:t>10.</w:t>
            </w:r>
            <w:r>
              <w:rPr>
                <w:rFonts w:hint="eastAsia" w:ascii="仿宋_GB2312" w:eastAsia="仿宋_GB2312" w:cs="仿宋_GB2312"/>
                <w:color w:val="000000" w:themeColor="text1"/>
                <w:kern w:val="0"/>
                <w:sz w:val="13"/>
                <w:szCs w:val="13"/>
              </w:rPr>
              <w:t>在行政处罚过程中发生腐败行为的；</w:t>
            </w:r>
            <w:r>
              <w:rPr>
                <w:rFonts w:ascii="仿宋_GB2312" w:eastAsia="仿宋_GB2312" w:cs="仿宋_GB2312"/>
                <w:color w:val="000000" w:themeColor="text1"/>
                <w:kern w:val="0"/>
                <w:sz w:val="13"/>
                <w:szCs w:val="13"/>
              </w:rPr>
              <w:t>11.</w:t>
            </w:r>
            <w:r>
              <w:rPr>
                <w:rFonts w:hint="eastAsia" w:ascii="仿宋_GB2312" w:eastAsia="仿宋_GB2312" w:cs="仿宋_GB2312"/>
                <w:color w:val="000000" w:themeColor="text1"/>
                <w:kern w:val="0"/>
                <w:sz w:val="13"/>
                <w:szCs w:val="13"/>
              </w:rPr>
              <w:t>其他违反法律法规规章文件规定的行为。</w:t>
            </w:r>
          </w:p>
        </w:tc>
      </w:tr>
      <w:tr w14:paraId="4BD4A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18D57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45370D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3A4ED7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B35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20F98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CB5F1F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905CFD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1DAEF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06DBB89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5AFDAE4B">
            <w:pPr>
              <w:widowControl/>
              <w:jc w:val="left"/>
              <w:textAlignment w:val="center"/>
              <w:rPr>
                <w:rFonts w:ascii="黑体" w:eastAsia="黑体" w:cs="黑体"/>
                <w:color w:val="000000" w:themeColor="text1"/>
                <w:kern w:val="0"/>
                <w:sz w:val="18"/>
                <w:szCs w:val="18"/>
              </w:rPr>
            </w:pPr>
          </w:p>
        </w:tc>
      </w:tr>
    </w:tbl>
    <w:p w14:paraId="47E1941C">
      <w:pPr>
        <w:rPr>
          <w:color w:val="000000" w:themeColor="text1"/>
          <w:sz w:val="24"/>
        </w:rPr>
      </w:pPr>
    </w:p>
    <w:p w14:paraId="7BA0BFA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64C0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1081B0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65E7505D">
            <w:pPr>
              <w:jc w:val="center"/>
              <w:rPr>
                <w:rFonts w:ascii="黑体" w:eastAsia="黑体" w:cs="黑体"/>
                <w:b/>
                <w:bCs/>
                <w:color w:val="000000" w:themeColor="text1"/>
                <w:szCs w:val="21"/>
              </w:rPr>
            </w:pPr>
            <w:r>
              <w:rPr>
                <w:rFonts w:ascii="黑体" w:eastAsia="黑体" w:cs="黑体"/>
                <w:b/>
                <w:bCs/>
                <w:color w:val="000000" w:themeColor="text1"/>
                <w:szCs w:val="21"/>
              </w:rPr>
              <w:t>179</w:t>
            </w:r>
          </w:p>
        </w:tc>
        <w:tc>
          <w:tcPr>
            <w:tcW w:w="1691" w:type="dxa"/>
            <w:vAlign w:val="center"/>
          </w:tcPr>
          <w:p w14:paraId="5B31B84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4DB0B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7D941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E6487F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8EAD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1AD640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3592B1B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对交通运输领域生产经营单位与从业人员订立协议，免除或者减轻其对从业人员因生产安全事故伤亡依法应承担的责任行为的行政处罚</w:t>
            </w:r>
          </w:p>
        </w:tc>
      </w:tr>
      <w:tr w14:paraId="57B59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109185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C1BB6E2">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45817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1B0868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2893E7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六条生产经营单位与从业人员订立协议，免除或者减轻其对从业人员因生产安全事故伤亡依法应承担的责任的，该协议无效；对生产经营单位的主要负责人、个人经营的投资人处二万元以上十万元以下的罚款。</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w:t>
            </w:r>
          </w:p>
          <w:p w14:paraId="55B41317">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第九十条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违反本条例规定，生产经营单位与从业人员订立减轻或者免除其对从业人员因生产安全事故伤亡依法应承担责任协议的，该协议无效，对生产经营单位的主要负责人、个人经营的投资人按照下列规定处以罚款：</w:t>
            </w:r>
          </w:p>
          <w:p w14:paraId="3181E15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（一）在协议中减轻其对从业人员因生产安全事故伤亡依法应承担责任的，处二万元以上五万元以下的罚款；</w:t>
            </w:r>
          </w:p>
          <w:p w14:paraId="398129B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（二）在协议中免除其对从业人员因生产安全事故伤亡依法应承担责任的，处五万元以上十万元以下的罚款。</w:t>
            </w:r>
          </w:p>
          <w:p w14:paraId="54948A48">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42763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485472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D3E9DE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1AA43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92273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86B4EF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5F87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9187E5A">
            <w:pPr>
              <w:rPr>
                <w:color w:val="000000" w:themeColor="text1"/>
              </w:rPr>
            </w:pPr>
          </w:p>
        </w:tc>
        <w:tc>
          <w:tcPr>
            <w:tcW w:w="1110" w:type="dxa"/>
            <w:vAlign w:val="center"/>
          </w:tcPr>
          <w:p w14:paraId="447001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7E2D7E0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577A2A4">
            <w:pPr>
              <w:jc w:val="center"/>
              <w:rPr>
                <w:rFonts w:ascii="仿宋_GB2312" w:hAnsi="黑体" w:eastAsia="仿宋_GB2312" w:cs="黑体"/>
                <w:color w:val="000000" w:themeColor="text1"/>
                <w:sz w:val="18"/>
                <w:szCs w:val="18"/>
              </w:rPr>
            </w:pPr>
          </w:p>
        </w:tc>
        <w:tc>
          <w:tcPr>
            <w:tcW w:w="1406" w:type="dxa"/>
            <w:vAlign w:val="center"/>
          </w:tcPr>
          <w:p w14:paraId="05428C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2F08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449DA81">
            <w:pPr>
              <w:rPr>
                <w:color w:val="000000" w:themeColor="text1"/>
              </w:rPr>
            </w:pPr>
          </w:p>
        </w:tc>
        <w:tc>
          <w:tcPr>
            <w:tcW w:w="1110" w:type="dxa"/>
            <w:vAlign w:val="center"/>
          </w:tcPr>
          <w:p w14:paraId="2D561E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5A2789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3F6D22F8">
            <w:pPr>
              <w:jc w:val="center"/>
              <w:rPr>
                <w:rFonts w:ascii="仿宋_GB2312" w:hAnsi="黑体" w:eastAsia="仿宋_GB2312" w:cs="黑体"/>
                <w:color w:val="000000" w:themeColor="text1"/>
                <w:sz w:val="18"/>
                <w:szCs w:val="18"/>
              </w:rPr>
            </w:pPr>
          </w:p>
        </w:tc>
        <w:tc>
          <w:tcPr>
            <w:tcW w:w="1406" w:type="dxa"/>
            <w:vAlign w:val="center"/>
          </w:tcPr>
          <w:p w14:paraId="1CDAFF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9F8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62DFEEB9">
            <w:pPr>
              <w:rPr>
                <w:color w:val="000000" w:themeColor="text1"/>
              </w:rPr>
            </w:pPr>
          </w:p>
        </w:tc>
        <w:tc>
          <w:tcPr>
            <w:tcW w:w="1110" w:type="dxa"/>
            <w:vAlign w:val="center"/>
          </w:tcPr>
          <w:p w14:paraId="0D64CB8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6AE46F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5314A289">
            <w:pPr>
              <w:jc w:val="center"/>
              <w:rPr>
                <w:rFonts w:ascii="仿宋_GB2312" w:hAnsi="黑体" w:eastAsia="仿宋_GB2312" w:cs="黑体"/>
                <w:color w:val="000000" w:themeColor="text1"/>
                <w:sz w:val="18"/>
                <w:szCs w:val="18"/>
              </w:rPr>
            </w:pPr>
          </w:p>
        </w:tc>
        <w:tc>
          <w:tcPr>
            <w:tcW w:w="1406" w:type="dxa"/>
            <w:vAlign w:val="center"/>
          </w:tcPr>
          <w:p w14:paraId="69C1B5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419A1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05646DF">
            <w:pPr>
              <w:rPr>
                <w:color w:val="000000" w:themeColor="text1"/>
              </w:rPr>
            </w:pPr>
          </w:p>
        </w:tc>
        <w:tc>
          <w:tcPr>
            <w:tcW w:w="1110" w:type="dxa"/>
            <w:vAlign w:val="center"/>
          </w:tcPr>
          <w:p w14:paraId="4D351D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D2E8FC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1654C492">
            <w:pPr>
              <w:jc w:val="center"/>
              <w:rPr>
                <w:rFonts w:ascii="仿宋_GB2312" w:hAnsi="黑体" w:eastAsia="仿宋_GB2312" w:cs="黑体"/>
                <w:color w:val="000000" w:themeColor="text1"/>
                <w:sz w:val="18"/>
                <w:szCs w:val="18"/>
              </w:rPr>
            </w:pPr>
          </w:p>
        </w:tc>
        <w:tc>
          <w:tcPr>
            <w:tcW w:w="1406" w:type="dxa"/>
            <w:vAlign w:val="center"/>
          </w:tcPr>
          <w:p w14:paraId="3A8C187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A35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BA87E78">
            <w:pPr>
              <w:rPr>
                <w:color w:val="000000" w:themeColor="text1"/>
              </w:rPr>
            </w:pPr>
          </w:p>
        </w:tc>
        <w:tc>
          <w:tcPr>
            <w:tcW w:w="1110" w:type="dxa"/>
            <w:vAlign w:val="center"/>
          </w:tcPr>
          <w:p w14:paraId="4FA11A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31B9A26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3C5A8B8E">
            <w:pPr>
              <w:jc w:val="center"/>
              <w:rPr>
                <w:rFonts w:ascii="仿宋_GB2312" w:hAnsi="黑体" w:eastAsia="仿宋_GB2312" w:cs="黑体"/>
                <w:color w:val="000000" w:themeColor="text1"/>
                <w:sz w:val="18"/>
                <w:szCs w:val="18"/>
              </w:rPr>
            </w:pPr>
          </w:p>
        </w:tc>
        <w:tc>
          <w:tcPr>
            <w:tcW w:w="1406" w:type="dxa"/>
            <w:vAlign w:val="center"/>
          </w:tcPr>
          <w:p w14:paraId="536BF1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D19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E12E05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2A2810F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26E2D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D1946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6974C98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8E61C44">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F5FF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3D6CA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7F3AD2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8DE281D">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3E57B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5" w:hRule="atLeast"/>
          <w:jc w:val="center"/>
        </w:trPr>
        <w:tc>
          <w:tcPr>
            <w:tcW w:w="943" w:type="dxa"/>
            <w:vAlign w:val="center"/>
          </w:tcPr>
          <w:p w14:paraId="22AE38C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01E70A35">
            <w:pPr>
              <w:widowControl/>
              <w:jc w:val="left"/>
              <w:textAlignment w:val="center"/>
              <w:rPr>
                <w:rFonts w:ascii="黑体" w:eastAsia="黑体" w:cs="黑体"/>
                <w:color w:val="000000" w:themeColor="text1"/>
                <w:kern w:val="0"/>
                <w:sz w:val="18"/>
                <w:szCs w:val="18"/>
              </w:rPr>
            </w:pPr>
          </w:p>
        </w:tc>
      </w:tr>
    </w:tbl>
    <w:p w14:paraId="681B9412">
      <w:pPr>
        <w:rPr>
          <w:color w:val="000000" w:themeColor="text1"/>
          <w:sz w:val="24"/>
        </w:rPr>
      </w:pPr>
    </w:p>
    <w:p w14:paraId="0F00780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972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DC520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2A2D15F2">
            <w:pPr>
              <w:jc w:val="center"/>
              <w:rPr>
                <w:rFonts w:ascii="黑体" w:eastAsia="黑体" w:cs="黑体"/>
                <w:b/>
                <w:bCs/>
                <w:color w:val="000000" w:themeColor="text1"/>
                <w:szCs w:val="21"/>
              </w:rPr>
            </w:pPr>
            <w:r>
              <w:rPr>
                <w:rFonts w:ascii="黑体" w:eastAsia="黑体" w:cs="黑体"/>
                <w:b/>
                <w:bCs/>
                <w:color w:val="000000" w:themeColor="text1"/>
                <w:szCs w:val="21"/>
              </w:rPr>
              <w:t>180</w:t>
            </w:r>
          </w:p>
        </w:tc>
        <w:tc>
          <w:tcPr>
            <w:tcW w:w="1691" w:type="dxa"/>
            <w:vAlign w:val="center"/>
          </w:tcPr>
          <w:p w14:paraId="7B0E427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00BB37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3DC9B4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806AA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5BDB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188CF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36A615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对交通运输领域生产经营单位拒绝、阻碍负有安全生产监督管理职责的部门依法实施监督检查行为的行政处罚</w:t>
            </w:r>
          </w:p>
        </w:tc>
      </w:tr>
      <w:tr w14:paraId="10C81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B91A42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202FF6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BF26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2FDDB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0209BF0C">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中华人民共和国安全生产法》第一百零八条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第一百一十三条第四项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四）拒不执行负有安全生产监督管理职责的部门作出的停产停业整顿决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《河北省安全生产条例》（河北省人民代表大会常务委员会公告</w:t>
            </w:r>
            <w:r>
              <w:rPr>
                <w:rFonts w:ascii="仿宋_GB2312" w:eastAsia="仿宋_GB2312" w:cs="仿宋_GB2312"/>
                <w:color w:val="000000" w:themeColor="text1"/>
                <w:kern w:val="0"/>
                <w:sz w:val="18"/>
                <w:szCs w:val="18"/>
              </w:rPr>
              <w:t>2024</w:t>
            </w:r>
            <w:r>
              <w:rPr>
                <w:rFonts w:hint="eastAsia" w:ascii="仿宋_GB2312" w:eastAsia="仿宋_GB2312" w:cs="仿宋_GB2312"/>
                <w:color w:val="000000" w:themeColor="text1"/>
                <w:kern w:val="0"/>
                <w:sz w:val="18"/>
                <w:szCs w:val="18"/>
              </w:rPr>
              <w:t>年第</w:t>
            </w:r>
            <w:r>
              <w:rPr>
                <w:rFonts w:ascii="仿宋_GB2312" w:eastAsia="仿宋_GB2312" w:cs="仿宋_GB2312"/>
                <w:color w:val="000000" w:themeColor="text1"/>
                <w:kern w:val="0"/>
                <w:sz w:val="18"/>
                <w:szCs w:val="18"/>
              </w:rPr>
              <w:t>26</w:t>
            </w:r>
            <w:r>
              <w:rPr>
                <w:rFonts w:hint="eastAsia" w:ascii="仿宋_GB2312" w:eastAsia="仿宋_GB2312" w:cs="仿宋_GB2312"/>
                <w:color w:val="000000" w:themeColor="text1"/>
                <w:kern w:val="0"/>
                <w:sz w:val="18"/>
                <w:szCs w:val="18"/>
              </w:rPr>
              <w:t>号）</w:t>
            </w:r>
            <w:r>
              <w:rPr>
                <w:rFonts w:hint="eastAsia" w:ascii="仿宋" w:hAnsi="仿宋" w:eastAsia="仿宋" w:cs="Helvetica"/>
                <w:color w:val="000000" w:themeColor="text1"/>
                <w:kern w:val="0"/>
                <w:sz w:val="13"/>
                <w:szCs w:val="13"/>
                <w:shd w:val="clear" w:color="auto" w:fill="FFFFFF"/>
              </w:rPr>
              <w:t>第九十五条　违反本条例规定，生产经营单位拒绝、阻挠负有安全生产监督管理职责的部门依法实施监督检查的，责令改正；拒不改正的，处二万元以上五万元以下的罚款；情节较重的，处五万元以上十万元以下的罚款；情节严重的，处十万元以上二十万元以下的罚款。对其直接负责的主管人员和其他直接责任人员处一万元以上二万元以下的罚款；构成犯罪的，依法追究刑事责任。生产经营单位拒不执行负有安全生产监督管理职责的部门作出的停产停业整顿决定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14:paraId="7D1422F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3AB0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29B081C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6B1A56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1BC47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02F609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56F3C8D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1479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00" w:hRule="atLeast"/>
          <w:jc w:val="center"/>
        </w:trPr>
        <w:tc>
          <w:tcPr>
            <w:tcW w:w="943" w:type="dxa"/>
            <w:vMerge w:val="continue"/>
            <w:vAlign w:val="center"/>
          </w:tcPr>
          <w:p w14:paraId="0B21065B">
            <w:pPr>
              <w:rPr>
                <w:color w:val="000000" w:themeColor="text1"/>
              </w:rPr>
            </w:pPr>
          </w:p>
        </w:tc>
        <w:tc>
          <w:tcPr>
            <w:tcW w:w="1110" w:type="dxa"/>
            <w:vAlign w:val="center"/>
          </w:tcPr>
          <w:p w14:paraId="63326D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054A71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06B0C427">
            <w:pPr>
              <w:jc w:val="center"/>
              <w:rPr>
                <w:rFonts w:ascii="仿宋_GB2312" w:hAnsi="黑体" w:eastAsia="仿宋_GB2312" w:cs="黑体"/>
                <w:color w:val="000000" w:themeColor="text1"/>
                <w:sz w:val="18"/>
                <w:szCs w:val="18"/>
              </w:rPr>
            </w:pPr>
          </w:p>
        </w:tc>
        <w:tc>
          <w:tcPr>
            <w:tcW w:w="1406" w:type="dxa"/>
            <w:vAlign w:val="center"/>
          </w:tcPr>
          <w:p w14:paraId="25DA5C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AB9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0" w:hRule="atLeast"/>
          <w:jc w:val="center"/>
        </w:trPr>
        <w:tc>
          <w:tcPr>
            <w:tcW w:w="943" w:type="dxa"/>
            <w:vMerge w:val="continue"/>
            <w:vAlign w:val="center"/>
          </w:tcPr>
          <w:p w14:paraId="1DC75E22">
            <w:pPr>
              <w:rPr>
                <w:color w:val="000000" w:themeColor="text1"/>
              </w:rPr>
            </w:pPr>
          </w:p>
        </w:tc>
        <w:tc>
          <w:tcPr>
            <w:tcW w:w="1110" w:type="dxa"/>
            <w:vAlign w:val="center"/>
          </w:tcPr>
          <w:p w14:paraId="1905D2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3732F5A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460905AA">
            <w:pPr>
              <w:jc w:val="center"/>
              <w:rPr>
                <w:rFonts w:ascii="仿宋_GB2312" w:hAnsi="黑体" w:eastAsia="仿宋_GB2312" w:cs="黑体"/>
                <w:color w:val="000000" w:themeColor="text1"/>
                <w:sz w:val="18"/>
                <w:szCs w:val="18"/>
              </w:rPr>
            </w:pPr>
          </w:p>
        </w:tc>
        <w:tc>
          <w:tcPr>
            <w:tcW w:w="1406" w:type="dxa"/>
            <w:vAlign w:val="center"/>
          </w:tcPr>
          <w:p w14:paraId="7C2CA9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64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75" w:hRule="atLeast"/>
          <w:jc w:val="center"/>
        </w:trPr>
        <w:tc>
          <w:tcPr>
            <w:tcW w:w="943" w:type="dxa"/>
            <w:vMerge w:val="continue"/>
            <w:vAlign w:val="center"/>
          </w:tcPr>
          <w:p w14:paraId="7565D1E0">
            <w:pPr>
              <w:rPr>
                <w:color w:val="000000" w:themeColor="text1"/>
              </w:rPr>
            </w:pPr>
          </w:p>
        </w:tc>
        <w:tc>
          <w:tcPr>
            <w:tcW w:w="1110" w:type="dxa"/>
            <w:vAlign w:val="center"/>
          </w:tcPr>
          <w:p w14:paraId="2EBD8C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AD3255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2B673D1A">
            <w:pPr>
              <w:jc w:val="center"/>
              <w:rPr>
                <w:rFonts w:ascii="仿宋_GB2312" w:hAnsi="黑体" w:eastAsia="仿宋_GB2312" w:cs="黑体"/>
                <w:color w:val="000000" w:themeColor="text1"/>
                <w:sz w:val="18"/>
                <w:szCs w:val="18"/>
              </w:rPr>
            </w:pPr>
          </w:p>
        </w:tc>
        <w:tc>
          <w:tcPr>
            <w:tcW w:w="1406" w:type="dxa"/>
            <w:vAlign w:val="center"/>
          </w:tcPr>
          <w:p w14:paraId="6FA6E54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7B29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19DF9B6C">
            <w:pPr>
              <w:rPr>
                <w:color w:val="000000" w:themeColor="text1"/>
              </w:rPr>
            </w:pPr>
          </w:p>
        </w:tc>
        <w:tc>
          <w:tcPr>
            <w:tcW w:w="1110" w:type="dxa"/>
            <w:vAlign w:val="center"/>
          </w:tcPr>
          <w:p w14:paraId="5502A6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0767657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26F3617A">
            <w:pPr>
              <w:jc w:val="center"/>
              <w:rPr>
                <w:rFonts w:ascii="仿宋_GB2312" w:hAnsi="黑体" w:eastAsia="仿宋_GB2312" w:cs="黑体"/>
                <w:color w:val="000000" w:themeColor="text1"/>
                <w:sz w:val="18"/>
                <w:szCs w:val="18"/>
              </w:rPr>
            </w:pPr>
          </w:p>
        </w:tc>
        <w:tc>
          <w:tcPr>
            <w:tcW w:w="1406" w:type="dxa"/>
            <w:vAlign w:val="center"/>
          </w:tcPr>
          <w:p w14:paraId="7750EF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A416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9" w:hRule="atLeast"/>
          <w:jc w:val="center"/>
        </w:trPr>
        <w:tc>
          <w:tcPr>
            <w:tcW w:w="943" w:type="dxa"/>
            <w:vMerge w:val="continue"/>
            <w:vAlign w:val="center"/>
          </w:tcPr>
          <w:p w14:paraId="647DB630">
            <w:pPr>
              <w:rPr>
                <w:color w:val="000000" w:themeColor="text1"/>
              </w:rPr>
            </w:pPr>
          </w:p>
        </w:tc>
        <w:tc>
          <w:tcPr>
            <w:tcW w:w="1110" w:type="dxa"/>
            <w:vAlign w:val="center"/>
          </w:tcPr>
          <w:p w14:paraId="64AAD8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76E1B42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6B2DC9F4">
            <w:pPr>
              <w:jc w:val="center"/>
              <w:rPr>
                <w:rFonts w:ascii="仿宋_GB2312" w:hAnsi="黑体" w:eastAsia="仿宋_GB2312" w:cs="黑体"/>
                <w:color w:val="000000" w:themeColor="text1"/>
                <w:sz w:val="18"/>
                <w:szCs w:val="18"/>
              </w:rPr>
            </w:pPr>
          </w:p>
        </w:tc>
        <w:tc>
          <w:tcPr>
            <w:tcW w:w="1406" w:type="dxa"/>
            <w:vAlign w:val="center"/>
          </w:tcPr>
          <w:p w14:paraId="12E919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63FF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64" w:hRule="atLeast"/>
          <w:jc w:val="center"/>
        </w:trPr>
        <w:tc>
          <w:tcPr>
            <w:tcW w:w="943" w:type="dxa"/>
            <w:vAlign w:val="center"/>
          </w:tcPr>
          <w:p w14:paraId="4E415D6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7746BFC2">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1AB66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7B6F47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7DB8C6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2301010">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F706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760A0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4792E2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C23186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45D3B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943" w:type="dxa"/>
            <w:vAlign w:val="center"/>
          </w:tcPr>
          <w:p w14:paraId="0E30ACC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35689B9">
            <w:pPr>
              <w:widowControl/>
              <w:jc w:val="left"/>
              <w:textAlignment w:val="center"/>
              <w:rPr>
                <w:rFonts w:ascii="黑体" w:eastAsia="黑体" w:cs="黑体"/>
                <w:color w:val="000000" w:themeColor="text1"/>
                <w:kern w:val="0"/>
                <w:sz w:val="18"/>
                <w:szCs w:val="18"/>
              </w:rPr>
            </w:pPr>
          </w:p>
        </w:tc>
      </w:tr>
    </w:tbl>
    <w:p w14:paraId="60EE5737">
      <w:pPr>
        <w:rPr>
          <w:color w:val="000000" w:themeColor="text1"/>
          <w:sz w:val="24"/>
        </w:rPr>
      </w:pPr>
    </w:p>
    <w:p w14:paraId="57904A6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3FEF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003FA6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2A1F39E">
            <w:pPr>
              <w:jc w:val="center"/>
              <w:rPr>
                <w:rFonts w:ascii="黑体" w:eastAsia="黑体" w:cs="黑体"/>
                <w:b/>
                <w:bCs/>
                <w:color w:val="000000" w:themeColor="text1"/>
                <w:szCs w:val="21"/>
              </w:rPr>
            </w:pPr>
            <w:r>
              <w:rPr>
                <w:rFonts w:ascii="黑体" w:eastAsia="黑体" w:cs="黑体"/>
                <w:b/>
                <w:bCs/>
                <w:color w:val="000000" w:themeColor="text1"/>
                <w:szCs w:val="21"/>
              </w:rPr>
              <w:t>181</w:t>
            </w:r>
          </w:p>
        </w:tc>
        <w:tc>
          <w:tcPr>
            <w:tcW w:w="1691" w:type="dxa"/>
            <w:vAlign w:val="center"/>
          </w:tcPr>
          <w:p w14:paraId="4C1B384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3B29EE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197ED8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E96902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6736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EACD2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60EA4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对交通运输领域高危行业领域的生产经营单位未按照国家规定投保安全生产责任保险的行政处罚</w:t>
            </w:r>
          </w:p>
        </w:tc>
      </w:tr>
      <w:tr w14:paraId="7297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1E53820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008329B">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7AEA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7685473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9983E4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安全生产法》第一百零九条高危行业领域的生产经营单位未按照国家规定投保安全生产责任保险的，责令限期改正，处五万元以上十万元以下的罚款；逾期未改正的，处十万元以上二十万元以下的罚款。</w:t>
            </w:r>
          </w:p>
          <w:p w14:paraId="7110668F">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250D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63D85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EE1A3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F0DA0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7DA0D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3E4E92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1FFA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03EEB0D5">
            <w:pPr>
              <w:rPr>
                <w:color w:val="000000" w:themeColor="text1"/>
              </w:rPr>
            </w:pPr>
          </w:p>
        </w:tc>
        <w:tc>
          <w:tcPr>
            <w:tcW w:w="1110" w:type="dxa"/>
            <w:vAlign w:val="center"/>
          </w:tcPr>
          <w:p w14:paraId="6E002B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365AAC8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24524F37">
            <w:pPr>
              <w:jc w:val="center"/>
              <w:rPr>
                <w:rFonts w:ascii="仿宋_GB2312" w:hAnsi="黑体" w:eastAsia="仿宋_GB2312" w:cs="黑体"/>
                <w:color w:val="000000" w:themeColor="text1"/>
                <w:sz w:val="18"/>
                <w:szCs w:val="18"/>
              </w:rPr>
            </w:pPr>
          </w:p>
        </w:tc>
        <w:tc>
          <w:tcPr>
            <w:tcW w:w="1406" w:type="dxa"/>
            <w:vAlign w:val="center"/>
          </w:tcPr>
          <w:p w14:paraId="53D655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3241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6CE550E6">
            <w:pPr>
              <w:rPr>
                <w:color w:val="000000" w:themeColor="text1"/>
              </w:rPr>
            </w:pPr>
          </w:p>
        </w:tc>
        <w:tc>
          <w:tcPr>
            <w:tcW w:w="1110" w:type="dxa"/>
            <w:vAlign w:val="center"/>
          </w:tcPr>
          <w:p w14:paraId="7DF52F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01E329B4">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673257AA">
            <w:pPr>
              <w:jc w:val="center"/>
              <w:rPr>
                <w:rFonts w:ascii="仿宋_GB2312" w:hAnsi="黑体" w:eastAsia="仿宋_GB2312" w:cs="黑体"/>
                <w:color w:val="000000" w:themeColor="text1"/>
                <w:sz w:val="18"/>
                <w:szCs w:val="18"/>
              </w:rPr>
            </w:pPr>
          </w:p>
        </w:tc>
        <w:tc>
          <w:tcPr>
            <w:tcW w:w="1406" w:type="dxa"/>
            <w:vAlign w:val="center"/>
          </w:tcPr>
          <w:p w14:paraId="2EA85E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35F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28D62F0C">
            <w:pPr>
              <w:rPr>
                <w:color w:val="000000" w:themeColor="text1"/>
              </w:rPr>
            </w:pPr>
          </w:p>
        </w:tc>
        <w:tc>
          <w:tcPr>
            <w:tcW w:w="1110" w:type="dxa"/>
            <w:vAlign w:val="center"/>
          </w:tcPr>
          <w:p w14:paraId="6BF341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0EA6297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42714724">
            <w:pPr>
              <w:jc w:val="center"/>
              <w:rPr>
                <w:rFonts w:ascii="仿宋_GB2312" w:hAnsi="黑体" w:eastAsia="仿宋_GB2312" w:cs="黑体"/>
                <w:color w:val="000000" w:themeColor="text1"/>
                <w:sz w:val="18"/>
                <w:szCs w:val="18"/>
              </w:rPr>
            </w:pPr>
          </w:p>
        </w:tc>
        <w:tc>
          <w:tcPr>
            <w:tcW w:w="1406" w:type="dxa"/>
            <w:vAlign w:val="center"/>
          </w:tcPr>
          <w:p w14:paraId="7EB28BF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964E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0D6137D">
            <w:pPr>
              <w:rPr>
                <w:color w:val="000000" w:themeColor="text1"/>
              </w:rPr>
            </w:pPr>
          </w:p>
        </w:tc>
        <w:tc>
          <w:tcPr>
            <w:tcW w:w="1110" w:type="dxa"/>
            <w:vAlign w:val="center"/>
          </w:tcPr>
          <w:p w14:paraId="397EB6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601D1FB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4D7C0967">
            <w:pPr>
              <w:jc w:val="center"/>
              <w:rPr>
                <w:rFonts w:ascii="仿宋_GB2312" w:hAnsi="黑体" w:eastAsia="仿宋_GB2312" w:cs="黑体"/>
                <w:color w:val="000000" w:themeColor="text1"/>
                <w:sz w:val="18"/>
                <w:szCs w:val="18"/>
              </w:rPr>
            </w:pPr>
          </w:p>
        </w:tc>
        <w:tc>
          <w:tcPr>
            <w:tcW w:w="1406" w:type="dxa"/>
            <w:vAlign w:val="center"/>
          </w:tcPr>
          <w:p w14:paraId="1156114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C486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5E287130">
            <w:pPr>
              <w:rPr>
                <w:color w:val="000000" w:themeColor="text1"/>
              </w:rPr>
            </w:pPr>
          </w:p>
        </w:tc>
        <w:tc>
          <w:tcPr>
            <w:tcW w:w="1110" w:type="dxa"/>
            <w:vAlign w:val="center"/>
          </w:tcPr>
          <w:p w14:paraId="42F4210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0268BDA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5452953A">
            <w:pPr>
              <w:jc w:val="center"/>
              <w:rPr>
                <w:rFonts w:ascii="仿宋_GB2312" w:hAnsi="黑体" w:eastAsia="仿宋_GB2312" w:cs="黑体"/>
                <w:color w:val="000000" w:themeColor="text1"/>
                <w:sz w:val="18"/>
                <w:szCs w:val="18"/>
              </w:rPr>
            </w:pPr>
          </w:p>
        </w:tc>
        <w:tc>
          <w:tcPr>
            <w:tcW w:w="1406" w:type="dxa"/>
            <w:vAlign w:val="center"/>
          </w:tcPr>
          <w:p w14:paraId="215AFC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F7E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14E6CE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3874A644">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C5D1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05CC51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2EEDC1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2AF14E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EE39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5601C0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3D57277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730D6A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2719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2FA12D4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D694EED">
            <w:pPr>
              <w:widowControl/>
              <w:jc w:val="left"/>
              <w:textAlignment w:val="center"/>
              <w:rPr>
                <w:rFonts w:ascii="黑体" w:eastAsia="黑体" w:cs="黑体"/>
                <w:color w:val="000000" w:themeColor="text1"/>
                <w:kern w:val="0"/>
                <w:sz w:val="18"/>
                <w:szCs w:val="18"/>
              </w:rPr>
            </w:pPr>
          </w:p>
        </w:tc>
      </w:tr>
    </w:tbl>
    <w:p w14:paraId="05C3FDA7">
      <w:pPr>
        <w:rPr>
          <w:color w:val="000000" w:themeColor="text1"/>
          <w:sz w:val="24"/>
        </w:rPr>
      </w:pPr>
    </w:p>
    <w:p w14:paraId="7C6CFC3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12B1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DB9896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DF60943">
            <w:pPr>
              <w:jc w:val="center"/>
              <w:rPr>
                <w:rFonts w:ascii="黑体" w:eastAsia="黑体" w:cs="黑体"/>
                <w:b/>
                <w:bCs/>
                <w:color w:val="000000" w:themeColor="text1"/>
                <w:szCs w:val="21"/>
              </w:rPr>
            </w:pPr>
            <w:r>
              <w:rPr>
                <w:rFonts w:ascii="黑体" w:eastAsia="黑体" w:cs="黑体"/>
                <w:b/>
                <w:bCs/>
                <w:color w:val="000000" w:themeColor="text1"/>
                <w:szCs w:val="21"/>
              </w:rPr>
              <w:t>182</w:t>
            </w:r>
          </w:p>
        </w:tc>
        <w:tc>
          <w:tcPr>
            <w:tcW w:w="1691" w:type="dxa"/>
            <w:vAlign w:val="center"/>
          </w:tcPr>
          <w:p w14:paraId="450A224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20F17C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791971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82813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C9BA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332969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2E76A83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对交通运输领域生产经营单位被责令改正且受到罚款处罚，拒不改正的行政处罚</w:t>
            </w:r>
          </w:p>
        </w:tc>
      </w:tr>
      <w:tr w14:paraId="50A53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F45537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7E11AB9C">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73E20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50E090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20D32E2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【法律法规】《中华人民共和国安全生产法》第一百一十二条　生产经营单位违反本法规定，被责令改正且受到罚款处罚，拒不改正的，负有安全生产监督管理职责的部门可以自作出责令改正之日的次日起，按照原处罚数额按日连续处罚。</w:t>
            </w:r>
          </w:p>
          <w:p w14:paraId="527995D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7B301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7DD873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058E0E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5D8D0A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0342E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2D7CC68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2483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4B4B718C">
            <w:pPr>
              <w:rPr>
                <w:color w:val="000000" w:themeColor="text1"/>
              </w:rPr>
            </w:pPr>
          </w:p>
        </w:tc>
        <w:tc>
          <w:tcPr>
            <w:tcW w:w="1110" w:type="dxa"/>
            <w:vAlign w:val="center"/>
          </w:tcPr>
          <w:p w14:paraId="36069A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22A7A3E">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480B4480">
            <w:pPr>
              <w:jc w:val="center"/>
              <w:rPr>
                <w:rFonts w:ascii="仿宋_GB2312" w:hAnsi="黑体" w:eastAsia="仿宋_GB2312" w:cs="黑体"/>
                <w:color w:val="000000" w:themeColor="text1"/>
                <w:sz w:val="18"/>
                <w:szCs w:val="18"/>
              </w:rPr>
            </w:pPr>
          </w:p>
        </w:tc>
        <w:tc>
          <w:tcPr>
            <w:tcW w:w="1406" w:type="dxa"/>
            <w:vAlign w:val="center"/>
          </w:tcPr>
          <w:p w14:paraId="2F6F12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1FD3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71458095">
            <w:pPr>
              <w:rPr>
                <w:color w:val="000000" w:themeColor="text1"/>
              </w:rPr>
            </w:pPr>
          </w:p>
        </w:tc>
        <w:tc>
          <w:tcPr>
            <w:tcW w:w="1110" w:type="dxa"/>
            <w:vAlign w:val="center"/>
          </w:tcPr>
          <w:p w14:paraId="4CFB97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665582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5DF5EE7">
            <w:pPr>
              <w:jc w:val="center"/>
              <w:rPr>
                <w:rFonts w:ascii="仿宋_GB2312" w:hAnsi="黑体" w:eastAsia="仿宋_GB2312" w:cs="黑体"/>
                <w:color w:val="000000" w:themeColor="text1"/>
                <w:sz w:val="18"/>
                <w:szCs w:val="18"/>
              </w:rPr>
            </w:pPr>
          </w:p>
        </w:tc>
        <w:tc>
          <w:tcPr>
            <w:tcW w:w="1406" w:type="dxa"/>
            <w:vAlign w:val="center"/>
          </w:tcPr>
          <w:p w14:paraId="797BE0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EFC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19F06D7E">
            <w:pPr>
              <w:rPr>
                <w:color w:val="000000" w:themeColor="text1"/>
              </w:rPr>
            </w:pPr>
          </w:p>
        </w:tc>
        <w:tc>
          <w:tcPr>
            <w:tcW w:w="1110" w:type="dxa"/>
            <w:vAlign w:val="center"/>
          </w:tcPr>
          <w:p w14:paraId="35BE33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3425245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05150FCA">
            <w:pPr>
              <w:jc w:val="center"/>
              <w:rPr>
                <w:rFonts w:ascii="仿宋_GB2312" w:hAnsi="黑体" w:eastAsia="仿宋_GB2312" w:cs="黑体"/>
                <w:color w:val="000000" w:themeColor="text1"/>
                <w:sz w:val="18"/>
                <w:szCs w:val="18"/>
              </w:rPr>
            </w:pPr>
          </w:p>
        </w:tc>
        <w:tc>
          <w:tcPr>
            <w:tcW w:w="1406" w:type="dxa"/>
            <w:vAlign w:val="center"/>
          </w:tcPr>
          <w:p w14:paraId="3B29B4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3C44A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A905CE3">
            <w:pPr>
              <w:rPr>
                <w:color w:val="000000" w:themeColor="text1"/>
              </w:rPr>
            </w:pPr>
          </w:p>
        </w:tc>
        <w:tc>
          <w:tcPr>
            <w:tcW w:w="1110" w:type="dxa"/>
            <w:vAlign w:val="center"/>
          </w:tcPr>
          <w:p w14:paraId="70914E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4F8B60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5E470CE1">
            <w:pPr>
              <w:jc w:val="center"/>
              <w:rPr>
                <w:rFonts w:ascii="仿宋_GB2312" w:hAnsi="黑体" w:eastAsia="仿宋_GB2312" w:cs="黑体"/>
                <w:color w:val="000000" w:themeColor="text1"/>
                <w:sz w:val="18"/>
                <w:szCs w:val="18"/>
              </w:rPr>
            </w:pPr>
          </w:p>
        </w:tc>
        <w:tc>
          <w:tcPr>
            <w:tcW w:w="1406" w:type="dxa"/>
            <w:vAlign w:val="center"/>
          </w:tcPr>
          <w:p w14:paraId="12F0C4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BEF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7B2335C7">
            <w:pPr>
              <w:rPr>
                <w:color w:val="000000" w:themeColor="text1"/>
              </w:rPr>
            </w:pPr>
          </w:p>
        </w:tc>
        <w:tc>
          <w:tcPr>
            <w:tcW w:w="1110" w:type="dxa"/>
            <w:vAlign w:val="center"/>
          </w:tcPr>
          <w:p w14:paraId="1890EDB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7FF6AA9">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72B07025">
            <w:pPr>
              <w:jc w:val="center"/>
              <w:rPr>
                <w:rFonts w:ascii="仿宋_GB2312" w:hAnsi="黑体" w:eastAsia="仿宋_GB2312" w:cs="黑体"/>
                <w:color w:val="000000" w:themeColor="text1"/>
                <w:sz w:val="18"/>
                <w:szCs w:val="18"/>
              </w:rPr>
            </w:pPr>
          </w:p>
        </w:tc>
        <w:tc>
          <w:tcPr>
            <w:tcW w:w="1406" w:type="dxa"/>
            <w:vAlign w:val="center"/>
          </w:tcPr>
          <w:p w14:paraId="7C3AEA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91C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25E8C90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4CD52226">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3E4AA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1818FB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123FF8C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EF52A1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C519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2B7E53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AE3900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74E68DF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740E2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A6EFB1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3F434AF8">
            <w:pPr>
              <w:widowControl/>
              <w:jc w:val="left"/>
              <w:textAlignment w:val="center"/>
              <w:rPr>
                <w:rFonts w:ascii="黑体" w:eastAsia="黑体" w:cs="黑体"/>
                <w:color w:val="000000" w:themeColor="text1"/>
                <w:kern w:val="0"/>
                <w:sz w:val="18"/>
                <w:szCs w:val="18"/>
              </w:rPr>
            </w:pPr>
          </w:p>
        </w:tc>
      </w:tr>
    </w:tbl>
    <w:p w14:paraId="5FBA1882">
      <w:pPr>
        <w:rPr>
          <w:color w:val="000000" w:themeColor="text1"/>
          <w:sz w:val="24"/>
        </w:rPr>
      </w:pPr>
    </w:p>
    <w:p w14:paraId="38DAE3F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47A9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78144B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43DA6B75">
            <w:pPr>
              <w:jc w:val="center"/>
              <w:rPr>
                <w:rFonts w:ascii="黑体" w:eastAsia="黑体" w:cs="黑体"/>
                <w:b/>
                <w:bCs/>
                <w:color w:val="000000" w:themeColor="text1"/>
                <w:szCs w:val="21"/>
              </w:rPr>
            </w:pPr>
            <w:r>
              <w:rPr>
                <w:rFonts w:ascii="黑体" w:eastAsia="黑体" w:cs="黑体"/>
                <w:b/>
                <w:bCs/>
                <w:color w:val="000000" w:themeColor="text1"/>
                <w:szCs w:val="21"/>
              </w:rPr>
              <w:t>183</w:t>
            </w:r>
          </w:p>
        </w:tc>
        <w:tc>
          <w:tcPr>
            <w:tcW w:w="1691" w:type="dxa"/>
            <w:vAlign w:val="center"/>
          </w:tcPr>
          <w:p w14:paraId="531C50A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F3441C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5F611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BE03F4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B34B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78243BD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0135F40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对交通运输领域生产经营单位主要负责人和安全生产管理人员未按规定考核合格的行政处罚</w:t>
            </w:r>
          </w:p>
        </w:tc>
      </w:tr>
      <w:tr w14:paraId="48ABB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04D5E8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578AA309">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27F23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650BD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63722542">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【法律法规】《中华人民共和国安全生产法》第九十七条第二项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（二）危险物品的生产、经营、储存、装卸单位以及矿山、金属冶炼、建筑施工、运输单位的主要负责人和安全生产管理人员未按照规定经考核合格的；</w:t>
            </w:r>
          </w:p>
          <w:p w14:paraId="66405E0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135CA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B113F7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56B24C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0A69764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1B21E5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720EFE5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CC9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37A3985C">
            <w:pPr>
              <w:rPr>
                <w:color w:val="000000" w:themeColor="text1"/>
              </w:rPr>
            </w:pPr>
          </w:p>
        </w:tc>
        <w:tc>
          <w:tcPr>
            <w:tcW w:w="1110" w:type="dxa"/>
            <w:vAlign w:val="center"/>
          </w:tcPr>
          <w:p w14:paraId="50C2B9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4394FC05">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6E68ABC0">
            <w:pPr>
              <w:jc w:val="center"/>
              <w:rPr>
                <w:rFonts w:ascii="仿宋_GB2312" w:hAnsi="黑体" w:eastAsia="仿宋_GB2312" w:cs="黑体"/>
                <w:color w:val="000000" w:themeColor="text1"/>
                <w:sz w:val="18"/>
                <w:szCs w:val="18"/>
              </w:rPr>
            </w:pPr>
          </w:p>
        </w:tc>
        <w:tc>
          <w:tcPr>
            <w:tcW w:w="1406" w:type="dxa"/>
            <w:vAlign w:val="center"/>
          </w:tcPr>
          <w:p w14:paraId="7E6D6AE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9A8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22C310A3">
            <w:pPr>
              <w:rPr>
                <w:color w:val="000000" w:themeColor="text1"/>
              </w:rPr>
            </w:pPr>
          </w:p>
        </w:tc>
        <w:tc>
          <w:tcPr>
            <w:tcW w:w="1110" w:type="dxa"/>
            <w:vAlign w:val="center"/>
          </w:tcPr>
          <w:p w14:paraId="3C0339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282CE9A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EF3090A">
            <w:pPr>
              <w:jc w:val="center"/>
              <w:rPr>
                <w:rFonts w:ascii="仿宋_GB2312" w:hAnsi="黑体" w:eastAsia="仿宋_GB2312" w:cs="黑体"/>
                <w:color w:val="000000" w:themeColor="text1"/>
                <w:sz w:val="18"/>
                <w:szCs w:val="18"/>
              </w:rPr>
            </w:pPr>
          </w:p>
        </w:tc>
        <w:tc>
          <w:tcPr>
            <w:tcW w:w="1406" w:type="dxa"/>
            <w:vAlign w:val="center"/>
          </w:tcPr>
          <w:p w14:paraId="2B1B405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894F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7AFE36D9">
            <w:pPr>
              <w:rPr>
                <w:color w:val="000000" w:themeColor="text1"/>
              </w:rPr>
            </w:pPr>
          </w:p>
        </w:tc>
        <w:tc>
          <w:tcPr>
            <w:tcW w:w="1110" w:type="dxa"/>
            <w:vAlign w:val="center"/>
          </w:tcPr>
          <w:p w14:paraId="36DE8C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71868EA6">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77F63C6">
            <w:pPr>
              <w:jc w:val="center"/>
              <w:rPr>
                <w:rFonts w:ascii="仿宋_GB2312" w:hAnsi="黑体" w:eastAsia="仿宋_GB2312" w:cs="黑体"/>
                <w:color w:val="000000" w:themeColor="text1"/>
                <w:sz w:val="18"/>
                <w:szCs w:val="18"/>
              </w:rPr>
            </w:pPr>
          </w:p>
        </w:tc>
        <w:tc>
          <w:tcPr>
            <w:tcW w:w="1406" w:type="dxa"/>
            <w:vAlign w:val="center"/>
          </w:tcPr>
          <w:p w14:paraId="740AF1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758D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29A540B9">
            <w:pPr>
              <w:rPr>
                <w:color w:val="000000" w:themeColor="text1"/>
              </w:rPr>
            </w:pPr>
          </w:p>
        </w:tc>
        <w:tc>
          <w:tcPr>
            <w:tcW w:w="1110" w:type="dxa"/>
            <w:vAlign w:val="center"/>
          </w:tcPr>
          <w:p w14:paraId="33F173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1A4D872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9F4DA07">
            <w:pPr>
              <w:jc w:val="center"/>
              <w:rPr>
                <w:rFonts w:ascii="仿宋_GB2312" w:hAnsi="黑体" w:eastAsia="仿宋_GB2312" w:cs="黑体"/>
                <w:color w:val="000000" w:themeColor="text1"/>
                <w:sz w:val="18"/>
                <w:szCs w:val="18"/>
              </w:rPr>
            </w:pPr>
          </w:p>
        </w:tc>
        <w:tc>
          <w:tcPr>
            <w:tcW w:w="1406" w:type="dxa"/>
            <w:vAlign w:val="center"/>
          </w:tcPr>
          <w:p w14:paraId="16AD93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EF1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25FF6A09">
            <w:pPr>
              <w:rPr>
                <w:color w:val="000000" w:themeColor="text1"/>
              </w:rPr>
            </w:pPr>
          </w:p>
        </w:tc>
        <w:tc>
          <w:tcPr>
            <w:tcW w:w="1110" w:type="dxa"/>
            <w:vAlign w:val="center"/>
          </w:tcPr>
          <w:p w14:paraId="7CD269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2FE641EB">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059C25B7">
            <w:pPr>
              <w:jc w:val="center"/>
              <w:rPr>
                <w:rFonts w:ascii="仿宋_GB2312" w:hAnsi="黑体" w:eastAsia="仿宋_GB2312" w:cs="黑体"/>
                <w:color w:val="000000" w:themeColor="text1"/>
                <w:sz w:val="18"/>
                <w:szCs w:val="18"/>
              </w:rPr>
            </w:pPr>
          </w:p>
        </w:tc>
        <w:tc>
          <w:tcPr>
            <w:tcW w:w="1406" w:type="dxa"/>
            <w:vAlign w:val="center"/>
          </w:tcPr>
          <w:p w14:paraId="739B3C1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7E8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038702F3">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04BE4201">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742C8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403507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11840D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0D430AA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761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3CDD17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04D0490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5841770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57D1D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6CF4558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2E315FE1">
            <w:pPr>
              <w:widowControl/>
              <w:jc w:val="left"/>
              <w:textAlignment w:val="center"/>
              <w:rPr>
                <w:rFonts w:ascii="黑体" w:eastAsia="黑体" w:cs="黑体"/>
                <w:color w:val="000000" w:themeColor="text1"/>
                <w:kern w:val="0"/>
                <w:sz w:val="18"/>
                <w:szCs w:val="18"/>
              </w:rPr>
            </w:pPr>
          </w:p>
        </w:tc>
      </w:tr>
    </w:tbl>
    <w:p w14:paraId="5510202D">
      <w:pPr>
        <w:rPr>
          <w:color w:val="000000" w:themeColor="text1"/>
          <w:sz w:val="24"/>
        </w:rPr>
      </w:pPr>
    </w:p>
    <w:p w14:paraId="71F027E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512D9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2A2183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04C2F3E0">
            <w:pPr>
              <w:jc w:val="center"/>
              <w:rPr>
                <w:rFonts w:ascii="黑体" w:eastAsia="黑体" w:cs="黑体"/>
                <w:b/>
                <w:bCs/>
                <w:color w:val="000000" w:themeColor="text1"/>
                <w:szCs w:val="21"/>
              </w:rPr>
            </w:pPr>
            <w:r>
              <w:rPr>
                <w:rFonts w:ascii="黑体" w:eastAsia="黑体" w:cs="黑体"/>
                <w:b/>
                <w:bCs/>
                <w:color w:val="000000" w:themeColor="text1"/>
                <w:szCs w:val="21"/>
              </w:rPr>
              <w:t>184</w:t>
            </w:r>
          </w:p>
        </w:tc>
        <w:tc>
          <w:tcPr>
            <w:tcW w:w="1691" w:type="dxa"/>
            <w:vAlign w:val="center"/>
          </w:tcPr>
          <w:p w14:paraId="513BFFC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542273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487DE4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ABAC0F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0555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600B9E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1EA8815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对交通运输领域生产安全事故发生单位对事故发生负有责任的单位、有关人员的行政处罚</w:t>
            </w:r>
          </w:p>
        </w:tc>
      </w:tr>
      <w:tr w14:paraId="0507C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4631092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224A81F5">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55005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4DB453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75861B00">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【法律法规】《生产安全事故报告和调查处理条例》</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国务院令第</w:t>
            </w:r>
            <w:r>
              <w:rPr>
                <w:rFonts w:ascii="仿宋_GB2312" w:eastAsia="仿宋_GB2312" w:cs="仿宋_GB2312"/>
                <w:color w:val="000000" w:themeColor="text1"/>
                <w:kern w:val="0"/>
                <w:sz w:val="18"/>
                <w:szCs w:val="18"/>
              </w:rPr>
              <w:t>493</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四十条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年内不得担任任何生产经营单位的主要负责人。</w:t>
            </w:r>
          </w:p>
          <w:p w14:paraId="289CCBC9">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r>
              <w:rPr>
                <w:rFonts w:ascii="仿宋" w:hAnsi="仿宋" w:eastAsia="仿宋" w:cs="仿宋_GB2312"/>
                <w:color w:val="000000" w:themeColor="text1"/>
                <w:kern w:val="0"/>
                <w:sz w:val="18"/>
                <w:szCs w:val="18"/>
              </w:rPr>
              <w:t>.</w:t>
            </w:r>
          </w:p>
        </w:tc>
      </w:tr>
      <w:tr w14:paraId="1AF3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612489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2409E8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37057A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63ED60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0FBD45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BE9E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15" w:hRule="atLeast"/>
          <w:jc w:val="center"/>
        </w:trPr>
        <w:tc>
          <w:tcPr>
            <w:tcW w:w="943" w:type="dxa"/>
            <w:vMerge w:val="continue"/>
            <w:vAlign w:val="center"/>
          </w:tcPr>
          <w:p w14:paraId="1E31BF87">
            <w:pPr>
              <w:rPr>
                <w:color w:val="000000" w:themeColor="text1"/>
              </w:rPr>
            </w:pPr>
          </w:p>
        </w:tc>
        <w:tc>
          <w:tcPr>
            <w:tcW w:w="1110" w:type="dxa"/>
            <w:vAlign w:val="center"/>
          </w:tcPr>
          <w:p w14:paraId="35F16E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15E6727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712BC518">
            <w:pPr>
              <w:jc w:val="center"/>
              <w:rPr>
                <w:rFonts w:ascii="仿宋_GB2312" w:hAnsi="黑体" w:eastAsia="仿宋_GB2312" w:cs="黑体"/>
                <w:color w:val="000000" w:themeColor="text1"/>
                <w:sz w:val="18"/>
                <w:szCs w:val="18"/>
              </w:rPr>
            </w:pPr>
          </w:p>
        </w:tc>
        <w:tc>
          <w:tcPr>
            <w:tcW w:w="1406" w:type="dxa"/>
            <w:vAlign w:val="center"/>
          </w:tcPr>
          <w:p w14:paraId="373432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7DC2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943" w:type="dxa"/>
            <w:vMerge w:val="continue"/>
            <w:vAlign w:val="center"/>
          </w:tcPr>
          <w:p w14:paraId="5630E1A6">
            <w:pPr>
              <w:rPr>
                <w:color w:val="000000" w:themeColor="text1"/>
              </w:rPr>
            </w:pPr>
          </w:p>
        </w:tc>
        <w:tc>
          <w:tcPr>
            <w:tcW w:w="1110" w:type="dxa"/>
            <w:vAlign w:val="center"/>
          </w:tcPr>
          <w:p w14:paraId="36BC49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65CDD82A">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0C931E85">
            <w:pPr>
              <w:jc w:val="center"/>
              <w:rPr>
                <w:rFonts w:ascii="仿宋_GB2312" w:hAnsi="黑体" w:eastAsia="仿宋_GB2312" w:cs="黑体"/>
                <w:color w:val="000000" w:themeColor="text1"/>
                <w:sz w:val="18"/>
                <w:szCs w:val="18"/>
              </w:rPr>
            </w:pPr>
          </w:p>
        </w:tc>
        <w:tc>
          <w:tcPr>
            <w:tcW w:w="1406" w:type="dxa"/>
            <w:vAlign w:val="center"/>
          </w:tcPr>
          <w:p w14:paraId="536513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01B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943" w:type="dxa"/>
            <w:vMerge w:val="continue"/>
            <w:vAlign w:val="center"/>
          </w:tcPr>
          <w:p w14:paraId="00AFC1E0">
            <w:pPr>
              <w:rPr>
                <w:color w:val="000000" w:themeColor="text1"/>
              </w:rPr>
            </w:pPr>
          </w:p>
        </w:tc>
        <w:tc>
          <w:tcPr>
            <w:tcW w:w="1110" w:type="dxa"/>
            <w:vAlign w:val="center"/>
          </w:tcPr>
          <w:p w14:paraId="54106A7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49FDB1D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6F0E57B3">
            <w:pPr>
              <w:jc w:val="center"/>
              <w:rPr>
                <w:rFonts w:ascii="仿宋_GB2312" w:hAnsi="黑体" w:eastAsia="仿宋_GB2312" w:cs="黑体"/>
                <w:color w:val="000000" w:themeColor="text1"/>
                <w:sz w:val="18"/>
                <w:szCs w:val="18"/>
              </w:rPr>
            </w:pPr>
          </w:p>
        </w:tc>
        <w:tc>
          <w:tcPr>
            <w:tcW w:w="1406" w:type="dxa"/>
            <w:vAlign w:val="center"/>
          </w:tcPr>
          <w:p w14:paraId="50FF50E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6495B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9DA9C57">
            <w:pPr>
              <w:rPr>
                <w:color w:val="000000" w:themeColor="text1"/>
              </w:rPr>
            </w:pPr>
          </w:p>
        </w:tc>
        <w:tc>
          <w:tcPr>
            <w:tcW w:w="1110" w:type="dxa"/>
            <w:vAlign w:val="center"/>
          </w:tcPr>
          <w:p w14:paraId="6EC07A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3D2CB5DF">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04251D68">
            <w:pPr>
              <w:jc w:val="center"/>
              <w:rPr>
                <w:rFonts w:ascii="仿宋_GB2312" w:hAnsi="黑体" w:eastAsia="仿宋_GB2312" w:cs="黑体"/>
                <w:color w:val="000000" w:themeColor="text1"/>
                <w:sz w:val="18"/>
                <w:szCs w:val="18"/>
              </w:rPr>
            </w:pPr>
          </w:p>
        </w:tc>
        <w:tc>
          <w:tcPr>
            <w:tcW w:w="1406" w:type="dxa"/>
            <w:vAlign w:val="center"/>
          </w:tcPr>
          <w:p w14:paraId="23CBB6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2FA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9" w:hRule="atLeast"/>
          <w:jc w:val="center"/>
        </w:trPr>
        <w:tc>
          <w:tcPr>
            <w:tcW w:w="943" w:type="dxa"/>
            <w:vMerge w:val="continue"/>
            <w:vAlign w:val="center"/>
          </w:tcPr>
          <w:p w14:paraId="3A40AC85">
            <w:pPr>
              <w:rPr>
                <w:color w:val="000000" w:themeColor="text1"/>
              </w:rPr>
            </w:pPr>
          </w:p>
        </w:tc>
        <w:tc>
          <w:tcPr>
            <w:tcW w:w="1110" w:type="dxa"/>
            <w:vAlign w:val="center"/>
          </w:tcPr>
          <w:p w14:paraId="0060E2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60FE56D8">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4ED2B70C">
            <w:pPr>
              <w:jc w:val="center"/>
              <w:rPr>
                <w:rFonts w:ascii="仿宋_GB2312" w:hAnsi="黑体" w:eastAsia="仿宋_GB2312" w:cs="黑体"/>
                <w:color w:val="000000" w:themeColor="text1"/>
                <w:sz w:val="18"/>
                <w:szCs w:val="18"/>
              </w:rPr>
            </w:pPr>
          </w:p>
        </w:tc>
        <w:tc>
          <w:tcPr>
            <w:tcW w:w="1406" w:type="dxa"/>
            <w:vAlign w:val="center"/>
          </w:tcPr>
          <w:p w14:paraId="65C710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329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943" w:type="dxa"/>
            <w:vAlign w:val="center"/>
          </w:tcPr>
          <w:p w14:paraId="446A0A7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669216B5">
            <w:pPr>
              <w:spacing w:line="24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46392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06" w:hRule="atLeast"/>
          <w:jc w:val="center"/>
        </w:trPr>
        <w:tc>
          <w:tcPr>
            <w:tcW w:w="943" w:type="dxa"/>
            <w:vAlign w:val="center"/>
          </w:tcPr>
          <w:p w14:paraId="221D54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7921C8DB">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F9EED8D">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B8F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4" w:hRule="atLeast"/>
          <w:jc w:val="center"/>
        </w:trPr>
        <w:tc>
          <w:tcPr>
            <w:tcW w:w="943" w:type="dxa"/>
            <w:vAlign w:val="center"/>
          </w:tcPr>
          <w:p w14:paraId="0AD5D2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70B3BF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1EA80E2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AB0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02" w:hRule="atLeast"/>
          <w:jc w:val="center"/>
        </w:trPr>
        <w:tc>
          <w:tcPr>
            <w:tcW w:w="943" w:type="dxa"/>
            <w:vAlign w:val="center"/>
          </w:tcPr>
          <w:p w14:paraId="1299F2C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9BEDA90">
            <w:pPr>
              <w:widowControl/>
              <w:jc w:val="left"/>
              <w:textAlignment w:val="center"/>
              <w:rPr>
                <w:rFonts w:ascii="黑体" w:eastAsia="黑体" w:cs="黑体"/>
                <w:color w:val="000000" w:themeColor="text1"/>
                <w:kern w:val="0"/>
                <w:sz w:val="18"/>
                <w:szCs w:val="18"/>
              </w:rPr>
            </w:pPr>
          </w:p>
        </w:tc>
      </w:tr>
    </w:tbl>
    <w:p w14:paraId="7621623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履职行权规程（行政处罚类）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43"/>
        <w:gridCol w:w="1110"/>
        <w:gridCol w:w="1101"/>
        <w:gridCol w:w="1691"/>
        <w:gridCol w:w="1963"/>
        <w:gridCol w:w="1125"/>
        <w:gridCol w:w="434"/>
        <w:gridCol w:w="525"/>
        <w:gridCol w:w="1406"/>
      </w:tblGrid>
      <w:tr w14:paraId="0B44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4" w:hRule="atLeast"/>
          <w:jc w:val="center"/>
        </w:trPr>
        <w:tc>
          <w:tcPr>
            <w:tcW w:w="943" w:type="dxa"/>
            <w:vAlign w:val="center"/>
          </w:tcPr>
          <w:p w14:paraId="54A2AA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211" w:type="dxa"/>
            <w:gridSpan w:val="2"/>
            <w:vAlign w:val="center"/>
          </w:tcPr>
          <w:p w14:paraId="5F8C4F53">
            <w:pPr>
              <w:jc w:val="center"/>
              <w:rPr>
                <w:rFonts w:ascii="黑体" w:eastAsia="黑体" w:cs="黑体"/>
                <w:b/>
                <w:bCs/>
                <w:color w:val="000000" w:themeColor="text1"/>
                <w:szCs w:val="21"/>
              </w:rPr>
            </w:pPr>
            <w:r>
              <w:rPr>
                <w:rFonts w:ascii="黑体" w:eastAsia="黑体" w:cs="黑体"/>
                <w:b/>
                <w:bCs/>
                <w:color w:val="000000" w:themeColor="text1"/>
                <w:szCs w:val="21"/>
              </w:rPr>
              <w:t>185</w:t>
            </w:r>
          </w:p>
        </w:tc>
        <w:tc>
          <w:tcPr>
            <w:tcW w:w="1691" w:type="dxa"/>
            <w:vAlign w:val="center"/>
          </w:tcPr>
          <w:p w14:paraId="6820068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80544A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行政处罚</w:t>
            </w:r>
          </w:p>
        </w:tc>
        <w:tc>
          <w:tcPr>
            <w:tcW w:w="1559" w:type="dxa"/>
            <w:gridSpan w:val="2"/>
            <w:vAlign w:val="center"/>
          </w:tcPr>
          <w:p w14:paraId="556F76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D03530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2377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0" w:hRule="atLeast"/>
          <w:jc w:val="center"/>
        </w:trPr>
        <w:tc>
          <w:tcPr>
            <w:tcW w:w="943" w:type="dxa"/>
            <w:vAlign w:val="center"/>
          </w:tcPr>
          <w:p w14:paraId="0A33D2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355" w:type="dxa"/>
            <w:gridSpan w:val="8"/>
            <w:vAlign w:val="center"/>
          </w:tcPr>
          <w:p w14:paraId="7156C99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对未采取有效措施防治扬尘污染的行政处罚</w:t>
            </w:r>
          </w:p>
        </w:tc>
      </w:tr>
      <w:tr w14:paraId="3E5AF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2" w:hRule="atLeast"/>
          <w:jc w:val="center"/>
        </w:trPr>
        <w:tc>
          <w:tcPr>
            <w:tcW w:w="943" w:type="dxa"/>
            <w:vAlign w:val="center"/>
          </w:tcPr>
          <w:p w14:paraId="63210BC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355" w:type="dxa"/>
            <w:gridSpan w:val="8"/>
            <w:vAlign w:val="center"/>
          </w:tcPr>
          <w:p w14:paraId="198BDE71">
            <w:pPr>
              <w:jc w:val="center"/>
              <w:rPr>
                <w:rFonts w:ascii="黑体" w:hAnsi="黑体" w:eastAsia="黑体" w:cs="黑体"/>
                <w:color w:val="000000" w:themeColor="text1"/>
                <w:kern w:val="0"/>
                <w:sz w:val="18"/>
                <w:szCs w:val="18"/>
              </w:rPr>
            </w:pPr>
            <w:r>
              <w:rPr>
                <w:rFonts w:hint="eastAsia" w:ascii="仿宋_GB2312" w:eastAsia="仿宋_GB2312" w:cs="仿宋_GB2312"/>
                <w:color w:val="000000" w:themeColor="text1"/>
                <w:kern w:val="0"/>
                <w:sz w:val="18"/>
                <w:szCs w:val="18"/>
              </w:rPr>
              <w:t>抚宁辖区内</w:t>
            </w:r>
          </w:p>
        </w:tc>
      </w:tr>
      <w:tr w14:paraId="3B6AC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15" w:hRule="atLeast"/>
          <w:jc w:val="center"/>
        </w:trPr>
        <w:tc>
          <w:tcPr>
            <w:tcW w:w="943" w:type="dxa"/>
            <w:vAlign w:val="center"/>
          </w:tcPr>
          <w:p w14:paraId="30A51B57">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355" w:type="dxa"/>
            <w:gridSpan w:val="8"/>
            <w:vAlign w:val="center"/>
          </w:tcPr>
          <w:p w14:paraId="414B8222">
            <w:pPr>
              <w:spacing w:line="200" w:lineRule="exact"/>
              <w:jc w:val="lef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《河北省大气污染防治条例》</w:t>
            </w:r>
            <w:r>
              <w:rPr>
                <w:rFonts w:ascii="仿宋_GB2312" w:eastAsia="仿宋_GB2312" w:cs="仿宋_GB2312"/>
                <w:color w:val="000000" w:themeColor="text1"/>
                <w:kern w:val="0"/>
                <w:sz w:val="18"/>
                <w:szCs w:val="18"/>
              </w:rPr>
              <w:t>(2021</w:t>
            </w:r>
            <w:r>
              <w:rPr>
                <w:rFonts w:hint="eastAsia" w:ascii="仿宋_GB2312" w:eastAsia="仿宋_GB2312" w:cs="仿宋_GB2312"/>
                <w:color w:val="000000" w:themeColor="text1"/>
                <w:kern w:val="0"/>
                <w:sz w:val="18"/>
                <w:szCs w:val="18"/>
              </w:rPr>
              <w:t>年</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月</w:t>
            </w:r>
            <w:r>
              <w:rPr>
                <w:rFonts w:ascii="仿宋_GB2312" w:eastAsia="仿宋_GB2312" w:cs="仿宋_GB2312"/>
                <w:color w:val="000000" w:themeColor="text1"/>
                <w:kern w:val="0"/>
                <w:sz w:val="18"/>
                <w:szCs w:val="18"/>
              </w:rPr>
              <w:t>29</w:t>
            </w:r>
            <w:r>
              <w:rPr>
                <w:rFonts w:hint="eastAsia" w:ascii="仿宋_GB2312" w:eastAsia="仿宋_GB2312" w:cs="仿宋_GB2312"/>
                <w:color w:val="000000" w:themeColor="text1"/>
                <w:kern w:val="0"/>
                <w:sz w:val="18"/>
                <w:szCs w:val="18"/>
              </w:rPr>
              <w:t>日修正</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第八十四条　违反本条例规定，企业事业单位和其他生产经营者有下列行为之一的，由县级以上人民政府住房和城乡建设、交通运输、国土资源、工业和信息化、城市管理、水利、环境保护等部门根据各自职责责令改正，处一万元以上三万元以下罚款；情节较重的，处三万元以上十万元以下罚款；拒不改正的，责令其停工整治。受到罚款处罚，被责令改正，拒不改正的，可以自责令改正之日的次日起，按照原处罚数额按日连续处罚：（一）各类工程建设、矿产资源开采和加工等未采取有效措施防治扬尘污染的；（二）企业料堆场未采取有效措施防治扬尘污染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《河北省港口污染防治条例》第五十二条</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违反本条例规定，码头堆放、装卸和运输易产生扬尘污染物料未采取有效措施防治扬尘污染的，由港口行政管理部门责令改正，处一万元以上三万元以下的罚款；情节较重的，处三万元以上十万元以下的罚款；拒不改正的，责令其停工停产整治。</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w:t>
            </w:r>
            <w:bookmarkStart w:id="24" w:name="OLE_LINK6"/>
            <w:bookmarkStart w:id="25" w:name="OLE_LINK5"/>
            <w:r>
              <w:rPr>
                <w:rFonts w:hint="eastAsia" w:ascii="仿宋_GB2312" w:eastAsia="仿宋_GB2312" w:cs="仿宋_GB2312"/>
                <w:color w:val="000000" w:themeColor="text1"/>
                <w:kern w:val="0"/>
                <w:sz w:val="18"/>
                <w:szCs w:val="18"/>
              </w:rPr>
              <w:t>河北省扬尘污染防治办法</w:t>
            </w:r>
            <w:bookmarkEnd w:id="24"/>
            <w:bookmarkEnd w:id="25"/>
            <w:r>
              <w:rPr>
                <w:rFonts w:hint="eastAsia" w:ascii="仿宋_GB2312" w:eastAsia="仿宋_GB2312" w:cs="仿宋_GB2312"/>
                <w:color w:val="000000" w:themeColor="text1"/>
                <w:kern w:val="0"/>
                <w:sz w:val="18"/>
                <w:szCs w:val="18"/>
              </w:rPr>
              <w:t>》</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河北省人民政府令〔</w:t>
            </w:r>
            <w:r>
              <w:rPr>
                <w:rFonts w:ascii="仿宋_GB2312" w:eastAsia="仿宋_GB2312" w:cs="仿宋_GB2312"/>
                <w:color w:val="000000" w:themeColor="text1"/>
                <w:kern w:val="0"/>
                <w:sz w:val="18"/>
                <w:szCs w:val="18"/>
              </w:rPr>
              <w:t>2020</w:t>
            </w:r>
            <w:r>
              <w:rPr>
                <w:rFonts w:hint="eastAsia" w:ascii="仿宋_GB2312" w:eastAsia="仿宋_GB2312" w:cs="仿宋_GB2312"/>
                <w:color w:val="000000" w:themeColor="text1"/>
                <w:kern w:val="0"/>
                <w:sz w:val="18"/>
                <w:szCs w:val="18"/>
              </w:rPr>
              <w:t>〕第</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号</w:t>
            </w:r>
            <w:r>
              <w:rPr>
                <w:rFonts w:ascii="仿宋_GB2312" w:eastAsia="仿宋_GB2312" w:cs="仿宋_GB2312"/>
                <w:color w:val="000000" w:themeColor="text1"/>
                <w:kern w:val="0"/>
                <w:sz w:val="18"/>
                <w:szCs w:val="18"/>
              </w:rPr>
              <w:t xml:space="preserve">) </w:t>
            </w:r>
            <w:r>
              <w:rPr>
                <w:rFonts w:hint="eastAsia" w:ascii="仿宋_GB2312" w:eastAsia="仿宋_GB2312" w:cs="仿宋_GB2312"/>
                <w:color w:val="000000" w:themeColor="text1"/>
                <w:kern w:val="0"/>
                <w:sz w:val="18"/>
                <w:szCs w:val="18"/>
              </w:rPr>
              <w:t>第三十九条违反本办法规定，建设单位未履行建设工程扬尘污染防治主体责任，扬尘污染物排放不达标的，由监督管理部门责令改正，处一万元以上三万元以下罚款；情节较重的，处三万元以上十万元以下罚款；拒不改正的，责令其停工整治。第四十条违反本办法规定，建设施工、物料堆放、码头作业、矿产资源开采和加工未依法采取有效措施防治扬尘污染的，由监督管理部门责令改正，处一万元以上三万元以下罚款；情节较重的，处三万元以上十万元以下罚款；拒不改正的，责令其停工停产整治。第四十一条违反本办法规定，运输煤炭、垃圾、渣土、砂石、土方、灰浆等易产生扬尘污染物料未依法采取有效措施防治扬尘污染的，由监督管理部门责令改正，处二千元以上五千元以下罚款；情节严重的，处五千元以上二万元以下罚款；拒不改正的，车辆不得上道路行驶。第四十二条违反本办法规定，施工单位拒不采取扬尘污染防治应急措施，停止拆除、爆破、土石方等作业的，由监督管理部门责令立即改正，并处一万元以上十万元以下罚款。第四十三条违反本办法规定，被确定为重点扬尘污染源的企业事业单位和其他生产经营者有下列行为之一的，由监督管理部门责令限期改正，处二万元以上五万元以下罚款；情节较重的，处五万元以上十万元以下罚款；情节严重的，处十万元以上二十万元以下罚款；拒不改正的，责令停工停产整治：（一）未按照规定安装、使用扬尘污染物在线监测设备或者未按照规定与生态环境主管部门的监控设备联网，并保证监测设备正常运行的；（二）破坏、损毁或者擅自拆除、闲置扬尘污染物在线监测设备的；（三）未依法公开监测数据或者篡改、伪造监测数据的。</w:t>
            </w:r>
          </w:p>
          <w:p w14:paraId="5DD154AB">
            <w:pPr>
              <w:spacing w:line="20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BEEA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943" w:type="dxa"/>
            <w:vMerge w:val="restart"/>
            <w:vAlign w:val="center"/>
          </w:tcPr>
          <w:p w14:paraId="1F7FD62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10" w:type="dxa"/>
            <w:vAlign w:val="center"/>
          </w:tcPr>
          <w:p w14:paraId="1794AFE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880" w:type="dxa"/>
            <w:gridSpan w:val="4"/>
            <w:vAlign w:val="center"/>
          </w:tcPr>
          <w:p w14:paraId="7FE46C8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9" w:type="dxa"/>
            <w:gridSpan w:val="2"/>
            <w:vAlign w:val="center"/>
          </w:tcPr>
          <w:p w14:paraId="72E587F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C5382BB">
            <w:pPr>
              <w:widowControl/>
              <w:spacing w:line="200" w:lineRule="exact"/>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6D1D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57" w:hRule="atLeast"/>
          <w:jc w:val="center"/>
        </w:trPr>
        <w:tc>
          <w:tcPr>
            <w:tcW w:w="943" w:type="dxa"/>
            <w:vMerge w:val="continue"/>
            <w:vAlign w:val="center"/>
          </w:tcPr>
          <w:p w14:paraId="097860BD">
            <w:pPr>
              <w:spacing w:line="200" w:lineRule="exact"/>
              <w:rPr>
                <w:color w:val="000000" w:themeColor="text1"/>
              </w:rPr>
            </w:pPr>
          </w:p>
        </w:tc>
        <w:tc>
          <w:tcPr>
            <w:tcW w:w="1110" w:type="dxa"/>
            <w:vAlign w:val="center"/>
          </w:tcPr>
          <w:p w14:paraId="4E545214">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立案调查</w:t>
            </w:r>
          </w:p>
        </w:tc>
        <w:tc>
          <w:tcPr>
            <w:tcW w:w="5880" w:type="dxa"/>
            <w:gridSpan w:val="4"/>
            <w:vAlign w:val="center"/>
          </w:tcPr>
          <w:p w14:paraId="2C0EDEB2">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发现道路运输的违法行为，予以审查，决定是否立案。对立案的案件，指定专人负责，及时组织调查取证，与当事人有直接利害关系的应当回避。执法人员不得少于两人，调查时应出示执法证件，听取当事人陈述申辩，全面、客观、公正地调查，合法收集有关证据，执法人员应保守有关秘密。</w:t>
            </w:r>
          </w:p>
        </w:tc>
        <w:tc>
          <w:tcPr>
            <w:tcW w:w="959" w:type="dxa"/>
            <w:gridSpan w:val="2"/>
            <w:vAlign w:val="center"/>
          </w:tcPr>
          <w:p w14:paraId="15E622B9">
            <w:pPr>
              <w:spacing w:line="200" w:lineRule="exact"/>
              <w:jc w:val="center"/>
              <w:rPr>
                <w:rFonts w:ascii="仿宋_GB2312" w:hAnsi="黑体" w:eastAsia="仿宋_GB2312" w:cs="黑体"/>
                <w:color w:val="000000" w:themeColor="text1"/>
                <w:sz w:val="18"/>
                <w:szCs w:val="18"/>
              </w:rPr>
            </w:pPr>
          </w:p>
        </w:tc>
        <w:tc>
          <w:tcPr>
            <w:tcW w:w="1406" w:type="dxa"/>
            <w:vAlign w:val="center"/>
          </w:tcPr>
          <w:p w14:paraId="786FCC4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550F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4" w:hRule="atLeast"/>
          <w:jc w:val="center"/>
        </w:trPr>
        <w:tc>
          <w:tcPr>
            <w:tcW w:w="943" w:type="dxa"/>
            <w:vMerge w:val="continue"/>
            <w:vAlign w:val="center"/>
          </w:tcPr>
          <w:p w14:paraId="3AD550F7">
            <w:pPr>
              <w:spacing w:line="200" w:lineRule="exact"/>
              <w:rPr>
                <w:color w:val="000000" w:themeColor="text1"/>
              </w:rPr>
            </w:pPr>
          </w:p>
        </w:tc>
        <w:tc>
          <w:tcPr>
            <w:tcW w:w="1110" w:type="dxa"/>
            <w:vAlign w:val="center"/>
          </w:tcPr>
          <w:p w14:paraId="6F79908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审查</w:t>
            </w:r>
          </w:p>
        </w:tc>
        <w:tc>
          <w:tcPr>
            <w:tcW w:w="5880" w:type="dxa"/>
            <w:gridSpan w:val="4"/>
            <w:vAlign w:val="center"/>
          </w:tcPr>
          <w:p w14:paraId="53FD3996">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审查案件调查报告，对案件违法事实、证据、调查取证程序、法律适用、处罚种类和幅度、当事人陈述和申辩理由等方面进行审查，提出审核意见（主要证据不足时，要求执法人员补充调查）。</w:t>
            </w:r>
          </w:p>
        </w:tc>
        <w:tc>
          <w:tcPr>
            <w:tcW w:w="959" w:type="dxa"/>
            <w:gridSpan w:val="2"/>
            <w:vAlign w:val="center"/>
          </w:tcPr>
          <w:p w14:paraId="703E679A">
            <w:pPr>
              <w:spacing w:line="200" w:lineRule="exact"/>
              <w:jc w:val="center"/>
              <w:rPr>
                <w:rFonts w:ascii="仿宋_GB2312" w:hAnsi="黑体" w:eastAsia="仿宋_GB2312" w:cs="黑体"/>
                <w:color w:val="000000" w:themeColor="text1"/>
                <w:sz w:val="18"/>
                <w:szCs w:val="18"/>
              </w:rPr>
            </w:pPr>
          </w:p>
        </w:tc>
        <w:tc>
          <w:tcPr>
            <w:tcW w:w="1406" w:type="dxa"/>
            <w:vAlign w:val="center"/>
          </w:tcPr>
          <w:p w14:paraId="5EE17B47">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61B2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0" w:hRule="atLeast"/>
          <w:jc w:val="center"/>
        </w:trPr>
        <w:tc>
          <w:tcPr>
            <w:tcW w:w="943" w:type="dxa"/>
            <w:vMerge w:val="continue"/>
            <w:vAlign w:val="center"/>
          </w:tcPr>
          <w:p w14:paraId="6F563AF0">
            <w:pPr>
              <w:spacing w:line="200" w:lineRule="exact"/>
              <w:rPr>
                <w:color w:val="000000" w:themeColor="text1"/>
              </w:rPr>
            </w:pPr>
          </w:p>
        </w:tc>
        <w:tc>
          <w:tcPr>
            <w:tcW w:w="1110" w:type="dxa"/>
            <w:vAlign w:val="center"/>
          </w:tcPr>
          <w:p w14:paraId="33A4458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880" w:type="dxa"/>
            <w:gridSpan w:val="4"/>
            <w:vAlign w:val="center"/>
          </w:tcPr>
          <w:p w14:paraId="6FD2070C">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调查阶段按规定履行告知义务，作出行政处罚决定前，应制作《行政处罚告知书》送达当事人，告知违法事实及其享有的陈述、申辩等权利。符合听证规定的，制作《行政处罚听证告知书》。</w:t>
            </w:r>
          </w:p>
        </w:tc>
        <w:tc>
          <w:tcPr>
            <w:tcW w:w="959" w:type="dxa"/>
            <w:gridSpan w:val="2"/>
            <w:vAlign w:val="center"/>
          </w:tcPr>
          <w:p w14:paraId="13F4212A">
            <w:pPr>
              <w:spacing w:line="200" w:lineRule="exact"/>
              <w:jc w:val="center"/>
              <w:rPr>
                <w:rFonts w:ascii="仿宋_GB2312" w:hAnsi="黑体" w:eastAsia="仿宋_GB2312" w:cs="黑体"/>
                <w:color w:val="000000" w:themeColor="text1"/>
                <w:sz w:val="18"/>
                <w:szCs w:val="18"/>
              </w:rPr>
            </w:pPr>
          </w:p>
        </w:tc>
        <w:tc>
          <w:tcPr>
            <w:tcW w:w="1406" w:type="dxa"/>
            <w:vAlign w:val="center"/>
          </w:tcPr>
          <w:p w14:paraId="3609498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w:t>
            </w:r>
            <w:r>
              <w:rPr>
                <w:rFonts w:hint="eastAsia" w:ascii="仿宋_GB2312" w:eastAsia="仿宋_GB2312" w:cs="仿宋_GB2312"/>
                <w:color w:val="000000" w:themeColor="text1"/>
                <w:kern w:val="0"/>
                <w:sz w:val="18"/>
                <w:szCs w:val="18"/>
              </w:rPr>
              <w:t>大队</w:t>
            </w:r>
          </w:p>
        </w:tc>
      </w:tr>
      <w:tr w14:paraId="1E100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943" w:type="dxa"/>
            <w:vMerge w:val="continue"/>
            <w:vAlign w:val="center"/>
          </w:tcPr>
          <w:p w14:paraId="403E6D9F">
            <w:pPr>
              <w:spacing w:line="200" w:lineRule="exact"/>
              <w:rPr>
                <w:color w:val="000000" w:themeColor="text1"/>
              </w:rPr>
            </w:pPr>
          </w:p>
        </w:tc>
        <w:tc>
          <w:tcPr>
            <w:tcW w:w="1110" w:type="dxa"/>
            <w:vAlign w:val="center"/>
          </w:tcPr>
          <w:p w14:paraId="37E1122F">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决定送达</w:t>
            </w:r>
          </w:p>
        </w:tc>
        <w:tc>
          <w:tcPr>
            <w:tcW w:w="5880" w:type="dxa"/>
            <w:gridSpan w:val="4"/>
            <w:vAlign w:val="center"/>
          </w:tcPr>
          <w:p w14:paraId="77BB5A1F">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根据案件审查情况分别作出相应行政处罚决定，并按法律规定的方式将相关执法文书送达当事人。</w:t>
            </w:r>
          </w:p>
        </w:tc>
        <w:tc>
          <w:tcPr>
            <w:tcW w:w="959" w:type="dxa"/>
            <w:gridSpan w:val="2"/>
            <w:vAlign w:val="center"/>
          </w:tcPr>
          <w:p w14:paraId="3375106A">
            <w:pPr>
              <w:spacing w:line="200" w:lineRule="exact"/>
              <w:jc w:val="center"/>
              <w:rPr>
                <w:rFonts w:ascii="仿宋_GB2312" w:hAnsi="黑体" w:eastAsia="仿宋_GB2312" w:cs="黑体"/>
                <w:color w:val="000000" w:themeColor="text1"/>
                <w:sz w:val="18"/>
                <w:szCs w:val="18"/>
              </w:rPr>
            </w:pPr>
          </w:p>
        </w:tc>
        <w:tc>
          <w:tcPr>
            <w:tcW w:w="1406" w:type="dxa"/>
            <w:vAlign w:val="center"/>
          </w:tcPr>
          <w:p w14:paraId="254ED85E">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25D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0" w:hRule="atLeast"/>
          <w:jc w:val="center"/>
        </w:trPr>
        <w:tc>
          <w:tcPr>
            <w:tcW w:w="943" w:type="dxa"/>
            <w:vMerge w:val="continue"/>
            <w:vAlign w:val="center"/>
          </w:tcPr>
          <w:p w14:paraId="56386122">
            <w:pPr>
              <w:spacing w:line="200" w:lineRule="exact"/>
              <w:rPr>
                <w:color w:val="000000" w:themeColor="text1"/>
              </w:rPr>
            </w:pPr>
          </w:p>
        </w:tc>
        <w:tc>
          <w:tcPr>
            <w:tcW w:w="1110" w:type="dxa"/>
            <w:vAlign w:val="center"/>
          </w:tcPr>
          <w:p w14:paraId="7304162D">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880" w:type="dxa"/>
            <w:gridSpan w:val="4"/>
            <w:vAlign w:val="center"/>
          </w:tcPr>
          <w:p w14:paraId="42657381">
            <w:pPr>
              <w:spacing w:line="20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按照规定执行处罚决定。</w:t>
            </w:r>
          </w:p>
        </w:tc>
        <w:tc>
          <w:tcPr>
            <w:tcW w:w="959" w:type="dxa"/>
            <w:gridSpan w:val="2"/>
            <w:vAlign w:val="center"/>
          </w:tcPr>
          <w:p w14:paraId="20498689">
            <w:pPr>
              <w:spacing w:line="200" w:lineRule="exact"/>
              <w:jc w:val="center"/>
              <w:rPr>
                <w:rFonts w:ascii="仿宋_GB2312" w:hAnsi="黑体" w:eastAsia="仿宋_GB2312" w:cs="黑体"/>
                <w:color w:val="000000" w:themeColor="text1"/>
                <w:sz w:val="18"/>
                <w:szCs w:val="18"/>
              </w:rPr>
            </w:pPr>
          </w:p>
        </w:tc>
        <w:tc>
          <w:tcPr>
            <w:tcW w:w="1406" w:type="dxa"/>
            <w:vAlign w:val="center"/>
          </w:tcPr>
          <w:p w14:paraId="45415B2A">
            <w:pPr>
              <w:spacing w:line="20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F8C0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46" w:hRule="atLeast"/>
          <w:jc w:val="center"/>
        </w:trPr>
        <w:tc>
          <w:tcPr>
            <w:tcW w:w="943" w:type="dxa"/>
            <w:vAlign w:val="center"/>
          </w:tcPr>
          <w:p w14:paraId="1ECCAA3C">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355" w:type="dxa"/>
            <w:gridSpan w:val="8"/>
            <w:vAlign w:val="center"/>
          </w:tcPr>
          <w:p w14:paraId="19D439FE">
            <w:pPr>
              <w:spacing w:line="200" w:lineRule="exact"/>
              <w:rPr>
                <w:rFonts w:ascii="黑体" w:eastAsia="黑体" w:cs="黑体"/>
                <w:color w:val="000000" w:themeColor="text1"/>
                <w:szCs w:val="21"/>
              </w:rPr>
            </w:pPr>
            <w:r>
              <w:rPr>
                <w:rFonts w:hint="eastAsia" w:ascii="仿宋_GB2312" w:eastAsia="仿宋_GB2312" w:cs="仿宋_GB2312"/>
                <w:color w:val="000000" w:themeColor="text1"/>
                <w:kern w:val="0"/>
                <w:sz w:val="18"/>
                <w:szCs w:val="18"/>
              </w:rPr>
              <w:t>因不履行或不正确履行行政职责，有下列情形的，行政机关及相关工作人员应承担相应责任：</w:t>
            </w: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没有法律和事实依据实施行政处罚的；</w:t>
            </w: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行政处罚显失公正的；</w:t>
            </w:r>
            <w:r>
              <w:rPr>
                <w:rFonts w:ascii="仿宋_GB2312" w:eastAsia="仿宋_GB2312" w:cs="仿宋_GB2312"/>
                <w:color w:val="000000" w:themeColor="text1"/>
                <w:kern w:val="0"/>
                <w:sz w:val="18"/>
                <w:szCs w:val="18"/>
              </w:rPr>
              <w:t>3.</w:t>
            </w:r>
            <w:r>
              <w:rPr>
                <w:rFonts w:hint="eastAsia" w:ascii="仿宋_GB2312" w:eastAsia="仿宋_GB2312" w:cs="仿宋_GB2312"/>
                <w:color w:val="000000" w:themeColor="text1"/>
                <w:kern w:val="0"/>
                <w:sz w:val="18"/>
                <w:szCs w:val="18"/>
              </w:rPr>
              <w:t>执法人员玩忽职守，对应当予以制止和处罚的违法行为不予制止、处罚，致使职工合法权益遭受损害的；</w:t>
            </w:r>
            <w:r>
              <w:rPr>
                <w:rFonts w:ascii="仿宋_GB2312" w:eastAsia="仿宋_GB2312" w:cs="仿宋_GB2312"/>
                <w:color w:val="000000" w:themeColor="text1"/>
                <w:kern w:val="0"/>
                <w:sz w:val="18"/>
                <w:szCs w:val="18"/>
              </w:rPr>
              <w:t>4.</w:t>
            </w:r>
            <w:r>
              <w:rPr>
                <w:rFonts w:hint="eastAsia" w:ascii="仿宋_GB2312" w:eastAsia="仿宋_GB2312" w:cs="仿宋_GB2312"/>
                <w:color w:val="000000" w:themeColor="text1"/>
                <w:kern w:val="0"/>
                <w:sz w:val="18"/>
                <w:szCs w:val="18"/>
              </w:rPr>
              <w:t>不具备行政执法资格实施行政处罚的；</w:t>
            </w:r>
            <w:r>
              <w:rPr>
                <w:rFonts w:ascii="仿宋_GB2312" w:eastAsia="仿宋_GB2312" w:cs="仿宋_GB2312"/>
                <w:color w:val="000000" w:themeColor="text1"/>
                <w:kern w:val="0"/>
                <w:sz w:val="18"/>
                <w:szCs w:val="18"/>
              </w:rPr>
              <w:t>5.</w:t>
            </w:r>
            <w:r>
              <w:rPr>
                <w:rFonts w:hint="eastAsia" w:ascii="仿宋_GB2312" w:eastAsia="仿宋_GB2312" w:cs="仿宋_GB2312"/>
                <w:color w:val="000000" w:themeColor="text1"/>
                <w:kern w:val="0"/>
                <w:sz w:val="18"/>
                <w:szCs w:val="18"/>
              </w:rPr>
              <w:t>在制止以及查处违法案件中受阻，依照有关规定应当向本级人民政府或者上级主管部门报告而未报告的；</w:t>
            </w:r>
            <w:r>
              <w:rPr>
                <w:rFonts w:ascii="仿宋_GB2312" w:eastAsia="仿宋_GB2312" w:cs="仿宋_GB2312"/>
                <w:color w:val="000000" w:themeColor="text1"/>
                <w:kern w:val="0"/>
                <w:sz w:val="18"/>
                <w:szCs w:val="18"/>
              </w:rPr>
              <w:t>6.</w:t>
            </w:r>
            <w:r>
              <w:rPr>
                <w:rFonts w:hint="eastAsia" w:ascii="仿宋_GB2312" w:eastAsia="仿宋_GB2312" w:cs="仿宋_GB2312"/>
                <w:color w:val="000000" w:themeColor="text1"/>
                <w:kern w:val="0"/>
                <w:sz w:val="18"/>
                <w:szCs w:val="18"/>
              </w:rPr>
              <w:t>应当依法移送追究刑事责任，而未依法移送有权机关的；</w:t>
            </w:r>
            <w:r>
              <w:rPr>
                <w:rFonts w:ascii="仿宋_GB2312" w:eastAsia="仿宋_GB2312" w:cs="仿宋_GB2312"/>
                <w:color w:val="000000" w:themeColor="text1"/>
                <w:kern w:val="0"/>
                <w:sz w:val="18"/>
                <w:szCs w:val="18"/>
              </w:rPr>
              <w:t>7.</w:t>
            </w:r>
            <w:r>
              <w:rPr>
                <w:rFonts w:hint="eastAsia" w:ascii="仿宋_GB2312" w:eastAsia="仿宋_GB2312" w:cs="仿宋_GB2312"/>
                <w:color w:val="000000" w:themeColor="text1"/>
                <w:kern w:val="0"/>
                <w:sz w:val="18"/>
                <w:szCs w:val="18"/>
              </w:rPr>
              <w:t>擅自改变行政处罚种类、幅度的；</w:t>
            </w:r>
            <w:r>
              <w:rPr>
                <w:rFonts w:ascii="仿宋_GB2312" w:eastAsia="仿宋_GB2312" w:cs="仿宋_GB2312"/>
                <w:color w:val="000000" w:themeColor="text1"/>
                <w:kern w:val="0"/>
                <w:sz w:val="18"/>
                <w:szCs w:val="18"/>
              </w:rPr>
              <w:t>8.</w:t>
            </w:r>
            <w:r>
              <w:rPr>
                <w:rFonts w:hint="eastAsia" w:ascii="仿宋_GB2312" w:eastAsia="仿宋_GB2312" w:cs="仿宋_GB2312"/>
                <w:color w:val="000000" w:themeColor="text1"/>
                <w:kern w:val="0"/>
                <w:sz w:val="18"/>
                <w:szCs w:val="18"/>
              </w:rPr>
              <w:t>违反法定的行政处罚程序的；</w:t>
            </w:r>
            <w:r>
              <w:rPr>
                <w:rFonts w:ascii="仿宋_GB2312" w:eastAsia="仿宋_GB2312" w:cs="仿宋_GB2312"/>
                <w:color w:val="000000" w:themeColor="text1"/>
                <w:kern w:val="0"/>
                <w:sz w:val="18"/>
                <w:szCs w:val="18"/>
              </w:rPr>
              <w:t>9.</w:t>
            </w:r>
            <w:r>
              <w:rPr>
                <w:rFonts w:hint="eastAsia" w:ascii="仿宋_GB2312" w:eastAsia="仿宋_GB2312" w:cs="仿宋_GB2312"/>
                <w:color w:val="000000" w:themeColor="text1"/>
                <w:kern w:val="0"/>
                <w:sz w:val="18"/>
                <w:szCs w:val="18"/>
              </w:rPr>
              <w:t>符合听证条件、行政管理相对人要求听证，应予组织听证而不组织听证的；</w:t>
            </w:r>
            <w:r>
              <w:rPr>
                <w:rFonts w:ascii="仿宋_GB2312" w:eastAsia="仿宋_GB2312" w:cs="仿宋_GB2312"/>
                <w:color w:val="000000" w:themeColor="text1"/>
                <w:kern w:val="0"/>
                <w:sz w:val="18"/>
                <w:szCs w:val="18"/>
              </w:rPr>
              <w:t>10.</w:t>
            </w:r>
            <w:r>
              <w:rPr>
                <w:rFonts w:hint="eastAsia" w:ascii="仿宋_GB2312" w:eastAsia="仿宋_GB2312" w:cs="仿宋_GB2312"/>
                <w:color w:val="000000" w:themeColor="text1"/>
                <w:kern w:val="0"/>
                <w:sz w:val="18"/>
                <w:szCs w:val="18"/>
              </w:rPr>
              <w:t>在行政处罚过程中发生腐败行为的；</w:t>
            </w:r>
            <w:r>
              <w:rPr>
                <w:rFonts w:ascii="仿宋_GB2312" w:eastAsia="仿宋_GB2312" w:cs="仿宋_GB2312"/>
                <w:color w:val="000000" w:themeColor="text1"/>
                <w:kern w:val="0"/>
                <w:sz w:val="18"/>
                <w:szCs w:val="18"/>
              </w:rPr>
              <w:t>11.</w:t>
            </w:r>
            <w:r>
              <w:rPr>
                <w:rFonts w:hint="eastAsia" w:ascii="仿宋_GB2312" w:eastAsia="仿宋_GB2312" w:cs="仿宋_GB2312"/>
                <w:color w:val="000000" w:themeColor="text1"/>
                <w:kern w:val="0"/>
                <w:sz w:val="18"/>
                <w:szCs w:val="18"/>
              </w:rPr>
              <w:t>其他违反法律法规规章文件规定的行为。</w:t>
            </w:r>
          </w:p>
        </w:tc>
      </w:tr>
      <w:tr w14:paraId="07EF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3" w:hRule="atLeast"/>
          <w:jc w:val="center"/>
        </w:trPr>
        <w:tc>
          <w:tcPr>
            <w:tcW w:w="943" w:type="dxa"/>
            <w:vAlign w:val="center"/>
          </w:tcPr>
          <w:p w14:paraId="3BECA52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355" w:type="dxa"/>
            <w:gridSpan w:val="8"/>
            <w:vAlign w:val="center"/>
          </w:tcPr>
          <w:p w14:paraId="4B027960">
            <w:pPr>
              <w:widowControl/>
              <w:spacing w:line="20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65F89E3">
            <w:pPr>
              <w:widowControl/>
              <w:spacing w:line="20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61B0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8" w:hRule="atLeast"/>
          <w:jc w:val="center"/>
        </w:trPr>
        <w:tc>
          <w:tcPr>
            <w:tcW w:w="943" w:type="dxa"/>
            <w:vAlign w:val="center"/>
          </w:tcPr>
          <w:p w14:paraId="5507DD8D">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355" w:type="dxa"/>
            <w:gridSpan w:val="8"/>
            <w:vAlign w:val="center"/>
          </w:tcPr>
          <w:p w14:paraId="41BAFDF8">
            <w:pPr>
              <w:widowControl/>
              <w:spacing w:line="200" w:lineRule="exact"/>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．不服处罚决定自知道该具体行政行为之日起六十日内向抚宁区人民政府申请行政复议。</w:t>
            </w:r>
          </w:p>
          <w:p w14:paraId="67F5AF06">
            <w:pPr>
              <w:widowControl/>
              <w:spacing w:line="200" w:lineRule="exact"/>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．不服处罚决定应当自知道或者应当知道作出行政行为之日起六个月内提出向抚宁区人民法院提起行政诉讼。</w:t>
            </w:r>
          </w:p>
        </w:tc>
      </w:tr>
      <w:tr w14:paraId="0FDD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943" w:type="dxa"/>
            <w:vAlign w:val="center"/>
          </w:tcPr>
          <w:p w14:paraId="1D4C3B6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355" w:type="dxa"/>
            <w:gridSpan w:val="8"/>
            <w:vAlign w:val="center"/>
          </w:tcPr>
          <w:p w14:paraId="1F592D34">
            <w:pPr>
              <w:widowControl/>
              <w:jc w:val="left"/>
              <w:textAlignment w:val="center"/>
              <w:rPr>
                <w:rFonts w:ascii="黑体" w:eastAsia="黑体" w:cs="黑体"/>
                <w:color w:val="000000" w:themeColor="text1"/>
                <w:kern w:val="0"/>
                <w:sz w:val="18"/>
                <w:szCs w:val="18"/>
              </w:rPr>
            </w:pPr>
          </w:p>
        </w:tc>
      </w:tr>
    </w:tbl>
    <w:p w14:paraId="001D301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29"/>
        <w:gridCol w:w="1502"/>
      </w:tblGrid>
      <w:tr w14:paraId="01EA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E4B4C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43472FE">
            <w:pPr>
              <w:jc w:val="center"/>
              <w:rPr>
                <w:rFonts w:ascii="黑体" w:eastAsia="黑体" w:cs="黑体"/>
                <w:b/>
                <w:bCs/>
                <w:color w:val="000000" w:themeColor="text1"/>
                <w:szCs w:val="21"/>
              </w:rPr>
            </w:pPr>
            <w:r>
              <w:rPr>
                <w:rFonts w:ascii="黑体" w:eastAsia="黑体" w:cs="黑体"/>
                <w:b/>
                <w:bCs/>
                <w:color w:val="000000" w:themeColor="text1"/>
                <w:szCs w:val="21"/>
              </w:rPr>
              <w:t>186</w:t>
            </w:r>
          </w:p>
        </w:tc>
        <w:tc>
          <w:tcPr>
            <w:tcW w:w="1691" w:type="dxa"/>
            <w:vAlign w:val="center"/>
          </w:tcPr>
          <w:p w14:paraId="1C9DC9A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5128F6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27171A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44F203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660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8756B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4D069A48">
            <w:pPr>
              <w:spacing w:line="240" w:lineRule="exact"/>
              <w:ind w:firstLine="2610" w:firstLineChars="145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w:t>
            </w:r>
            <w:bookmarkStart w:id="26" w:name="OLE_LINK37"/>
            <w:bookmarkStart w:id="27" w:name="OLE_LINK36"/>
            <w:r>
              <w:rPr>
                <w:rFonts w:hint="eastAsia" w:ascii="仿宋_GB2312" w:hAnsi="黑体" w:eastAsia="仿宋_GB2312" w:cs="黑体"/>
                <w:color w:val="000000" w:themeColor="text1"/>
                <w:sz w:val="18"/>
                <w:szCs w:val="18"/>
              </w:rPr>
              <w:t>国际道路运输经营行为</w:t>
            </w:r>
            <w:bookmarkEnd w:id="26"/>
            <w:bookmarkEnd w:id="27"/>
            <w:r>
              <w:rPr>
                <w:rFonts w:hint="eastAsia" w:ascii="仿宋_GB2312" w:hAnsi="黑体" w:eastAsia="仿宋_GB2312" w:cs="黑体"/>
                <w:color w:val="000000" w:themeColor="text1"/>
                <w:sz w:val="18"/>
                <w:szCs w:val="18"/>
              </w:rPr>
              <w:t>的监督检查</w:t>
            </w:r>
          </w:p>
        </w:tc>
      </w:tr>
      <w:tr w14:paraId="4F7EC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0E7BE7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3EDC3033">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22D06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66" w:hRule="atLeast"/>
          <w:jc w:val="center"/>
        </w:trPr>
        <w:tc>
          <w:tcPr>
            <w:tcW w:w="1463" w:type="dxa"/>
            <w:vAlign w:val="center"/>
          </w:tcPr>
          <w:p w14:paraId="3A17EA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1AC71104">
            <w:pPr>
              <w:spacing w:line="240" w:lineRule="exact"/>
              <w:jc w:val="lef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【法律法规】《国际道路运输管理规定》（中华人民共和国交通运输部令</w:t>
            </w:r>
            <w:r>
              <w:rPr>
                <w:rFonts w:ascii="仿宋_GB2312" w:hAnsi="黑体" w:eastAsia="仿宋_GB2312" w:cs="黑体"/>
                <w:color w:val="000000" w:themeColor="text1"/>
                <w:sz w:val="18"/>
                <w:szCs w:val="18"/>
              </w:rPr>
              <w:t>2022</w:t>
            </w:r>
            <w:r>
              <w:rPr>
                <w:rFonts w:hint="eastAsia" w:ascii="仿宋_GB2312" w:hAnsi="黑体" w:eastAsia="仿宋_GB2312" w:cs="黑体"/>
                <w:color w:val="000000" w:themeColor="text1"/>
                <w:sz w:val="18"/>
                <w:szCs w:val="18"/>
              </w:rPr>
              <w:t>年第</w:t>
            </w:r>
            <w:r>
              <w:rPr>
                <w:rFonts w:ascii="仿宋_GB2312" w:hAnsi="黑体" w:eastAsia="仿宋_GB2312" w:cs="黑体"/>
                <w:color w:val="000000" w:themeColor="text1"/>
                <w:sz w:val="18"/>
                <w:szCs w:val="18"/>
              </w:rPr>
              <w:t>31</w:t>
            </w:r>
            <w:r>
              <w:rPr>
                <w:rFonts w:hint="eastAsia" w:ascii="仿宋_GB2312" w:hAnsi="黑体" w:eastAsia="仿宋_GB2312" w:cs="黑体"/>
                <w:color w:val="000000" w:themeColor="text1"/>
                <w:sz w:val="18"/>
                <w:szCs w:val="18"/>
              </w:rPr>
              <w:t>号）第三十四条第一款</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县级以上地方人民政府交通运输主管部门在本行政区域内依法实施国际道路运输监督检查工作。</w:t>
            </w:r>
          </w:p>
          <w:p w14:paraId="7ACB7BCE">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号第三条第十二款负责全区交通运输行业涉外事宜，开展与国际和港澳台地区交通运输经济技术合作与交流。</w:t>
            </w:r>
          </w:p>
        </w:tc>
      </w:tr>
      <w:tr w14:paraId="279B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41E61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042839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0DA6F0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C215F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467D1AF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F949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5A0DA0E0">
            <w:pPr>
              <w:rPr>
                <w:color w:val="000000" w:themeColor="text1"/>
              </w:rPr>
            </w:pPr>
          </w:p>
        </w:tc>
        <w:tc>
          <w:tcPr>
            <w:tcW w:w="1050" w:type="dxa"/>
            <w:vAlign w:val="center"/>
          </w:tcPr>
          <w:p w14:paraId="7E271D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4F0795A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对本辖区内国际道路运输经营行为进行监督检查；</w:t>
            </w:r>
          </w:p>
        </w:tc>
        <w:tc>
          <w:tcPr>
            <w:tcW w:w="996" w:type="dxa"/>
            <w:gridSpan w:val="2"/>
            <w:vAlign w:val="center"/>
          </w:tcPr>
          <w:p w14:paraId="015A8E37">
            <w:pPr>
              <w:jc w:val="center"/>
              <w:rPr>
                <w:rFonts w:ascii="仿宋_GB2312" w:hAnsi="黑体" w:eastAsia="仿宋_GB2312" w:cs="黑体"/>
                <w:color w:val="000000" w:themeColor="text1"/>
                <w:sz w:val="18"/>
                <w:szCs w:val="18"/>
              </w:rPr>
            </w:pPr>
          </w:p>
        </w:tc>
        <w:tc>
          <w:tcPr>
            <w:tcW w:w="1502" w:type="dxa"/>
            <w:vAlign w:val="center"/>
          </w:tcPr>
          <w:p w14:paraId="4E1BA5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8FF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5E31D5F">
            <w:pPr>
              <w:rPr>
                <w:color w:val="000000" w:themeColor="text1"/>
              </w:rPr>
            </w:pPr>
          </w:p>
        </w:tc>
        <w:tc>
          <w:tcPr>
            <w:tcW w:w="1050" w:type="dxa"/>
            <w:vAlign w:val="center"/>
          </w:tcPr>
          <w:p w14:paraId="5F6D3F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3AD96CD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96" w:type="dxa"/>
            <w:gridSpan w:val="2"/>
            <w:vAlign w:val="center"/>
          </w:tcPr>
          <w:p w14:paraId="0F742965">
            <w:pPr>
              <w:jc w:val="center"/>
              <w:rPr>
                <w:rFonts w:ascii="仿宋_GB2312" w:hAnsi="黑体" w:eastAsia="仿宋_GB2312" w:cs="黑体"/>
                <w:color w:val="000000" w:themeColor="text1"/>
                <w:sz w:val="18"/>
                <w:szCs w:val="18"/>
              </w:rPr>
            </w:pPr>
          </w:p>
        </w:tc>
        <w:tc>
          <w:tcPr>
            <w:tcW w:w="1502" w:type="dxa"/>
            <w:vAlign w:val="center"/>
          </w:tcPr>
          <w:p w14:paraId="71C333B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867B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26C57802">
            <w:pPr>
              <w:rPr>
                <w:color w:val="000000" w:themeColor="text1"/>
              </w:rPr>
            </w:pPr>
          </w:p>
        </w:tc>
        <w:tc>
          <w:tcPr>
            <w:tcW w:w="1050" w:type="dxa"/>
            <w:vAlign w:val="center"/>
          </w:tcPr>
          <w:p w14:paraId="63A5A8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02E287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及时予以公告，对构成违法犯罪的移交司法机关；</w:t>
            </w:r>
          </w:p>
        </w:tc>
        <w:tc>
          <w:tcPr>
            <w:tcW w:w="996" w:type="dxa"/>
            <w:gridSpan w:val="2"/>
            <w:vAlign w:val="center"/>
          </w:tcPr>
          <w:p w14:paraId="23483F12">
            <w:pPr>
              <w:jc w:val="center"/>
              <w:rPr>
                <w:rFonts w:ascii="仿宋_GB2312" w:hAnsi="黑体" w:eastAsia="仿宋_GB2312" w:cs="黑体"/>
                <w:color w:val="000000" w:themeColor="text1"/>
                <w:sz w:val="18"/>
                <w:szCs w:val="18"/>
              </w:rPr>
            </w:pPr>
          </w:p>
        </w:tc>
        <w:tc>
          <w:tcPr>
            <w:tcW w:w="1502" w:type="dxa"/>
            <w:vAlign w:val="center"/>
          </w:tcPr>
          <w:p w14:paraId="5A22FCD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E49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2" w:hRule="atLeast"/>
          <w:jc w:val="center"/>
        </w:trPr>
        <w:tc>
          <w:tcPr>
            <w:tcW w:w="1463" w:type="dxa"/>
            <w:vMerge w:val="continue"/>
            <w:vAlign w:val="center"/>
          </w:tcPr>
          <w:p w14:paraId="5B089FBC">
            <w:pPr>
              <w:rPr>
                <w:color w:val="000000" w:themeColor="text1"/>
              </w:rPr>
            </w:pPr>
          </w:p>
        </w:tc>
        <w:tc>
          <w:tcPr>
            <w:tcW w:w="1050" w:type="dxa"/>
            <w:vAlign w:val="center"/>
          </w:tcPr>
          <w:p w14:paraId="1DB09C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27DE5E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对监督检查发现的问题，企业或单位、个人整改完成后，对整改情况组织进行核查；</w:t>
            </w:r>
          </w:p>
        </w:tc>
        <w:tc>
          <w:tcPr>
            <w:tcW w:w="996" w:type="dxa"/>
            <w:gridSpan w:val="2"/>
            <w:vAlign w:val="center"/>
          </w:tcPr>
          <w:p w14:paraId="5F103E15">
            <w:pPr>
              <w:jc w:val="center"/>
              <w:rPr>
                <w:rFonts w:ascii="仿宋_GB2312" w:hAnsi="黑体" w:eastAsia="仿宋_GB2312" w:cs="黑体"/>
                <w:color w:val="000000" w:themeColor="text1"/>
                <w:sz w:val="18"/>
                <w:szCs w:val="18"/>
              </w:rPr>
            </w:pPr>
          </w:p>
        </w:tc>
        <w:tc>
          <w:tcPr>
            <w:tcW w:w="1502" w:type="dxa"/>
            <w:vAlign w:val="center"/>
          </w:tcPr>
          <w:p w14:paraId="5B7606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A2E2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59" w:hRule="atLeast"/>
          <w:jc w:val="center"/>
        </w:trPr>
        <w:tc>
          <w:tcPr>
            <w:tcW w:w="1463" w:type="dxa"/>
            <w:vAlign w:val="center"/>
          </w:tcPr>
          <w:p w14:paraId="4123DF3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3D0F1EAE">
            <w:pPr>
              <w:spacing w:line="240" w:lineRule="exact"/>
              <w:rPr>
                <w:rFonts w:ascii="仿宋" w:hAnsi="仿宋" w:eastAsia="仿宋" w:cs="黑体"/>
                <w:color w:val="000000" w:themeColor="text1"/>
                <w:sz w:val="18"/>
                <w:szCs w:val="18"/>
              </w:rPr>
            </w:pPr>
            <w:r>
              <w:rPr>
                <w:rFonts w:hint="eastAsia" w:ascii="仿宋" w:hAnsi="仿宋" w:eastAsia="仿宋" w:cs="仿宋_GB2312"/>
                <w:color w:val="000000" w:themeColor="text1"/>
                <w:sz w:val="18"/>
                <w:szCs w:val="18"/>
              </w:rPr>
              <w:t>《中华人民共和国监察法》</w:t>
            </w:r>
            <w:r>
              <w:rPr>
                <w:rFonts w:hint="eastAsia" w:ascii="仿宋" w:hAnsi="仿宋" w:eastAsia="仿宋" w:cs="仿宋_GB2312"/>
                <w:color w:val="000000" w:themeColor="text1"/>
                <w:kern w:val="0"/>
                <w:sz w:val="18"/>
                <w:szCs w:val="18"/>
              </w:rPr>
              <w:t>《中华人民共和国行政处罚法》</w:t>
            </w:r>
            <w:r>
              <w:rPr>
                <w:rFonts w:hint="eastAsia" w:ascii="仿宋" w:hAns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hAnsi="仿宋" w:eastAsia="仿宋" w:cs="仿宋_GB2312"/>
                <w:color w:val="000000" w:themeColor="text1"/>
                <w:kern w:val="0"/>
                <w:sz w:val="18"/>
                <w:szCs w:val="18"/>
              </w:rPr>
              <w:t>《河北省行政执法监督条例》等规定的追责情形。</w:t>
            </w:r>
          </w:p>
        </w:tc>
      </w:tr>
      <w:tr w14:paraId="5820E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54" w:hRule="atLeast"/>
          <w:jc w:val="center"/>
        </w:trPr>
        <w:tc>
          <w:tcPr>
            <w:tcW w:w="1463" w:type="dxa"/>
            <w:vAlign w:val="center"/>
          </w:tcPr>
          <w:p w14:paraId="405640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1B2C375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3AEA5F7C">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1530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9" w:hRule="atLeast"/>
          <w:jc w:val="center"/>
        </w:trPr>
        <w:tc>
          <w:tcPr>
            <w:tcW w:w="1463" w:type="dxa"/>
            <w:vAlign w:val="center"/>
          </w:tcPr>
          <w:p w14:paraId="00CE57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A6D16C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35C2A40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2877B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1474DCF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3B03A54F">
            <w:pPr>
              <w:widowControl/>
              <w:jc w:val="left"/>
              <w:textAlignment w:val="center"/>
              <w:rPr>
                <w:rFonts w:ascii="黑体" w:eastAsia="黑体" w:cs="黑体"/>
                <w:color w:val="000000" w:themeColor="text1"/>
                <w:kern w:val="0"/>
                <w:sz w:val="18"/>
                <w:szCs w:val="18"/>
              </w:rPr>
            </w:pPr>
          </w:p>
        </w:tc>
      </w:tr>
    </w:tbl>
    <w:p w14:paraId="3B74EACB">
      <w:pPr>
        <w:widowControl/>
        <w:jc w:val="center"/>
        <w:textAlignment w:val="center"/>
        <w:rPr>
          <w:color w:val="000000" w:themeColor="text1"/>
        </w:rPr>
      </w:pPr>
    </w:p>
    <w:p w14:paraId="09C22FB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43"/>
        <w:gridCol w:w="1488"/>
      </w:tblGrid>
      <w:tr w14:paraId="7C67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19A40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0F121DB6">
            <w:pPr>
              <w:jc w:val="center"/>
              <w:rPr>
                <w:rFonts w:ascii="黑体" w:eastAsia="黑体" w:cs="黑体"/>
                <w:b/>
                <w:bCs/>
                <w:color w:val="000000" w:themeColor="text1"/>
                <w:szCs w:val="21"/>
              </w:rPr>
            </w:pPr>
            <w:r>
              <w:rPr>
                <w:rFonts w:ascii="黑体" w:eastAsia="黑体" w:cs="黑体"/>
                <w:b/>
                <w:bCs/>
                <w:color w:val="000000" w:themeColor="text1"/>
                <w:szCs w:val="21"/>
              </w:rPr>
              <w:t>187</w:t>
            </w:r>
          </w:p>
        </w:tc>
        <w:tc>
          <w:tcPr>
            <w:tcW w:w="1691" w:type="dxa"/>
            <w:vAlign w:val="center"/>
          </w:tcPr>
          <w:p w14:paraId="420CFB6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1997BC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432FC8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BDFCF9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A43A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4E86C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23B30BAE">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对公路工程质量监督检查</w:t>
            </w:r>
          </w:p>
        </w:tc>
      </w:tr>
      <w:tr w14:paraId="60BA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1C652A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50FFAB62">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5E5D7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529" w:hRule="atLeast"/>
          <w:jc w:val="center"/>
        </w:trPr>
        <w:tc>
          <w:tcPr>
            <w:tcW w:w="1463" w:type="dxa"/>
            <w:vAlign w:val="center"/>
          </w:tcPr>
          <w:p w14:paraId="60CBEE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51797A69">
            <w:pPr>
              <w:spacing w:line="240" w:lineRule="exact"/>
              <w:jc w:val="left"/>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【法律法规】《公路水运工程质量监督管理规定》第二十八条　交通运输主管部门或者其委托的建设工程质量监督机构可以采取随机抽查、备案核查、专项督查等方式对从业单位实施监督检查。公路水运工程质量监督管理工作实行项目监督责任制，可以明确专人或者设立工程项目质量监督组，实施项目质量监督管理工作。第二十九条　交通运输主管部门或者其委托的建设工程质量监督机构应当制定年度工程质量监督检查计划，确定检查内容、方式、频次以及有关要求等。监督检查的内容主要包括：（一）从业单位对工程质量法律、法规的执行情况；（二）从业单位对公路水运工程建设强制性标准的执行情况；（三）从业单位质量责任落实及质量保证体系运行情况；（四）主要工程材料、构配件的质量情况；（五）主体结构工程实体质量等情况。第三十二条</w:t>
            </w:r>
            <w:r>
              <w:rPr>
                <w:rFonts w:ascii="仿宋" w:hAnsi="仿宋" w:eastAsia="仿宋" w:cs="黑体"/>
                <w:color w:val="000000" w:themeColor="text1"/>
                <w:sz w:val="18"/>
                <w:szCs w:val="18"/>
              </w:rPr>
              <w:t xml:space="preserve">  </w:t>
            </w:r>
            <w:r>
              <w:rPr>
                <w:rFonts w:hint="eastAsia" w:ascii="仿宋" w:hAnsi="仿宋" w:eastAsia="仿宋" w:cs="黑体"/>
                <w:color w:val="000000" w:themeColor="text1"/>
                <w:sz w:val="18"/>
                <w:szCs w:val="18"/>
              </w:rPr>
              <w:t>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p>
          <w:p w14:paraId="4B944A4A">
            <w:pPr>
              <w:spacing w:line="240" w:lineRule="exact"/>
              <w:jc w:val="left"/>
              <w:rPr>
                <w:rFonts w:ascii="仿宋" w:hAnsi="仿宋" w:eastAsia="仿宋" w:cs="黑体"/>
                <w:color w:val="000000" w:themeColor="text1"/>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A2AA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564462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0C4508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453115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10" w:type="dxa"/>
            <w:gridSpan w:val="2"/>
            <w:vAlign w:val="center"/>
          </w:tcPr>
          <w:p w14:paraId="2750AE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88" w:type="dxa"/>
            <w:vAlign w:val="center"/>
          </w:tcPr>
          <w:p w14:paraId="0C7E156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11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286D805">
            <w:pPr>
              <w:rPr>
                <w:color w:val="000000" w:themeColor="text1"/>
              </w:rPr>
            </w:pPr>
          </w:p>
        </w:tc>
        <w:tc>
          <w:tcPr>
            <w:tcW w:w="1050" w:type="dxa"/>
            <w:vAlign w:val="center"/>
          </w:tcPr>
          <w:p w14:paraId="1CE6C8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4AFD4E64">
            <w:pPr>
              <w:widowControl/>
              <w:spacing w:line="240" w:lineRule="exact"/>
              <w:ind w:firstLine="540" w:firstLineChars="300"/>
              <w:jc w:val="center"/>
              <w:textAlignment w:val="center"/>
              <w:rPr>
                <w:rFonts w:ascii="宋体" w:cs="宋体"/>
                <w:color w:val="000000" w:themeColor="text1"/>
                <w:kern w:val="0"/>
                <w:sz w:val="16"/>
                <w:szCs w:val="16"/>
              </w:rPr>
            </w:pPr>
            <w:r>
              <w:rPr>
                <w:rFonts w:hint="eastAsia" w:ascii="仿宋_GB2312" w:hAnsi="黑体" w:eastAsia="仿宋_GB2312" w:cs="黑体"/>
                <w:color w:val="000000" w:themeColor="text1"/>
                <w:sz w:val="18"/>
                <w:szCs w:val="18"/>
              </w:rPr>
              <w:t>对本辖区内公路工程质量监督检查</w:t>
            </w:r>
            <w:r>
              <w:rPr>
                <w:rFonts w:hint="eastAsia" w:ascii="宋体" w:hAnsi="宋体" w:cs="宋体"/>
                <w:color w:val="000000" w:themeColor="text1"/>
                <w:kern w:val="0"/>
                <w:sz w:val="16"/>
                <w:szCs w:val="16"/>
              </w:rPr>
              <w:t>；</w:t>
            </w:r>
          </w:p>
        </w:tc>
        <w:tc>
          <w:tcPr>
            <w:tcW w:w="1010" w:type="dxa"/>
            <w:gridSpan w:val="2"/>
            <w:vAlign w:val="center"/>
          </w:tcPr>
          <w:p w14:paraId="54D36B6A">
            <w:pPr>
              <w:jc w:val="center"/>
              <w:rPr>
                <w:rFonts w:ascii="仿宋_GB2312" w:hAnsi="黑体" w:eastAsia="仿宋_GB2312" w:cs="黑体"/>
                <w:color w:val="000000" w:themeColor="text1"/>
                <w:sz w:val="18"/>
                <w:szCs w:val="18"/>
              </w:rPr>
            </w:pPr>
          </w:p>
        </w:tc>
        <w:tc>
          <w:tcPr>
            <w:tcW w:w="1488" w:type="dxa"/>
            <w:vAlign w:val="center"/>
          </w:tcPr>
          <w:p w14:paraId="1A55BAA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313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B6DCF18">
            <w:pPr>
              <w:rPr>
                <w:color w:val="000000" w:themeColor="text1"/>
              </w:rPr>
            </w:pPr>
            <w:bookmarkStart w:id="28" w:name="_Hlk189644026"/>
          </w:p>
        </w:tc>
        <w:tc>
          <w:tcPr>
            <w:tcW w:w="1050" w:type="dxa"/>
            <w:vAlign w:val="center"/>
          </w:tcPr>
          <w:p w14:paraId="24124FB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130F4375">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w:t>
            </w:r>
          </w:p>
        </w:tc>
        <w:tc>
          <w:tcPr>
            <w:tcW w:w="1010" w:type="dxa"/>
            <w:gridSpan w:val="2"/>
            <w:vAlign w:val="center"/>
          </w:tcPr>
          <w:p w14:paraId="1F553035">
            <w:pPr>
              <w:jc w:val="center"/>
              <w:rPr>
                <w:rFonts w:ascii="仿宋_GB2312" w:hAnsi="黑体" w:eastAsia="仿宋_GB2312" w:cs="黑体"/>
                <w:color w:val="000000" w:themeColor="text1"/>
                <w:sz w:val="18"/>
                <w:szCs w:val="18"/>
              </w:rPr>
            </w:pPr>
          </w:p>
        </w:tc>
        <w:tc>
          <w:tcPr>
            <w:tcW w:w="1488" w:type="dxa"/>
            <w:vAlign w:val="center"/>
          </w:tcPr>
          <w:p w14:paraId="3EBCE8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84CD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5" w:hRule="atLeast"/>
          <w:jc w:val="center"/>
        </w:trPr>
        <w:tc>
          <w:tcPr>
            <w:tcW w:w="1463" w:type="dxa"/>
            <w:vMerge w:val="continue"/>
            <w:vAlign w:val="center"/>
          </w:tcPr>
          <w:p w14:paraId="69989E59">
            <w:pPr>
              <w:rPr>
                <w:color w:val="000000" w:themeColor="text1"/>
              </w:rPr>
            </w:pPr>
          </w:p>
        </w:tc>
        <w:tc>
          <w:tcPr>
            <w:tcW w:w="1050" w:type="dxa"/>
            <w:vAlign w:val="center"/>
          </w:tcPr>
          <w:p w14:paraId="7631D1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4265B5E9">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1010" w:type="dxa"/>
            <w:gridSpan w:val="2"/>
            <w:vAlign w:val="center"/>
          </w:tcPr>
          <w:p w14:paraId="084054B2">
            <w:pPr>
              <w:jc w:val="center"/>
              <w:rPr>
                <w:rFonts w:ascii="仿宋_GB2312" w:hAnsi="黑体" w:eastAsia="仿宋_GB2312" w:cs="黑体"/>
                <w:color w:val="000000" w:themeColor="text1"/>
                <w:sz w:val="18"/>
                <w:szCs w:val="18"/>
              </w:rPr>
            </w:pPr>
          </w:p>
        </w:tc>
        <w:tc>
          <w:tcPr>
            <w:tcW w:w="1488" w:type="dxa"/>
            <w:vAlign w:val="center"/>
          </w:tcPr>
          <w:p w14:paraId="5F97F8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8A3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Merge w:val="continue"/>
            <w:vAlign w:val="center"/>
          </w:tcPr>
          <w:p w14:paraId="47161199">
            <w:pPr>
              <w:rPr>
                <w:color w:val="000000" w:themeColor="text1"/>
              </w:rPr>
            </w:pPr>
          </w:p>
        </w:tc>
        <w:tc>
          <w:tcPr>
            <w:tcW w:w="1050" w:type="dxa"/>
            <w:vAlign w:val="center"/>
          </w:tcPr>
          <w:p w14:paraId="1D0691E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09DE6011">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对监督检查发现的问题，企业或单位、个人整改完成后，对整改情况组织进行核查。</w:t>
            </w:r>
          </w:p>
        </w:tc>
        <w:tc>
          <w:tcPr>
            <w:tcW w:w="1010" w:type="dxa"/>
            <w:gridSpan w:val="2"/>
            <w:vAlign w:val="center"/>
          </w:tcPr>
          <w:p w14:paraId="4A10C80F">
            <w:pPr>
              <w:jc w:val="center"/>
              <w:rPr>
                <w:rFonts w:ascii="仿宋_GB2312" w:hAnsi="黑体" w:eastAsia="仿宋_GB2312" w:cs="黑体"/>
                <w:color w:val="000000" w:themeColor="text1"/>
                <w:sz w:val="18"/>
                <w:szCs w:val="18"/>
              </w:rPr>
            </w:pPr>
          </w:p>
        </w:tc>
        <w:tc>
          <w:tcPr>
            <w:tcW w:w="1488" w:type="dxa"/>
            <w:vAlign w:val="center"/>
          </w:tcPr>
          <w:p w14:paraId="71B88D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bookmarkEnd w:id="28"/>
      <w:tr w14:paraId="1857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17" w:hRule="atLeast"/>
          <w:jc w:val="center"/>
        </w:trPr>
        <w:tc>
          <w:tcPr>
            <w:tcW w:w="1463" w:type="dxa"/>
            <w:vAlign w:val="center"/>
          </w:tcPr>
          <w:p w14:paraId="11EC578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2BDBDD50">
            <w:pPr>
              <w:pStyle w:val="8"/>
              <w:spacing w:before="0" w:beforeAutospacing="0" w:after="204" w:afterAutospacing="0" w:line="326" w:lineRule="atLeast"/>
              <w:ind w:firstLine="480"/>
              <w:rPr>
                <w:rFonts w:ascii="仿宋" w:hAnsi="仿宋" w:eastAsia="仿宋"/>
                <w:color w:val="000000" w:themeColor="text1"/>
                <w:sz w:val="21"/>
                <w:szCs w:val="21"/>
              </w:rPr>
            </w:pPr>
            <w:r>
              <w:rPr>
                <w:rFonts w:hint="eastAsia" w:ascii="仿宋" w:hAnsi="仿宋" w:eastAsia="仿宋" w:cs="Arial"/>
                <w:color w:val="000000" w:themeColor="text1"/>
                <w:sz w:val="21"/>
                <w:szCs w:val="21"/>
                <w:shd w:val="clear" w:color="auto" w:fill="FFFFFF"/>
              </w:rPr>
              <w:t>《公路水运工程质量监督管理规定》</w:t>
            </w:r>
            <w:r>
              <w:rPr>
                <w:rFonts w:hint="eastAsia" w:ascii="仿宋" w:hAnsi="仿宋" w:eastAsia="仿宋" w:cs="仿宋_GB2312"/>
                <w:color w:val="000000" w:themeColor="text1"/>
                <w:sz w:val="21"/>
                <w:szCs w:val="21"/>
              </w:rPr>
              <w:t>（</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sz w:val="21"/>
                <w:szCs w:val="21"/>
              </w:rPr>
              <w:t>交通运输部令</w:t>
            </w:r>
            <w:r>
              <w:rPr>
                <w:rFonts w:ascii="仿宋" w:hAnsi="仿宋" w:eastAsia="仿宋" w:cs="仿宋_GB2312"/>
                <w:color w:val="000000" w:themeColor="text1"/>
                <w:sz w:val="21"/>
                <w:szCs w:val="21"/>
              </w:rPr>
              <w:t>2017</w:t>
            </w:r>
            <w:r>
              <w:rPr>
                <w:rFonts w:hint="eastAsia" w:ascii="仿宋" w:hAnsi="仿宋" w:eastAsia="仿宋" w:cs="仿宋_GB2312"/>
                <w:color w:val="000000" w:themeColor="text1"/>
                <w:sz w:val="21"/>
                <w:szCs w:val="21"/>
              </w:rPr>
              <w:t>年第</w:t>
            </w:r>
            <w:r>
              <w:rPr>
                <w:rFonts w:ascii="仿宋" w:hAnsi="仿宋" w:eastAsia="仿宋" w:cs="仿宋_GB2312"/>
                <w:color w:val="000000" w:themeColor="text1"/>
                <w:sz w:val="21"/>
                <w:szCs w:val="21"/>
              </w:rPr>
              <w:t>28</w:t>
            </w:r>
            <w:r>
              <w:rPr>
                <w:rFonts w:hint="eastAsia" w:ascii="仿宋" w:hAnsi="仿宋" w:eastAsia="仿宋" w:cs="仿宋_GB2312"/>
                <w:color w:val="000000" w:themeColor="text1"/>
                <w:sz w:val="21"/>
                <w:szCs w:val="21"/>
              </w:rPr>
              <w:t>号）</w:t>
            </w:r>
            <w:r>
              <w:rPr>
                <w:rFonts w:hint="eastAsia" w:ascii="仿宋" w:hAnsi="仿宋" w:eastAsia="仿宋"/>
                <w:color w:val="000000" w:themeColor="text1"/>
                <w:sz w:val="21"/>
                <w:szCs w:val="21"/>
              </w:rPr>
              <w:t>第四十七条</w:t>
            </w:r>
            <w:r>
              <w:rPr>
                <w:rFonts w:ascii="仿宋" w:hAnsi="仿宋" w:eastAsia="仿宋"/>
                <w:color w:val="000000" w:themeColor="text1"/>
                <w:sz w:val="21"/>
                <w:szCs w:val="21"/>
              </w:rPr>
              <w:t xml:space="preserve"> </w:t>
            </w:r>
            <w:r>
              <w:rPr>
                <w:rFonts w:hint="eastAsia" w:ascii="仿宋" w:hAnsi="仿宋" w:eastAsia="仿宋"/>
                <w:color w:val="000000" w:themeColor="text1"/>
                <w:sz w:val="21"/>
                <w:szCs w:val="21"/>
              </w:rPr>
              <w:t>交通运输主管部门及其委托的建设工程质量监督机构的工作人员在监督管理工作中玩忽职守、滥用职权、徇私舞弊的，依法给予处分</w:t>
            </w:r>
            <w:r>
              <w:rPr>
                <w:rFonts w:ascii="仿宋" w:hAnsi="仿宋" w:eastAsia="仿宋"/>
                <w:color w:val="000000" w:themeColor="text1"/>
                <w:sz w:val="21"/>
                <w:szCs w:val="21"/>
              </w:rPr>
              <w:t>;</w:t>
            </w:r>
            <w:r>
              <w:rPr>
                <w:rFonts w:hint="eastAsia" w:ascii="仿宋" w:hAnsi="仿宋" w:eastAsia="仿宋"/>
                <w:color w:val="000000" w:themeColor="text1"/>
                <w:sz w:val="21"/>
                <w:szCs w:val="21"/>
              </w:rPr>
              <w:t>构成犯罪的，依法追究刑事责任。</w:t>
            </w:r>
          </w:p>
          <w:p w14:paraId="0BF772F1">
            <w:pPr>
              <w:widowControl/>
              <w:spacing w:line="240" w:lineRule="exact"/>
              <w:jc w:val="left"/>
              <w:textAlignment w:val="center"/>
              <w:rPr>
                <w:rFonts w:ascii="仿宋" w:hAnsi="仿宋" w:eastAsia="仿宋" w:cs="仿宋_GB2312"/>
                <w:color w:val="000000" w:themeColor="text1"/>
                <w:kern w:val="0"/>
                <w:sz w:val="18"/>
                <w:szCs w:val="18"/>
              </w:rPr>
            </w:pPr>
          </w:p>
        </w:tc>
      </w:tr>
      <w:tr w14:paraId="2B10B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7337F6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1FFD6C4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4BC64CD5">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073F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15" w:hRule="atLeast"/>
          <w:jc w:val="center"/>
        </w:trPr>
        <w:tc>
          <w:tcPr>
            <w:tcW w:w="1463" w:type="dxa"/>
            <w:vAlign w:val="center"/>
          </w:tcPr>
          <w:p w14:paraId="36779FE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DBA6D2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49A2B7C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3065E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92" w:hRule="atLeast"/>
          <w:jc w:val="center"/>
        </w:trPr>
        <w:tc>
          <w:tcPr>
            <w:tcW w:w="1463" w:type="dxa"/>
            <w:vAlign w:val="center"/>
          </w:tcPr>
          <w:p w14:paraId="4BAFE67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53DC051A">
            <w:pPr>
              <w:widowControl/>
              <w:jc w:val="left"/>
              <w:textAlignment w:val="center"/>
              <w:rPr>
                <w:rFonts w:ascii="黑体" w:eastAsia="黑体" w:cs="黑体"/>
                <w:color w:val="000000" w:themeColor="text1"/>
                <w:kern w:val="0"/>
                <w:sz w:val="18"/>
                <w:szCs w:val="18"/>
              </w:rPr>
            </w:pPr>
          </w:p>
        </w:tc>
      </w:tr>
    </w:tbl>
    <w:p w14:paraId="7729F8F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488"/>
        <w:gridCol w:w="1071"/>
        <w:gridCol w:w="189"/>
        <w:gridCol w:w="1742"/>
      </w:tblGrid>
      <w:tr w14:paraId="7243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0" w:hRule="atLeast"/>
          <w:jc w:val="center"/>
        </w:trPr>
        <w:tc>
          <w:tcPr>
            <w:tcW w:w="1463" w:type="dxa"/>
            <w:vAlign w:val="center"/>
          </w:tcPr>
          <w:p w14:paraId="1A59C8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02B9559">
            <w:pPr>
              <w:jc w:val="center"/>
              <w:rPr>
                <w:rFonts w:ascii="黑体" w:eastAsia="黑体" w:cs="黑体"/>
                <w:b/>
                <w:bCs/>
                <w:color w:val="000000" w:themeColor="text1"/>
                <w:szCs w:val="21"/>
              </w:rPr>
            </w:pPr>
            <w:r>
              <w:rPr>
                <w:rFonts w:ascii="黑体" w:eastAsia="黑体" w:cs="黑体"/>
                <w:b/>
                <w:bCs/>
                <w:color w:val="000000" w:themeColor="text1"/>
                <w:szCs w:val="21"/>
              </w:rPr>
              <w:t>188</w:t>
            </w:r>
          </w:p>
        </w:tc>
        <w:tc>
          <w:tcPr>
            <w:tcW w:w="1691" w:type="dxa"/>
            <w:vAlign w:val="center"/>
          </w:tcPr>
          <w:p w14:paraId="380FB18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805B30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7E5ADC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BFFF9D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B37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5C1EE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179007A9">
            <w:pPr>
              <w:spacing w:line="240" w:lineRule="exact"/>
              <w:ind w:firstLine="2520" w:firstLineChars="140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w:t>
            </w:r>
            <w:bookmarkStart w:id="29" w:name="OLE_LINK7"/>
            <w:r>
              <w:rPr>
                <w:rFonts w:hint="eastAsia" w:ascii="仿宋_GB2312" w:hAnsi="黑体" w:eastAsia="仿宋_GB2312" w:cs="黑体"/>
                <w:color w:val="000000" w:themeColor="text1"/>
                <w:sz w:val="18"/>
                <w:szCs w:val="18"/>
              </w:rPr>
              <w:t>公路工程建设安全</w:t>
            </w:r>
            <w:bookmarkEnd w:id="29"/>
            <w:r>
              <w:rPr>
                <w:rFonts w:hint="eastAsia" w:ascii="仿宋_GB2312" w:hAnsi="黑体" w:eastAsia="仿宋_GB2312" w:cs="黑体"/>
                <w:color w:val="000000" w:themeColor="text1"/>
                <w:sz w:val="18"/>
                <w:szCs w:val="18"/>
              </w:rPr>
              <w:t>监督检查</w:t>
            </w:r>
          </w:p>
        </w:tc>
      </w:tr>
      <w:tr w14:paraId="433ED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765F59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09F7F12">
            <w:pPr>
              <w:spacing w:line="240" w:lineRule="exact"/>
              <w:ind w:firstLine="3060" w:firstLineChars="170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11A7A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463" w:type="dxa"/>
            <w:vAlign w:val="center"/>
          </w:tcPr>
          <w:p w14:paraId="21A028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3A73898">
            <w:pPr>
              <w:spacing w:line="240" w:lineRule="exact"/>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【法律法规】</w:t>
            </w:r>
            <w:r>
              <w:rPr>
                <w:rFonts w:ascii="仿宋_GB2312" w:hAnsi="黑体" w:eastAsia="仿宋_GB2312" w:cs="黑体"/>
                <w:color w:val="000000" w:themeColor="text1"/>
                <w:sz w:val="15"/>
                <w:szCs w:val="15"/>
              </w:rPr>
              <w:t>1.</w:t>
            </w:r>
            <w:r>
              <w:rPr>
                <w:rFonts w:hint="eastAsia" w:ascii="仿宋_GB2312" w:hAnsi="黑体" w:eastAsia="仿宋_GB2312" w:cs="黑体"/>
                <w:color w:val="000000" w:themeColor="text1"/>
                <w:sz w:val="15"/>
                <w:szCs w:val="15"/>
              </w:rPr>
              <w:t>《中华人民共和国安全生产法》第六十五条</w:t>
            </w:r>
            <w:r>
              <w:rPr>
                <w:rFonts w:ascii="仿宋_GB2312" w:hAnsi="黑体" w:eastAsia="仿宋_GB2312" w:cs="黑体"/>
                <w:color w:val="000000" w:themeColor="text1"/>
                <w:sz w:val="15"/>
                <w:szCs w:val="15"/>
              </w:rPr>
              <w:t xml:space="preserve">  </w:t>
            </w:r>
            <w:r>
              <w:rPr>
                <w:rFonts w:hint="eastAsia" w:ascii="仿宋_GB2312" w:hAnsi="黑体" w:eastAsia="仿宋_GB2312" w:cs="黑体"/>
                <w:color w:val="000000" w:themeColor="text1"/>
                <w:sz w:val="15"/>
                <w:szCs w:val="15"/>
              </w:rPr>
              <w:t>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监督检查不得影响被检查单位的正常生产经营活动。</w:t>
            </w:r>
            <w:r>
              <w:rPr>
                <w:rFonts w:ascii="仿宋_GB2312" w:hAnsi="黑体" w:eastAsia="仿宋_GB2312" w:cs="黑体"/>
                <w:color w:val="000000" w:themeColor="text1"/>
                <w:sz w:val="15"/>
                <w:szCs w:val="15"/>
              </w:rPr>
              <w:t>2.</w:t>
            </w:r>
            <w:r>
              <w:rPr>
                <w:rFonts w:hint="eastAsia" w:ascii="仿宋_GB2312" w:hAnsi="黑体" w:eastAsia="仿宋_GB2312" w:cs="黑体"/>
                <w:color w:val="000000" w:themeColor="text1"/>
                <w:sz w:val="15"/>
                <w:szCs w:val="15"/>
              </w:rPr>
              <w:t>《建设工程安全生产管理条例》第四十三条</w:t>
            </w:r>
            <w:r>
              <w:rPr>
                <w:rFonts w:ascii="仿宋_GB2312" w:hAnsi="黑体" w:eastAsia="仿宋_GB2312" w:cs="黑体"/>
                <w:color w:val="000000" w:themeColor="text1"/>
                <w:sz w:val="15"/>
                <w:szCs w:val="15"/>
              </w:rPr>
              <w:t xml:space="preserve">  </w:t>
            </w:r>
            <w:r>
              <w:rPr>
                <w:rFonts w:hint="eastAsia" w:ascii="仿宋_GB2312" w:hAnsi="黑体" w:eastAsia="仿宋_GB2312" w:cs="黑体"/>
                <w:color w:val="000000" w:themeColor="text1"/>
                <w:sz w:val="15"/>
                <w:szCs w:val="15"/>
              </w:rPr>
              <w:t>县级以上人民政府负有建设工程安全生产监督管理职责的部门在各自的职责范围内履行安全监督检查职责时，有权采取下列措施：（一）要求被检查单位提供有关建设工程安全生产的文件和资料；（二）进入被检查单位施工现场进行检查；（三）纠正施工中违反安全生产要求的行为；（四）对检查中发现的安全事故隐患，责令立即排除；重大安全事故隐患排除前或者排除过程中无法保证安全的，责令从危险区域内撤出作业人员或者暂时停止施工。</w:t>
            </w:r>
            <w:r>
              <w:rPr>
                <w:rFonts w:ascii="仿宋_GB2312" w:hAnsi="黑体" w:eastAsia="仿宋_GB2312" w:cs="黑体"/>
                <w:color w:val="000000" w:themeColor="text1"/>
                <w:sz w:val="15"/>
                <w:szCs w:val="15"/>
              </w:rPr>
              <w:t xml:space="preserve"> 3.</w:t>
            </w:r>
            <w:r>
              <w:rPr>
                <w:rFonts w:hint="eastAsia" w:ascii="仿宋_GB2312" w:hAnsi="黑体" w:eastAsia="仿宋_GB2312" w:cs="黑体"/>
                <w:color w:val="000000" w:themeColor="text1"/>
                <w:sz w:val="15"/>
                <w:szCs w:val="15"/>
              </w:rPr>
              <w:t>《公路水运工程安全生产监督管理办法》第四十五条</w:t>
            </w:r>
            <w:r>
              <w:rPr>
                <w:rFonts w:ascii="仿宋_GB2312" w:hAnsi="黑体" w:eastAsia="仿宋_GB2312" w:cs="黑体"/>
                <w:color w:val="000000" w:themeColor="text1"/>
                <w:sz w:val="15"/>
                <w:szCs w:val="15"/>
              </w:rPr>
              <w:t xml:space="preserve"> </w:t>
            </w:r>
            <w:r>
              <w:rPr>
                <w:rFonts w:hint="eastAsia" w:ascii="仿宋_GB2312" w:hAnsi="黑体" w:eastAsia="仿宋_GB2312" w:cs="黑体"/>
                <w:color w:val="000000" w:themeColor="text1"/>
                <w:sz w:val="15"/>
                <w:szCs w:val="15"/>
              </w:rPr>
              <w:t>交通运输主管部门对公路水运工程安全生产行为的监督检查主要包括下列内容：（一）被检查单位执行法律、法规、规章及工程建设强制性标准情况；（二）本办法规定的项目安全生产条件落实情况；（三）施工单位在施工场地布置、现场安全防护、施工工艺操作、施工安全管理活动记录等方面的安全生产标准化建设推进情况。第四十六条</w:t>
            </w:r>
            <w:r>
              <w:rPr>
                <w:rFonts w:ascii="仿宋_GB2312" w:hAnsi="黑体" w:eastAsia="仿宋_GB2312" w:cs="黑体"/>
                <w:color w:val="000000" w:themeColor="text1"/>
                <w:sz w:val="15"/>
                <w:szCs w:val="15"/>
              </w:rPr>
              <w:t xml:space="preserve"> </w:t>
            </w:r>
            <w:r>
              <w:rPr>
                <w:rFonts w:hint="eastAsia" w:ascii="仿宋_GB2312" w:hAnsi="黑体" w:eastAsia="仿宋_GB2312" w:cs="黑体"/>
                <w:color w:val="000000" w:themeColor="text1"/>
                <w:sz w:val="15"/>
                <w:szCs w:val="15"/>
              </w:rPr>
              <w:t>交通运输主管部门在职责范围内开展安全生产监督检查时，有权采取下列措施：（一）进入被检查单位进行检查，调阅有关工程安全管理的文件和相关照片、录像及电子文本等资料，向有关单位和人员了解情况；（二）进入被检查单位施工现场进行监督抽查；（三）责令相关单位立即或者限期停止、改正违法行为；（四）法律、行政法规规定的其他措施。</w:t>
            </w:r>
          </w:p>
          <w:p w14:paraId="5D7BA417">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5"/>
                <w:szCs w:val="15"/>
              </w:rPr>
              <w:t>【三定规定】抚办字【</w:t>
            </w:r>
            <w:r>
              <w:rPr>
                <w:rFonts w:ascii="仿宋" w:hAnsi="仿宋" w:eastAsia="仿宋" w:cs="仿宋_GB2312"/>
                <w:color w:val="000000" w:themeColor="text1"/>
                <w:kern w:val="0"/>
                <w:sz w:val="15"/>
                <w:szCs w:val="15"/>
              </w:rPr>
              <w:t>2019</w:t>
            </w:r>
            <w:r>
              <w:rPr>
                <w:rFonts w:hint="eastAsia" w:ascii="仿宋" w:hAnsi="仿宋" w:eastAsia="仿宋" w:cs="仿宋_GB2312"/>
                <w:color w:val="000000" w:themeColor="text1"/>
                <w:kern w:val="0"/>
                <w:sz w:val="15"/>
                <w:szCs w:val="15"/>
              </w:rPr>
              <w:t>】</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号第三条第八款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1A71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85" w:hRule="atLeast"/>
          <w:jc w:val="center"/>
        </w:trPr>
        <w:tc>
          <w:tcPr>
            <w:tcW w:w="1463" w:type="dxa"/>
            <w:vMerge w:val="restart"/>
            <w:vAlign w:val="center"/>
          </w:tcPr>
          <w:p w14:paraId="78B581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51CE5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4783" w:type="dxa"/>
            <w:gridSpan w:val="4"/>
            <w:vAlign w:val="center"/>
          </w:tcPr>
          <w:p w14:paraId="32E66E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260" w:type="dxa"/>
            <w:gridSpan w:val="2"/>
            <w:vAlign w:val="center"/>
          </w:tcPr>
          <w:p w14:paraId="203561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742" w:type="dxa"/>
            <w:vAlign w:val="center"/>
          </w:tcPr>
          <w:p w14:paraId="304B817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1BA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0" w:hRule="atLeast"/>
          <w:jc w:val="center"/>
        </w:trPr>
        <w:tc>
          <w:tcPr>
            <w:tcW w:w="1463" w:type="dxa"/>
            <w:vMerge w:val="continue"/>
            <w:vAlign w:val="center"/>
          </w:tcPr>
          <w:p w14:paraId="367B4FFC">
            <w:pPr>
              <w:rPr>
                <w:color w:val="000000" w:themeColor="text1"/>
              </w:rPr>
            </w:pPr>
          </w:p>
        </w:tc>
        <w:tc>
          <w:tcPr>
            <w:tcW w:w="1050" w:type="dxa"/>
            <w:vAlign w:val="center"/>
          </w:tcPr>
          <w:p w14:paraId="067E39C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4783" w:type="dxa"/>
            <w:gridSpan w:val="4"/>
            <w:vAlign w:val="center"/>
          </w:tcPr>
          <w:p w14:paraId="68FBDBE7">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对本辖区内公路工程建设安全监督检查</w:t>
            </w:r>
            <w:r>
              <w:rPr>
                <w:rFonts w:hint="eastAsia" w:ascii="宋体" w:hAnsi="宋体" w:cs="宋体"/>
                <w:color w:val="000000" w:themeColor="text1"/>
                <w:kern w:val="0"/>
                <w:sz w:val="16"/>
                <w:szCs w:val="16"/>
              </w:rPr>
              <w:t>；</w:t>
            </w:r>
          </w:p>
        </w:tc>
        <w:tc>
          <w:tcPr>
            <w:tcW w:w="1260" w:type="dxa"/>
            <w:gridSpan w:val="2"/>
            <w:vAlign w:val="center"/>
          </w:tcPr>
          <w:p w14:paraId="507EDC5F">
            <w:pPr>
              <w:jc w:val="center"/>
              <w:rPr>
                <w:rFonts w:ascii="仿宋_GB2312" w:hAnsi="黑体" w:eastAsia="仿宋_GB2312" w:cs="黑体"/>
                <w:color w:val="000000" w:themeColor="text1"/>
                <w:sz w:val="18"/>
                <w:szCs w:val="18"/>
              </w:rPr>
            </w:pPr>
          </w:p>
        </w:tc>
        <w:tc>
          <w:tcPr>
            <w:tcW w:w="1742" w:type="dxa"/>
            <w:vAlign w:val="center"/>
          </w:tcPr>
          <w:p w14:paraId="01C178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35E0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26" w:hRule="atLeast"/>
          <w:jc w:val="center"/>
        </w:trPr>
        <w:tc>
          <w:tcPr>
            <w:tcW w:w="1463" w:type="dxa"/>
            <w:vMerge w:val="continue"/>
            <w:vAlign w:val="center"/>
          </w:tcPr>
          <w:p w14:paraId="017B276D">
            <w:pPr>
              <w:rPr>
                <w:color w:val="000000" w:themeColor="text1"/>
              </w:rPr>
            </w:pPr>
          </w:p>
        </w:tc>
        <w:tc>
          <w:tcPr>
            <w:tcW w:w="1050" w:type="dxa"/>
            <w:vAlign w:val="center"/>
          </w:tcPr>
          <w:p w14:paraId="1BCABBB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4783" w:type="dxa"/>
            <w:gridSpan w:val="4"/>
            <w:vAlign w:val="center"/>
          </w:tcPr>
          <w:p w14:paraId="586BF532">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w:t>
            </w:r>
          </w:p>
        </w:tc>
        <w:tc>
          <w:tcPr>
            <w:tcW w:w="1260" w:type="dxa"/>
            <w:gridSpan w:val="2"/>
            <w:vAlign w:val="center"/>
          </w:tcPr>
          <w:p w14:paraId="623F82EF">
            <w:pPr>
              <w:jc w:val="center"/>
              <w:rPr>
                <w:rFonts w:ascii="仿宋_GB2312" w:hAnsi="黑体" w:eastAsia="仿宋_GB2312" w:cs="黑体"/>
                <w:color w:val="000000" w:themeColor="text1"/>
                <w:sz w:val="18"/>
                <w:szCs w:val="18"/>
              </w:rPr>
            </w:pPr>
          </w:p>
        </w:tc>
        <w:tc>
          <w:tcPr>
            <w:tcW w:w="1742" w:type="dxa"/>
            <w:vAlign w:val="center"/>
          </w:tcPr>
          <w:p w14:paraId="765953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F60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0" w:hRule="atLeast"/>
          <w:jc w:val="center"/>
        </w:trPr>
        <w:tc>
          <w:tcPr>
            <w:tcW w:w="1463" w:type="dxa"/>
            <w:vMerge w:val="continue"/>
            <w:vAlign w:val="center"/>
          </w:tcPr>
          <w:p w14:paraId="104778F1">
            <w:pPr>
              <w:rPr>
                <w:color w:val="000000" w:themeColor="text1"/>
              </w:rPr>
            </w:pPr>
          </w:p>
        </w:tc>
        <w:tc>
          <w:tcPr>
            <w:tcW w:w="1050" w:type="dxa"/>
            <w:vAlign w:val="center"/>
          </w:tcPr>
          <w:p w14:paraId="5D96AC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4783" w:type="dxa"/>
            <w:gridSpan w:val="4"/>
            <w:vAlign w:val="center"/>
          </w:tcPr>
          <w:p w14:paraId="6816A9D9">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1260" w:type="dxa"/>
            <w:gridSpan w:val="2"/>
            <w:vAlign w:val="center"/>
          </w:tcPr>
          <w:p w14:paraId="4ACAEB03">
            <w:pPr>
              <w:jc w:val="center"/>
              <w:rPr>
                <w:rFonts w:ascii="仿宋_GB2312" w:hAnsi="黑体" w:eastAsia="仿宋_GB2312" w:cs="黑体"/>
                <w:color w:val="000000" w:themeColor="text1"/>
                <w:sz w:val="18"/>
                <w:szCs w:val="18"/>
              </w:rPr>
            </w:pPr>
          </w:p>
        </w:tc>
        <w:tc>
          <w:tcPr>
            <w:tcW w:w="1742" w:type="dxa"/>
            <w:vAlign w:val="center"/>
          </w:tcPr>
          <w:p w14:paraId="797026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0121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8" w:hRule="atLeast"/>
          <w:jc w:val="center"/>
        </w:trPr>
        <w:tc>
          <w:tcPr>
            <w:tcW w:w="1463" w:type="dxa"/>
            <w:vMerge w:val="continue"/>
            <w:vAlign w:val="center"/>
          </w:tcPr>
          <w:p w14:paraId="693B45E6">
            <w:pPr>
              <w:rPr>
                <w:color w:val="000000" w:themeColor="text1"/>
              </w:rPr>
            </w:pPr>
          </w:p>
        </w:tc>
        <w:tc>
          <w:tcPr>
            <w:tcW w:w="1050" w:type="dxa"/>
            <w:vAlign w:val="center"/>
          </w:tcPr>
          <w:p w14:paraId="3E71C92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4783" w:type="dxa"/>
            <w:gridSpan w:val="4"/>
            <w:vAlign w:val="center"/>
          </w:tcPr>
          <w:p w14:paraId="095FA2CE">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对监督检查发现的问题，企业或单位、个人整改完成后，对整改情况组织进行核查。</w:t>
            </w:r>
          </w:p>
        </w:tc>
        <w:tc>
          <w:tcPr>
            <w:tcW w:w="1260" w:type="dxa"/>
            <w:gridSpan w:val="2"/>
            <w:vAlign w:val="center"/>
          </w:tcPr>
          <w:p w14:paraId="56ABF056">
            <w:pPr>
              <w:jc w:val="center"/>
              <w:rPr>
                <w:rFonts w:ascii="仿宋_GB2312" w:hAnsi="黑体" w:eastAsia="仿宋_GB2312" w:cs="黑体"/>
                <w:color w:val="000000" w:themeColor="text1"/>
                <w:sz w:val="18"/>
                <w:szCs w:val="18"/>
              </w:rPr>
            </w:pPr>
          </w:p>
        </w:tc>
        <w:tc>
          <w:tcPr>
            <w:tcW w:w="1742" w:type="dxa"/>
            <w:vAlign w:val="center"/>
          </w:tcPr>
          <w:p w14:paraId="552073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882F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463" w:type="dxa"/>
            <w:vAlign w:val="center"/>
          </w:tcPr>
          <w:p w14:paraId="2290430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16AAEA0B">
            <w:pPr>
              <w:widowControl/>
              <w:jc w:val="left"/>
              <w:rPr>
                <w:rFonts w:ascii="仿宋" w:hAnsi="仿宋" w:eastAsia="仿宋"/>
                <w:color w:val="000000" w:themeColor="text1"/>
                <w:kern w:val="0"/>
                <w:sz w:val="18"/>
                <w:szCs w:val="18"/>
                <w:shd w:val="clear" w:color="auto" w:fill="FFFFFF"/>
              </w:rPr>
            </w:pPr>
            <w:r>
              <w:rPr>
                <w:rFonts w:hint="eastAsia" w:ascii="仿宋" w:hAnsi="仿宋" w:eastAsia="仿宋"/>
                <w:color w:val="000000" w:themeColor="text1"/>
                <w:sz w:val="18"/>
                <w:szCs w:val="18"/>
                <w:shd w:val="clear" w:color="auto" w:fill="FFFFFF"/>
              </w:rPr>
              <w:t>《建设工程安全生产管理</w:t>
            </w:r>
            <w:r>
              <w:rPr>
                <w:color w:val="000000" w:themeColor="text1"/>
              </w:rPr>
              <w:fldChar w:fldCharType="begin"/>
            </w:r>
            <w:r>
              <w:rPr>
                <w:color w:val="000000" w:themeColor="text1"/>
              </w:rPr>
              <w:instrText xml:space="preserve"> HYPERLINK "https://baike.so.com/doc/5114591-5343453.html" \t "_blank" </w:instrText>
            </w:r>
            <w:r>
              <w:rPr>
                <w:color w:val="000000" w:themeColor="text1"/>
              </w:rPr>
              <w:fldChar w:fldCharType="separate"/>
            </w:r>
            <w:r>
              <w:rPr>
                <w:rStyle w:val="12"/>
                <w:rFonts w:hint="eastAsia" w:ascii="仿宋" w:hAnsi="仿宋" w:eastAsia="仿宋" w:cs="Arial"/>
                <w:color w:val="000000" w:themeColor="text1"/>
                <w:sz w:val="18"/>
                <w:szCs w:val="18"/>
                <w:shd w:val="clear" w:color="auto" w:fill="FFFFFF"/>
              </w:rPr>
              <w:t>条例</w:t>
            </w:r>
            <w:r>
              <w:rPr>
                <w:rStyle w:val="12"/>
                <w:rFonts w:hint="eastAsia" w:ascii="仿宋" w:hAnsi="仿宋" w:eastAsia="仿宋" w:cs="Arial"/>
                <w:color w:val="000000" w:themeColor="text1"/>
                <w:sz w:val="18"/>
                <w:szCs w:val="18"/>
                <w:shd w:val="clear" w:color="auto" w:fill="FFFFFF"/>
              </w:rPr>
              <w:fldChar w:fldCharType="end"/>
            </w:r>
            <w:r>
              <w:rPr>
                <w:rFonts w:hint="eastAsia" w:ascii="仿宋" w:hAnsi="仿宋" w:eastAsia="仿宋"/>
                <w:color w:val="000000" w:themeColor="text1"/>
                <w:sz w:val="18"/>
                <w:szCs w:val="18"/>
                <w:shd w:val="clear" w:color="auto" w:fill="FFFFFF"/>
              </w:rPr>
              <w:t>》</w:t>
            </w:r>
            <w:r>
              <w:rPr>
                <w:rFonts w:hint="eastAsia" w:ascii="仿宋" w:hAnsi="仿宋" w:eastAsia="仿宋"/>
                <w:color w:val="000000" w:themeColor="text1"/>
                <w:kern w:val="0"/>
                <w:sz w:val="18"/>
                <w:szCs w:val="18"/>
                <w:shd w:val="clear" w:color="auto" w:fill="FFFFFF"/>
              </w:rPr>
              <w:t>第五十三条</w:t>
            </w:r>
            <w:r>
              <w:rPr>
                <w:rFonts w:ascii="仿宋" w:hAnsi="仿宋" w:eastAsia="仿宋"/>
                <w:color w:val="000000" w:themeColor="text1"/>
                <w:kern w:val="0"/>
                <w:sz w:val="18"/>
                <w:szCs w:val="18"/>
                <w:shd w:val="clear" w:color="auto" w:fill="FFFFFF"/>
              </w:rPr>
              <w:t xml:space="preserve"> </w:t>
            </w:r>
            <w:r>
              <w:rPr>
                <w:rFonts w:hint="eastAsia" w:ascii="仿宋" w:hAnsi="仿宋" w:eastAsia="仿宋"/>
                <w:color w:val="000000" w:themeColor="text1"/>
                <w:kern w:val="0"/>
                <w:sz w:val="18"/>
                <w:szCs w:val="18"/>
                <w:shd w:val="clear" w:color="auto" w:fill="FFFFFF"/>
              </w:rPr>
              <w:t>违反本条例的规定，县级以上人民政府建设行政主管部门或者其他有关行政管理部门的工作人员，有下列行为之一的，给予降级或者撤职的行政处分；构成犯罪的，依照刑法有关规定追究刑事责任：</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一</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对不具备安全生产条件的施工单位颁发资质证书的；</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二</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对没有安全施工措施的建设工程颁发施工许可证的；</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三</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发现违法行为不予查处的；</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四</w:t>
            </w:r>
            <w:r>
              <w:rPr>
                <w:rFonts w:ascii="仿宋" w:hAnsi="仿宋" w:eastAsia="仿宋"/>
                <w:color w:val="000000" w:themeColor="text1"/>
                <w:kern w:val="0"/>
                <w:sz w:val="18"/>
                <w:szCs w:val="18"/>
                <w:shd w:val="clear" w:color="auto" w:fill="FFFFFF"/>
              </w:rPr>
              <w:t>)</w:t>
            </w:r>
            <w:r>
              <w:rPr>
                <w:rFonts w:hint="eastAsia" w:ascii="仿宋" w:hAnsi="仿宋" w:eastAsia="仿宋"/>
                <w:color w:val="000000" w:themeColor="text1"/>
                <w:kern w:val="0"/>
                <w:sz w:val="18"/>
                <w:szCs w:val="18"/>
                <w:shd w:val="clear" w:color="auto" w:fill="FFFFFF"/>
              </w:rPr>
              <w:t>不依法履行监督管理职责的其他行为。</w:t>
            </w:r>
          </w:p>
        </w:tc>
      </w:tr>
      <w:tr w14:paraId="0420B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4" w:hRule="atLeast"/>
          <w:jc w:val="center"/>
        </w:trPr>
        <w:tc>
          <w:tcPr>
            <w:tcW w:w="1463" w:type="dxa"/>
            <w:vAlign w:val="center"/>
          </w:tcPr>
          <w:p w14:paraId="671022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7572F41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5469F6E9">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B949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3" w:hRule="atLeast"/>
          <w:jc w:val="center"/>
        </w:trPr>
        <w:tc>
          <w:tcPr>
            <w:tcW w:w="1463" w:type="dxa"/>
            <w:vAlign w:val="center"/>
          </w:tcPr>
          <w:p w14:paraId="443467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3001188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34225C7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02026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2" w:hRule="atLeast"/>
          <w:jc w:val="center"/>
        </w:trPr>
        <w:tc>
          <w:tcPr>
            <w:tcW w:w="1463" w:type="dxa"/>
            <w:vAlign w:val="center"/>
          </w:tcPr>
          <w:p w14:paraId="3E6055A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25E2EEAD">
            <w:pPr>
              <w:widowControl/>
              <w:jc w:val="left"/>
              <w:textAlignment w:val="center"/>
              <w:rPr>
                <w:rFonts w:ascii="黑体" w:eastAsia="黑体" w:cs="黑体"/>
                <w:color w:val="000000" w:themeColor="text1"/>
                <w:kern w:val="0"/>
                <w:sz w:val="18"/>
                <w:szCs w:val="18"/>
              </w:rPr>
            </w:pPr>
          </w:p>
        </w:tc>
      </w:tr>
    </w:tbl>
    <w:p w14:paraId="73D1B1D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16"/>
        <w:gridCol w:w="1515"/>
      </w:tblGrid>
      <w:tr w14:paraId="0186F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77CCFF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457D6FD">
            <w:pPr>
              <w:jc w:val="center"/>
              <w:rPr>
                <w:rFonts w:ascii="黑体" w:eastAsia="黑体" w:cs="黑体"/>
                <w:b/>
                <w:bCs/>
                <w:color w:val="000000" w:themeColor="text1"/>
                <w:szCs w:val="21"/>
              </w:rPr>
            </w:pPr>
            <w:r>
              <w:rPr>
                <w:rFonts w:ascii="黑体" w:eastAsia="黑体" w:cs="黑体"/>
                <w:b/>
                <w:bCs/>
                <w:color w:val="000000" w:themeColor="text1"/>
                <w:szCs w:val="21"/>
              </w:rPr>
              <w:t>189</w:t>
            </w:r>
          </w:p>
        </w:tc>
        <w:tc>
          <w:tcPr>
            <w:tcW w:w="1691" w:type="dxa"/>
            <w:vAlign w:val="center"/>
          </w:tcPr>
          <w:p w14:paraId="2AE8307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B6CEDE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5E9931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CB3E25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230D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F699A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478B52B3">
            <w:pPr>
              <w:spacing w:line="240" w:lineRule="exact"/>
              <w:ind w:firstLine="2520" w:firstLineChars="140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对公路工程试验检测机构随机抽查</w:t>
            </w:r>
          </w:p>
        </w:tc>
      </w:tr>
      <w:tr w14:paraId="742D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32F5772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00D1F25A">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0FEC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88" w:hRule="atLeast"/>
          <w:jc w:val="center"/>
        </w:trPr>
        <w:tc>
          <w:tcPr>
            <w:tcW w:w="1463" w:type="dxa"/>
            <w:vAlign w:val="center"/>
          </w:tcPr>
          <w:p w14:paraId="64205C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59C4C52">
            <w:pPr>
              <w:spacing w:line="240" w:lineRule="exact"/>
              <w:jc w:val="lef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【法律法规】《公路水运工程质量检测管理办法》第五条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交通运输部负责全国公路水运工程质量检测活动的监督管理。县级以上地方人民政府交通运输主管部门按照职责负责本行政区域内的公路水运工程质量检测活动的监督管理。第四十一条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县级以上人民政府交通运输主管部门（以下简称交通运输主管部门）应当加强对质量检测工作的监督检查，及时纠正、查处违反本办法的行为。第四十二条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交通运输主管部门开展监督检查工作，主要包括下列内容：（一）检测机构资质证书使用的规范性，有无转包、违规分包、超许可范围承揽业务、涂改和租借资质证书等行为；（二）检测机构能力的符合性，工地试验室设立和施工现场检测情况；（三）原始记录、质量检测报告的真实性、规范性和完整性；（四）采用的技术标准、规范和规程是否合法有效，样品的管理是否符合要求；（五）仪器设备的运行、检定和校准情况；（六）质量保证体系运行的有效性；（七）检测机构和检测人员质量检测活动的规范性、合法性和真实性；（八）依据职责应当监督检查的其他内容。第四十三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交通运输主管部门实施监督检查时，有权采取以下措施：（一）要求被检查的检测机构或者有关单位提供相关文件和资料；（二）查阅、记录、录音、录像、照相和复制与检查相关的事项和资料；（三）进入检测机构的检测工作场地进行抽查；（四）发现有不符合有关标准、规范、规程和本办法的质量检测行为，责令立即改正或者限期整改。检测机构应当予以配合，如实说明情况和提供相关资料。</w:t>
            </w:r>
          </w:p>
          <w:p w14:paraId="76776879">
            <w:pPr>
              <w:spacing w:line="240" w:lineRule="exact"/>
              <w:jc w:val="lef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B0A0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0EFFA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20CDD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4E5333C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83" w:type="dxa"/>
            <w:gridSpan w:val="2"/>
            <w:vAlign w:val="center"/>
          </w:tcPr>
          <w:p w14:paraId="2FB882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15" w:type="dxa"/>
            <w:vAlign w:val="center"/>
          </w:tcPr>
          <w:p w14:paraId="40A3C68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2039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4B3D5003">
            <w:pPr>
              <w:rPr>
                <w:color w:val="000000" w:themeColor="text1"/>
              </w:rPr>
            </w:pPr>
          </w:p>
        </w:tc>
        <w:tc>
          <w:tcPr>
            <w:tcW w:w="1050" w:type="dxa"/>
            <w:vAlign w:val="center"/>
          </w:tcPr>
          <w:p w14:paraId="3DAAFF6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1ACCEEA2">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对本辖区内公路工程试验检测机构随机抽查；</w:t>
            </w:r>
          </w:p>
        </w:tc>
        <w:tc>
          <w:tcPr>
            <w:tcW w:w="983" w:type="dxa"/>
            <w:gridSpan w:val="2"/>
            <w:vAlign w:val="center"/>
          </w:tcPr>
          <w:p w14:paraId="53319B5C">
            <w:pPr>
              <w:jc w:val="center"/>
              <w:rPr>
                <w:rFonts w:ascii="仿宋_GB2312" w:hAnsi="黑体" w:eastAsia="仿宋_GB2312" w:cs="黑体"/>
                <w:color w:val="000000" w:themeColor="text1"/>
                <w:sz w:val="18"/>
                <w:szCs w:val="18"/>
              </w:rPr>
            </w:pPr>
          </w:p>
        </w:tc>
        <w:tc>
          <w:tcPr>
            <w:tcW w:w="1515" w:type="dxa"/>
            <w:vAlign w:val="center"/>
          </w:tcPr>
          <w:p w14:paraId="05FDFEE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00CA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8" w:hRule="atLeast"/>
          <w:jc w:val="center"/>
        </w:trPr>
        <w:tc>
          <w:tcPr>
            <w:tcW w:w="1463" w:type="dxa"/>
            <w:vMerge w:val="continue"/>
            <w:vAlign w:val="center"/>
          </w:tcPr>
          <w:p w14:paraId="61015444">
            <w:pPr>
              <w:rPr>
                <w:color w:val="000000" w:themeColor="text1"/>
              </w:rPr>
            </w:pPr>
          </w:p>
        </w:tc>
        <w:tc>
          <w:tcPr>
            <w:tcW w:w="1050" w:type="dxa"/>
            <w:vAlign w:val="center"/>
          </w:tcPr>
          <w:p w14:paraId="0CC2CE9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277F4881">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w:t>
            </w:r>
          </w:p>
        </w:tc>
        <w:tc>
          <w:tcPr>
            <w:tcW w:w="983" w:type="dxa"/>
            <w:gridSpan w:val="2"/>
            <w:vAlign w:val="center"/>
          </w:tcPr>
          <w:p w14:paraId="5DBEDADF">
            <w:pPr>
              <w:jc w:val="center"/>
              <w:rPr>
                <w:rFonts w:ascii="仿宋_GB2312" w:hAnsi="黑体" w:eastAsia="仿宋_GB2312" w:cs="黑体"/>
                <w:color w:val="000000" w:themeColor="text1"/>
                <w:sz w:val="18"/>
                <w:szCs w:val="18"/>
              </w:rPr>
            </w:pPr>
          </w:p>
        </w:tc>
        <w:tc>
          <w:tcPr>
            <w:tcW w:w="1515" w:type="dxa"/>
            <w:vAlign w:val="center"/>
          </w:tcPr>
          <w:p w14:paraId="5AAEF5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B306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2BA1BC93">
            <w:pPr>
              <w:rPr>
                <w:color w:val="000000" w:themeColor="text1"/>
              </w:rPr>
            </w:pPr>
          </w:p>
        </w:tc>
        <w:tc>
          <w:tcPr>
            <w:tcW w:w="1050" w:type="dxa"/>
            <w:vAlign w:val="center"/>
          </w:tcPr>
          <w:p w14:paraId="29EAA6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19C50537">
            <w:pPr>
              <w:jc w:val="center"/>
              <w:rPr>
                <w:rFonts w:ascii="仿宋_GB2312" w:hAnsi="黑体" w:eastAsia="仿宋_GB2312" w:cs="黑体"/>
                <w:color w:val="000000" w:themeColor="text1"/>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983" w:type="dxa"/>
            <w:gridSpan w:val="2"/>
            <w:vAlign w:val="center"/>
          </w:tcPr>
          <w:p w14:paraId="55ABEABD">
            <w:pPr>
              <w:jc w:val="center"/>
              <w:rPr>
                <w:rFonts w:ascii="仿宋_GB2312" w:hAnsi="黑体" w:eastAsia="仿宋_GB2312" w:cs="黑体"/>
                <w:color w:val="000000" w:themeColor="text1"/>
                <w:sz w:val="18"/>
                <w:szCs w:val="18"/>
              </w:rPr>
            </w:pPr>
          </w:p>
        </w:tc>
        <w:tc>
          <w:tcPr>
            <w:tcW w:w="1515" w:type="dxa"/>
            <w:vAlign w:val="center"/>
          </w:tcPr>
          <w:p w14:paraId="6362E9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7D61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90" w:hRule="atLeast"/>
          <w:jc w:val="center"/>
        </w:trPr>
        <w:tc>
          <w:tcPr>
            <w:tcW w:w="1463" w:type="dxa"/>
            <w:vMerge w:val="continue"/>
            <w:vAlign w:val="center"/>
          </w:tcPr>
          <w:p w14:paraId="50C7AC9A">
            <w:pPr>
              <w:rPr>
                <w:color w:val="000000" w:themeColor="text1"/>
              </w:rPr>
            </w:pPr>
          </w:p>
        </w:tc>
        <w:tc>
          <w:tcPr>
            <w:tcW w:w="1050" w:type="dxa"/>
            <w:vAlign w:val="center"/>
          </w:tcPr>
          <w:p w14:paraId="2F2EB2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p w14:paraId="30DE478A">
            <w:pPr>
              <w:jc w:val="center"/>
              <w:rPr>
                <w:rFonts w:ascii="仿宋_GB2312" w:hAnsi="黑体" w:eastAsia="仿宋_GB2312" w:cs="黑体"/>
                <w:color w:val="000000" w:themeColor="text1"/>
                <w:sz w:val="18"/>
                <w:szCs w:val="18"/>
              </w:rPr>
            </w:pPr>
          </w:p>
        </w:tc>
        <w:tc>
          <w:tcPr>
            <w:tcW w:w="5287" w:type="dxa"/>
            <w:gridSpan w:val="4"/>
            <w:vAlign w:val="center"/>
          </w:tcPr>
          <w:p w14:paraId="66682DE4">
            <w:pPr>
              <w:jc w:val="center"/>
              <w:rPr>
                <w:rFonts w:ascii="仿宋_GB2312" w:hAnsi="黑体" w:eastAsia="仿宋_GB2312" w:cs="黑体"/>
                <w:color w:val="000000" w:themeColor="text1"/>
                <w:szCs w:val="21"/>
              </w:rPr>
            </w:pPr>
            <w:r>
              <w:rPr>
                <w:rFonts w:hint="eastAsia" w:ascii="仿宋_GB2312" w:eastAsia="仿宋_GB2312" w:cs="黑体"/>
                <w:color w:val="000000" w:themeColor="text1"/>
                <w:kern w:val="0"/>
                <w:sz w:val="18"/>
                <w:szCs w:val="18"/>
              </w:rPr>
              <w:t>对监督检查发现的问题，企业或单位、个人整改完成后，对整改情况组织进行核查。</w:t>
            </w:r>
          </w:p>
        </w:tc>
        <w:tc>
          <w:tcPr>
            <w:tcW w:w="983" w:type="dxa"/>
            <w:gridSpan w:val="2"/>
            <w:vAlign w:val="center"/>
          </w:tcPr>
          <w:p w14:paraId="4092C87D">
            <w:pPr>
              <w:jc w:val="center"/>
              <w:rPr>
                <w:rFonts w:ascii="仿宋_GB2312" w:hAnsi="黑体" w:eastAsia="仿宋_GB2312" w:cs="黑体"/>
                <w:color w:val="000000" w:themeColor="text1"/>
                <w:sz w:val="18"/>
                <w:szCs w:val="18"/>
              </w:rPr>
            </w:pPr>
          </w:p>
        </w:tc>
        <w:tc>
          <w:tcPr>
            <w:tcW w:w="1515" w:type="dxa"/>
            <w:vAlign w:val="center"/>
          </w:tcPr>
          <w:p w14:paraId="011E002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6E0A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457" w:hRule="atLeast"/>
          <w:jc w:val="center"/>
        </w:trPr>
        <w:tc>
          <w:tcPr>
            <w:tcW w:w="1463" w:type="dxa"/>
            <w:vAlign w:val="center"/>
          </w:tcPr>
          <w:p w14:paraId="028BAC7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081EB58C">
            <w:pPr>
              <w:snapToGrid w:val="0"/>
              <w:spacing w:line="240" w:lineRule="atLeast"/>
              <w:rPr>
                <w:rFonts w:ascii="仿宋" w:hAnsi="仿宋" w:eastAsia="仿宋" w:cs="宋体"/>
                <w:color w:val="000000" w:themeColor="text1"/>
                <w:kern w:val="0"/>
                <w:sz w:val="18"/>
                <w:szCs w:val="18"/>
                <w:shd w:val="clear" w:color="auto" w:fill="FFFFFF"/>
              </w:rPr>
            </w:pPr>
            <w:r>
              <w:rPr>
                <w:rFonts w:hint="eastAsia" w:ascii="仿宋" w:hAnsi="仿宋" w:eastAsia="仿宋"/>
                <w:color w:val="000000" w:themeColor="text1"/>
                <w:sz w:val="18"/>
                <w:szCs w:val="18"/>
                <w:shd w:val="clear" w:color="auto" w:fill="FFFFFF"/>
              </w:rPr>
              <w:t>《公路水运工程质量检测管理办法》</w:t>
            </w:r>
            <w:r>
              <w:rPr>
                <w:rFonts w:hint="eastAsia" w:ascii="仿宋" w:hAnsi="仿宋" w:eastAsia="仿宋"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9</w:t>
            </w:r>
            <w:r>
              <w:rPr>
                <w:rFonts w:hint="eastAsia" w:ascii="仿宋" w:hAnsi="仿宋" w:eastAsia="仿宋" w:cs="仿宋_GB2312"/>
                <w:color w:val="000000" w:themeColor="text1"/>
                <w:kern w:val="0"/>
                <w:sz w:val="18"/>
                <w:szCs w:val="18"/>
              </w:rPr>
              <w:t>号）</w:t>
            </w:r>
            <w:r>
              <w:rPr>
                <w:rFonts w:hint="eastAsia" w:ascii="仿宋" w:hAnsi="仿宋" w:eastAsia="仿宋" w:cs="宋体"/>
                <w:color w:val="000000" w:themeColor="text1"/>
                <w:kern w:val="0"/>
                <w:sz w:val="18"/>
                <w:szCs w:val="18"/>
                <w:shd w:val="clear" w:color="auto" w:fill="FFFFFF"/>
              </w:rPr>
              <w:t>第五十六条</w:t>
            </w:r>
            <w:r>
              <w:rPr>
                <w:rFonts w:ascii="仿宋" w:hAnsi="仿宋" w:eastAsia="仿宋" w:cs="宋体"/>
                <w:color w:val="000000" w:themeColor="text1"/>
                <w:kern w:val="0"/>
                <w:sz w:val="18"/>
                <w:szCs w:val="18"/>
                <w:shd w:val="clear" w:color="auto" w:fill="FFFFFF"/>
              </w:rPr>
              <w:t xml:space="preserve"> </w:t>
            </w:r>
            <w:r>
              <w:rPr>
                <w:rFonts w:hint="eastAsia" w:ascii="仿宋" w:hAnsi="仿宋" w:eastAsia="仿宋" w:cs="宋体"/>
                <w:color w:val="000000" w:themeColor="text1"/>
                <w:kern w:val="0"/>
                <w:sz w:val="18"/>
                <w:szCs w:val="18"/>
                <w:shd w:val="clear" w:color="auto" w:fill="FFFFFF"/>
              </w:rPr>
              <w:t>交通运输主管部门工作人员在质量检测管理工作中，有下列情形之一的，依法给予处分；构成犯罪的，依法追究刑事责任：（一）对不符合法定条件的申请人颁发资质证书的；（二）对符合法定条件的申请人不予颁发资质证书的；（三）对符合法定条件的申请人未在法定期限内颁发资质证书的；（四）利用职务上的便利，索取、收受他人财物或者谋取其他利益的；（五）不依法履行监督职责或者监督不力，造成严重后果的。</w:t>
            </w:r>
          </w:p>
        </w:tc>
      </w:tr>
      <w:tr w14:paraId="2B669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2" w:hRule="atLeast"/>
          <w:jc w:val="center"/>
        </w:trPr>
        <w:tc>
          <w:tcPr>
            <w:tcW w:w="1463" w:type="dxa"/>
            <w:vAlign w:val="center"/>
          </w:tcPr>
          <w:p w14:paraId="4AE45E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77E2CFC1">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04EE6F5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B9BF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2" w:hRule="atLeast"/>
          <w:jc w:val="center"/>
        </w:trPr>
        <w:tc>
          <w:tcPr>
            <w:tcW w:w="1463" w:type="dxa"/>
            <w:vAlign w:val="center"/>
          </w:tcPr>
          <w:p w14:paraId="3799FA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08C7FA0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2AD9588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495B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4" w:hRule="atLeast"/>
          <w:jc w:val="center"/>
        </w:trPr>
        <w:tc>
          <w:tcPr>
            <w:tcW w:w="1463" w:type="dxa"/>
            <w:vAlign w:val="center"/>
          </w:tcPr>
          <w:p w14:paraId="69FC9A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392F0BEE">
            <w:pPr>
              <w:widowControl/>
              <w:jc w:val="left"/>
              <w:textAlignment w:val="center"/>
              <w:rPr>
                <w:rFonts w:ascii="黑体" w:eastAsia="黑体" w:cs="黑体"/>
                <w:color w:val="000000" w:themeColor="text1"/>
                <w:kern w:val="0"/>
                <w:sz w:val="18"/>
                <w:szCs w:val="18"/>
              </w:rPr>
            </w:pPr>
          </w:p>
        </w:tc>
      </w:tr>
    </w:tbl>
    <w:p w14:paraId="544425E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308"/>
        <w:gridCol w:w="1080"/>
        <w:gridCol w:w="171"/>
        <w:gridCol w:w="1931"/>
      </w:tblGrid>
      <w:tr w14:paraId="6B9D7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0BC492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5198A99">
            <w:pPr>
              <w:jc w:val="center"/>
              <w:rPr>
                <w:rFonts w:ascii="黑体" w:eastAsia="黑体" w:cs="黑体"/>
                <w:b/>
                <w:bCs/>
                <w:color w:val="000000" w:themeColor="text1"/>
                <w:szCs w:val="21"/>
              </w:rPr>
            </w:pPr>
            <w:r>
              <w:rPr>
                <w:rFonts w:ascii="黑体" w:eastAsia="黑体" w:cs="黑体"/>
                <w:b/>
                <w:bCs/>
                <w:color w:val="000000" w:themeColor="text1"/>
                <w:szCs w:val="21"/>
              </w:rPr>
              <w:t>190</w:t>
            </w:r>
          </w:p>
        </w:tc>
        <w:tc>
          <w:tcPr>
            <w:tcW w:w="1691" w:type="dxa"/>
            <w:vAlign w:val="center"/>
          </w:tcPr>
          <w:p w14:paraId="1F8FAA5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6073BA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3"/>
            <w:vAlign w:val="center"/>
          </w:tcPr>
          <w:p w14:paraId="3A4A30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vAlign w:val="center"/>
          </w:tcPr>
          <w:p w14:paraId="10C4538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6DCD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FF0CF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5E02B6A1">
            <w:pPr>
              <w:spacing w:line="240" w:lineRule="exact"/>
              <w:ind w:firstLine="2520" w:firstLineChars="140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对道路运输及相关业务经营场所、客货集散地进行监督检查</w:t>
            </w:r>
          </w:p>
        </w:tc>
      </w:tr>
      <w:tr w14:paraId="45681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ADF982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4CA6BBF">
            <w:pPr>
              <w:spacing w:line="240" w:lineRule="exact"/>
              <w:ind w:firstLine="3240" w:firstLineChars="180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73EBD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34" w:hRule="atLeast"/>
          <w:jc w:val="center"/>
        </w:trPr>
        <w:tc>
          <w:tcPr>
            <w:tcW w:w="1463" w:type="dxa"/>
            <w:vAlign w:val="center"/>
          </w:tcPr>
          <w:p w14:paraId="3F6A40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5F426F38">
            <w:pPr>
              <w:spacing w:line="240" w:lineRule="exact"/>
              <w:jc w:val="left"/>
              <w:rPr>
                <w:rFonts w:ascii="仿宋" w:hAnsi="仿宋" w:eastAsia="仿宋" w:cs="黑体"/>
                <w:color w:val="000000" w:themeColor="text1"/>
                <w:sz w:val="15"/>
                <w:szCs w:val="15"/>
              </w:rPr>
            </w:pPr>
            <w:r>
              <w:rPr>
                <w:rFonts w:hint="eastAsia" w:ascii="仿宋_GB2312" w:hAnsi="黑体" w:eastAsia="仿宋_GB2312" w:cs="黑体"/>
                <w:color w:val="000000" w:themeColor="text1"/>
                <w:sz w:val="15"/>
                <w:szCs w:val="15"/>
              </w:rPr>
              <w:t>【</w:t>
            </w:r>
            <w:r>
              <w:rPr>
                <w:rFonts w:hint="eastAsia" w:ascii="仿宋" w:hAnsi="仿宋" w:eastAsia="仿宋" w:cs="黑体"/>
                <w:color w:val="000000" w:themeColor="text1"/>
                <w:sz w:val="15"/>
                <w:szCs w:val="15"/>
              </w:rPr>
              <w:t>法律法规】</w:t>
            </w:r>
            <w:r>
              <w:rPr>
                <w:rFonts w:ascii="仿宋" w:hAnsi="仿宋" w:eastAsia="仿宋" w:cs="黑体"/>
                <w:color w:val="000000" w:themeColor="text1"/>
                <w:sz w:val="15"/>
                <w:szCs w:val="15"/>
              </w:rPr>
              <w:t>1.</w:t>
            </w:r>
            <w:r>
              <w:rPr>
                <w:rFonts w:hint="eastAsia" w:ascii="仿宋" w:hAnsi="仿宋" w:eastAsia="仿宋" w:cs="黑体"/>
                <w:color w:val="000000" w:themeColor="text1"/>
                <w:sz w:val="15"/>
                <w:szCs w:val="15"/>
              </w:rPr>
              <w:t>《中华人民共和国道路运输条例》第五十八条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w:t>
            </w:r>
            <w:r>
              <w:rPr>
                <w:rFonts w:ascii="仿宋" w:hAnsi="仿宋" w:eastAsia="仿宋" w:cs="黑体"/>
                <w:color w:val="000000" w:themeColor="text1"/>
                <w:sz w:val="15"/>
                <w:szCs w:val="15"/>
              </w:rPr>
              <w:t>2.</w:t>
            </w:r>
            <w:r>
              <w:rPr>
                <w:rFonts w:hint="eastAsia" w:ascii="仿宋" w:hAnsi="仿宋" w:eastAsia="仿宋" w:cs="黑体"/>
                <w:color w:val="000000" w:themeColor="text1"/>
                <w:sz w:val="15"/>
                <w:szCs w:val="15"/>
              </w:rPr>
              <w:t>《河北省道路运输条例》</w:t>
            </w:r>
            <w:r>
              <w:rPr>
                <w:rFonts w:ascii="仿宋" w:hAnsi="仿宋" w:eastAsia="仿宋" w:cs="黑体"/>
                <w:color w:val="000000" w:themeColor="text1"/>
                <w:sz w:val="15"/>
                <w:szCs w:val="15"/>
              </w:rPr>
              <w:t xml:space="preserve">                                                                                          </w:t>
            </w:r>
          </w:p>
          <w:p w14:paraId="5A1CF027">
            <w:pPr>
              <w:spacing w:line="240" w:lineRule="exact"/>
              <w:jc w:val="left"/>
              <w:rPr>
                <w:rFonts w:ascii="仿宋" w:hAnsi="仿宋" w:eastAsia="仿宋" w:cs="黑体"/>
                <w:color w:val="000000" w:themeColor="text1"/>
                <w:sz w:val="15"/>
                <w:szCs w:val="15"/>
              </w:rPr>
            </w:pPr>
            <w:r>
              <w:rPr>
                <w:rFonts w:hint="eastAsia" w:ascii="仿宋" w:hAnsi="仿宋" w:eastAsia="仿宋" w:cs="黑体"/>
                <w:color w:val="000000" w:themeColor="text1"/>
                <w:sz w:val="15"/>
                <w:szCs w:val="15"/>
              </w:rPr>
              <w:t>第二条</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在本省行政区域内从事道路运输经营、道路运输相关业务及其监督管理活动，适用本条例。本条例所称道路运输经营包括城市公共汽电车客运、班车客运、包车客运、旅游客运、出租汽车客运、货运经营等活动。道路运输相关业务包括道路运输站（场）经营、机动车维修、机动车驾驶员培训、汽车租赁等活动。第三十六条第三款</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县级以上人民政府交通运输主管部门应当按照有关规定通过巡查、派驻人员等方式对所在地人民政府公示的货运源头单位实施监督检查，制止违法超限超载车辆出站（场）。第五十一条</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县级以上人民政府应当加强道路运输的监督管理，完善监督管理体系，健全监督管理制度，落实监督管理责任。县级以上人民政府交通运输主管部门应当加强对道路运输经营以及道路运输相关业务的监督检查，对道路运输以及相关业务经营者、从业人员实施动态监管，推行服务质量信誉考核制度，并将考核结果向社会公布。</w:t>
            </w:r>
            <w:r>
              <w:rPr>
                <w:rFonts w:ascii="仿宋" w:hAnsi="仿宋" w:eastAsia="仿宋" w:cs="黑体"/>
                <w:color w:val="000000" w:themeColor="text1"/>
                <w:sz w:val="15"/>
                <w:szCs w:val="15"/>
              </w:rPr>
              <w:t>3.</w:t>
            </w:r>
            <w:r>
              <w:rPr>
                <w:rFonts w:hint="eastAsia" w:ascii="仿宋" w:hAnsi="仿宋" w:eastAsia="仿宋" w:cs="黑体"/>
                <w:color w:val="000000" w:themeColor="text1"/>
                <w:sz w:val="15"/>
                <w:szCs w:val="15"/>
              </w:rPr>
              <w:t>《道路运输车辆动态监督管理办法》</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第二十九条道路运输管理机构应当充分发挥监控平台的作用，定期对道路运输企业动态监控工作的情况进行监督考核，并将其纳入企业质量信誉考核的内容，作为运输企业班线招标和年度审验的重要依据。</w:t>
            </w:r>
            <w:r>
              <w:rPr>
                <w:rFonts w:ascii="仿宋" w:hAnsi="仿宋" w:eastAsia="仿宋" w:cs="黑体"/>
                <w:color w:val="000000" w:themeColor="text1"/>
                <w:sz w:val="15"/>
                <w:szCs w:val="15"/>
              </w:rPr>
              <w:t>4.</w:t>
            </w:r>
            <w:r>
              <w:rPr>
                <w:rFonts w:hint="eastAsia" w:ascii="仿宋" w:hAnsi="仿宋" w:eastAsia="仿宋" w:cs="黑体"/>
                <w:color w:val="000000" w:themeColor="text1"/>
                <w:sz w:val="15"/>
                <w:szCs w:val="15"/>
              </w:rPr>
              <w:t>《道路旅客运输及客运站管理规定》第八十二条　交通运输主管部门应当加强对道路客运和客运站经营活动的监督检查。交通运输主管部门工作人员应当严格按照法定职责权限和程序，原则上采取随机抽取检查对象、随机选派执法检查人员的方式进行监督检查，监督检查结果应当及时向社会公布。</w:t>
            </w:r>
            <w:r>
              <w:rPr>
                <w:rFonts w:ascii="仿宋" w:hAnsi="仿宋" w:eastAsia="仿宋" w:cs="黑体"/>
                <w:color w:val="000000" w:themeColor="text1"/>
                <w:sz w:val="15"/>
                <w:szCs w:val="15"/>
              </w:rPr>
              <w:t>5.</w:t>
            </w:r>
            <w:r>
              <w:rPr>
                <w:rFonts w:hint="eastAsia" w:ascii="仿宋" w:hAnsi="仿宋" w:eastAsia="仿宋" w:cs="黑体"/>
                <w:color w:val="000000" w:themeColor="text1"/>
                <w:sz w:val="15"/>
                <w:szCs w:val="15"/>
              </w:rPr>
              <w:t>《道路货物运输及站场管理规定》第四十九条　交通运输主管部门应当加强对道路货物运输经营和货运站经营活动的监督检查。交通运输主管部门工作人员应当严格按照职责权限和法定程序进行监督检查。</w:t>
            </w:r>
            <w:r>
              <w:rPr>
                <w:rFonts w:ascii="仿宋" w:hAnsi="仿宋" w:eastAsia="仿宋" w:cs="黑体"/>
                <w:color w:val="000000" w:themeColor="text1"/>
                <w:sz w:val="15"/>
                <w:szCs w:val="15"/>
              </w:rPr>
              <w:t>6.</w:t>
            </w:r>
            <w:r>
              <w:rPr>
                <w:rFonts w:hint="eastAsia" w:ascii="仿宋" w:hAnsi="仿宋" w:eastAsia="仿宋" w:cs="黑体"/>
                <w:color w:val="000000" w:themeColor="text1"/>
                <w:sz w:val="15"/>
                <w:szCs w:val="15"/>
              </w:rPr>
              <w:t>《机动车维修管理规定》第四十五条</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交通运输主管部门应当加强对机动车维修经营活动的监督检查。交通运输主管部门应当依法履行对维修经营者的监管职责，对维修经营者是否依法备案或者备案事项是否属实进行监督检查。</w:t>
            </w:r>
            <w:r>
              <w:rPr>
                <w:rFonts w:ascii="仿宋" w:hAnsi="仿宋" w:eastAsia="仿宋" w:cs="黑体"/>
                <w:color w:val="000000" w:themeColor="text1"/>
                <w:sz w:val="15"/>
                <w:szCs w:val="15"/>
              </w:rPr>
              <w:t>7.</w:t>
            </w:r>
            <w:r>
              <w:rPr>
                <w:rFonts w:hint="eastAsia" w:ascii="仿宋" w:hAnsi="仿宋" w:eastAsia="仿宋" w:cs="黑体"/>
                <w:color w:val="000000" w:themeColor="text1"/>
                <w:sz w:val="15"/>
                <w:szCs w:val="15"/>
              </w:rPr>
              <w:t>《机动车驾驶员培训管理规定》第四十二条</w:t>
            </w:r>
            <w:r>
              <w:rPr>
                <w:rFonts w:ascii="仿宋" w:hAnsi="仿宋" w:eastAsia="仿宋" w:cs="黑体"/>
                <w:color w:val="000000" w:themeColor="text1"/>
                <w:sz w:val="15"/>
                <w:szCs w:val="15"/>
              </w:rPr>
              <w:t xml:space="preserve"> </w:t>
            </w:r>
            <w:r>
              <w:rPr>
                <w:rFonts w:hint="eastAsia" w:ascii="仿宋" w:hAnsi="仿宋" w:eastAsia="仿宋" w:cs="黑体"/>
                <w:color w:val="000000" w:themeColor="text1"/>
                <w:sz w:val="15"/>
                <w:szCs w:val="15"/>
              </w:rPr>
              <w:t>交通运输主管部门应当依法对机动车驾驶员培训经营活动进行监督检查，督促机动车驾驶员培训机构及时办理备案手续，加强对机动车驾驶员培训机构是否备案、是否保持备案经营项目需具备的业务条件、备案事项与实际从事业务是否一致等情况的检查。监督检查活动原则上随机抽取检查对象、检查人员，严格遵守《交通运输行政执法程序规定》等相关规定，检查结果向社会公布。</w:t>
            </w:r>
            <w:r>
              <w:rPr>
                <w:rFonts w:ascii="仿宋" w:hAnsi="仿宋" w:eastAsia="仿宋" w:cs="黑体"/>
                <w:color w:val="000000" w:themeColor="text1"/>
                <w:sz w:val="15"/>
                <w:szCs w:val="15"/>
              </w:rPr>
              <w:t>8.</w:t>
            </w:r>
            <w:r>
              <w:rPr>
                <w:rFonts w:hint="eastAsia" w:ascii="仿宋" w:hAnsi="仿宋" w:eastAsia="仿宋" w:cs="黑体"/>
                <w:color w:val="000000" w:themeColor="text1"/>
                <w:sz w:val="15"/>
                <w:szCs w:val="15"/>
              </w:rPr>
              <w:t>《道路运输车辆技术管理规定》第二十六条　交通运输主管部门应当按照职责权限和法定程序对道路运输车辆技术管理进行监督检查。相关单位和个人应当积极配合交通运输主管部门的监督检查，如实反映情况，提供有关资料。</w:t>
            </w:r>
          </w:p>
          <w:p w14:paraId="1C0AE23F">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5"/>
                <w:szCs w:val="15"/>
              </w:rPr>
              <w:t>【三定规定】抚办字【</w:t>
            </w:r>
            <w:r>
              <w:rPr>
                <w:rFonts w:ascii="仿宋" w:hAnsi="仿宋" w:eastAsia="仿宋" w:cs="仿宋_GB2312"/>
                <w:color w:val="000000" w:themeColor="text1"/>
                <w:kern w:val="0"/>
                <w:sz w:val="15"/>
                <w:szCs w:val="15"/>
              </w:rPr>
              <w:t>2019</w:t>
            </w:r>
            <w:r>
              <w:rPr>
                <w:rFonts w:hint="eastAsia" w:ascii="仿宋" w:hAnsi="仿宋" w:eastAsia="仿宋" w:cs="仿宋_GB2312"/>
                <w:color w:val="000000" w:themeColor="text1"/>
                <w:kern w:val="0"/>
                <w:sz w:val="15"/>
                <w:szCs w:val="15"/>
              </w:rPr>
              <w:t>】</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号第三条第五款承担全区道路运输市场监管责任。执行道路运输有关政策、技术标准和运营规范并监督实施。负责城乡客运及有关设施规划和管理，推动城乡客运一体化建设。</w:t>
            </w:r>
          </w:p>
        </w:tc>
      </w:tr>
      <w:tr w14:paraId="3AECD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C16BB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A1EF6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4603" w:type="dxa"/>
            <w:gridSpan w:val="4"/>
            <w:vAlign w:val="center"/>
          </w:tcPr>
          <w:p w14:paraId="18EEE5D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80" w:type="dxa"/>
            <w:vAlign w:val="center"/>
          </w:tcPr>
          <w:p w14:paraId="3E1328C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2102" w:type="dxa"/>
            <w:gridSpan w:val="2"/>
            <w:vAlign w:val="center"/>
          </w:tcPr>
          <w:p w14:paraId="219C931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267F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4" w:hRule="atLeast"/>
          <w:jc w:val="center"/>
        </w:trPr>
        <w:tc>
          <w:tcPr>
            <w:tcW w:w="1463" w:type="dxa"/>
            <w:vMerge w:val="continue"/>
            <w:vAlign w:val="center"/>
          </w:tcPr>
          <w:p w14:paraId="426C25C9">
            <w:pPr>
              <w:rPr>
                <w:color w:val="000000" w:themeColor="text1"/>
              </w:rPr>
            </w:pPr>
          </w:p>
        </w:tc>
        <w:tc>
          <w:tcPr>
            <w:tcW w:w="1050" w:type="dxa"/>
            <w:vAlign w:val="center"/>
          </w:tcPr>
          <w:p w14:paraId="707A563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4603" w:type="dxa"/>
            <w:gridSpan w:val="4"/>
            <w:vAlign w:val="center"/>
          </w:tcPr>
          <w:p w14:paraId="136C7369">
            <w:pPr>
              <w:spacing w:line="240" w:lineRule="exact"/>
              <w:ind w:firstLine="300" w:firstLineChars="200"/>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对本辖区内道路运输及相关业务经营场所、客货集散地进行监督检查；</w:t>
            </w:r>
          </w:p>
        </w:tc>
        <w:tc>
          <w:tcPr>
            <w:tcW w:w="1080" w:type="dxa"/>
            <w:vAlign w:val="center"/>
          </w:tcPr>
          <w:p w14:paraId="305C6853">
            <w:pPr>
              <w:jc w:val="center"/>
              <w:rPr>
                <w:rFonts w:ascii="仿宋_GB2312" w:hAnsi="黑体" w:eastAsia="仿宋_GB2312" w:cs="黑体"/>
                <w:color w:val="000000" w:themeColor="text1"/>
                <w:sz w:val="18"/>
                <w:szCs w:val="18"/>
              </w:rPr>
            </w:pPr>
          </w:p>
        </w:tc>
        <w:tc>
          <w:tcPr>
            <w:tcW w:w="2102" w:type="dxa"/>
            <w:gridSpan w:val="2"/>
            <w:vAlign w:val="center"/>
          </w:tcPr>
          <w:p w14:paraId="08239082">
            <w:pPr>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区交通运输综合行政执法大队</w:t>
            </w:r>
          </w:p>
        </w:tc>
      </w:tr>
      <w:tr w14:paraId="0D968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450E7A28">
            <w:pPr>
              <w:rPr>
                <w:color w:val="000000" w:themeColor="text1"/>
              </w:rPr>
            </w:pPr>
          </w:p>
        </w:tc>
        <w:tc>
          <w:tcPr>
            <w:tcW w:w="1050" w:type="dxa"/>
            <w:vAlign w:val="center"/>
          </w:tcPr>
          <w:p w14:paraId="529CA6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4603" w:type="dxa"/>
            <w:gridSpan w:val="4"/>
            <w:vAlign w:val="center"/>
          </w:tcPr>
          <w:p w14:paraId="7BE33338">
            <w:pPr>
              <w:spacing w:line="240" w:lineRule="exact"/>
              <w:ind w:firstLine="300" w:firstLineChars="200"/>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对监督检查发现的问题，责令限期整改、依法实施处罚；</w:t>
            </w:r>
          </w:p>
        </w:tc>
        <w:tc>
          <w:tcPr>
            <w:tcW w:w="1080" w:type="dxa"/>
            <w:vAlign w:val="center"/>
          </w:tcPr>
          <w:p w14:paraId="518F40B5">
            <w:pPr>
              <w:jc w:val="center"/>
              <w:rPr>
                <w:rFonts w:ascii="仿宋_GB2312" w:hAnsi="黑体" w:eastAsia="仿宋_GB2312" w:cs="黑体"/>
                <w:color w:val="000000" w:themeColor="text1"/>
                <w:sz w:val="18"/>
                <w:szCs w:val="18"/>
              </w:rPr>
            </w:pPr>
          </w:p>
        </w:tc>
        <w:tc>
          <w:tcPr>
            <w:tcW w:w="2102" w:type="dxa"/>
            <w:gridSpan w:val="2"/>
            <w:vAlign w:val="center"/>
          </w:tcPr>
          <w:p w14:paraId="7C8D7E11">
            <w:pPr>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区交通运输综合行政执法大队</w:t>
            </w:r>
          </w:p>
        </w:tc>
      </w:tr>
      <w:tr w14:paraId="7CB8D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0" w:hRule="atLeast"/>
          <w:jc w:val="center"/>
        </w:trPr>
        <w:tc>
          <w:tcPr>
            <w:tcW w:w="1463" w:type="dxa"/>
            <w:vMerge w:val="continue"/>
            <w:vAlign w:val="center"/>
          </w:tcPr>
          <w:p w14:paraId="7BB3233B">
            <w:pPr>
              <w:rPr>
                <w:color w:val="000000" w:themeColor="text1"/>
              </w:rPr>
            </w:pPr>
          </w:p>
        </w:tc>
        <w:tc>
          <w:tcPr>
            <w:tcW w:w="1050" w:type="dxa"/>
            <w:vAlign w:val="center"/>
          </w:tcPr>
          <w:p w14:paraId="792243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4603" w:type="dxa"/>
            <w:gridSpan w:val="4"/>
            <w:vAlign w:val="center"/>
          </w:tcPr>
          <w:p w14:paraId="23CFBF21">
            <w:pPr>
              <w:ind w:firstLine="300" w:firstLineChars="200"/>
              <w:jc w:val="center"/>
              <w:rPr>
                <w:rFonts w:ascii="仿宋_GB2312" w:hAnsi="黑体" w:eastAsia="仿宋_GB2312" w:cs="黑体"/>
                <w:color w:val="000000" w:themeColor="text1"/>
                <w:sz w:val="15"/>
                <w:szCs w:val="15"/>
              </w:rPr>
            </w:pPr>
            <w:r>
              <w:rPr>
                <w:rFonts w:hint="eastAsia" w:ascii="仿宋_GB2312" w:eastAsia="仿宋_GB2312" w:cs="黑体"/>
                <w:color w:val="000000" w:themeColor="text1"/>
                <w:kern w:val="0"/>
                <w:sz w:val="15"/>
                <w:szCs w:val="15"/>
              </w:rPr>
              <w:t>及时予以公告，对构成违法犯罪的移交司法机关；</w:t>
            </w:r>
          </w:p>
        </w:tc>
        <w:tc>
          <w:tcPr>
            <w:tcW w:w="1080" w:type="dxa"/>
            <w:vAlign w:val="center"/>
          </w:tcPr>
          <w:p w14:paraId="2571099F">
            <w:pPr>
              <w:jc w:val="center"/>
              <w:rPr>
                <w:rFonts w:ascii="仿宋_GB2312" w:hAnsi="黑体" w:eastAsia="仿宋_GB2312" w:cs="黑体"/>
                <w:color w:val="000000" w:themeColor="text1"/>
                <w:sz w:val="18"/>
                <w:szCs w:val="18"/>
              </w:rPr>
            </w:pPr>
          </w:p>
        </w:tc>
        <w:tc>
          <w:tcPr>
            <w:tcW w:w="2102" w:type="dxa"/>
            <w:gridSpan w:val="2"/>
            <w:vAlign w:val="center"/>
          </w:tcPr>
          <w:p w14:paraId="3C6FC9A6">
            <w:pPr>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区交通运输综合行政执法大队</w:t>
            </w:r>
          </w:p>
        </w:tc>
      </w:tr>
      <w:tr w14:paraId="2A8F2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3" w:hRule="atLeast"/>
          <w:jc w:val="center"/>
        </w:trPr>
        <w:tc>
          <w:tcPr>
            <w:tcW w:w="1463" w:type="dxa"/>
            <w:vMerge w:val="continue"/>
            <w:vAlign w:val="center"/>
          </w:tcPr>
          <w:p w14:paraId="3626B819">
            <w:pPr>
              <w:rPr>
                <w:color w:val="000000" w:themeColor="text1"/>
              </w:rPr>
            </w:pPr>
          </w:p>
        </w:tc>
        <w:tc>
          <w:tcPr>
            <w:tcW w:w="1050" w:type="dxa"/>
            <w:vAlign w:val="center"/>
          </w:tcPr>
          <w:p w14:paraId="3431FAD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4603" w:type="dxa"/>
            <w:gridSpan w:val="4"/>
            <w:vAlign w:val="center"/>
          </w:tcPr>
          <w:p w14:paraId="40983258">
            <w:pPr>
              <w:jc w:val="center"/>
              <w:rPr>
                <w:rFonts w:ascii="仿宋_GB2312" w:hAnsi="黑体" w:eastAsia="仿宋_GB2312" w:cs="黑体"/>
                <w:color w:val="000000" w:themeColor="text1"/>
                <w:sz w:val="15"/>
                <w:szCs w:val="15"/>
              </w:rPr>
            </w:pPr>
            <w:r>
              <w:rPr>
                <w:rFonts w:hint="eastAsia" w:ascii="仿宋_GB2312" w:eastAsia="仿宋_GB2312" w:cs="黑体"/>
                <w:color w:val="000000" w:themeColor="text1"/>
                <w:kern w:val="0"/>
                <w:sz w:val="15"/>
                <w:szCs w:val="15"/>
              </w:rPr>
              <w:t>对监督检查发现的问题，企业或单位、个人整改完成后，对整改情况组织进行核查。</w:t>
            </w:r>
          </w:p>
        </w:tc>
        <w:tc>
          <w:tcPr>
            <w:tcW w:w="1080" w:type="dxa"/>
            <w:vAlign w:val="center"/>
          </w:tcPr>
          <w:p w14:paraId="094818CB">
            <w:pPr>
              <w:jc w:val="center"/>
              <w:rPr>
                <w:rFonts w:ascii="仿宋_GB2312" w:hAnsi="黑体" w:eastAsia="仿宋_GB2312" w:cs="黑体"/>
                <w:color w:val="000000" w:themeColor="text1"/>
                <w:sz w:val="18"/>
                <w:szCs w:val="18"/>
              </w:rPr>
            </w:pPr>
          </w:p>
        </w:tc>
        <w:tc>
          <w:tcPr>
            <w:tcW w:w="2102" w:type="dxa"/>
            <w:gridSpan w:val="2"/>
            <w:vAlign w:val="center"/>
          </w:tcPr>
          <w:p w14:paraId="1BDC988E">
            <w:pPr>
              <w:jc w:val="center"/>
              <w:rPr>
                <w:rFonts w:ascii="仿宋_GB2312" w:hAnsi="黑体" w:eastAsia="仿宋_GB2312" w:cs="黑体"/>
                <w:color w:val="000000" w:themeColor="text1"/>
                <w:sz w:val="15"/>
                <w:szCs w:val="15"/>
              </w:rPr>
            </w:pPr>
            <w:r>
              <w:rPr>
                <w:rFonts w:hint="eastAsia" w:ascii="仿宋_GB2312" w:hAnsi="黑体" w:eastAsia="仿宋_GB2312" w:cs="黑体"/>
                <w:color w:val="000000" w:themeColor="text1"/>
                <w:sz w:val="15"/>
                <w:szCs w:val="15"/>
              </w:rPr>
              <w:t>区交通运输综合行政执法大队</w:t>
            </w:r>
          </w:p>
        </w:tc>
      </w:tr>
      <w:tr w14:paraId="0F4B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85" w:hRule="atLeast"/>
          <w:jc w:val="center"/>
        </w:trPr>
        <w:tc>
          <w:tcPr>
            <w:tcW w:w="1463" w:type="dxa"/>
            <w:vAlign w:val="center"/>
          </w:tcPr>
          <w:p w14:paraId="54A7355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tcPr>
          <w:p w14:paraId="1F3C3BC4">
            <w:pPr>
              <w:widowControl/>
              <w:snapToGrid w:val="0"/>
              <w:spacing w:line="240" w:lineRule="atLeast"/>
              <w:textAlignment w:val="center"/>
              <w:rPr>
                <w:rFonts w:ascii="仿宋" w:hAnsi="仿宋" w:eastAsia="仿宋" w:cs="方正小标宋简体"/>
                <w:color w:val="000000" w:themeColor="text1"/>
                <w:kern w:val="0"/>
                <w:sz w:val="15"/>
                <w:szCs w:val="15"/>
              </w:rPr>
            </w:pPr>
            <w:r>
              <w:rPr>
                <w:rFonts w:hint="eastAsia" w:ascii="仿宋" w:hAnsi="仿宋" w:eastAsia="仿宋"/>
                <w:color w:val="000000" w:themeColor="text1"/>
                <w:sz w:val="15"/>
                <w:szCs w:val="15"/>
              </w:rPr>
              <w:t>中华人民共和国道路运输条例》</w:t>
            </w:r>
            <w:r>
              <w:rPr>
                <w:rFonts w:hint="eastAsia" w:ascii="仿宋" w:hAnsi="仿宋" w:eastAsia="仿宋" w:cs="仿宋"/>
                <w:color w:val="000000" w:themeColor="text1"/>
                <w:sz w:val="15"/>
                <w:szCs w:val="15"/>
              </w:rPr>
              <w:t>国务院令第</w:t>
            </w:r>
            <w:r>
              <w:rPr>
                <w:rFonts w:ascii="仿宋" w:hAnsi="仿宋" w:eastAsia="仿宋" w:cs="仿宋"/>
                <w:color w:val="000000" w:themeColor="text1"/>
                <w:sz w:val="15"/>
                <w:szCs w:val="15"/>
              </w:rPr>
              <w:t>764</w:t>
            </w:r>
            <w:r>
              <w:rPr>
                <w:rFonts w:hint="eastAsia" w:ascii="仿宋" w:hAnsi="仿宋" w:eastAsia="仿宋" w:cs="仿宋"/>
                <w:color w:val="000000" w:themeColor="text1"/>
                <w:sz w:val="15"/>
                <w:szCs w:val="15"/>
              </w:rPr>
              <w:t>号</w:t>
            </w:r>
            <w:r>
              <w:rPr>
                <w:rFonts w:hint="eastAsia" w:ascii="仿宋" w:hAnsi="仿宋" w:eastAsia="仿宋" w:cs="仿宋_GB2312"/>
                <w:color w:val="000000" w:themeColor="text1"/>
                <w:sz w:val="15"/>
                <w:szCs w:val="15"/>
              </w:rPr>
              <w:t>第七十六条　违反本条例的规定，县级以上人民政府交通运输主管部门的工作人员有下列情形之一的，依法给予行政处分；构成犯罪的，依法追究刑事责任：（一）不依照本条例规定的条件、程序和期限实施行政许可的；（二）参与或者变相参与道路运输经营以及道路运输相关业务的；（三）发现违法行为不及时查处的；（四）违反规定拦截、检查正常行驶的道路运输车辆的；（五）违法扣留运输车辆、车辆营运证的；（六）索取、收受他人财物，或者谋取其他利益的；（七）其他违法行为。</w:t>
            </w:r>
          </w:p>
        </w:tc>
      </w:tr>
      <w:tr w14:paraId="63C30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3" w:hRule="atLeast"/>
          <w:jc w:val="center"/>
        </w:trPr>
        <w:tc>
          <w:tcPr>
            <w:tcW w:w="1463" w:type="dxa"/>
            <w:vAlign w:val="center"/>
          </w:tcPr>
          <w:p w14:paraId="420AD8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782C5F7D">
            <w:pPr>
              <w:widowControl/>
              <w:spacing w:line="240" w:lineRule="exact"/>
              <w:ind w:left="31680" w:hanging="180" w:hangingChars="100"/>
              <w:jc w:val="left"/>
              <w:textAlignment w:val="center"/>
              <w:rPr>
                <w:rFonts w:ascii="仿宋" w:hAnsi="仿宋" w:eastAsia="仿宋" w:cs="黑体"/>
                <w:color w:val="000000" w:themeColor="text1"/>
                <w:kern w:val="0"/>
                <w:sz w:val="18"/>
                <w:szCs w:val="18"/>
              </w:rPr>
            </w:pPr>
            <w:r>
              <w:rPr>
                <w:rFonts w:ascii="仿宋" w:hAnsi="仿宋" w:eastAsia="仿宋" w:cs="黑体"/>
                <w:color w:val="000000" w:themeColor="text1"/>
                <w:kern w:val="0"/>
                <w:sz w:val="18"/>
                <w:szCs w:val="18"/>
              </w:rPr>
              <w:t>1.</w:t>
            </w:r>
            <w:r>
              <w:rPr>
                <w:rFonts w:hint="eastAsia" w:ascii="仿宋" w:hAnsi="仿宋" w:eastAsia="仿宋" w:cs="黑体"/>
                <w:color w:val="000000" w:themeColor="text1"/>
                <w:kern w:val="0"/>
                <w:sz w:val="18"/>
                <w:szCs w:val="18"/>
              </w:rPr>
              <w:t>业务咨询：</w:t>
            </w:r>
            <w:r>
              <w:rPr>
                <w:rFonts w:ascii="仿宋" w:hAnsi="仿宋" w:eastAsia="仿宋" w:cs="黑体"/>
                <w:color w:val="000000" w:themeColor="text1"/>
                <w:kern w:val="0"/>
                <w:sz w:val="18"/>
                <w:szCs w:val="18"/>
              </w:rPr>
              <w:t xml:space="preserve">  6682452      2.</w:t>
            </w:r>
            <w:r>
              <w:rPr>
                <w:rFonts w:hint="eastAsia" w:ascii="仿宋" w:hAnsi="仿宋" w:eastAsia="仿宋" w:cs="黑体"/>
                <w:color w:val="000000" w:themeColor="text1"/>
                <w:kern w:val="0"/>
                <w:sz w:val="18"/>
                <w:szCs w:val="18"/>
              </w:rPr>
              <w:t>投诉举报电话：</w:t>
            </w:r>
            <w:r>
              <w:rPr>
                <w:rFonts w:ascii="仿宋" w:hAnsi="仿宋" w:eastAsia="仿宋" w:cs="黑体"/>
                <w:color w:val="000000" w:themeColor="text1"/>
                <w:kern w:val="0"/>
                <w:sz w:val="18"/>
                <w:szCs w:val="18"/>
              </w:rPr>
              <w:t>6681263</w:t>
            </w:r>
          </w:p>
          <w:p w14:paraId="68FE75F3">
            <w:pPr>
              <w:widowControl/>
              <w:spacing w:line="240" w:lineRule="exact"/>
              <w:jc w:val="left"/>
              <w:textAlignment w:val="center"/>
              <w:rPr>
                <w:rFonts w:ascii="仿宋" w:hAnsi="仿宋" w:eastAsia="仿宋" w:cs="黑体"/>
                <w:color w:val="000000" w:themeColor="text1"/>
                <w:sz w:val="18"/>
                <w:szCs w:val="18"/>
              </w:rPr>
            </w:pPr>
            <w:r>
              <w:rPr>
                <w:rFonts w:ascii="仿宋" w:hAnsi="仿宋" w:eastAsia="仿宋" w:cs="黑体"/>
                <w:color w:val="000000" w:themeColor="text1"/>
                <w:kern w:val="0"/>
                <w:sz w:val="18"/>
                <w:szCs w:val="18"/>
              </w:rPr>
              <w:t>3.</w:t>
            </w:r>
            <w:r>
              <w:rPr>
                <w:rFonts w:hint="eastAsia" w:ascii="仿宋" w:hAnsi="仿宋" w:eastAsia="仿宋" w:cs="黑体"/>
                <w:color w:val="000000" w:themeColor="text1"/>
                <w:kern w:val="0"/>
                <w:sz w:val="18"/>
                <w:szCs w:val="18"/>
              </w:rPr>
              <w:t>纪检监察投诉：抚宁区交通运输局纪检监察办公室，电话：</w:t>
            </w:r>
            <w:r>
              <w:rPr>
                <w:rFonts w:ascii="仿宋" w:hAnsi="仿宋" w:eastAsia="仿宋" w:cs="黑体"/>
                <w:color w:val="000000" w:themeColor="text1"/>
                <w:kern w:val="0"/>
                <w:sz w:val="18"/>
                <w:szCs w:val="18"/>
              </w:rPr>
              <w:t>6681263</w:t>
            </w:r>
          </w:p>
        </w:tc>
      </w:tr>
      <w:tr w14:paraId="3058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3" w:hRule="atLeast"/>
          <w:jc w:val="center"/>
        </w:trPr>
        <w:tc>
          <w:tcPr>
            <w:tcW w:w="1463" w:type="dxa"/>
            <w:vAlign w:val="center"/>
          </w:tcPr>
          <w:p w14:paraId="4C802B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7D1D0C8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3A63E26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78A0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9" w:hRule="atLeast"/>
          <w:jc w:val="center"/>
        </w:trPr>
        <w:tc>
          <w:tcPr>
            <w:tcW w:w="1463" w:type="dxa"/>
            <w:vAlign w:val="center"/>
          </w:tcPr>
          <w:p w14:paraId="1D5B5A2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7ACD982A">
            <w:pPr>
              <w:widowControl/>
              <w:jc w:val="left"/>
              <w:textAlignment w:val="center"/>
              <w:rPr>
                <w:rFonts w:ascii="黑体" w:eastAsia="黑体" w:cs="黑体"/>
                <w:color w:val="000000" w:themeColor="text1"/>
                <w:kern w:val="0"/>
                <w:sz w:val="18"/>
                <w:szCs w:val="18"/>
              </w:rPr>
            </w:pPr>
          </w:p>
        </w:tc>
      </w:tr>
    </w:tbl>
    <w:p w14:paraId="277FA11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367"/>
        <w:gridCol w:w="1564"/>
      </w:tblGrid>
      <w:tr w14:paraId="6557D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22DF32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EFCAAA5">
            <w:pPr>
              <w:jc w:val="center"/>
              <w:rPr>
                <w:rFonts w:ascii="黑体" w:eastAsia="黑体" w:cs="黑体"/>
                <w:b/>
                <w:bCs/>
                <w:color w:val="000000" w:themeColor="text1"/>
                <w:szCs w:val="21"/>
              </w:rPr>
            </w:pPr>
            <w:r>
              <w:rPr>
                <w:rFonts w:ascii="黑体" w:eastAsia="黑体" w:cs="黑体"/>
                <w:b/>
                <w:bCs/>
                <w:color w:val="000000" w:themeColor="text1"/>
                <w:szCs w:val="21"/>
              </w:rPr>
              <w:t>191</w:t>
            </w:r>
          </w:p>
        </w:tc>
        <w:tc>
          <w:tcPr>
            <w:tcW w:w="1691" w:type="dxa"/>
            <w:vAlign w:val="center"/>
          </w:tcPr>
          <w:p w14:paraId="7ABD73DA">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67356A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7412BB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0B478B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B7EE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969A04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4B5E619D">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对巡游出租汽车经营行为的监督检查</w:t>
            </w:r>
          </w:p>
        </w:tc>
      </w:tr>
      <w:tr w14:paraId="5C50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71FF10B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1FAC6209">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76B01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16" w:hRule="atLeast"/>
          <w:jc w:val="center"/>
        </w:trPr>
        <w:tc>
          <w:tcPr>
            <w:tcW w:w="1463" w:type="dxa"/>
            <w:vAlign w:val="center"/>
          </w:tcPr>
          <w:p w14:paraId="64802F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0A72EA4B">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《巡游出租汽车经营服务管理规定》第四十条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县级以上地方人民政府出租汽车行政主管部门应当加强对巡游出租汽车经营行为的监督检查，会同有关部门纠正、制止非法从事巡游出租汽车经营及其他违法行为，维护出租汽车市场秩序。第四十一条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县级以上地方人民政府出租汽车行政主管部门应当对巡游出租汽车经营者履行经营协议情况进行监督检查，并按照规定对巡游出租汽车经营者和驾驶员进行服务质量信誉考核。</w:t>
            </w:r>
            <w:r>
              <w:rPr>
                <w:rFonts w:ascii="仿宋_GB2312" w:hAnsi="黑体" w:eastAsia="仿宋_GB2312" w:cs="黑体"/>
                <w:color w:val="000000" w:themeColor="text1"/>
                <w:sz w:val="18"/>
                <w:szCs w:val="18"/>
              </w:rPr>
              <w:t xml:space="preserve">                                                2.</w:t>
            </w:r>
            <w:r>
              <w:rPr>
                <w:rFonts w:hint="eastAsia" w:ascii="仿宋_GB2312" w:hAnsi="黑体" w:eastAsia="仿宋_GB2312" w:cs="黑体"/>
                <w:color w:val="000000" w:themeColor="text1"/>
                <w:sz w:val="18"/>
                <w:szCs w:val="18"/>
              </w:rPr>
              <w:t>《河北省道路运输条例》第二条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在本省行政区域内从事道路运输经营、道路运输相关业务及其监督管理活动，适用本条例。本条例所称道路运输经营包括城市公共汽电车客运、班车客运、包车客运、旅游客运、出租汽车客运、货运经营等活动。道路运输相关业务包括道路运输站（场）经营、机动车维修、机动车驾驶员培训、汽车租赁等活动。第五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人民政府应当加强道路运输的监督管理，完善监督管理体系，健全监督管理制度，落实监督管理责任。县级以上人民政府交通运输主管部门应当加强对道路运输经营以及道路运输相关业务的监督检查，对道路运输以及相关业务经营者、从业人员实施动态监管，推行服务质量信誉考核制度，并将考核结果向社会公布。</w:t>
            </w:r>
          </w:p>
          <w:p w14:paraId="1520FAB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7E8B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529642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68201C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30D009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34" w:type="dxa"/>
            <w:gridSpan w:val="2"/>
            <w:vAlign w:val="center"/>
          </w:tcPr>
          <w:p w14:paraId="5CB87C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64" w:type="dxa"/>
            <w:vAlign w:val="center"/>
          </w:tcPr>
          <w:p w14:paraId="1A37467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480E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2E3A076">
            <w:pPr>
              <w:rPr>
                <w:color w:val="000000" w:themeColor="text1"/>
              </w:rPr>
            </w:pPr>
          </w:p>
        </w:tc>
        <w:tc>
          <w:tcPr>
            <w:tcW w:w="1050" w:type="dxa"/>
            <w:vAlign w:val="center"/>
          </w:tcPr>
          <w:p w14:paraId="708A45C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62D0587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对本辖区内巡游出租汽车经营行为监督检查；</w:t>
            </w:r>
          </w:p>
        </w:tc>
        <w:tc>
          <w:tcPr>
            <w:tcW w:w="934" w:type="dxa"/>
            <w:gridSpan w:val="2"/>
            <w:vAlign w:val="center"/>
          </w:tcPr>
          <w:p w14:paraId="3E7242F9">
            <w:pPr>
              <w:jc w:val="center"/>
              <w:rPr>
                <w:rFonts w:ascii="仿宋_GB2312" w:hAnsi="黑体" w:eastAsia="仿宋_GB2312" w:cs="黑体"/>
                <w:color w:val="000000" w:themeColor="text1"/>
                <w:sz w:val="18"/>
                <w:szCs w:val="18"/>
              </w:rPr>
            </w:pPr>
          </w:p>
        </w:tc>
        <w:tc>
          <w:tcPr>
            <w:tcW w:w="1564" w:type="dxa"/>
            <w:vAlign w:val="center"/>
          </w:tcPr>
          <w:p w14:paraId="5BC663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DD5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672C3AE2">
            <w:pPr>
              <w:rPr>
                <w:color w:val="000000" w:themeColor="text1"/>
              </w:rPr>
            </w:pPr>
          </w:p>
        </w:tc>
        <w:tc>
          <w:tcPr>
            <w:tcW w:w="1050" w:type="dxa"/>
            <w:vAlign w:val="center"/>
          </w:tcPr>
          <w:p w14:paraId="77EDAA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29588B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34" w:type="dxa"/>
            <w:gridSpan w:val="2"/>
            <w:vAlign w:val="center"/>
          </w:tcPr>
          <w:p w14:paraId="1B462A60">
            <w:pPr>
              <w:jc w:val="center"/>
              <w:rPr>
                <w:rFonts w:ascii="仿宋_GB2312" w:hAnsi="黑体" w:eastAsia="仿宋_GB2312" w:cs="黑体"/>
                <w:color w:val="000000" w:themeColor="text1"/>
                <w:sz w:val="18"/>
                <w:szCs w:val="18"/>
              </w:rPr>
            </w:pPr>
          </w:p>
        </w:tc>
        <w:tc>
          <w:tcPr>
            <w:tcW w:w="1564" w:type="dxa"/>
            <w:vAlign w:val="center"/>
          </w:tcPr>
          <w:p w14:paraId="3E44EEA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F11C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0038FCD6">
            <w:pPr>
              <w:rPr>
                <w:color w:val="000000" w:themeColor="text1"/>
              </w:rPr>
            </w:pPr>
          </w:p>
        </w:tc>
        <w:tc>
          <w:tcPr>
            <w:tcW w:w="1050" w:type="dxa"/>
            <w:vAlign w:val="center"/>
          </w:tcPr>
          <w:p w14:paraId="5584F57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37E6FEA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及时予以公告，对构成违法犯罪的移交司法机关；</w:t>
            </w:r>
          </w:p>
        </w:tc>
        <w:tc>
          <w:tcPr>
            <w:tcW w:w="934" w:type="dxa"/>
            <w:gridSpan w:val="2"/>
            <w:vAlign w:val="center"/>
          </w:tcPr>
          <w:p w14:paraId="479E1CBA">
            <w:pPr>
              <w:jc w:val="center"/>
              <w:rPr>
                <w:rFonts w:ascii="仿宋_GB2312" w:hAnsi="黑体" w:eastAsia="仿宋_GB2312" w:cs="黑体"/>
                <w:color w:val="000000" w:themeColor="text1"/>
                <w:sz w:val="18"/>
                <w:szCs w:val="18"/>
              </w:rPr>
            </w:pPr>
          </w:p>
        </w:tc>
        <w:tc>
          <w:tcPr>
            <w:tcW w:w="1564" w:type="dxa"/>
            <w:vAlign w:val="center"/>
          </w:tcPr>
          <w:p w14:paraId="4F0650E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CB8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3" w:hRule="atLeast"/>
          <w:jc w:val="center"/>
        </w:trPr>
        <w:tc>
          <w:tcPr>
            <w:tcW w:w="1463" w:type="dxa"/>
            <w:vMerge w:val="continue"/>
            <w:vAlign w:val="center"/>
          </w:tcPr>
          <w:p w14:paraId="3C55A7E8">
            <w:pPr>
              <w:rPr>
                <w:color w:val="000000" w:themeColor="text1"/>
              </w:rPr>
            </w:pPr>
          </w:p>
        </w:tc>
        <w:tc>
          <w:tcPr>
            <w:tcW w:w="1050" w:type="dxa"/>
            <w:vAlign w:val="center"/>
          </w:tcPr>
          <w:p w14:paraId="52BEE9A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543630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对监督检查发现的问题，巡游出租汽车经营者整改完成后，对整改情况组织进行核查；</w:t>
            </w:r>
          </w:p>
        </w:tc>
        <w:tc>
          <w:tcPr>
            <w:tcW w:w="934" w:type="dxa"/>
            <w:gridSpan w:val="2"/>
            <w:vAlign w:val="center"/>
          </w:tcPr>
          <w:p w14:paraId="59CAB15A">
            <w:pPr>
              <w:jc w:val="center"/>
              <w:rPr>
                <w:rFonts w:ascii="仿宋_GB2312" w:hAnsi="黑体" w:eastAsia="仿宋_GB2312" w:cs="黑体"/>
                <w:color w:val="000000" w:themeColor="text1"/>
                <w:sz w:val="18"/>
                <w:szCs w:val="18"/>
              </w:rPr>
            </w:pPr>
          </w:p>
        </w:tc>
        <w:tc>
          <w:tcPr>
            <w:tcW w:w="1564" w:type="dxa"/>
            <w:vAlign w:val="center"/>
          </w:tcPr>
          <w:p w14:paraId="64334A0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999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318" w:hRule="atLeast"/>
          <w:jc w:val="center"/>
        </w:trPr>
        <w:tc>
          <w:tcPr>
            <w:tcW w:w="1463" w:type="dxa"/>
            <w:vAlign w:val="center"/>
          </w:tcPr>
          <w:p w14:paraId="5177424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58C2000D">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《巡游出租汽车经营服务管理规定》（</w:t>
            </w:r>
            <w:r>
              <w:rPr>
                <w:rFonts w:hint="eastAsia" w:ascii="仿宋_GB2312" w:eastAsia="仿宋_GB2312" w:cs="仿宋_GB2312"/>
                <w:color w:val="000000" w:themeColor="text1"/>
                <w:kern w:val="0"/>
                <w:sz w:val="18"/>
                <w:szCs w:val="18"/>
                <w:lang w:eastAsia="zh-CN"/>
              </w:rPr>
              <w:t>中华人民共和国</w:t>
            </w:r>
            <w:r>
              <w:rPr>
                <w:rFonts w:hint="eastAsia" w:ascii="仿宋_GB2312" w:hAnsi="黑体" w:eastAsia="仿宋_GB2312" w:cs="黑体"/>
                <w:color w:val="000000" w:themeColor="text1"/>
                <w:sz w:val="18"/>
                <w:szCs w:val="18"/>
              </w:rPr>
              <w:t>交通运输部令</w:t>
            </w:r>
            <w:r>
              <w:rPr>
                <w:rFonts w:ascii="仿宋_GB2312" w:hAnsi="黑体" w:eastAsia="仿宋_GB2312" w:cs="黑体"/>
                <w:color w:val="000000" w:themeColor="text1"/>
                <w:sz w:val="18"/>
                <w:szCs w:val="18"/>
              </w:rPr>
              <w:t>2021</w:t>
            </w:r>
            <w:r>
              <w:rPr>
                <w:rFonts w:hint="eastAsia" w:ascii="仿宋_GB2312" w:hAnsi="黑体" w:eastAsia="仿宋_GB2312" w:cs="黑体"/>
                <w:color w:val="000000" w:themeColor="text1"/>
                <w:sz w:val="18"/>
                <w:szCs w:val="18"/>
              </w:rPr>
              <w:t>年第</w:t>
            </w:r>
            <w:r>
              <w:rPr>
                <w:rFonts w:ascii="仿宋_GB2312" w:hAnsi="黑体" w:eastAsia="仿宋_GB2312" w:cs="黑体"/>
                <w:color w:val="000000" w:themeColor="text1"/>
                <w:sz w:val="18"/>
                <w:szCs w:val="18"/>
              </w:rPr>
              <w:t>16</w:t>
            </w:r>
            <w:r>
              <w:rPr>
                <w:rFonts w:hint="eastAsia" w:ascii="仿宋_GB2312" w:hAnsi="黑体" w:eastAsia="仿宋_GB2312" w:cs="黑体"/>
                <w:color w:val="000000" w:themeColor="text1"/>
                <w:sz w:val="18"/>
                <w:szCs w:val="18"/>
              </w:rPr>
              <w:t>号）第四十九条出租汽车行政主管部门的工作人员违反本规定，有下列情形之一的，依照有关规定给予行政处分；构成犯罪的，依法追究刑事责任：</w:t>
            </w:r>
          </w:p>
          <w:p w14:paraId="564E3407">
            <w:pPr>
              <w:spacing w:line="240" w:lineRule="exact"/>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未按规定的条件、程序和期限实施行政许可的；</w:t>
            </w:r>
          </w:p>
          <w:p w14:paraId="44606660">
            <w:pPr>
              <w:spacing w:line="240" w:lineRule="exact"/>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参与或者变相参与巡游出租汽车经营的；</w:t>
            </w:r>
          </w:p>
          <w:p w14:paraId="6BD0E665">
            <w:pPr>
              <w:spacing w:line="240" w:lineRule="exact"/>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发现违法行为不及时查处的；</w:t>
            </w:r>
          </w:p>
          <w:p w14:paraId="759C2344">
            <w:pPr>
              <w:spacing w:line="240" w:lineRule="exact"/>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索取、收受他人财物，或者谋取其他利益的；</w:t>
            </w:r>
          </w:p>
          <w:p w14:paraId="29F97590">
            <w:pPr>
              <w:spacing w:line="240" w:lineRule="exact"/>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rPr>
              <w:t>其他违法行为。</w:t>
            </w:r>
          </w:p>
        </w:tc>
      </w:tr>
      <w:tr w14:paraId="2367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12" w:hRule="atLeast"/>
          <w:jc w:val="center"/>
        </w:trPr>
        <w:tc>
          <w:tcPr>
            <w:tcW w:w="1463" w:type="dxa"/>
            <w:vAlign w:val="center"/>
          </w:tcPr>
          <w:p w14:paraId="7F85B6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5BEF547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6181263</w:t>
            </w:r>
          </w:p>
          <w:p w14:paraId="1232506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FDD6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6D6BCC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7AA9C75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5B36209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5DD1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91" w:hRule="atLeast"/>
          <w:jc w:val="center"/>
        </w:trPr>
        <w:tc>
          <w:tcPr>
            <w:tcW w:w="1463" w:type="dxa"/>
            <w:vAlign w:val="center"/>
          </w:tcPr>
          <w:p w14:paraId="7AD892D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356502D1">
            <w:pPr>
              <w:widowControl/>
              <w:jc w:val="left"/>
              <w:textAlignment w:val="center"/>
              <w:rPr>
                <w:rFonts w:ascii="黑体" w:eastAsia="黑体" w:cs="黑体"/>
                <w:color w:val="000000" w:themeColor="text1"/>
                <w:kern w:val="0"/>
                <w:sz w:val="18"/>
                <w:szCs w:val="18"/>
              </w:rPr>
            </w:pPr>
          </w:p>
        </w:tc>
      </w:tr>
    </w:tbl>
    <w:p w14:paraId="4CC4398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549"/>
        <w:gridCol w:w="1382"/>
      </w:tblGrid>
      <w:tr w14:paraId="55D93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2B0CC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9FEA058">
            <w:pPr>
              <w:jc w:val="center"/>
              <w:rPr>
                <w:rFonts w:ascii="黑体" w:eastAsia="黑体" w:cs="黑体"/>
                <w:b/>
                <w:bCs/>
                <w:color w:val="000000" w:themeColor="text1"/>
                <w:szCs w:val="21"/>
              </w:rPr>
            </w:pPr>
            <w:r>
              <w:rPr>
                <w:rFonts w:ascii="黑体" w:eastAsia="黑体" w:cs="黑体"/>
                <w:b/>
                <w:bCs/>
                <w:color w:val="000000" w:themeColor="text1"/>
                <w:szCs w:val="21"/>
              </w:rPr>
              <w:t>192</w:t>
            </w:r>
          </w:p>
        </w:tc>
        <w:tc>
          <w:tcPr>
            <w:tcW w:w="1691" w:type="dxa"/>
            <w:vAlign w:val="center"/>
          </w:tcPr>
          <w:p w14:paraId="4FD2C3B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E55925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4110A2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B4C74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53A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A1EEF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2CC5E062">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对网约车市场的监督检查</w:t>
            </w:r>
          </w:p>
        </w:tc>
      </w:tr>
      <w:tr w14:paraId="417B5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3A22D4E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20F3216F">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45830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08" w:hRule="atLeast"/>
          <w:jc w:val="center"/>
        </w:trPr>
        <w:tc>
          <w:tcPr>
            <w:tcW w:w="1463" w:type="dxa"/>
            <w:vAlign w:val="center"/>
          </w:tcPr>
          <w:p w14:paraId="0BBB1D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61CAE1F1">
            <w:pP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《网络预约出租汽车经营服务管理暂行办法》</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第二十九条第二款</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出租汽车行政主管部门应当加强对网约车市场监管，加强对网约车平台公司、车辆和驾驶员的资质审查与证件核发管理。</w:t>
            </w:r>
            <w:r>
              <w:rPr>
                <w:rFonts w:ascii="仿宋_GB2312" w:hAnsi="黑体" w:eastAsia="仿宋_GB2312" w:cs="黑体"/>
                <w:color w:val="000000" w:themeColor="text1"/>
                <w:sz w:val="18"/>
                <w:szCs w:val="18"/>
              </w:rPr>
              <w:t xml:space="preserve">                                          </w:t>
            </w:r>
          </w:p>
          <w:p w14:paraId="14CDF8A1">
            <w:pP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《河北省道路运输条例》第二条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在本省行政区域内从事道路运输经营、道路运输相关业务及其监督管理活动，适用本条例。本条例所称道路运输经营包括城市公共汽电车客运、班车客运、包车客运、旅游客运、出租汽车客运、货运经营等活动。道路运输相关业务包括道路运输站（场）经营、机动车维修、机动车驾驶员培训、汽车租赁等活动。第五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人民政府应当加强道路运输的监督管理，完善监督管理体系，健全监督管理制度，落实监督管理责任。县级以上人民政府交通运输主管部门应当加强对道路运输经营以及道路运输相关业务的监督检查，对道路运输以及相关业务经营者、从业人员实施动态监管，推行服务质量信誉考核制度，并将考核结果向社会公布。</w:t>
            </w:r>
          </w:p>
          <w:p w14:paraId="18EBE623">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1E6FA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08AA6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88614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29B786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116" w:type="dxa"/>
            <w:gridSpan w:val="2"/>
            <w:vAlign w:val="center"/>
          </w:tcPr>
          <w:p w14:paraId="149BCB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382" w:type="dxa"/>
            <w:vAlign w:val="center"/>
          </w:tcPr>
          <w:p w14:paraId="1922F29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2ACC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1B65DEA7">
            <w:pPr>
              <w:rPr>
                <w:color w:val="000000" w:themeColor="text1"/>
              </w:rPr>
            </w:pPr>
          </w:p>
        </w:tc>
        <w:tc>
          <w:tcPr>
            <w:tcW w:w="1050" w:type="dxa"/>
            <w:vAlign w:val="center"/>
          </w:tcPr>
          <w:p w14:paraId="5EDDEE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1DBCE8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对本辖区内网约车市场监督检查；</w:t>
            </w:r>
          </w:p>
        </w:tc>
        <w:tc>
          <w:tcPr>
            <w:tcW w:w="1116" w:type="dxa"/>
            <w:gridSpan w:val="2"/>
            <w:vAlign w:val="center"/>
          </w:tcPr>
          <w:p w14:paraId="323E941F">
            <w:pPr>
              <w:jc w:val="center"/>
              <w:rPr>
                <w:rFonts w:ascii="仿宋_GB2312" w:hAnsi="黑体" w:eastAsia="仿宋_GB2312" w:cs="黑体"/>
                <w:color w:val="000000" w:themeColor="text1"/>
                <w:sz w:val="18"/>
                <w:szCs w:val="18"/>
              </w:rPr>
            </w:pPr>
          </w:p>
        </w:tc>
        <w:tc>
          <w:tcPr>
            <w:tcW w:w="1382" w:type="dxa"/>
            <w:vAlign w:val="center"/>
          </w:tcPr>
          <w:p w14:paraId="42DB08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E99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53390DB">
            <w:pPr>
              <w:rPr>
                <w:color w:val="000000" w:themeColor="text1"/>
              </w:rPr>
            </w:pPr>
          </w:p>
        </w:tc>
        <w:tc>
          <w:tcPr>
            <w:tcW w:w="1050" w:type="dxa"/>
            <w:vAlign w:val="center"/>
          </w:tcPr>
          <w:p w14:paraId="7AA903F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5ED9595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1116" w:type="dxa"/>
            <w:gridSpan w:val="2"/>
            <w:vAlign w:val="center"/>
          </w:tcPr>
          <w:p w14:paraId="5F70853A">
            <w:pPr>
              <w:jc w:val="center"/>
              <w:rPr>
                <w:rFonts w:ascii="仿宋_GB2312" w:hAnsi="黑体" w:eastAsia="仿宋_GB2312" w:cs="黑体"/>
                <w:color w:val="000000" w:themeColor="text1"/>
                <w:sz w:val="18"/>
                <w:szCs w:val="18"/>
              </w:rPr>
            </w:pPr>
          </w:p>
        </w:tc>
        <w:tc>
          <w:tcPr>
            <w:tcW w:w="1382" w:type="dxa"/>
            <w:vAlign w:val="center"/>
          </w:tcPr>
          <w:p w14:paraId="043021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7D71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510BF874">
            <w:pPr>
              <w:rPr>
                <w:color w:val="000000" w:themeColor="text1"/>
              </w:rPr>
            </w:pPr>
          </w:p>
        </w:tc>
        <w:tc>
          <w:tcPr>
            <w:tcW w:w="1050" w:type="dxa"/>
            <w:vAlign w:val="center"/>
          </w:tcPr>
          <w:p w14:paraId="6E1D3B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18D367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及时予以公告，对构成违法犯罪的移交司法机关；</w:t>
            </w:r>
          </w:p>
        </w:tc>
        <w:tc>
          <w:tcPr>
            <w:tcW w:w="1116" w:type="dxa"/>
            <w:gridSpan w:val="2"/>
            <w:vAlign w:val="center"/>
          </w:tcPr>
          <w:p w14:paraId="2B37A4B4">
            <w:pPr>
              <w:jc w:val="center"/>
              <w:rPr>
                <w:rFonts w:ascii="仿宋_GB2312" w:hAnsi="黑体" w:eastAsia="仿宋_GB2312" w:cs="黑体"/>
                <w:color w:val="000000" w:themeColor="text1"/>
                <w:sz w:val="18"/>
                <w:szCs w:val="18"/>
              </w:rPr>
            </w:pPr>
          </w:p>
        </w:tc>
        <w:tc>
          <w:tcPr>
            <w:tcW w:w="1382" w:type="dxa"/>
            <w:vAlign w:val="center"/>
          </w:tcPr>
          <w:p w14:paraId="11C98B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50C1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62" w:hRule="atLeast"/>
          <w:jc w:val="center"/>
        </w:trPr>
        <w:tc>
          <w:tcPr>
            <w:tcW w:w="1463" w:type="dxa"/>
            <w:vMerge w:val="continue"/>
            <w:vAlign w:val="center"/>
          </w:tcPr>
          <w:p w14:paraId="3628D8DB">
            <w:pPr>
              <w:rPr>
                <w:color w:val="000000" w:themeColor="text1"/>
              </w:rPr>
            </w:pPr>
          </w:p>
        </w:tc>
        <w:tc>
          <w:tcPr>
            <w:tcW w:w="1050" w:type="dxa"/>
            <w:vAlign w:val="center"/>
          </w:tcPr>
          <w:p w14:paraId="0B3BE5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7925138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对监督检查发现的问题，网约车平台或个人整改完成后，对整改情况组织进行核查；</w:t>
            </w:r>
          </w:p>
        </w:tc>
        <w:tc>
          <w:tcPr>
            <w:tcW w:w="1116" w:type="dxa"/>
            <w:gridSpan w:val="2"/>
            <w:vAlign w:val="center"/>
          </w:tcPr>
          <w:p w14:paraId="40D42846">
            <w:pPr>
              <w:jc w:val="center"/>
              <w:rPr>
                <w:rFonts w:ascii="仿宋_GB2312" w:hAnsi="黑体" w:eastAsia="仿宋_GB2312" w:cs="黑体"/>
                <w:color w:val="000000" w:themeColor="text1"/>
                <w:sz w:val="18"/>
                <w:szCs w:val="18"/>
              </w:rPr>
            </w:pPr>
          </w:p>
        </w:tc>
        <w:tc>
          <w:tcPr>
            <w:tcW w:w="1382" w:type="dxa"/>
            <w:vAlign w:val="center"/>
          </w:tcPr>
          <w:p w14:paraId="404CB49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C9EA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15" w:hRule="atLeast"/>
          <w:jc w:val="center"/>
        </w:trPr>
        <w:tc>
          <w:tcPr>
            <w:tcW w:w="1463" w:type="dxa"/>
            <w:vAlign w:val="center"/>
          </w:tcPr>
          <w:p w14:paraId="198130F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33719A00">
            <w:pPr>
              <w:spacing w:line="240" w:lineRule="exact"/>
              <w:rPr>
                <w:rFonts w:ascii="黑体" w:eastAsia="黑体" w:cs="黑体"/>
                <w:color w:val="000000" w:themeColor="text1"/>
                <w:szCs w:val="21"/>
              </w:rPr>
            </w:pPr>
            <w:bookmarkStart w:id="30" w:name="OLE_LINK38"/>
            <w:r>
              <w:rPr>
                <w:rFonts w:hint="eastAsia" w:ascii="仿宋" w:hAnsi="仿宋" w:eastAsia="仿宋" w:cs="仿宋_GB2312"/>
                <w:color w:val="000000" w:themeColor="text1"/>
                <w:sz w:val="18"/>
                <w:szCs w:val="18"/>
              </w:rPr>
              <w:t>《中华人民共和国监察法》</w:t>
            </w:r>
            <w:r>
              <w:rPr>
                <w:rFonts w:hint="eastAsia" w:ascii="仿宋" w:hAnsi="仿宋" w:eastAsia="仿宋" w:cs="仿宋_GB2312"/>
                <w:color w:val="000000" w:themeColor="text1"/>
                <w:kern w:val="0"/>
                <w:sz w:val="18"/>
                <w:szCs w:val="18"/>
              </w:rPr>
              <w:t>《中华人民共和国行政处罚法》</w:t>
            </w:r>
            <w:r>
              <w:rPr>
                <w:rFonts w:hint="eastAsia" w:ascii="仿宋" w:hAns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hAnsi="仿宋" w:eastAsia="仿宋" w:cs="仿宋_GB2312"/>
                <w:color w:val="000000" w:themeColor="text1"/>
                <w:kern w:val="0"/>
                <w:sz w:val="18"/>
                <w:szCs w:val="18"/>
              </w:rPr>
              <w:t>《河北省行政执法监督条例》等规定的追责情形。</w:t>
            </w:r>
            <w:bookmarkEnd w:id="30"/>
          </w:p>
        </w:tc>
      </w:tr>
      <w:tr w14:paraId="7C013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8" w:hRule="atLeast"/>
          <w:jc w:val="center"/>
        </w:trPr>
        <w:tc>
          <w:tcPr>
            <w:tcW w:w="1463" w:type="dxa"/>
            <w:vAlign w:val="center"/>
          </w:tcPr>
          <w:p w14:paraId="593DFF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078B6EB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3BE0361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CBD8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72B62B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251AD03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60A5DE1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6AEB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78" w:hRule="atLeast"/>
          <w:jc w:val="center"/>
        </w:trPr>
        <w:tc>
          <w:tcPr>
            <w:tcW w:w="1463" w:type="dxa"/>
            <w:vAlign w:val="center"/>
          </w:tcPr>
          <w:p w14:paraId="4CC9098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0C1BE7B9">
            <w:pPr>
              <w:widowControl/>
              <w:jc w:val="left"/>
              <w:textAlignment w:val="center"/>
              <w:rPr>
                <w:rFonts w:ascii="黑体" w:eastAsia="黑体" w:cs="黑体"/>
                <w:color w:val="000000" w:themeColor="text1"/>
                <w:kern w:val="0"/>
                <w:sz w:val="18"/>
                <w:szCs w:val="18"/>
              </w:rPr>
            </w:pPr>
          </w:p>
        </w:tc>
      </w:tr>
    </w:tbl>
    <w:p w14:paraId="77DBEB12">
      <w:pPr>
        <w:widowControl/>
        <w:jc w:val="center"/>
        <w:textAlignment w:val="center"/>
        <w:rPr>
          <w:rFonts w:ascii="方正小标宋简体" w:eastAsia="方正小标宋简体" w:cs="方正小标宋简体"/>
          <w:color w:val="000000" w:themeColor="text1"/>
          <w:kern w:val="0"/>
          <w:sz w:val="44"/>
          <w:szCs w:val="44"/>
        </w:rPr>
      </w:pPr>
    </w:p>
    <w:p w14:paraId="67E7E81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367"/>
        <w:gridCol w:w="1564"/>
      </w:tblGrid>
      <w:tr w14:paraId="43AE3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09306E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A943D99">
            <w:pPr>
              <w:jc w:val="center"/>
              <w:rPr>
                <w:rFonts w:ascii="黑体" w:eastAsia="黑体" w:cs="黑体"/>
                <w:b/>
                <w:bCs/>
                <w:color w:val="000000" w:themeColor="text1"/>
                <w:szCs w:val="21"/>
              </w:rPr>
            </w:pPr>
            <w:r>
              <w:rPr>
                <w:rFonts w:ascii="黑体" w:eastAsia="黑体" w:cs="黑体"/>
                <w:b/>
                <w:bCs/>
                <w:color w:val="000000" w:themeColor="text1"/>
                <w:szCs w:val="21"/>
              </w:rPr>
              <w:t>193</w:t>
            </w:r>
          </w:p>
        </w:tc>
        <w:tc>
          <w:tcPr>
            <w:tcW w:w="1691" w:type="dxa"/>
            <w:vAlign w:val="center"/>
          </w:tcPr>
          <w:p w14:paraId="4A376EF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0C3978A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72228D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A662DC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6DE6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0D44B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0220B7E9">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对城市公共汽车和电车客运的监督检查</w:t>
            </w:r>
          </w:p>
        </w:tc>
      </w:tr>
      <w:tr w14:paraId="02750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F4608E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71D3BBE7">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48B6B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16" w:hRule="atLeast"/>
          <w:jc w:val="center"/>
        </w:trPr>
        <w:tc>
          <w:tcPr>
            <w:tcW w:w="1463" w:type="dxa"/>
            <w:vAlign w:val="center"/>
          </w:tcPr>
          <w:p w14:paraId="6E83FC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005BF1DD">
            <w:pPr>
              <w:spacing w:line="240" w:lineRule="exact"/>
              <w:jc w:val="left"/>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【法律法规】</w:t>
            </w:r>
            <w:r>
              <w:rPr>
                <w:rFonts w:ascii="仿宋" w:hAnsi="仿宋" w:eastAsia="仿宋" w:cs="黑体"/>
                <w:color w:val="000000" w:themeColor="text1"/>
                <w:sz w:val="18"/>
                <w:szCs w:val="18"/>
              </w:rPr>
              <w:t>1.</w:t>
            </w:r>
            <w:r>
              <w:rPr>
                <w:rFonts w:hint="eastAsia" w:ascii="仿宋" w:hAnsi="仿宋" w:eastAsia="仿宋" w:cs="黑体"/>
                <w:color w:val="000000" w:themeColor="text1"/>
                <w:sz w:val="18"/>
                <w:szCs w:val="18"/>
              </w:rPr>
              <w:t>《城市公共汽车和电车客运管理规定》第五十一条</w:t>
            </w:r>
            <w:r>
              <w:rPr>
                <w:rFonts w:ascii="仿宋" w:hAnsi="仿宋" w:eastAsia="仿宋" w:cs="黑体"/>
                <w:color w:val="000000" w:themeColor="text1"/>
                <w:sz w:val="18"/>
                <w:szCs w:val="18"/>
              </w:rPr>
              <w:t xml:space="preserve"> </w:t>
            </w:r>
            <w:r>
              <w:rPr>
                <w:rFonts w:hint="eastAsia" w:ascii="仿宋" w:hAnsi="仿宋" w:eastAsia="仿宋" w:cs="黑体"/>
                <w:color w:val="000000" w:themeColor="text1"/>
                <w:sz w:val="18"/>
                <w:szCs w:val="18"/>
              </w:rPr>
              <w:t>城市公共交通主管部门应当会同有关部门，定期进行安全检查，督促运营企业及时采取措施消除各种安全隐患。第五十五条</w:t>
            </w:r>
            <w:r>
              <w:rPr>
                <w:rFonts w:ascii="仿宋" w:hAnsi="仿宋" w:eastAsia="仿宋" w:cs="黑体"/>
                <w:color w:val="000000" w:themeColor="text1"/>
                <w:sz w:val="18"/>
                <w:szCs w:val="18"/>
              </w:rPr>
              <w:t xml:space="preserve"> </w:t>
            </w:r>
            <w:r>
              <w:rPr>
                <w:rFonts w:hint="eastAsia" w:ascii="仿宋" w:hAnsi="仿宋" w:eastAsia="仿宋" w:cs="黑体"/>
                <w:color w:val="000000" w:themeColor="text1"/>
                <w:sz w:val="18"/>
                <w:szCs w:val="18"/>
              </w:rPr>
              <w:t>城市公共交通主管部门应当建立“双随机”抽查制度，并定期对城市公共汽电车客运进行监督检查，维护正常的运营秩序，保障运营服务质量。</w:t>
            </w:r>
            <w:r>
              <w:rPr>
                <w:rFonts w:ascii="仿宋" w:hAnsi="仿宋" w:eastAsia="仿宋" w:cs="黑体"/>
                <w:color w:val="000000" w:themeColor="text1"/>
                <w:sz w:val="18"/>
                <w:szCs w:val="18"/>
              </w:rPr>
              <w:t xml:space="preserve">                                       </w:t>
            </w:r>
          </w:p>
          <w:p w14:paraId="43FA70D6">
            <w:pPr>
              <w:spacing w:line="240" w:lineRule="exact"/>
              <w:jc w:val="left"/>
              <w:rPr>
                <w:rFonts w:ascii="仿宋" w:hAnsi="仿宋" w:eastAsia="仿宋" w:cs="黑体"/>
                <w:color w:val="000000" w:themeColor="text1"/>
                <w:sz w:val="18"/>
                <w:szCs w:val="18"/>
              </w:rPr>
            </w:pPr>
            <w:r>
              <w:rPr>
                <w:rFonts w:ascii="仿宋" w:hAnsi="仿宋" w:eastAsia="仿宋" w:cs="黑体"/>
                <w:color w:val="000000" w:themeColor="text1"/>
                <w:sz w:val="18"/>
                <w:szCs w:val="18"/>
              </w:rPr>
              <w:t>2.</w:t>
            </w:r>
            <w:r>
              <w:rPr>
                <w:rFonts w:hint="eastAsia" w:ascii="仿宋" w:hAnsi="仿宋" w:eastAsia="仿宋" w:cs="黑体"/>
                <w:color w:val="000000" w:themeColor="text1"/>
                <w:sz w:val="18"/>
                <w:szCs w:val="18"/>
              </w:rPr>
              <w:t>《河北省道路运输条例》第二条</w:t>
            </w:r>
            <w:r>
              <w:rPr>
                <w:rFonts w:ascii="仿宋" w:hAnsi="仿宋" w:eastAsia="仿宋" w:cs="黑体"/>
                <w:color w:val="000000" w:themeColor="text1"/>
                <w:sz w:val="18"/>
                <w:szCs w:val="18"/>
              </w:rPr>
              <w:t xml:space="preserve">  </w:t>
            </w:r>
            <w:r>
              <w:rPr>
                <w:rFonts w:hint="eastAsia" w:ascii="仿宋" w:hAnsi="仿宋" w:eastAsia="仿宋" w:cs="黑体"/>
                <w:color w:val="000000" w:themeColor="text1"/>
                <w:sz w:val="18"/>
                <w:szCs w:val="18"/>
              </w:rPr>
              <w:t>在本省行政区域内从事道路运输经营、道路运输相关业务及其监督管理活动，适用本条例。本条例所称道路运输经营包括城市公共汽电车客运、班车客运、包车客运、旅游客运、出租汽车客运、货运经营等活动。道路运输相关业务包括道路运输站（场）经营、机动车维修、机动车驾驶员培训、汽车租赁等活动。第五十一条</w:t>
            </w:r>
            <w:r>
              <w:rPr>
                <w:rFonts w:ascii="仿宋" w:hAnsi="仿宋" w:eastAsia="仿宋" w:cs="黑体"/>
                <w:color w:val="000000" w:themeColor="text1"/>
                <w:sz w:val="18"/>
                <w:szCs w:val="18"/>
              </w:rPr>
              <w:t xml:space="preserve">  </w:t>
            </w:r>
            <w:r>
              <w:rPr>
                <w:rFonts w:hint="eastAsia" w:ascii="仿宋" w:hAnsi="仿宋" w:eastAsia="仿宋" w:cs="黑体"/>
                <w:color w:val="000000" w:themeColor="text1"/>
                <w:sz w:val="18"/>
                <w:szCs w:val="18"/>
              </w:rPr>
              <w:t>县级以上人民政府应当加强道路运输的监督管理，完善监督管理体系，健全监督管理制度，落实监督管理责任。县级以上人民政府交通运输主管部门应当加强对道路运输经营以及道路运输相关业务的监督检查，对道路运输以及相关业务经营者、从业人员实施动态监管，推行服务质量信誉考核制度，并将考核结果向社会公布。</w:t>
            </w:r>
          </w:p>
          <w:p w14:paraId="25755EB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3FBC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2E8D349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1DA32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621F42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34" w:type="dxa"/>
            <w:gridSpan w:val="2"/>
            <w:vAlign w:val="center"/>
          </w:tcPr>
          <w:p w14:paraId="53F385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64" w:type="dxa"/>
            <w:vAlign w:val="center"/>
          </w:tcPr>
          <w:p w14:paraId="3898966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ED86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20A7A64E">
            <w:pPr>
              <w:rPr>
                <w:color w:val="000000" w:themeColor="text1"/>
              </w:rPr>
            </w:pPr>
          </w:p>
        </w:tc>
        <w:tc>
          <w:tcPr>
            <w:tcW w:w="1050" w:type="dxa"/>
            <w:vAlign w:val="center"/>
          </w:tcPr>
          <w:p w14:paraId="38D886F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0473D1E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对本辖区内城市公共汽车和电车客运进行监督检查；</w:t>
            </w:r>
          </w:p>
        </w:tc>
        <w:tc>
          <w:tcPr>
            <w:tcW w:w="934" w:type="dxa"/>
            <w:gridSpan w:val="2"/>
            <w:vAlign w:val="center"/>
          </w:tcPr>
          <w:p w14:paraId="211E9FED">
            <w:pPr>
              <w:jc w:val="center"/>
              <w:rPr>
                <w:rFonts w:ascii="仿宋_GB2312" w:hAnsi="黑体" w:eastAsia="仿宋_GB2312" w:cs="黑体"/>
                <w:color w:val="000000" w:themeColor="text1"/>
                <w:sz w:val="18"/>
                <w:szCs w:val="18"/>
              </w:rPr>
            </w:pPr>
          </w:p>
        </w:tc>
        <w:tc>
          <w:tcPr>
            <w:tcW w:w="1564" w:type="dxa"/>
            <w:vAlign w:val="center"/>
          </w:tcPr>
          <w:p w14:paraId="279315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30FD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9370552">
            <w:pPr>
              <w:rPr>
                <w:color w:val="000000" w:themeColor="text1"/>
              </w:rPr>
            </w:pPr>
          </w:p>
        </w:tc>
        <w:tc>
          <w:tcPr>
            <w:tcW w:w="1050" w:type="dxa"/>
            <w:vAlign w:val="center"/>
          </w:tcPr>
          <w:p w14:paraId="0220F0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1C0C7F8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34" w:type="dxa"/>
            <w:gridSpan w:val="2"/>
            <w:vAlign w:val="center"/>
          </w:tcPr>
          <w:p w14:paraId="6EBC4C2C">
            <w:pPr>
              <w:jc w:val="center"/>
              <w:rPr>
                <w:rFonts w:ascii="仿宋_GB2312" w:hAnsi="黑体" w:eastAsia="仿宋_GB2312" w:cs="黑体"/>
                <w:color w:val="000000" w:themeColor="text1"/>
                <w:sz w:val="18"/>
                <w:szCs w:val="18"/>
              </w:rPr>
            </w:pPr>
          </w:p>
        </w:tc>
        <w:tc>
          <w:tcPr>
            <w:tcW w:w="1564" w:type="dxa"/>
            <w:vAlign w:val="center"/>
          </w:tcPr>
          <w:p w14:paraId="26E59F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4365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49715594">
            <w:pPr>
              <w:rPr>
                <w:color w:val="000000" w:themeColor="text1"/>
              </w:rPr>
            </w:pPr>
          </w:p>
        </w:tc>
        <w:tc>
          <w:tcPr>
            <w:tcW w:w="1050" w:type="dxa"/>
            <w:vAlign w:val="center"/>
          </w:tcPr>
          <w:p w14:paraId="69359E5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38471F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及时予以公告，对构成违法犯罪的移交司法机关；</w:t>
            </w:r>
          </w:p>
        </w:tc>
        <w:tc>
          <w:tcPr>
            <w:tcW w:w="934" w:type="dxa"/>
            <w:gridSpan w:val="2"/>
            <w:vAlign w:val="center"/>
          </w:tcPr>
          <w:p w14:paraId="0CDEDF01">
            <w:pPr>
              <w:jc w:val="center"/>
              <w:rPr>
                <w:rFonts w:ascii="仿宋_GB2312" w:hAnsi="黑体" w:eastAsia="仿宋_GB2312" w:cs="黑体"/>
                <w:color w:val="000000" w:themeColor="text1"/>
                <w:sz w:val="18"/>
                <w:szCs w:val="18"/>
              </w:rPr>
            </w:pPr>
          </w:p>
        </w:tc>
        <w:tc>
          <w:tcPr>
            <w:tcW w:w="1564" w:type="dxa"/>
            <w:vAlign w:val="center"/>
          </w:tcPr>
          <w:p w14:paraId="297868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626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3" w:hRule="atLeast"/>
          <w:jc w:val="center"/>
        </w:trPr>
        <w:tc>
          <w:tcPr>
            <w:tcW w:w="1463" w:type="dxa"/>
            <w:vMerge w:val="continue"/>
            <w:vAlign w:val="center"/>
          </w:tcPr>
          <w:p w14:paraId="11CAFC9A">
            <w:pPr>
              <w:rPr>
                <w:color w:val="000000" w:themeColor="text1"/>
              </w:rPr>
            </w:pPr>
          </w:p>
        </w:tc>
        <w:tc>
          <w:tcPr>
            <w:tcW w:w="1050" w:type="dxa"/>
            <w:vAlign w:val="center"/>
          </w:tcPr>
          <w:p w14:paraId="64AF85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24F7D65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对监督检查发现的问题，城市公共汽电车客运经营者整改完成后，对整改情况组织进行核查；</w:t>
            </w:r>
          </w:p>
        </w:tc>
        <w:tc>
          <w:tcPr>
            <w:tcW w:w="934" w:type="dxa"/>
            <w:gridSpan w:val="2"/>
            <w:vAlign w:val="center"/>
          </w:tcPr>
          <w:p w14:paraId="012886F3">
            <w:pPr>
              <w:jc w:val="center"/>
              <w:rPr>
                <w:rFonts w:ascii="仿宋_GB2312" w:hAnsi="黑体" w:eastAsia="仿宋_GB2312" w:cs="黑体"/>
                <w:color w:val="000000" w:themeColor="text1"/>
                <w:sz w:val="18"/>
                <w:szCs w:val="18"/>
              </w:rPr>
            </w:pPr>
          </w:p>
        </w:tc>
        <w:tc>
          <w:tcPr>
            <w:tcW w:w="1564" w:type="dxa"/>
            <w:vAlign w:val="center"/>
          </w:tcPr>
          <w:p w14:paraId="20E3C9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97E0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52" w:hRule="atLeast"/>
          <w:jc w:val="center"/>
        </w:trPr>
        <w:tc>
          <w:tcPr>
            <w:tcW w:w="1463" w:type="dxa"/>
            <w:vAlign w:val="center"/>
          </w:tcPr>
          <w:p w14:paraId="549509F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6C405688">
            <w:pPr>
              <w:spacing w:line="240" w:lineRule="exact"/>
              <w:rPr>
                <w:rFonts w:ascii="黑体" w:eastAsia="黑体" w:cs="黑体"/>
                <w:color w:val="000000" w:themeColor="text1"/>
                <w:szCs w:val="21"/>
              </w:rPr>
            </w:pPr>
            <w:r>
              <w:rPr>
                <w:rFonts w:hint="eastAsia" w:ascii="仿宋" w:hAnsi="仿宋" w:eastAsia="仿宋" w:cs="仿宋_GB2312"/>
                <w:color w:val="000000" w:themeColor="text1"/>
                <w:kern w:val="0"/>
                <w:sz w:val="18"/>
                <w:szCs w:val="18"/>
              </w:rPr>
              <w:t>《城市公共汽车和电车客运管理规定》（</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5</w:t>
            </w:r>
            <w:r>
              <w:rPr>
                <w:rFonts w:hint="eastAsia" w:ascii="仿宋" w:hAnsi="仿宋" w:eastAsia="仿宋" w:cs="仿宋_GB2312"/>
                <w:color w:val="000000" w:themeColor="text1"/>
                <w:kern w:val="0"/>
                <w:sz w:val="18"/>
                <w:szCs w:val="18"/>
              </w:rPr>
              <w:t>号）第六十七条城市公共交通主管部门不履行本规定职责、造成严重后果的，或者有其他滥用职权、玩忽职守、徇私舞弊行为的，对负有责任的领导人员和直接责任人员依法给予处分；构成犯罪的，依法追究刑事责任。</w:t>
            </w:r>
          </w:p>
        </w:tc>
      </w:tr>
      <w:tr w14:paraId="05A52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12" w:hRule="atLeast"/>
          <w:jc w:val="center"/>
        </w:trPr>
        <w:tc>
          <w:tcPr>
            <w:tcW w:w="1463" w:type="dxa"/>
            <w:vAlign w:val="center"/>
          </w:tcPr>
          <w:p w14:paraId="077A64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46BE12C9">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5BB524B7">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DA36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0FD841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4AEA94A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7554F7B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05C5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91" w:hRule="atLeast"/>
          <w:jc w:val="center"/>
        </w:trPr>
        <w:tc>
          <w:tcPr>
            <w:tcW w:w="1463" w:type="dxa"/>
            <w:vAlign w:val="center"/>
          </w:tcPr>
          <w:p w14:paraId="17B0329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20E52D6C">
            <w:pPr>
              <w:widowControl/>
              <w:jc w:val="left"/>
              <w:textAlignment w:val="center"/>
              <w:rPr>
                <w:rFonts w:ascii="黑体" w:eastAsia="黑体" w:cs="黑体"/>
                <w:color w:val="000000" w:themeColor="text1"/>
                <w:kern w:val="0"/>
                <w:sz w:val="18"/>
                <w:szCs w:val="18"/>
              </w:rPr>
            </w:pPr>
          </w:p>
        </w:tc>
      </w:tr>
    </w:tbl>
    <w:p w14:paraId="44B8CAC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02"/>
        <w:gridCol w:w="1529"/>
      </w:tblGrid>
      <w:tr w14:paraId="4D20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5362C8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559D9FA">
            <w:pPr>
              <w:jc w:val="center"/>
              <w:rPr>
                <w:rFonts w:ascii="黑体" w:eastAsia="黑体" w:cs="黑体"/>
                <w:b/>
                <w:bCs/>
                <w:color w:val="000000" w:themeColor="text1"/>
                <w:szCs w:val="21"/>
              </w:rPr>
            </w:pPr>
            <w:r>
              <w:rPr>
                <w:rFonts w:ascii="黑体" w:eastAsia="黑体" w:cs="黑体"/>
                <w:b/>
                <w:bCs/>
                <w:color w:val="000000" w:themeColor="text1"/>
                <w:szCs w:val="21"/>
              </w:rPr>
              <w:t>194</w:t>
            </w:r>
          </w:p>
        </w:tc>
        <w:tc>
          <w:tcPr>
            <w:tcW w:w="1691" w:type="dxa"/>
            <w:vAlign w:val="center"/>
          </w:tcPr>
          <w:p w14:paraId="63A3011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C2F612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0A44F3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3B2753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23A4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E01A8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6B0F4B7C">
            <w:pPr>
              <w:spacing w:line="240" w:lineRule="exact"/>
              <w:ind w:firstLine="3150" w:firstLineChars="1750"/>
              <w:rPr>
                <w:rFonts w:ascii="仿宋_GB2312" w:hAnsi="黑体" w:eastAsia="仿宋_GB2312" w:cs="黑体"/>
                <w:color w:val="000000" w:themeColor="text1"/>
                <w:sz w:val="18"/>
                <w:szCs w:val="18"/>
              </w:rPr>
            </w:pPr>
            <w:bookmarkStart w:id="31" w:name="OLE_LINK28"/>
            <w:r>
              <w:rPr>
                <w:rFonts w:hint="eastAsia" w:ascii="仿宋_GB2312" w:hAnsi="黑体" w:eastAsia="仿宋_GB2312" w:cs="黑体"/>
                <w:color w:val="000000" w:themeColor="text1"/>
                <w:sz w:val="18"/>
                <w:szCs w:val="18"/>
              </w:rPr>
              <w:t>对汽车租赁行业</w:t>
            </w:r>
            <w:bookmarkEnd w:id="31"/>
            <w:r>
              <w:rPr>
                <w:rFonts w:hint="eastAsia" w:ascii="仿宋_GB2312" w:hAnsi="黑体" w:eastAsia="仿宋_GB2312" w:cs="黑体"/>
                <w:color w:val="000000" w:themeColor="text1"/>
                <w:sz w:val="18"/>
                <w:szCs w:val="18"/>
              </w:rPr>
              <w:t>监督检查</w:t>
            </w:r>
          </w:p>
        </w:tc>
      </w:tr>
      <w:tr w14:paraId="28496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4586D5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482C3447">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7D851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527" w:hRule="atLeast"/>
          <w:jc w:val="center"/>
        </w:trPr>
        <w:tc>
          <w:tcPr>
            <w:tcW w:w="1463" w:type="dxa"/>
            <w:vAlign w:val="center"/>
          </w:tcPr>
          <w:p w14:paraId="5039DA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74A45CC6">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【法律法规】《河北省道路运输条例》第二条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在本省行政区域内从事道路运输经营、道路运输相关业务及其监督管理活动，适用本条例。本条例所称道路运输经营包括城市公共汽电车客运、班车客运、包车客运、旅游客运、出租汽车客运、货运经营等活动。道路运输相关业务包括道路运输站（场）经营、机动车维修、机动车驾驶员培训、汽车租赁等活动。第五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县级以上人民政府应当加强道路运输的监督管理，完善监督管理体系，健全监督管理制度，落实监督管理责任。县级以上人民政府交通运输主管部门应当加强对道路运输经营以及道路运输相关业务的监督检查，对</w:t>
            </w:r>
            <w:bookmarkStart w:id="32" w:name="OLE_LINK29"/>
            <w:bookmarkStart w:id="33" w:name="OLE_LINK30"/>
            <w:r>
              <w:rPr>
                <w:rFonts w:hint="eastAsia" w:ascii="仿宋_GB2312" w:hAnsi="黑体" w:eastAsia="仿宋_GB2312" w:cs="黑体"/>
                <w:color w:val="000000" w:themeColor="text1"/>
                <w:sz w:val="18"/>
                <w:szCs w:val="18"/>
              </w:rPr>
              <w:t>道路运输以及相关业务</w:t>
            </w:r>
            <w:bookmarkEnd w:id="32"/>
            <w:bookmarkEnd w:id="33"/>
            <w:r>
              <w:rPr>
                <w:rFonts w:hint="eastAsia" w:ascii="仿宋_GB2312" w:hAnsi="黑体" w:eastAsia="仿宋_GB2312" w:cs="黑体"/>
                <w:color w:val="000000" w:themeColor="text1"/>
                <w:sz w:val="18"/>
                <w:szCs w:val="18"/>
              </w:rPr>
              <w:t>经营者、从业人员实施动态监管，推行服务质量信誉考核制度，并将考核结果向社会公布。</w:t>
            </w:r>
          </w:p>
          <w:p w14:paraId="1EC7B30B">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0114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608CAD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6F2A78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212106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69" w:type="dxa"/>
            <w:gridSpan w:val="2"/>
            <w:vAlign w:val="center"/>
          </w:tcPr>
          <w:p w14:paraId="0581FFD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29" w:type="dxa"/>
            <w:vAlign w:val="center"/>
          </w:tcPr>
          <w:p w14:paraId="6FC4058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E1E5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1A7D8BE">
            <w:pPr>
              <w:rPr>
                <w:color w:val="000000" w:themeColor="text1"/>
              </w:rPr>
            </w:pPr>
          </w:p>
        </w:tc>
        <w:tc>
          <w:tcPr>
            <w:tcW w:w="1050" w:type="dxa"/>
            <w:vAlign w:val="center"/>
          </w:tcPr>
          <w:p w14:paraId="0FDDB7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1002AD18">
            <w:pPr>
              <w:spacing w:line="240" w:lineRule="exact"/>
              <w:ind w:firstLine="810" w:firstLineChars="45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对本辖区内汽车租赁行业进行监督检查；</w:t>
            </w:r>
          </w:p>
        </w:tc>
        <w:tc>
          <w:tcPr>
            <w:tcW w:w="969" w:type="dxa"/>
            <w:gridSpan w:val="2"/>
            <w:vAlign w:val="center"/>
          </w:tcPr>
          <w:p w14:paraId="7D2BFC0F">
            <w:pPr>
              <w:jc w:val="center"/>
              <w:rPr>
                <w:rFonts w:ascii="仿宋_GB2312" w:hAnsi="黑体" w:eastAsia="仿宋_GB2312" w:cs="黑体"/>
                <w:color w:val="000000" w:themeColor="text1"/>
                <w:sz w:val="18"/>
                <w:szCs w:val="18"/>
              </w:rPr>
            </w:pPr>
          </w:p>
        </w:tc>
        <w:tc>
          <w:tcPr>
            <w:tcW w:w="1529" w:type="dxa"/>
            <w:vAlign w:val="center"/>
          </w:tcPr>
          <w:p w14:paraId="24442A3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614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378FC17F">
            <w:pPr>
              <w:rPr>
                <w:color w:val="000000" w:themeColor="text1"/>
              </w:rPr>
            </w:pPr>
          </w:p>
        </w:tc>
        <w:tc>
          <w:tcPr>
            <w:tcW w:w="1050" w:type="dxa"/>
            <w:vAlign w:val="center"/>
          </w:tcPr>
          <w:p w14:paraId="41E8B3A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0F26596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69" w:type="dxa"/>
            <w:gridSpan w:val="2"/>
            <w:vAlign w:val="center"/>
          </w:tcPr>
          <w:p w14:paraId="204061B0">
            <w:pPr>
              <w:jc w:val="center"/>
              <w:rPr>
                <w:rFonts w:ascii="仿宋_GB2312" w:hAnsi="黑体" w:eastAsia="仿宋_GB2312" w:cs="黑体"/>
                <w:color w:val="000000" w:themeColor="text1"/>
                <w:sz w:val="18"/>
                <w:szCs w:val="18"/>
              </w:rPr>
            </w:pPr>
          </w:p>
        </w:tc>
        <w:tc>
          <w:tcPr>
            <w:tcW w:w="1529" w:type="dxa"/>
            <w:vAlign w:val="center"/>
          </w:tcPr>
          <w:p w14:paraId="4639DC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5F0B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6" w:hRule="atLeast"/>
          <w:jc w:val="center"/>
        </w:trPr>
        <w:tc>
          <w:tcPr>
            <w:tcW w:w="1463" w:type="dxa"/>
            <w:vMerge w:val="continue"/>
            <w:vAlign w:val="center"/>
          </w:tcPr>
          <w:p w14:paraId="31D3A7EB">
            <w:pPr>
              <w:rPr>
                <w:color w:val="000000" w:themeColor="text1"/>
              </w:rPr>
            </w:pPr>
          </w:p>
        </w:tc>
        <w:tc>
          <w:tcPr>
            <w:tcW w:w="1050" w:type="dxa"/>
            <w:vAlign w:val="center"/>
          </w:tcPr>
          <w:p w14:paraId="038A9A6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4BA4D032">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969" w:type="dxa"/>
            <w:gridSpan w:val="2"/>
            <w:vAlign w:val="center"/>
          </w:tcPr>
          <w:p w14:paraId="29FB3475">
            <w:pPr>
              <w:jc w:val="center"/>
              <w:rPr>
                <w:rFonts w:ascii="仿宋_GB2312" w:hAnsi="黑体" w:eastAsia="仿宋_GB2312" w:cs="黑体"/>
                <w:color w:val="000000" w:themeColor="text1"/>
                <w:sz w:val="18"/>
                <w:szCs w:val="18"/>
              </w:rPr>
            </w:pPr>
          </w:p>
        </w:tc>
        <w:tc>
          <w:tcPr>
            <w:tcW w:w="1529" w:type="dxa"/>
            <w:vAlign w:val="center"/>
          </w:tcPr>
          <w:p w14:paraId="6423960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53D3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2" w:hRule="atLeast"/>
          <w:jc w:val="center"/>
        </w:trPr>
        <w:tc>
          <w:tcPr>
            <w:tcW w:w="1463" w:type="dxa"/>
            <w:vMerge w:val="continue"/>
            <w:vAlign w:val="center"/>
          </w:tcPr>
          <w:p w14:paraId="77F92754">
            <w:pPr>
              <w:rPr>
                <w:color w:val="000000" w:themeColor="text1"/>
              </w:rPr>
            </w:pPr>
          </w:p>
        </w:tc>
        <w:tc>
          <w:tcPr>
            <w:tcW w:w="1050" w:type="dxa"/>
            <w:vAlign w:val="center"/>
          </w:tcPr>
          <w:p w14:paraId="38590B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p w14:paraId="2B1FA047">
            <w:pPr>
              <w:rPr>
                <w:rFonts w:ascii="仿宋_GB2312" w:hAnsi="黑体" w:eastAsia="仿宋_GB2312" w:cs="黑体"/>
                <w:color w:val="000000" w:themeColor="text1"/>
                <w:sz w:val="18"/>
                <w:szCs w:val="18"/>
              </w:rPr>
            </w:pPr>
          </w:p>
        </w:tc>
        <w:tc>
          <w:tcPr>
            <w:tcW w:w="5287" w:type="dxa"/>
            <w:gridSpan w:val="4"/>
            <w:vAlign w:val="center"/>
          </w:tcPr>
          <w:p w14:paraId="35D8DF24">
            <w:pPr>
              <w:jc w:val="center"/>
              <w:rPr>
                <w:rFonts w:ascii="仿宋_GB2312" w:hAnsi="黑体" w:eastAsia="仿宋_GB2312" w:cs="黑体"/>
                <w:color w:val="000000" w:themeColor="text1"/>
                <w:szCs w:val="21"/>
              </w:rPr>
            </w:pPr>
            <w:r>
              <w:rPr>
                <w:rFonts w:hint="eastAsia" w:ascii="仿宋_GB2312" w:hAnsi="黑体" w:eastAsia="仿宋_GB2312" w:cs="黑体"/>
                <w:color w:val="000000" w:themeColor="text1"/>
                <w:sz w:val="18"/>
                <w:szCs w:val="18"/>
              </w:rPr>
              <w:t>对监督检查发现的问题，企业或单位、个人整改完成后，对整改情况组织进行核查；</w:t>
            </w:r>
          </w:p>
        </w:tc>
        <w:tc>
          <w:tcPr>
            <w:tcW w:w="969" w:type="dxa"/>
            <w:gridSpan w:val="2"/>
            <w:vAlign w:val="center"/>
          </w:tcPr>
          <w:p w14:paraId="51CBBE2B">
            <w:pPr>
              <w:jc w:val="center"/>
              <w:rPr>
                <w:rFonts w:ascii="仿宋_GB2312" w:hAnsi="黑体" w:eastAsia="仿宋_GB2312" w:cs="黑体"/>
                <w:color w:val="000000" w:themeColor="text1"/>
                <w:sz w:val="18"/>
                <w:szCs w:val="18"/>
              </w:rPr>
            </w:pPr>
          </w:p>
        </w:tc>
        <w:tc>
          <w:tcPr>
            <w:tcW w:w="1529" w:type="dxa"/>
            <w:vAlign w:val="center"/>
          </w:tcPr>
          <w:p w14:paraId="25ADA6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58B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463" w:type="dxa"/>
            <w:vAlign w:val="center"/>
          </w:tcPr>
          <w:p w14:paraId="7B2BAE7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113E7276">
            <w:pPr>
              <w:spacing w:line="240" w:lineRule="exact"/>
              <w:rPr>
                <w:rFonts w:ascii="黑体" w:eastAsia="黑体" w:cs="黑体"/>
                <w:color w:val="000000" w:themeColor="text1"/>
                <w:szCs w:val="21"/>
              </w:rPr>
            </w:pPr>
            <w:r>
              <w:rPr>
                <w:rFonts w:hint="eastAsia" w:ascii="仿宋" w:hAnsi="仿宋" w:eastAsia="仿宋" w:cs="仿宋_GB2312"/>
                <w:color w:val="000000" w:themeColor="text1"/>
                <w:sz w:val="18"/>
                <w:szCs w:val="18"/>
              </w:rPr>
              <w:t>《中华人民共和国监察法》</w:t>
            </w:r>
            <w:r>
              <w:rPr>
                <w:rFonts w:hint="eastAsia" w:ascii="仿宋" w:hAnsi="仿宋" w:eastAsia="仿宋" w:cs="仿宋_GB2312"/>
                <w:color w:val="000000" w:themeColor="text1"/>
                <w:kern w:val="0"/>
                <w:sz w:val="18"/>
                <w:szCs w:val="18"/>
              </w:rPr>
              <w:t>《中华人民共和国行政处罚法》</w:t>
            </w:r>
            <w:r>
              <w:rPr>
                <w:rFonts w:hint="eastAsia" w:ascii="仿宋" w:hAns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hAnsi="仿宋" w:eastAsia="仿宋" w:cs="仿宋_GB2312"/>
                <w:color w:val="000000" w:themeColor="text1"/>
                <w:kern w:val="0"/>
                <w:sz w:val="18"/>
                <w:szCs w:val="18"/>
              </w:rPr>
              <w:t>《河北省行政执法监督条例》等规定的追责情形。</w:t>
            </w:r>
          </w:p>
        </w:tc>
      </w:tr>
      <w:tr w14:paraId="1B289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4" w:hRule="atLeast"/>
          <w:jc w:val="center"/>
        </w:trPr>
        <w:tc>
          <w:tcPr>
            <w:tcW w:w="1463" w:type="dxa"/>
            <w:vAlign w:val="center"/>
          </w:tcPr>
          <w:p w14:paraId="0F18CE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50EBEAF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1FAB82EB">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2125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4" w:hRule="atLeast"/>
          <w:jc w:val="center"/>
        </w:trPr>
        <w:tc>
          <w:tcPr>
            <w:tcW w:w="1463" w:type="dxa"/>
            <w:vAlign w:val="center"/>
          </w:tcPr>
          <w:p w14:paraId="38DE94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54E301F8">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03016B4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3065B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5B3ABAD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044C2E23">
            <w:pPr>
              <w:widowControl/>
              <w:jc w:val="left"/>
              <w:textAlignment w:val="center"/>
              <w:rPr>
                <w:rFonts w:ascii="黑体" w:eastAsia="黑体" w:cs="黑体"/>
                <w:color w:val="000000" w:themeColor="text1"/>
                <w:kern w:val="0"/>
                <w:sz w:val="18"/>
                <w:szCs w:val="18"/>
              </w:rPr>
            </w:pPr>
          </w:p>
        </w:tc>
      </w:tr>
    </w:tbl>
    <w:p w14:paraId="6215B628">
      <w:pPr>
        <w:pStyle w:val="8"/>
        <w:snapToGrid w:val="0"/>
        <w:spacing w:before="0" w:beforeAutospacing="0" w:after="0" w:afterAutospacing="0" w:line="240" w:lineRule="atLeast"/>
        <w:jc w:val="both"/>
        <w:rPr>
          <w:color w:val="000000" w:themeColor="text1"/>
          <w:sz w:val="11"/>
          <w:szCs w:val="11"/>
        </w:rPr>
      </w:pPr>
    </w:p>
    <w:p w14:paraId="1C5D0B0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388"/>
        <w:gridCol w:w="1543"/>
      </w:tblGrid>
      <w:tr w14:paraId="2134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1CB9F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D7A2706">
            <w:pPr>
              <w:jc w:val="center"/>
              <w:rPr>
                <w:rFonts w:ascii="黑体" w:eastAsia="黑体" w:cs="黑体"/>
                <w:b/>
                <w:bCs/>
                <w:color w:val="000000" w:themeColor="text1"/>
                <w:szCs w:val="21"/>
              </w:rPr>
            </w:pPr>
            <w:r>
              <w:rPr>
                <w:rFonts w:ascii="黑体" w:eastAsia="黑体" w:cs="黑体"/>
                <w:b/>
                <w:bCs/>
                <w:color w:val="000000" w:themeColor="text1"/>
                <w:szCs w:val="21"/>
              </w:rPr>
              <w:t>195</w:t>
            </w:r>
          </w:p>
        </w:tc>
        <w:tc>
          <w:tcPr>
            <w:tcW w:w="1691" w:type="dxa"/>
            <w:vAlign w:val="center"/>
          </w:tcPr>
          <w:p w14:paraId="6221806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CD05E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4D7FD9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85CE66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D266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69F68E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10C9D3CC">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对公路建设工程市场的监督检查</w:t>
            </w:r>
          </w:p>
        </w:tc>
      </w:tr>
      <w:tr w14:paraId="24242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CA74AF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1D151BDD">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1A224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61" w:hRule="atLeast"/>
          <w:jc w:val="center"/>
        </w:trPr>
        <w:tc>
          <w:tcPr>
            <w:tcW w:w="1463" w:type="dxa"/>
            <w:vAlign w:val="center"/>
          </w:tcPr>
          <w:p w14:paraId="391E5F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5D4A523">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《公路建设市场管理办法》第三章；</w:t>
            </w: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《公路水运工程监理企业资质管理规定》第二十五条</w:t>
            </w:r>
            <w:r>
              <w:rPr>
                <w:rFonts w:hint="eastAsia" w:ascii="MS Mincho" w:hAnsi="MS Mincho" w:eastAsia="MS Mincho" w:cs="MS Mincho"/>
                <w:color w:val="000000" w:themeColor="text1"/>
                <w:sz w:val="18"/>
                <w:szCs w:val="18"/>
              </w:rPr>
              <w:t> </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各级人民政府交通运输主管部门根据职责对监理企业实施监督检查，强化动态核查，原则上采取随机抽取检查对象、检查人员的方式，通过信息化手段加强事中事后监管，监督检查结果及时向社会公布。交通运输主管部门进行监督检查时，相关单位和个人应当配合。</w:t>
            </w: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《公路养护工程市场准入暂行规定》第五条、第七条。</w:t>
            </w:r>
          </w:p>
          <w:p w14:paraId="370FA6B6">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3BA2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5A3443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5B0BFD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2C86BD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55" w:type="dxa"/>
            <w:gridSpan w:val="2"/>
            <w:vAlign w:val="center"/>
          </w:tcPr>
          <w:p w14:paraId="08321D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43" w:type="dxa"/>
            <w:vAlign w:val="center"/>
          </w:tcPr>
          <w:p w14:paraId="4CEAFF7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5560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5AB7988A">
            <w:pPr>
              <w:rPr>
                <w:color w:val="000000" w:themeColor="text1"/>
              </w:rPr>
            </w:pPr>
          </w:p>
        </w:tc>
        <w:tc>
          <w:tcPr>
            <w:tcW w:w="1050" w:type="dxa"/>
            <w:vAlign w:val="center"/>
          </w:tcPr>
          <w:p w14:paraId="6F4923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522DA2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对本辖区内公路建设工程市场进行监督检查；</w:t>
            </w:r>
          </w:p>
        </w:tc>
        <w:tc>
          <w:tcPr>
            <w:tcW w:w="955" w:type="dxa"/>
            <w:gridSpan w:val="2"/>
            <w:vAlign w:val="center"/>
          </w:tcPr>
          <w:p w14:paraId="2E140ED2">
            <w:pPr>
              <w:jc w:val="center"/>
              <w:rPr>
                <w:rFonts w:ascii="仿宋_GB2312" w:hAnsi="黑体" w:eastAsia="仿宋_GB2312" w:cs="黑体"/>
                <w:color w:val="000000" w:themeColor="text1"/>
                <w:sz w:val="18"/>
                <w:szCs w:val="18"/>
              </w:rPr>
            </w:pPr>
          </w:p>
        </w:tc>
        <w:tc>
          <w:tcPr>
            <w:tcW w:w="1543" w:type="dxa"/>
            <w:vAlign w:val="center"/>
          </w:tcPr>
          <w:p w14:paraId="29F504B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DDA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6709ED6E">
            <w:pPr>
              <w:rPr>
                <w:color w:val="000000" w:themeColor="text1"/>
              </w:rPr>
            </w:pPr>
          </w:p>
        </w:tc>
        <w:tc>
          <w:tcPr>
            <w:tcW w:w="1050" w:type="dxa"/>
            <w:vAlign w:val="center"/>
          </w:tcPr>
          <w:p w14:paraId="434522F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34A75B61">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w:t>
            </w:r>
          </w:p>
        </w:tc>
        <w:tc>
          <w:tcPr>
            <w:tcW w:w="955" w:type="dxa"/>
            <w:gridSpan w:val="2"/>
            <w:vAlign w:val="center"/>
          </w:tcPr>
          <w:p w14:paraId="4B222679">
            <w:pPr>
              <w:jc w:val="center"/>
              <w:rPr>
                <w:rFonts w:ascii="仿宋_GB2312" w:hAnsi="黑体" w:eastAsia="仿宋_GB2312" w:cs="黑体"/>
                <w:color w:val="000000" w:themeColor="text1"/>
                <w:sz w:val="18"/>
                <w:szCs w:val="18"/>
              </w:rPr>
            </w:pPr>
          </w:p>
        </w:tc>
        <w:tc>
          <w:tcPr>
            <w:tcW w:w="1543" w:type="dxa"/>
            <w:vAlign w:val="center"/>
          </w:tcPr>
          <w:p w14:paraId="3F17D8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1516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7" w:hRule="atLeast"/>
          <w:jc w:val="center"/>
        </w:trPr>
        <w:tc>
          <w:tcPr>
            <w:tcW w:w="1463" w:type="dxa"/>
            <w:vMerge w:val="continue"/>
            <w:vAlign w:val="center"/>
          </w:tcPr>
          <w:p w14:paraId="1EF2259B">
            <w:pPr>
              <w:rPr>
                <w:color w:val="000000" w:themeColor="text1"/>
              </w:rPr>
            </w:pPr>
          </w:p>
        </w:tc>
        <w:tc>
          <w:tcPr>
            <w:tcW w:w="1050" w:type="dxa"/>
            <w:vAlign w:val="center"/>
          </w:tcPr>
          <w:p w14:paraId="6D08FE1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032CA036">
            <w:pPr>
              <w:jc w:val="center"/>
              <w:rPr>
                <w:rFonts w:ascii="仿宋_GB2312" w:hAnsi="黑体" w:eastAsia="仿宋_GB2312" w:cs="黑体"/>
                <w:color w:val="000000" w:themeColor="text1"/>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955" w:type="dxa"/>
            <w:gridSpan w:val="2"/>
            <w:vAlign w:val="center"/>
          </w:tcPr>
          <w:p w14:paraId="5376C2F7">
            <w:pPr>
              <w:jc w:val="center"/>
              <w:rPr>
                <w:rFonts w:ascii="仿宋_GB2312" w:hAnsi="黑体" w:eastAsia="仿宋_GB2312" w:cs="黑体"/>
                <w:color w:val="000000" w:themeColor="text1"/>
                <w:sz w:val="18"/>
                <w:szCs w:val="18"/>
              </w:rPr>
            </w:pPr>
          </w:p>
        </w:tc>
        <w:tc>
          <w:tcPr>
            <w:tcW w:w="1543" w:type="dxa"/>
            <w:vAlign w:val="center"/>
          </w:tcPr>
          <w:p w14:paraId="4676EA35">
            <w:pPr>
              <w:ind w:left="31680" w:hanging="180" w:hangingChars="1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E146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1" w:hRule="atLeast"/>
          <w:jc w:val="center"/>
        </w:trPr>
        <w:tc>
          <w:tcPr>
            <w:tcW w:w="1463" w:type="dxa"/>
            <w:vMerge w:val="continue"/>
            <w:vAlign w:val="center"/>
          </w:tcPr>
          <w:p w14:paraId="1CF1BE63">
            <w:pPr>
              <w:rPr>
                <w:color w:val="000000" w:themeColor="text1"/>
              </w:rPr>
            </w:pPr>
          </w:p>
        </w:tc>
        <w:tc>
          <w:tcPr>
            <w:tcW w:w="1050" w:type="dxa"/>
            <w:vAlign w:val="center"/>
          </w:tcPr>
          <w:p w14:paraId="453702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4E07E0C7">
            <w:pPr>
              <w:jc w:val="center"/>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对监督检查发现的问题，企业或单位、个人整改完成后，对整改情况组织进行核查；</w:t>
            </w:r>
          </w:p>
        </w:tc>
        <w:tc>
          <w:tcPr>
            <w:tcW w:w="955" w:type="dxa"/>
            <w:gridSpan w:val="2"/>
            <w:vAlign w:val="center"/>
          </w:tcPr>
          <w:p w14:paraId="13C32AB9">
            <w:pPr>
              <w:jc w:val="center"/>
              <w:rPr>
                <w:rFonts w:ascii="仿宋_GB2312" w:hAnsi="黑体" w:eastAsia="仿宋_GB2312" w:cs="黑体"/>
                <w:color w:val="000000" w:themeColor="text1"/>
                <w:sz w:val="18"/>
                <w:szCs w:val="18"/>
              </w:rPr>
            </w:pPr>
          </w:p>
        </w:tc>
        <w:tc>
          <w:tcPr>
            <w:tcW w:w="1543" w:type="dxa"/>
            <w:vAlign w:val="center"/>
          </w:tcPr>
          <w:p w14:paraId="611BEE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B154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921" w:hRule="atLeast"/>
          <w:jc w:val="center"/>
        </w:trPr>
        <w:tc>
          <w:tcPr>
            <w:tcW w:w="1463" w:type="dxa"/>
            <w:vAlign w:val="center"/>
          </w:tcPr>
          <w:p w14:paraId="3F03F5B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34162E6B">
            <w:pPr>
              <w:spacing w:line="240" w:lineRule="exact"/>
              <w:rPr>
                <w:rFonts w:ascii="黑体" w:eastAsia="黑体" w:cs="黑体"/>
                <w:color w:val="000000" w:themeColor="text1"/>
                <w:szCs w:val="21"/>
              </w:rPr>
            </w:pPr>
            <w:r>
              <w:rPr>
                <w:rFonts w:hint="eastAsia" w:ascii="仿宋" w:hAnsi="仿宋" w:eastAsia="仿宋" w:cs="仿宋_GB2312"/>
                <w:color w:val="000000" w:themeColor="text1"/>
                <w:kern w:val="0"/>
                <w:sz w:val="18"/>
                <w:szCs w:val="18"/>
              </w:rPr>
              <w:t>《公路建设监督管理办法》</w:t>
            </w:r>
            <w:r>
              <w:rPr>
                <w:rFonts w:ascii="仿宋" w:hAnsi="仿宋" w:eastAsia="仿宋"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s="仿宋_GB2312"/>
                <w:color w:val="000000" w:themeColor="text1"/>
                <w:kern w:val="0"/>
                <w:sz w:val="18"/>
                <w:szCs w:val="18"/>
              </w:rPr>
              <w:t>交通运输部令</w:t>
            </w:r>
            <w:r>
              <w:rPr>
                <w:rFonts w:ascii="仿宋" w:hAnsi="仿宋" w:eastAsia="仿宋" w:cs="仿宋_GB2312"/>
                <w:color w:val="000000" w:themeColor="text1"/>
                <w:kern w:val="0"/>
                <w:sz w:val="18"/>
                <w:szCs w:val="18"/>
              </w:rPr>
              <w:t>2021</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号）第四十七条违反本办法第二十九条规定，项目法人侵占、挪用公路建设资金，非法扩大建设成本，责令限期整改，可给予警告处罚</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情节严重的，对全部或部分使用财政性资金的项目，可暂停项目执行或暂缓资金拨付，对直接责任人依法给予行政处分。第四十八条公路建设从业单位有关人员，具有行贿、索贿、受贿行为，损害国家、单位合法权益，构成犯罪的，依法追究刑事责任。</w:t>
            </w:r>
          </w:p>
        </w:tc>
      </w:tr>
      <w:tr w14:paraId="660BE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5" w:hRule="atLeast"/>
          <w:jc w:val="center"/>
        </w:trPr>
        <w:tc>
          <w:tcPr>
            <w:tcW w:w="1463" w:type="dxa"/>
            <w:vAlign w:val="center"/>
          </w:tcPr>
          <w:p w14:paraId="203C3F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5929248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3155EFCA">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B50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7BEF787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6B36A71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6723B73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5B6AE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19" w:hRule="atLeast"/>
          <w:jc w:val="center"/>
        </w:trPr>
        <w:tc>
          <w:tcPr>
            <w:tcW w:w="1463" w:type="dxa"/>
            <w:vAlign w:val="center"/>
          </w:tcPr>
          <w:p w14:paraId="0E24AB1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06BBBF7C">
            <w:pPr>
              <w:widowControl/>
              <w:jc w:val="left"/>
              <w:textAlignment w:val="center"/>
              <w:rPr>
                <w:rFonts w:ascii="黑体" w:eastAsia="黑体" w:cs="黑体"/>
                <w:color w:val="000000" w:themeColor="text1"/>
                <w:kern w:val="0"/>
                <w:sz w:val="18"/>
                <w:szCs w:val="18"/>
              </w:rPr>
            </w:pPr>
          </w:p>
        </w:tc>
      </w:tr>
    </w:tbl>
    <w:p w14:paraId="778D066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29"/>
        <w:gridCol w:w="1502"/>
      </w:tblGrid>
      <w:tr w14:paraId="035EF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06B994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CC69EF6">
            <w:pPr>
              <w:jc w:val="center"/>
              <w:rPr>
                <w:rFonts w:ascii="黑体" w:eastAsia="黑体" w:cs="黑体"/>
                <w:b/>
                <w:bCs/>
                <w:color w:val="000000" w:themeColor="text1"/>
                <w:szCs w:val="21"/>
              </w:rPr>
            </w:pPr>
            <w:r>
              <w:rPr>
                <w:rFonts w:ascii="黑体" w:eastAsia="黑体" w:cs="黑体"/>
                <w:b/>
                <w:bCs/>
                <w:color w:val="000000" w:themeColor="text1"/>
                <w:szCs w:val="21"/>
              </w:rPr>
              <w:t>196</w:t>
            </w:r>
          </w:p>
        </w:tc>
        <w:tc>
          <w:tcPr>
            <w:tcW w:w="1691" w:type="dxa"/>
            <w:vAlign w:val="center"/>
          </w:tcPr>
          <w:p w14:paraId="7EC0815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EE643A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5FA79B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C83C71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F578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8B9B8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11588C6A">
            <w:pPr>
              <w:spacing w:line="240" w:lineRule="exact"/>
              <w:ind w:firstLine="2610" w:firstLineChars="1450"/>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w:t>
            </w:r>
            <w:bookmarkStart w:id="34" w:name="OLE_LINK32"/>
            <w:bookmarkStart w:id="35" w:name="OLE_LINK33"/>
            <w:r>
              <w:rPr>
                <w:rFonts w:hint="eastAsia" w:ascii="仿宋_GB2312" w:hAnsi="黑体" w:eastAsia="仿宋_GB2312" w:cs="黑体"/>
                <w:color w:val="000000" w:themeColor="text1"/>
                <w:sz w:val="18"/>
                <w:szCs w:val="18"/>
              </w:rPr>
              <w:t>公路养护工程市场</w:t>
            </w:r>
            <w:bookmarkEnd w:id="34"/>
            <w:bookmarkEnd w:id="35"/>
            <w:r>
              <w:rPr>
                <w:rFonts w:hint="eastAsia" w:ascii="仿宋_GB2312" w:hAnsi="黑体" w:eastAsia="仿宋_GB2312" w:cs="黑体"/>
                <w:color w:val="000000" w:themeColor="text1"/>
                <w:sz w:val="18"/>
                <w:szCs w:val="18"/>
              </w:rPr>
              <w:t>的监督检查</w:t>
            </w:r>
          </w:p>
        </w:tc>
      </w:tr>
      <w:tr w14:paraId="002EE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004510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31DE2E7E">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44FA3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66" w:hRule="atLeast"/>
          <w:jc w:val="center"/>
        </w:trPr>
        <w:tc>
          <w:tcPr>
            <w:tcW w:w="1463" w:type="dxa"/>
            <w:vAlign w:val="center"/>
          </w:tcPr>
          <w:p w14:paraId="0699FC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4CD869D0">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bookmarkStart w:id="36" w:name="OLE_LINK31"/>
            <w:r>
              <w:rPr>
                <w:rFonts w:hint="eastAsia" w:ascii="仿宋_GB2312" w:hAnsi="黑体" w:eastAsia="仿宋_GB2312" w:cs="黑体"/>
                <w:color w:val="000000" w:themeColor="text1"/>
                <w:sz w:val="18"/>
                <w:szCs w:val="18"/>
              </w:rPr>
              <w:t>《公路建设市场管理办法》</w:t>
            </w:r>
            <w:bookmarkEnd w:id="36"/>
            <w:r>
              <w:rPr>
                <w:rFonts w:hint="eastAsia" w:ascii="仿宋_GB2312" w:hAnsi="黑体" w:eastAsia="仿宋_GB2312" w:cs="黑体"/>
                <w:color w:val="000000" w:themeColor="text1"/>
                <w:sz w:val="18"/>
                <w:szCs w:val="18"/>
              </w:rPr>
              <w:t>第四章；</w:t>
            </w:r>
            <w:r>
              <w:rPr>
                <w:rFonts w:ascii="仿宋_GB2312" w:hAnsi="黑体" w:eastAsia="仿宋_GB2312" w:cs="黑体"/>
                <w:color w:val="000000" w:themeColor="text1"/>
                <w:sz w:val="18"/>
                <w:szCs w:val="18"/>
              </w:rPr>
              <w:t>2.</w:t>
            </w:r>
            <w:bookmarkStart w:id="37" w:name="OLE_LINK34"/>
            <w:bookmarkStart w:id="38" w:name="OLE_LINK35"/>
            <w:r>
              <w:rPr>
                <w:rFonts w:hint="eastAsia" w:ascii="仿宋_GB2312" w:hAnsi="黑体" w:eastAsia="仿宋_GB2312" w:cs="黑体"/>
                <w:color w:val="000000" w:themeColor="text1"/>
                <w:sz w:val="18"/>
                <w:szCs w:val="18"/>
              </w:rPr>
              <w:t>《公路工程建设项目招标投标管理办法》</w:t>
            </w:r>
            <w:bookmarkEnd w:id="37"/>
            <w:bookmarkEnd w:id="38"/>
            <w:r>
              <w:rPr>
                <w:rFonts w:hint="eastAsia" w:ascii="仿宋_GB2312" w:hAnsi="黑体" w:eastAsia="仿宋_GB2312" w:cs="黑体"/>
                <w:color w:val="000000" w:themeColor="text1"/>
                <w:sz w:val="18"/>
                <w:szCs w:val="18"/>
              </w:rPr>
              <w:t>第六十一条　各级交通运输主管部门应当按照《中华人民共和国招标投标法》《中华人民共和国招标投标法实施条例》等法律法规、规章以及招标投标活动行政监督职责分工，加强对公路工程建设项目招标投标活动的监督管理。</w:t>
            </w:r>
          </w:p>
          <w:p w14:paraId="2C344D91">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24067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2E1DEA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29485F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5C1F26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2D12DA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8AF600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57C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3F2B961C">
            <w:pPr>
              <w:rPr>
                <w:color w:val="000000" w:themeColor="text1"/>
              </w:rPr>
            </w:pPr>
          </w:p>
        </w:tc>
        <w:tc>
          <w:tcPr>
            <w:tcW w:w="1050" w:type="dxa"/>
            <w:vAlign w:val="center"/>
          </w:tcPr>
          <w:p w14:paraId="69A4D1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2C72D6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对本辖区内公路养护工程市场进行监督检查；</w:t>
            </w:r>
          </w:p>
        </w:tc>
        <w:tc>
          <w:tcPr>
            <w:tcW w:w="996" w:type="dxa"/>
            <w:gridSpan w:val="2"/>
            <w:vAlign w:val="center"/>
          </w:tcPr>
          <w:p w14:paraId="636E2486">
            <w:pPr>
              <w:jc w:val="center"/>
              <w:rPr>
                <w:rFonts w:ascii="仿宋_GB2312" w:hAnsi="黑体" w:eastAsia="仿宋_GB2312" w:cs="黑体"/>
                <w:color w:val="000000" w:themeColor="text1"/>
                <w:sz w:val="18"/>
                <w:szCs w:val="18"/>
              </w:rPr>
            </w:pPr>
          </w:p>
        </w:tc>
        <w:tc>
          <w:tcPr>
            <w:tcW w:w="1502" w:type="dxa"/>
            <w:vAlign w:val="center"/>
          </w:tcPr>
          <w:p w14:paraId="508CF49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D594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4DED6E4">
            <w:pPr>
              <w:rPr>
                <w:color w:val="000000" w:themeColor="text1"/>
              </w:rPr>
            </w:pPr>
          </w:p>
        </w:tc>
        <w:tc>
          <w:tcPr>
            <w:tcW w:w="1050" w:type="dxa"/>
            <w:vAlign w:val="center"/>
          </w:tcPr>
          <w:p w14:paraId="3C1065A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2F5FCF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96" w:type="dxa"/>
            <w:gridSpan w:val="2"/>
            <w:vAlign w:val="center"/>
          </w:tcPr>
          <w:p w14:paraId="63395DF0">
            <w:pPr>
              <w:jc w:val="center"/>
              <w:rPr>
                <w:rFonts w:ascii="仿宋_GB2312" w:hAnsi="黑体" w:eastAsia="仿宋_GB2312" w:cs="黑体"/>
                <w:color w:val="000000" w:themeColor="text1"/>
                <w:sz w:val="18"/>
                <w:szCs w:val="18"/>
              </w:rPr>
            </w:pPr>
          </w:p>
        </w:tc>
        <w:tc>
          <w:tcPr>
            <w:tcW w:w="1502" w:type="dxa"/>
            <w:vAlign w:val="center"/>
          </w:tcPr>
          <w:p w14:paraId="32EAD2C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3CBF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22645969">
            <w:pPr>
              <w:rPr>
                <w:color w:val="000000" w:themeColor="text1"/>
              </w:rPr>
            </w:pPr>
          </w:p>
        </w:tc>
        <w:tc>
          <w:tcPr>
            <w:tcW w:w="1050" w:type="dxa"/>
            <w:vAlign w:val="center"/>
          </w:tcPr>
          <w:p w14:paraId="0DF111F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463301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及时予以公告，对构成违法犯罪的移交司法机关；</w:t>
            </w:r>
          </w:p>
        </w:tc>
        <w:tc>
          <w:tcPr>
            <w:tcW w:w="996" w:type="dxa"/>
            <w:gridSpan w:val="2"/>
            <w:vAlign w:val="center"/>
          </w:tcPr>
          <w:p w14:paraId="229D2568">
            <w:pPr>
              <w:jc w:val="center"/>
              <w:rPr>
                <w:rFonts w:ascii="仿宋_GB2312" w:hAnsi="黑体" w:eastAsia="仿宋_GB2312" w:cs="黑体"/>
                <w:color w:val="000000" w:themeColor="text1"/>
                <w:sz w:val="18"/>
                <w:szCs w:val="18"/>
              </w:rPr>
            </w:pPr>
          </w:p>
        </w:tc>
        <w:tc>
          <w:tcPr>
            <w:tcW w:w="1502" w:type="dxa"/>
            <w:vAlign w:val="center"/>
          </w:tcPr>
          <w:p w14:paraId="09DEF2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7782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2" w:hRule="atLeast"/>
          <w:jc w:val="center"/>
        </w:trPr>
        <w:tc>
          <w:tcPr>
            <w:tcW w:w="1463" w:type="dxa"/>
            <w:vMerge w:val="continue"/>
            <w:vAlign w:val="center"/>
          </w:tcPr>
          <w:p w14:paraId="7974E8B4">
            <w:pPr>
              <w:rPr>
                <w:color w:val="000000" w:themeColor="text1"/>
              </w:rPr>
            </w:pPr>
          </w:p>
        </w:tc>
        <w:tc>
          <w:tcPr>
            <w:tcW w:w="1050" w:type="dxa"/>
            <w:vAlign w:val="center"/>
          </w:tcPr>
          <w:p w14:paraId="4BBD9B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66DA78D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对监督检查发现的问题，企业或单位、个人整改完成后，对整改情况组织进行核查；</w:t>
            </w:r>
          </w:p>
        </w:tc>
        <w:tc>
          <w:tcPr>
            <w:tcW w:w="996" w:type="dxa"/>
            <w:gridSpan w:val="2"/>
            <w:vAlign w:val="center"/>
          </w:tcPr>
          <w:p w14:paraId="1AF4456E">
            <w:pPr>
              <w:jc w:val="center"/>
              <w:rPr>
                <w:rFonts w:ascii="仿宋_GB2312" w:hAnsi="黑体" w:eastAsia="仿宋_GB2312" w:cs="黑体"/>
                <w:color w:val="000000" w:themeColor="text1"/>
                <w:sz w:val="18"/>
                <w:szCs w:val="18"/>
              </w:rPr>
            </w:pPr>
          </w:p>
        </w:tc>
        <w:tc>
          <w:tcPr>
            <w:tcW w:w="1502" w:type="dxa"/>
            <w:vAlign w:val="center"/>
          </w:tcPr>
          <w:p w14:paraId="6166B27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4A6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59" w:hRule="atLeast"/>
          <w:jc w:val="center"/>
        </w:trPr>
        <w:tc>
          <w:tcPr>
            <w:tcW w:w="1463" w:type="dxa"/>
            <w:vAlign w:val="center"/>
          </w:tcPr>
          <w:p w14:paraId="2D80AB4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28E2399D">
            <w:pPr>
              <w:spacing w:line="240" w:lineRule="exact"/>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《公路建设市场管理办法》</w:t>
            </w:r>
            <w:r>
              <w:rPr>
                <w:rFonts w:hint="eastAsia" w:ascii="仿宋" w:hAnsi="仿宋" w:eastAsia="仿宋"/>
                <w:color w:val="000000" w:themeColor="text1"/>
                <w:sz w:val="18"/>
                <w:szCs w:val="18"/>
                <w:shd w:val="clear" w:color="auto" w:fill="FFFFFF"/>
              </w:rPr>
              <w:t>第五十六条</w:t>
            </w:r>
            <w:r>
              <w:rPr>
                <w:rFonts w:ascii="仿宋" w:hAnsi="仿宋" w:eastAsia="仿宋"/>
                <w:color w:val="000000" w:themeColor="text1"/>
                <w:sz w:val="18"/>
                <w:szCs w:val="18"/>
                <w:shd w:val="clear" w:color="auto" w:fill="FFFFFF"/>
              </w:rPr>
              <w:t xml:space="preserve"> </w:t>
            </w:r>
            <w:r>
              <w:rPr>
                <w:rFonts w:hint="eastAsia" w:ascii="仿宋" w:hAnsi="仿宋" w:eastAsia="仿宋"/>
                <w:color w:val="000000" w:themeColor="text1"/>
                <w:sz w:val="18"/>
                <w:szCs w:val="18"/>
                <w:shd w:val="clear" w:color="auto" w:fill="FFFFFF"/>
              </w:rPr>
              <w:t>各级交通运输主管部门和其所属的质量监督机构的工作人员违反本办法规定，在建设市场管理中徇私舞弊、滥用职权或者玩忽职守的，按照国家有关规定处理。构成犯罪的，由司法部门依法追究刑事责任。</w:t>
            </w:r>
          </w:p>
        </w:tc>
      </w:tr>
      <w:tr w14:paraId="5155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54" w:hRule="atLeast"/>
          <w:jc w:val="center"/>
        </w:trPr>
        <w:tc>
          <w:tcPr>
            <w:tcW w:w="1463" w:type="dxa"/>
            <w:vAlign w:val="center"/>
          </w:tcPr>
          <w:p w14:paraId="758360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7397399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004B5DD2">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0543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9" w:hRule="atLeast"/>
          <w:jc w:val="center"/>
        </w:trPr>
        <w:tc>
          <w:tcPr>
            <w:tcW w:w="1463" w:type="dxa"/>
            <w:vAlign w:val="center"/>
          </w:tcPr>
          <w:p w14:paraId="71588C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4FBB774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4AAB4B8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4141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03A2853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2F66806E">
            <w:pPr>
              <w:widowControl/>
              <w:jc w:val="left"/>
              <w:textAlignment w:val="center"/>
              <w:rPr>
                <w:rFonts w:ascii="黑体" w:eastAsia="黑体" w:cs="黑体"/>
                <w:color w:val="000000" w:themeColor="text1"/>
                <w:kern w:val="0"/>
                <w:sz w:val="18"/>
                <w:szCs w:val="18"/>
              </w:rPr>
            </w:pPr>
          </w:p>
        </w:tc>
      </w:tr>
    </w:tbl>
    <w:p w14:paraId="27F0905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履职行权规程（行政检查类）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16"/>
        <w:gridCol w:w="1515"/>
      </w:tblGrid>
      <w:tr w14:paraId="30B5E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70A2BB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DAD6804">
            <w:pPr>
              <w:jc w:val="center"/>
              <w:rPr>
                <w:rFonts w:ascii="黑体" w:eastAsia="黑体" w:cs="黑体"/>
                <w:b/>
                <w:bCs/>
                <w:color w:val="000000" w:themeColor="text1"/>
                <w:szCs w:val="21"/>
              </w:rPr>
            </w:pPr>
            <w:r>
              <w:rPr>
                <w:rFonts w:ascii="黑体" w:eastAsia="黑体" w:cs="黑体"/>
                <w:b/>
                <w:bCs/>
                <w:color w:val="000000" w:themeColor="text1"/>
                <w:szCs w:val="21"/>
              </w:rPr>
              <w:t>197</w:t>
            </w:r>
          </w:p>
        </w:tc>
        <w:tc>
          <w:tcPr>
            <w:tcW w:w="1691" w:type="dxa"/>
            <w:vAlign w:val="center"/>
          </w:tcPr>
          <w:p w14:paraId="3A5C548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5E191F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行政检查</w:t>
            </w:r>
          </w:p>
        </w:tc>
        <w:tc>
          <w:tcPr>
            <w:tcW w:w="1559" w:type="dxa"/>
            <w:gridSpan w:val="2"/>
            <w:vAlign w:val="center"/>
          </w:tcPr>
          <w:p w14:paraId="06223A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FC25BA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4A49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0F46A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730DB08A">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对侵占、损坏公路、公路用地、公路附属设施及其他违反《</w:t>
            </w:r>
            <w:r>
              <w:rPr>
                <w:rFonts w:hint="eastAsia" w:ascii="仿宋_GB2312" w:hAnsi="黑体" w:eastAsia="仿宋_GB2312" w:cs="黑体"/>
                <w:color w:val="000000" w:themeColor="text1"/>
                <w:sz w:val="18"/>
                <w:szCs w:val="18"/>
                <w:lang w:eastAsia="zh-CN"/>
              </w:rPr>
              <w:t>中华人民共和国公路法</w:t>
            </w:r>
            <w:r>
              <w:rPr>
                <w:rFonts w:hint="eastAsia" w:ascii="仿宋_GB2312" w:hAnsi="黑体" w:eastAsia="仿宋_GB2312" w:cs="黑体"/>
                <w:color w:val="000000" w:themeColor="text1"/>
                <w:sz w:val="18"/>
                <w:szCs w:val="18"/>
              </w:rPr>
              <w:t>》行为的监督检查</w:t>
            </w:r>
          </w:p>
        </w:tc>
      </w:tr>
      <w:tr w14:paraId="58EA8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1D8FB3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0E42022F">
            <w:pPr>
              <w:spacing w:line="240" w:lineRule="exact"/>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抚宁辖区内</w:t>
            </w:r>
          </w:p>
        </w:tc>
      </w:tr>
      <w:tr w14:paraId="3588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01" w:hRule="atLeast"/>
          <w:jc w:val="center"/>
        </w:trPr>
        <w:tc>
          <w:tcPr>
            <w:tcW w:w="1463" w:type="dxa"/>
            <w:vAlign w:val="center"/>
          </w:tcPr>
          <w:p w14:paraId="25484C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1ED96F8B">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hint="eastAsia" w:ascii="仿宋" w:hAnsi="仿宋" w:eastAsia="仿宋" w:cs="仿宋_GB2312"/>
                <w:color w:val="000000" w:themeColor="text1"/>
                <w:kern w:val="0"/>
                <w:sz w:val="18"/>
                <w:szCs w:val="18"/>
              </w:rPr>
              <w:t>《中华人民共和国公路法》</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日第五次修正）第七十条交通主管部门、公路管理机构负有管理和保护公路的责任，有权检查、制止各种侵占、损坏公路、公路用地、公路附属设施及其他违反本法规定的行为。</w:t>
            </w:r>
          </w:p>
          <w:p w14:paraId="2B34A04D">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A852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400436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F1CA0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3A7335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83" w:type="dxa"/>
            <w:gridSpan w:val="2"/>
            <w:vAlign w:val="center"/>
          </w:tcPr>
          <w:p w14:paraId="7C6FAB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15" w:type="dxa"/>
            <w:vAlign w:val="center"/>
          </w:tcPr>
          <w:p w14:paraId="2E30B0B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A6DE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0" w:hRule="atLeast"/>
          <w:jc w:val="center"/>
        </w:trPr>
        <w:tc>
          <w:tcPr>
            <w:tcW w:w="1463" w:type="dxa"/>
            <w:vMerge w:val="continue"/>
            <w:vAlign w:val="center"/>
          </w:tcPr>
          <w:p w14:paraId="0D0D0A0D">
            <w:pPr>
              <w:rPr>
                <w:color w:val="000000" w:themeColor="text1"/>
              </w:rPr>
            </w:pPr>
          </w:p>
        </w:tc>
        <w:tc>
          <w:tcPr>
            <w:tcW w:w="1050" w:type="dxa"/>
            <w:vAlign w:val="center"/>
          </w:tcPr>
          <w:p w14:paraId="5E082E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检查</w:t>
            </w:r>
          </w:p>
        </w:tc>
        <w:tc>
          <w:tcPr>
            <w:tcW w:w="5287" w:type="dxa"/>
            <w:gridSpan w:val="4"/>
            <w:vAlign w:val="center"/>
          </w:tcPr>
          <w:p w14:paraId="26525EFE">
            <w:pPr>
              <w:spacing w:line="240" w:lineRule="exact"/>
              <w:ind w:firstLine="360" w:firstLineChars="200"/>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对本辖区内放射品侵占、损坏公路、公路用地、公路附属设施及其他违反《</w:t>
            </w:r>
            <w:r>
              <w:rPr>
                <w:rFonts w:hint="eastAsia" w:ascii="仿宋_GB2312" w:hAnsi="黑体" w:eastAsia="仿宋_GB2312" w:cs="黑体"/>
                <w:color w:val="000000" w:themeColor="text1"/>
                <w:sz w:val="18"/>
                <w:szCs w:val="18"/>
                <w:lang w:eastAsia="zh-CN"/>
              </w:rPr>
              <w:t>中华人民共和国公路法</w:t>
            </w:r>
            <w:r>
              <w:rPr>
                <w:rFonts w:hint="eastAsia" w:ascii="仿宋_GB2312" w:hAnsi="黑体" w:eastAsia="仿宋_GB2312" w:cs="黑体"/>
                <w:color w:val="000000" w:themeColor="text1"/>
                <w:sz w:val="18"/>
                <w:szCs w:val="18"/>
              </w:rPr>
              <w:t>》行为的监督检查；</w:t>
            </w:r>
          </w:p>
        </w:tc>
        <w:tc>
          <w:tcPr>
            <w:tcW w:w="983" w:type="dxa"/>
            <w:gridSpan w:val="2"/>
            <w:vAlign w:val="center"/>
          </w:tcPr>
          <w:p w14:paraId="5D11FAA7">
            <w:pPr>
              <w:jc w:val="center"/>
              <w:rPr>
                <w:rFonts w:ascii="仿宋_GB2312" w:hAnsi="黑体" w:eastAsia="仿宋_GB2312" w:cs="黑体"/>
                <w:color w:val="000000" w:themeColor="text1"/>
                <w:sz w:val="18"/>
                <w:szCs w:val="18"/>
              </w:rPr>
            </w:pPr>
          </w:p>
        </w:tc>
        <w:tc>
          <w:tcPr>
            <w:tcW w:w="1515" w:type="dxa"/>
            <w:vAlign w:val="center"/>
          </w:tcPr>
          <w:p w14:paraId="7941D6A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5F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048F44B7">
            <w:pPr>
              <w:rPr>
                <w:color w:val="000000" w:themeColor="text1"/>
              </w:rPr>
            </w:pPr>
          </w:p>
        </w:tc>
        <w:tc>
          <w:tcPr>
            <w:tcW w:w="1050" w:type="dxa"/>
            <w:vAlign w:val="center"/>
          </w:tcPr>
          <w:p w14:paraId="2360186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处置</w:t>
            </w:r>
          </w:p>
        </w:tc>
        <w:tc>
          <w:tcPr>
            <w:tcW w:w="5287" w:type="dxa"/>
            <w:gridSpan w:val="4"/>
            <w:vAlign w:val="center"/>
          </w:tcPr>
          <w:p w14:paraId="470E24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对监督检查发现的问题，责令限期整改、依法实施处罚、依法吊销经营许可证；</w:t>
            </w:r>
          </w:p>
        </w:tc>
        <w:tc>
          <w:tcPr>
            <w:tcW w:w="983" w:type="dxa"/>
            <w:gridSpan w:val="2"/>
            <w:vAlign w:val="center"/>
          </w:tcPr>
          <w:p w14:paraId="59447765">
            <w:pPr>
              <w:jc w:val="center"/>
              <w:rPr>
                <w:rFonts w:ascii="仿宋_GB2312" w:hAnsi="黑体" w:eastAsia="仿宋_GB2312" w:cs="黑体"/>
                <w:color w:val="000000" w:themeColor="text1"/>
                <w:sz w:val="18"/>
                <w:szCs w:val="18"/>
              </w:rPr>
            </w:pPr>
          </w:p>
        </w:tc>
        <w:tc>
          <w:tcPr>
            <w:tcW w:w="1515" w:type="dxa"/>
            <w:vAlign w:val="center"/>
          </w:tcPr>
          <w:p w14:paraId="62DFB31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104F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55843981">
            <w:pPr>
              <w:rPr>
                <w:color w:val="000000" w:themeColor="text1"/>
              </w:rPr>
            </w:pPr>
          </w:p>
        </w:tc>
        <w:tc>
          <w:tcPr>
            <w:tcW w:w="1050" w:type="dxa"/>
            <w:vAlign w:val="center"/>
          </w:tcPr>
          <w:p w14:paraId="4D1116F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移送</w:t>
            </w:r>
          </w:p>
        </w:tc>
        <w:tc>
          <w:tcPr>
            <w:tcW w:w="5287" w:type="dxa"/>
            <w:gridSpan w:val="4"/>
            <w:vAlign w:val="center"/>
          </w:tcPr>
          <w:p w14:paraId="04125FFF">
            <w:pPr>
              <w:jc w:val="center"/>
              <w:rPr>
                <w:rFonts w:ascii="仿宋_GB2312" w:hAnsi="黑体" w:eastAsia="仿宋_GB2312" w:cs="黑体"/>
                <w:color w:val="000000" w:themeColor="text1"/>
                <w:sz w:val="18"/>
                <w:szCs w:val="18"/>
              </w:rPr>
            </w:pPr>
            <w:r>
              <w:rPr>
                <w:rFonts w:hint="eastAsia" w:ascii="仿宋_GB2312" w:eastAsia="仿宋_GB2312" w:cs="黑体"/>
                <w:color w:val="000000" w:themeColor="text1"/>
                <w:kern w:val="0"/>
                <w:sz w:val="18"/>
                <w:szCs w:val="18"/>
              </w:rPr>
              <w:t>及时予以公告，对构成违法犯罪的移交司法机关；</w:t>
            </w:r>
          </w:p>
        </w:tc>
        <w:tc>
          <w:tcPr>
            <w:tcW w:w="983" w:type="dxa"/>
            <w:gridSpan w:val="2"/>
            <w:vAlign w:val="center"/>
          </w:tcPr>
          <w:p w14:paraId="1B92DDF1">
            <w:pPr>
              <w:jc w:val="center"/>
              <w:rPr>
                <w:rFonts w:ascii="仿宋_GB2312" w:hAnsi="黑体" w:eastAsia="仿宋_GB2312" w:cs="黑体"/>
                <w:color w:val="000000" w:themeColor="text1"/>
                <w:sz w:val="18"/>
                <w:szCs w:val="18"/>
              </w:rPr>
            </w:pPr>
          </w:p>
        </w:tc>
        <w:tc>
          <w:tcPr>
            <w:tcW w:w="1515" w:type="dxa"/>
            <w:vAlign w:val="center"/>
          </w:tcPr>
          <w:p w14:paraId="2EA41A9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865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2" w:hRule="atLeast"/>
          <w:jc w:val="center"/>
        </w:trPr>
        <w:tc>
          <w:tcPr>
            <w:tcW w:w="1463" w:type="dxa"/>
            <w:vMerge w:val="continue"/>
            <w:vAlign w:val="center"/>
          </w:tcPr>
          <w:p w14:paraId="48420EFD">
            <w:pPr>
              <w:rPr>
                <w:color w:val="000000" w:themeColor="text1"/>
              </w:rPr>
            </w:pPr>
          </w:p>
        </w:tc>
        <w:tc>
          <w:tcPr>
            <w:tcW w:w="1050" w:type="dxa"/>
            <w:vAlign w:val="center"/>
          </w:tcPr>
          <w:p w14:paraId="77C90C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事后管理</w:t>
            </w:r>
          </w:p>
        </w:tc>
        <w:tc>
          <w:tcPr>
            <w:tcW w:w="5287" w:type="dxa"/>
            <w:gridSpan w:val="4"/>
            <w:vAlign w:val="center"/>
          </w:tcPr>
          <w:p w14:paraId="2BF4C744">
            <w:pPr>
              <w:jc w:val="center"/>
              <w:rPr>
                <w:rFonts w:ascii="仿宋_GB2312" w:hAnsi="黑体" w:eastAsia="仿宋_GB2312" w:cs="黑体"/>
                <w:color w:val="000000" w:themeColor="text1"/>
                <w:szCs w:val="21"/>
              </w:rPr>
            </w:pPr>
            <w:r>
              <w:rPr>
                <w:rFonts w:hint="eastAsia" w:ascii="仿宋_GB2312" w:hAnsi="黑体" w:eastAsia="仿宋_GB2312" w:cs="黑体"/>
                <w:color w:val="000000" w:themeColor="text1"/>
                <w:sz w:val="18"/>
                <w:szCs w:val="18"/>
              </w:rPr>
              <w:t>对监督检查发现的问题，企业或单位、个人整改完成后，对整改情况组织进行核查；</w:t>
            </w:r>
          </w:p>
        </w:tc>
        <w:tc>
          <w:tcPr>
            <w:tcW w:w="983" w:type="dxa"/>
            <w:gridSpan w:val="2"/>
            <w:vAlign w:val="center"/>
          </w:tcPr>
          <w:p w14:paraId="736BB9E3">
            <w:pPr>
              <w:jc w:val="center"/>
              <w:rPr>
                <w:rFonts w:ascii="仿宋_GB2312" w:hAnsi="黑体" w:eastAsia="仿宋_GB2312" w:cs="黑体"/>
                <w:color w:val="000000" w:themeColor="text1"/>
                <w:sz w:val="18"/>
                <w:szCs w:val="18"/>
              </w:rPr>
            </w:pPr>
          </w:p>
        </w:tc>
        <w:tc>
          <w:tcPr>
            <w:tcW w:w="1515" w:type="dxa"/>
            <w:vAlign w:val="center"/>
          </w:tcPr>
          <w:p w14:paraId="253B230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A10C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61" w:hRule="atLeast"/>
          <w:jc w:val="center"/>
        </w:trPr>
        <w:tc>
          <w:tcPr>
            <w:tcW w:w="1463" w:type="dxa"/>
            <w:vAlign w:val="center"/>
          </w:tcPr>
          <w:p w14:paraId="0CFDB3A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05CE033B">
            <w:pPr>
              <w:spacing w:line="240" w:lineRule="exact"/>
              <w:rPr>
                <w:rFonts w:ascii="黑体" w:eastAsia="黑体" w:cs="黑体"/>
                <w:color w:val="000000" w:themeColor="text1"/>
                <w:szCs w:val="21"/>
              </w:rPr>
            </w:pPr>
            <w:r>
              <w:rPr>
                <w:rFonts w:hint="eastAsia" w:ascii="仿宋" w:hAnsi="仿宋" w:eastAsia="仿宋" w:cs="仿宋_GB2312"/>
                <w:color w:val="000000" w:themeColor="text1"/>
                <w:kern w:val="0"/>
                <w:sz w:val="18"/>
                <w:szCs w:val="18"/>
              </w:rPr>
              <w:t>《中华人民共和国公路法》</w:t>
            </w:r>
            <w:r>
              <w:rPr>
                <w:rFonts w:ascii="仿宋" w:hAnsi="仿宋" w:eastAsia="仿宋" w:cs="仿宋_GB2312"/>
                <w:color w:val="000000" w:themeColor="text1"/>
                <w:kern w:val="0"/>
                <w:sz w:val="18"/>
                <w:szCs w:val="18"/>
              </w:rPr>
              <w:t>(2017</w:t>
            </w:r>
            <w:r>
              <w:rPr>
                <w:rFonts w:hint="eastAsia" w:ascii="仿宋" w:hAnsi="仿宋" w:eastAsia="仿宋" w:cs="仿宋_GB2312"/>
                <w:color w:val="000000" w:themeColor="text1"/>
                <w:kern w:val="0"/>
                <w:sz w:val="18"/>
                <w:szCs w:val="18"/>
              </w:rPr>
              <w:t>年</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月</w:t>
            </w:r>
            <w:r>
              <w:rPr>
                <w:rFonts w:ascii="仿宋" w:hAnsi="仿宋" w:eastAsia="仿宋" w:cs="仿宋_GB2312"/>
                <w:color w:val="000000" w:themeColor="text1"/>
                <w:kern w:val="0"/>
                <w:sz w:val="18"/>
                <w:szCs w:val="18"/>
              </w:rPr>
              <w:t>4</w:t>
            </w:r>
            <w:r>
              <w:rPr>
                <w:rFonts w:hint="eastAsia" w:ascii="仿宋" w:hAnsi="仿宋" w:eastAsia="仿宋" w:cs="仿宋_GB2312"/>
                <w:color w:val="000000" w:themeColor="text1"/>
                <w:kern w:val="0"/>
                <w:sz w:val="18"/>
                <w:szCs w:val="18"/>
              </w:rPr>
              <w:t>日第五次修正）第八十六条交通主管部门、公路管理机构的工作人员玩忽职守、徇私舞弊、滥用职权，构成犯罪的，依法追究刑事责任；尚不构成犯罪的，依法给予行政处分。</w:t>
            </w:r>
          </w:p>
        </w:tc>
      </w:tr>
      <w:tr w14:paraId="6E392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49" w:hRule="atLeast"/>
          <w:jc w:val="center"/>
        </w:trPr>
        <w:tc>
          <w:tcPr>
            <w:tcW w:w="1463" w:type="dxa"/>
            <w:vAlign w:val="center"/>
          </w:tcPr>
          <w:p w14:paraId="5325DA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7D39550C">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6682452    2.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28060FC6">
            <w:pPr>
              <w:widowControl/>
              <w:spacing w:line="240" w:lineRule="exact"/>
              <w:jc w:val="left"/>
              <w:textAlignment w:val="center"/>
              <w:rPr>
                <w:rFonts w:ascii="黑体" w:eastAsia="黑体"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FD75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51" w:hRule="atLeast"/>
          <w:jc w:val="center"/>
        </w:trPr>
        <w:tc>
          <w:tcPr>
            <w:tcW w:w="1463" w:type="dxa"/>
            <w:vAlign w:val="center"/>
          </w:tcPr>
          <w:p w14:paraId="4D29B3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C2778C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．不服检查决定自知道该具体行政行为之日起六十日内向抚宁区人民政府申请行政复议。</w:t>
            </w:r>
          </w:p>
          <w:p w14:paraId="06231B8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．不服检查决定应当自知道或者应当知道作出行政行为之日起六个月内提出向抚宁区人民法院提起行政诉讼。</w:t>
            </w:r>
          </w:p>
        </w:tc>
      </w:tr>
      <w:tr w14:paraId="0D92B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8" w:hRule="atLeast"/>
          <w:jc w:val="center"/>
        </w:trPr>
        <w:tc>
          <w:tcPr>
            <w:tcW w:w="1463" w:type="dxa"/>
            <w:vAlign w:val="center"/>
          </w:tcPr>
          <w:p w14:paraId="30CA77D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4BA2504F">
            <w:pPr>
              <w:widowControl/>
              <w:jc w:val="left"/>
              <w:textAlignment w:val="center"/>
              <w:rPr>
                <w:rFonts w:ascii="黑体" w:eastAsia="黑体" w:cs="黑体"/>
                <w:color w:val="000000" w:themeColor="text1"/>
                <w:kern w:val="0"/>
                <w:sz w:val="18"/>
                <w:szCs w:val="18"/>
              </w:rPr>
            </w:pPr>
          </w:p>
        </w:tc>
      </w:tr>
    </w:tbl>
    <w:p w14:paraId="258B2348">
      <w:pPr>
        <w:widowControl/>
        <w:jc w:val="center"/>
        <w:textAlignment w:val="center"/>
        <w:rPr>
          <w:color w:val="000000" w:themeColor="text1"/>
        </w:rPr>
      </w:pPr>
    </w:p>
    <w:p w14:paraId="032074E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11"/>
        <w:gridCol w:w="780"/>
        <w:gridCol w:w="1691"/>
        <w:gridCol w:w="1963"/>
        <w:gridCol w:w="992"/>
        <w:gridCol w:w="567"/>
        <w:gridCol w:w="427"/>
        <w:gridCol w:w="1504"/>
      </w:tblGrid>
      <w:tr w14:paraId="09594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3163B5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48209BD6">
            <w:pPr>
              <w:jc w:val="center"/>
              <w:rPr>
                <w:rFonts w:ascii="黑体" w:eastAsia="黑体" w:cs="黑体"/>
                <w:b/>
                <w:bCs/>
                <w:color w:val="000000" w:themeColor="text1"/>
                <w:szCs w:val="21"/>
              </w:rPr>
            </w:pPr>
            <w:r>
              <w:rPr>
                <w:rFonts w:ascii="黑体" w:eastAsia="黑体" w:cs="黑体"/>
                <w:b/>
                <w:bCs/>
                <w:color w:val="000000" w:themeColor="text1"/>
                <w:szCs w:val="21"/>
              </w:rPr>
              <w:t>198</w:t>
            </w:r>
          </w:p>
        </w:tc>
        <w:tc>
          <w:tcPr>
            <w:tcW w:w="1691" w:type="dxa"/>
            <w:vAlign w:val="center"/>
          </w:tcPr>
          <w:p w14:paraId="362EF69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5ACCB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7323BC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90B44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576C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3EC5E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7C1C0D33">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对需要立即清除道路遗洒物、障碍物或者污染物，当事人不能清除的行政强制</w:t>
            </w:r>
          </w:p>
        </w:tc>
      </w:tr>
      <w:tr w14:paraId="1B2F6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33EB795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1B7B39C5">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0A25C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2FFDE1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41C6E42">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【法律法规】《中华人民共和国行政强制法》第五十二条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需要立即清除道路、河道、航道或者公共场所的遗洒物、障碍物或者污染物，当事人不能清除的，行政机关可以决定立即实施代履行；当事人不在场的，行政机关应当在事后立即通知当事人，并依法作出处理。</w:t>
            </w:r>
          </w:p>
          <w:p w14:paraId="4A1FCF66">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6793C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5CD7C3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11" w:type="dxa"/>
            <w:vAlign w:val="center"/>
          </w:tcPr>
          <w:p w14:paraId="0751FA4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26" w:type="dxa"/>
            <w:gridSpan w:val="4"/>
            <w:vAlign w:val="center"/>
          </w:tcPr>
          <w:p w14:paraId="20DAE8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4" w:type="dxa"/>
            <w:gridSpan w:val="2"/>
            <w:vAlign w:val="center"/>
          </w:tcPr>
          <w:p w14:paraId="62D08F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6319A17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BDA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8C06931">
            <w:pPr>
              <w:rPr>
                <w:color w:val="000000" w:themeColor="text1"/>
              </w:rPr>
            </w:pPr>
          </w:p>
        </w:tc>
        <w:tc>
          <w:tcPr>
            <w:tcW w:w="911" w:type="dxa"/>
            <w:vAlign w:val="center"/>
          </w:tcPr>
          <w:p w14:paraId="6F96242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26" w:type="dxa"/>
            <w:gridSpan w:val="4"/>
            <w:vAlign w:val="center"/>
          </w:tcPr>
          <w:p w14:paraId="1ED718D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994" w:type="dxa"/>
            <w:gridSpan w:val="2"/>
            <w:vAlign w:val="center"/>
          </w:tcPr>
          <w:p w14:paraId="6BD5297F">
            <w:pPr>
              <w:jc w:val="center"/>
              <w:rPr>
                <w:rFonts w:ascii="仿宋_GB2312" w:hAnsi="黑体" w:eastAsia="仿宋_GB2312" w:cs="黑体"/>
                <w:color w:val="000000" w:themeColor="text1"/>
                <w:sz w:val="18"/>
                <w:szCs w:val="18"/>
              </w:rPr>
            </w:pPr>
          </w:p>
        </w:tc>
        <w:tc>
          <w:tcPr>
            <w:tcW w:w="1504" w:type="dxa"/>
            <w:vAlign w:val="center"/>
          </w:tcPr>
          <w:p w14:paraId="51E7AF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806E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25762E16">
            <w:pPr>
              <w:rPr>
                <w:color w:val="000000" w:themeColor="text1"/>
              </w:rPr>
            </w:pPr>
          </w:p>
        </w:tc>
        <w:tc>
          <w:tcPr>
            <w:tcW w:w="911" w:type="dxa"/>
            <w:vAlign w:val="center"/>
          </w:tcPr>
          <w:p w14:paraId="414746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26" w:type="dxa"/>
            <w:gridSpan w:val="4"/>
            <w:vAlign w:val="center"/>
          </w:tcPr>
          <w:p w14:paraId="6E4F78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994" w:type="dxa"/>
            <w:gridSpan w:val="2"/>
            <w:vAlign w:val="center"/>
          </w:tcPr>
          <w:p w14:paraId="402A5139">
            <w:pPr>
              <w:jc w:val="center"/>
              <w:rPr>
                <w:rFonts w:ascii="仿宋_GB2312" w:hAnsi="黑体" w:eastAsia="仿宋_GB2312" w:cs="黑体"/>
                <w:color w:val="000000" w:themeColor="text1"/>
                <w:sz w:val="18"/>
                <w:szCs w:val="18"/>
              </w:rPr>
            </w:pPr>
          </w:p>
        </w:tc>
        <w:tc>
          <w:tcPr>
            <w:tcW w:w="1504" w:type="dxa"/>
            <w:vAlign w:val="center"/>
          </w:tcPr>
          <w:p w14:paraId="3394599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0EA9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463" w:type="dxa"/>
            <w:vMerge w:val="continue"/>
            <w:vAlign w:val="center"/>
          </w:tcPr>
          <w:p w14:paraId="066FD874">
            <w:pPr>
              <w:rPr>
                <w:color w:val="000000" w:themeColor="text1"/>
              </w:rPr>
            </w:pPr>
          </w:p>
        </w:tc>
        <w:tc>
          <w:tcPr>
            <w:tcW w:w="911" w:type="dxa"/>
            <w:vAlign w:val="center"/>
          </w:tcPr>
          <w:p w14:paraId="7BFABE5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26" w:type="dxa"/>
            <w:gridSpan w:val="4"/>
            <w:vAlign w:val="center"/>
          </w:tcPr>
          <w:p w14:paraId="490E909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994" w:type="dxa"/>
            <w:gridSpan w:val="2"/>
            <w:vAlign w:val="center"/>
          </w:tcPr>
          <w:p w14:paraId="5A7965F4">
            <w:pPr>
              <w:jc w:val="center"/>
              <w:rPr>
                <w:rFonts w:ascii="仿宋_GB2312" w:hAnsi="黑体" w:eastAsia="仿宋_GB2312" w:cs="黑体"/>
                <w:color w:val="000000" w:themeColor="text1"/>
                <w:sz w:val="18"/>
                <w:szCs w:val="18"/>
              </w:rPr>
            </w:pPr>
          </w:p>
        </w:tc>
        <w:tc>
          <w:tcPr>
            <w:tcW w:w="1504" w:type="dxa"/>
            <w:vAlign w:val="center"/>
          </w:tcPr>
          <w:p w14:paraId="053C02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78A4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5" w:hRule="atLeast"/>
          <w:jc w:val="center"/>
        </w:trPr>
        <w:tc>
          <w:tcPr>
            <w:tcW w:w="1463" w:type="dxa"/>
            <w:vMerge w:val="continue"/>
            <w:vAlign w:val="center"/>
          </w:tcPr>
          <w:p w14:paraId="00325435">
            <w:pPr>
              <w:rPr>
                <w:color w:val="000000" w:themeColor="text1"/>
              </w:rPr>
            </w:pPr>
          </w:p>
        </w:tc>
        <w:tc>
          <w:tcPr>
            <w:tcW w:w="911" w:type="dxa"/>
            <w:vAlign w:val="center"/>
          </w:tcPr>
          <w:p w14:paraId="3FA85C4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26" w:type="dxa"/>
            <w:gridSpan w:val="4"/>
            <w:vAlign w:val="center"/>
          </w:tcPr>
          <w:p w14:paraId="7631A8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994" w:type="dxa"/>
            <w:gridSpan w:val="2"/>
            <w:vAlign w:val="center"/>
          </w:tcPr>
          <w:p w14:paraId="4B66DF07">
            <w:pPr>
              <w:jc w:val="center"/>
              <w:rPr>
                <w:rFonts w:ascii="仿宋_GB2312" w:hAnsi="黑体" w:eastAsia="仿宋_GB2312" w:cs="黑体"/>
                <w:color w:val="000000" w:themeColor="text1"/>
                <w:sz w:val="18"/>
                <w:szCs w:val="18"/>
              </w:rPr>
            </w:pPr>
          </w:p>
        </w:tc>
        <w:tc>
          <w:tcPr>
            <w:tcW w:w="1504" w:type="dxa"/>
            <w:vAlign w:val="center"/>
          </w:tcPr>
          <w:p w14:paraId="224F730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893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463" w:type="dxa"/>
            <w:vMerge w:val="continue"/>
            <w:vAlign w:val="center"/>
          </w:tcPr>
          <w:p w14:paraId="7AFE2DAA">
            <w:pPr>
              <w:rPr>
                <w:color w:val="000000" w:themeColor="text1"/>
              </w:rPr>
            </w:pPr>
          </w:p>
        </w:tc>
        <w:tc>
          <w:tcPr>
            <w:tcW w:w="911" w:type="dxa"/>
            <w:vAlign w:val="center"/>
          </w:tcPr>
          <w:p w14:paraId="3E3C61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26" w:type="dxa"/>
            <w:gridSpan w:val="4"/>
            <w:vAlign w:val="center"/>
          </w:tcPr>
          <w:p w14:paraId="321E7B1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994" w:type="dxa"/>
            <w:gridSpan w:val="2"/>
            <w:vAlign w:val="center"/>
          </w:tcPr>
          <w:p w14:paraId="29D9FAC1">
            <w:pPr>
              <w:jc w:val="center"/>
              <w:rPr>
                <w:rFonts w:ascii="仿宋_GB2312" w:hAnsi="黑体" w:eastAsia="仿宋_GB2312" w:cs="黑体"/>
                <w:color w:val="000000" w:themeColor="text1"/>
                <w:sz w:val="18"/>
                <w:szCs w:val="18"/>
              </w:rPr>
            </w:pPr>
          </w:p>
        </w:tc>
        <w:tc>
          <w:tcPr>
            <w:tcW w:w="1504" w:type="dxa"/>
            <w:vAlign w:val="center"/>
          </w:tcPr>
          <w:p w14:paraId="6CEEBF1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351B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69" w:hRule="atLeast"/>
          <w:jc w:val="center"/>
        </w:trPr>
        <w:tc>
          <w:tcPr>
            <w:tcW w:w="1463" w:type="dxa"/>
            <w:vAlign w:val="center"/>
          </w:tcPr>
          <w:p w14:paraId="37974B4A">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0778DADC">
            <w:pPr>
              <w:widowControl/>
              <w:spacing w:line="20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4004FC54">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16A9E984">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7950A615">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34A111A1">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65F27E12">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2B18F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34A444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6E7E9A1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6ADF487E">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69040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124C4C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778E41B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080EA8F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13530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624C851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579017BF">
            <w:pPr>
              <w:widowControl/>
              <w:jc w:val="left"/>
              <w:textAlignment w:val="center"/>
              <w:rPr>
                <w:rFonts w:ascii="黑体" w:eastAsia="黑体" w:cs="黑体"/>
                <w:color w:val="000000" w:themeColor="text1"/>
                <w:kern w:val="0"/>
                <w:sz w:val="18"/>
                <w:szCs w:val="18"/>
              </w:rPr>
            </w:pPr>
          </w:p>
        </w:tc>
      </w:tr>
    </w:tbl>
    <w:p w14:paraId="20CCA68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38"/>
        <w:gridCol w:w="753"/>
        <w:gridCol w:w="1691"/>
        <w:gridCol w:w="1963"/>
        <w:gridCol w:w="1102"/>
        <w:gridCol w:w="457"/>
        <w:gridCol w:w="427"/>
        <w:gridCol w:w="1504"/>
      </w:tblGrid>
      <w:tr w14:paraId="7D2B0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3B780ED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1463F2F4">
            <w:pPr>
              <w:jc w:val="center"/>
              <w:rPr>
                <w:rFonts w:ascii="黑体" w:eastAsia="黑体" w:cs="黑体"/>
                <w:b/>
                <w:bCs/>
                <w:color w:val="000000" w:themeColor="text1"/>
                <w:szCs w:val="21"/>
              </w:rPr>
            </w:pPr>
            <w:r>
              <w:rPr>
                <w:rFonts w:ascii="黑体" w:eastAsia="黑体" w:cs="黑体"/>
                <w:b/>
                <w:bCs/>
                <w:color w:val="000000" w:themeColor="text1"/>
                <w:szCs w:val="21"/>
              </w:rPr>
              <w:t>199</w:t>
            </w:r>
          </w:p>
        </w:tc>
        <w:tc>
          <w:tcPr>
            <w:tcW w:w="1691" w:type="dxa"/>
            <w:vAlign w:val="center"/>
          </w:tcPr>
          <w:p w14:paraId="7255CC3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8F744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4DEFE5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40F69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8264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3F2C44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7560E9DE">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对造成公路、公路附属设施损坏，拒不接受公路管理机构现场调查处理行为的行政强制</w:t>
            </w:r>
          </w:p>
        </w:tc>
      </w:tr>
      <w:tr w14:paraId="5CE2D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22B3D0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0629E50">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52BBB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6115DBA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2755534">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《中华人民共和国公路法》（国家主席令【</w:t>
            </w:r>
            <w:r>
              <w:rPr>
                <w:rFonts w:ascii="仿宋_GB2312" w:hAnsi="黑体" w:eastAsia="仿宋_GB2312" w:cs="黑体"/>
                <w:color w:val="000000" w:themeColor="text1"/>
                <w:sz w:val="18"/>
                <w:szCs w:val="18"/>
              </w:rPr>
              <w:t>97</w:t>
            </w:r>
            <w:r>
              <w:rPr>
                <w:rFonts w:hint="eastAsia" w:ascii="仿宋_GB2312" w:hAnsi="黑体" w:eastAsia="仿宋_GB2312" w:cs="黑体"/>
                <w:color w:val="000000" w:themeColor="text1"/>
                <w:sz w:val="18"/>
                <w:szCs w:val="18"/>
              </w:rPr>
              <w:t>】第</w:t>
            </w:r>
            <w:r>
              <w:rPr>
                <w:rFonts w:ascii="仿宋_GB2312" w:hAnsi="黑体" w:eastAsia="仿宋_GB2312" w:cs="黑体"/>
                <w:color w:val="000000" w:themeColor="text1"/>
                <w:sz w:val="18"/>
                <w:szCs w:val="18"/>
              </w:rPr>
              <w:t>86</w:t>
            </w:r>
            <w:r>
              <w:rPr>
                <w:rFonts w:hint="eastAsia" w:ascii="仿宋_GB2312" w:hAnsi="黑体" w:eastAsia="仿宋_GB2312" w:cs="黑体"/>
                <w:color w:val="000000" w:themeColor="text1"/>
                <w:sz w:val="18"/>
                <w:szCs w:val="18"/>
              </w:rPr>
              <w:t>号，</w:t>
            </w:r>
            <w:r>
              <w:rPr>
                <w:rFonts w:ascii="仿宋_GB2312" w:hAnsi="黑体" w:eastAsia="仿宋_GB2312" w:cs="黑体"/>
                <w:color w:val="000000" w:themeColor="text1"/>
                <w:sz w:val="18"/>
                <w:szCs w:val="18"/>
              </w:rPr>
              <w:t>2017</w:t>
            </w:r>
            <w:r>
              <w:rPr>
                <w:rFonts w:hint="eastAsia" w:ascii="仿宋_GB2312" w:hAnsi="黑体" w:eastAsia="仿宋_GB2312" w:cs="黑体"/>
                <w:color w:val="000000" w:themeColor="text1"/>
                <w:sz w:val="18"/>
                <w:szCs w:val="18"/>
              </w:rPr>
              <w:t>年</w:t>
            </w:r>
            <w:r>
              <w:rPr>
                <w:rFonts w:ascii="仿宋_GB2312" w:hAnsi="黑体" w:eastAsia="仿宋_GB2312" w:cs="黑体"/>
                <w:color w:val="000000" w:themeColor="text1"/>
                <w:sz w:val="18"/>
                <w:szCs w:val="18"/>
              </w:rPr>
              <w:t>11</w:t>
            </w:r>
            <w:r>
              <w:rPr>
                <w:rFonts w:hint="eastAsia" w:ascii="仿宋_GB2312" w:hAnsi="黑体" w:eastAsia="仿宋_GB2312" w:cs="黑体"/>
                <w:color w:val="000000" w:themeColor="text1"/>
                <w:sz w:val="18"/>
                <w:szCs w:val="18"/>
              </w:rPr>
              <w:t>月</w:t>
            </w: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日第五次修改）第五十三条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造成公路损坏的，责任者应当及时报告公路管理机构，并接受公路管理机构的现场调查。</w:t>
            </w:r>
          </w:p>
          <w:p w14:paraId="24A1205A">
            <w:pPr>
              <w:spacing w:line="240" w:lineRule="exact"/>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号）第七十二条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造成公路、公路附属设施损坏，拒不接受公路管理机构现场调查处理的，公路管理机构可以扣留车辆、工具。</w:t>
            </w:r>
          </w:p>
          <w:p w14:paraId="780FE48F">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2626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E810B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38" w:type="dxa"/>
            <w:vAlign w:val="center"/>
          </w:tcPr>
          <w:p w14:paraId="250B37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509" w:type="dxa"/>
            <w:gridSpan w:val="4"/>
            <w:vAlign w:val="center"/>
          </w:tcPr>
          <w:p w14:paraId="468F08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884" w:type="dxa"/>
            <w:gridSpan w:val="2"/>
            <w:vAlign w:val="center"/>
          </w:tcPr>
          <w:p w14:paraId="40BD43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1AAF62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B326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4" w:hRule="atLeast"/>
          <w:jc w:val="center"/>
        </w:trPr>
        <w:tc>
          <w:tcPr>
            <w:tcW w:w="1463" w:type="dxa"/>
            <w:vMerge w:val="continue"/>
            <w:vAlign w:val="center"/>
          </w:tcPr>
          <w:p w14:paraId="5AFFFD9D">
            <w:pPr>
              <w:rPr>
                <w:color w:val="000000" w:themeColor="text1"/>
              </w:rPr>
            </w:pPr>
          </w:p>
        </w:tc>
        <w:tc>
          <w:tcPr>
            <w:tcW w:w="938" w:type="dxa"/>
            <w:vAlign w:val="center"/>
          </w:tcPr>
          <w:p w14:paraId="635C72F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509" w:type="dxa"/>
            <w:gridSpan w:val="4"/>
            <w:vAlign w:val="center"/>
          </w:tcPr>
          <w:p w14:paraId="6A36E8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884" w:type="dxa"/>
            <w:gridSpan w:val="2"/>
            <w:vAlign w:val="center"/>
          </w:tcPr>
          <w:p w14:paraId="1AE8AE7B">
            <w:pPr>
              <w:jc w:val="center"/>
              <w:rPr>
                <w:rFonts w:ascii="仿宋_GB2312" w:hAnsi="黑体" w:eastAsia="仿宋_GB2312" w:cs="黑体"/>
                <w:color w:val="000000" w:themeColor="text1"/>
                <w:sz w:val="18"/>
                <w:szCs w:val="18"/>
              </w:rPr>
            </w:pPr>
          </w:p>
        </w:tc>
        <w:tc>
          <w:tcPr>
            <w:tcW w:w="1504" w:type="dxa"/>
            <w:vAlign w:val="center"/>
          </w:tcPr>
          <w:p w14:paraId="15C359B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CAC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4E9BCC14">
            <w:pPr>
              <w:rPr>
                <w:color w:val="000000" w:themeColor="text1"/>
              </w:rPr>
            </w:pPr>
          </w:p>
        </w:tc>
        <w:tc>
          <w:tcPr>
            <w:tcW w:w="938" w:type="dxa"/>
            <w:vAlign w:val="center"/>
          </w:tcPr>
          <w:p w14:paraId="40031BE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509" w:type="dxa"/>
            <w:gridSpan w:val="4"/>
            <w:vAlign w:val="center"/>
          </w:tcPr>
          <w:p w14:paraId="1C09DD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884" w:type="dxa"/>
            <w:gridSpan w:val="2"/>
            <w:vAlign w:val="center"/>
          </w:tcPr>
          <w:p w14:paraId="013F35A9">
            <w:pPr>
              <w:jc w:val="center"/>
              <w:rPr>
                <w:rFonts w:ascii="仿宋_GB2312" w:hAnsi="黑体" w:eastAsia="仿宋_GB2312" w:cs="黑体"/>
                <w:color w:val="000000" w:themeColor="text1"/>
                <w:sz w:val="18"/>
                <w:szCs w:val="18"/>
              </w:rPr>
            </w:pPr>
          </w:p>
        </w:tc>
        <w:tc>
          <w:tcPr>
            <w:tcW w:w="1504" w:type="dxa"/>
            <w:vAlign w:val="center"/>
          </w:tcPr>
          <w:p w14:paraId="5CDF37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1B0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7" w:hRule="atLeast"/>
          <w:jc w:val="center"/>
        </w:trPr>
        <w:tc>
          <w:tcPr>
            <w:tcW w:w="1463" w:type="dxa"/>
            <w:vMerge w:val="continue"/>
            <w:vAlign w:val="center"/>
          </w:tcPr>
          <w:p w14:paraId="166493F6">
            <w:pPr>
              <w:rPr>
                <w:color w:val="000000" w:themeColor="text1"/>
              </w:rPr>
            </w:pPr>
          </w:p>
        </w:tc>
        <w:tc>
          <w:tcPr>
            <w:tcW w:w="938" w:type="dxa"/>
            <w:vAlign w:val="center"/>
          </w:tcPr>
          <w:p w14:paraId="57A68F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509" w:type="dxa"/>
            <w:gridSpan w:val="4"/>
            <w:vAlign w:val="center"/>
          </w:tcPr>
          <w:p w14:paraId="6F78AD2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884" w:type="dxa"/>
            <w:gridSpan w:val="2"/>
            <w:vAlign w:val="center"/>
          </w:tcPr>
          <w:p w14:paraId="6EDC505D">
            <w:pPr>
              <w:jc w:val="center"/>
              <w:rPr>
                <w:rFonts w:ascii="仿宋_GB2312" w:hAnsi="黑体" w:eastAsia="仿宋_GB2312" w:cs="黑体"/>
                <w:color w:val="000000" w:themeColor="text1"/>
                <w:sz w:val="18"/>
                <w:szCs w:val="18"/>
              </w:rPr>
            </w:pPr>
          </w:p>
        </w:tc>
        <w:tc>
          <w:tcPr>
            <w:tcW w:w="1504" w:type="dxa"/>
            <w:vAlign w:val="center"/>
          </w:tcPr>
          <w:p w14:paraId="3A22C28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089C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6" w:hRule="atLeast"/>
          <w:jc w:val="center"/>
        </w:trPr>
        <w:tc>
          <w:tcPr>
            <w:tcW w:w="1463" w:type="dxa"/>
            <w:vMerge w:val="continue"/>
            <w:vAlign w:val="center"/>
          </w:tcPr>
          <w:p w14:paraId="2FBCB72E">
            <w:pPr>
              <w:rPr>
                <w:color w:val="000000" w:themeColor="text1"/>
              </w:rPr>
            </w:pPr>
          </w:p>
        </w:tc>
        <w:tc>
          <w:tcPr>
            <w:tcW w:w="938" w:type="dxa"/>
            <w:vAlign w:val="center"/>
          </w:tcPr>
          <w:p w14:paraId="776037C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509" w:type="dxa"/>
            <w:gridSpan w:val="4"/>
            <w:vAlign w:val="center"/>
          </w:tcPr>
          <w:p w14:paraId="176E4B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884" w:type="dxa"/>
            <w:gridSpan w:val="2"/>
            <w:vAlign w:val="center"/>
          </w:tcPr>
          <w:p w14:paraId="73B153CC">
            <w:pPr>
              <w:jc w:val="center"/>
              <w:rPr>
                <w:rFonts w:ascii="仿宋_GB2312" w:hAnsi="黑体" w:eastAsia="仿宋_GB2312" w:cs="黑体"/>
                <w:color w:val="000000" w:themeColor="text1"/>
                <w:sz w:val="18"/>
                <w:szCs w:val="18"/>
              </w:rPr>
            </w:pPr>
          </w:p>
        </w:tc>
        <w:tc>
          <w:tcPr>
            <w:tcW w:w="1504" w:type="dxa"/>
            <w:vAlign w:val="center"/>
          </w:tcPr>
          <w:p w14:paraId="7114938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09D6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463" w:type="dxa"/>
            <w:vMerge w:val="continue"/>
            <w:vAlign w:val="center"/>
          </w:tcPr>
          <w:p w14:paraId="232F20A9">
            <w:pPr>
              <w:rPr>
                <w:color w:val="000000" w:themeColor="text1"/>
              </w:rPr>
            </w:pPr>
          </w:p>
        </w:tc>
        <w:tc>
          <w:tcPr>
            <w:tcW w:w="938" w:type="dxa"/>
            <w:vAlign w:val="center"/>
          </w:tcPr>
          <w:p w14:paraId="391AB44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509" w:type="dxa"/>
            <w:gridSpan w:val="4"/>
            <w:vAlign w:val="center"/>
          </w:tcPr>
          <w:p w14:paraId="266C1D6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884" w:type="dxa"/>
            <w:gridSpan w:val="2"/>
            <w:vAlign w:val="center"/>
          </w:tcPr>
          <w:p w14:paraId="5268A400">
            <w:pPr>
              <w:jc w:val="center"/>
              <w:rPr>
                <w:rFonts w:ascii="仿宋_GB2312" w:hAnsi="黑体" w:eastAsia="仿宋_GB2312" w:cs="黑体"/>
                <w:color w:val="000000" w:themeColor="text1"/>
                <w:sz w:val="18"/>
                <w:szCs w:val="18"/>
              </w:rPr>
            </w:pPr>
          </w:p>
        </w:tc>
        <w:tc>
          <w:tcPr>
            <w:tcW w:w="1504" w:type="dxa"/>
            <w:vAlign w:val="center"/>
          </w:tcPr>
          <w:p w14:paraId="372BE77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415A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57979265">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5593CDEF">
            <w:pPr>
              <w:widowControl/>
              <w:spacing w:line="20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5E35CA4D">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2AF1AB67">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307F3528">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5C0BD510">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129D20C6">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41F3E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0" w:hRule="atLeast"/>
          <w:jc w:val="center"/>
        </w:trPr>
        <w:tc>
          <w:tcPr>
            <w:tcW w:w="1463" w:type="dxa"/>
            <w:vAlign w:val="center"/>
          </w:tcPr>
          <w:p w14:paraId="6D3748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3A97EB60">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82CEC61">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2D46F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54A071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556F1E3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7F1CD1E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76168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4F22474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568C46D6">
            <w:pPr>
              <w:widowControl/>
              <w:jc w:val="left"/>
              <w:textAlignment w:val="center"/>
              <w:rPr>
                <w:rFonts w:ascii="黑体" w:eastAsia="黑体" w:cs="黑体"/>
                <w:color w:val="000000" w:themeColor="text1"/>
                <w:kern w:val="0"/>
                <w:sz w:val="18"/>
                <w:szCs w:val="18"/>
              </w:rPr>
            </w:pPr>
          </w:p>
        </w:tc>
      </w:tr>
    </w:tbl>
    <w:p w14:paraId="1D2B599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65"/>
        <w:gridCol w:w="726"/>
        <w:gridCol w:w="1691"/>
        <w:gridCol w:w="1963"/>
        <w:gridCol w:w="1061"/>
        <w:gridCol w:w="498"/>
        <w:gridCol w:w="427"/>
        <w:gridCol w:w="1504"/>
      </w:tblGrid>
      <w:tr w14:paraId="54D49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FFCF5D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C3640F5">
            <w:pPr>
              <w:jc w:val="center"/>
              <w:rPr>
                <w:rFonts w:ascii="黑体" w:eastAsia="黑体" w:cs="黑体"/>
                <w:b/>
                <w:bCs/>
                <w:color w:val="000000" w:themeColor="text1"/>
                <w:szCs w:val="21"/>
              </w:rPr>
            </w:pPr>
            <w:r>
              <w:rPr>
                <w:rFonts w:ascii="黑体" w:eastAsia="黑体" w:cs="黑体"/>
                <w:b/>
                <w:bCs/>
                <w:color w:val="000000" w:themeColor="text1"/>
                <w:szCs w:val="21"/>
              </w:rPr>
              <w:t>200</w:t>
            </w:r>
          </w:p>
        </w:tc>
        <w:tc>
          <w:tcPr>
            <w:tcW w:w="1691" w:type="dxa"/>
            <w:vAlign w:val="center"/>
          </w:tcPr>
          <w:p w14:paraId="2C50875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3E69B74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312658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373F13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D368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82D83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7D253DA1">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对在公路用地范围内设置公路标志以外的其他标志行为的行政强制</w:t>
            </w:r>
          </w:p>
        </w:tc>
      </w:tr>
      <w:tr w14:paraId="7037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18FDFC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2BB2B390">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2846B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497A1A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01E7A6F5">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【法律法规】《中华人</w:t>
            </w:r>
            <w:r>
              <w:rPr>
                <w:rFonts w:hint="eastAsia" w:ascii="仿宋_GB2312" w:hAnsi="黑体" w:eastAsia="仿宋_GB2312" w:cs="黑体"/>
                <w:color w:val="000000" w:themeColor="text1"/>
                <w:sz w:val="18"/>
                <w:szCs w:val="18"/>
                <w:lang w:eastAsia="zh-CN"/>
              </w:rPr>
              <w:t>民</w:t>
            </w:r>
            <w:r>
              <w:rPr>
                <w:rFonts w:hint="eastAsia" w:ascii="仿宋_GB2312" w:hAnsi="黑体" w:eastAsia="仿宋_GB2312" w:cs="黑体"/>
                <w:color w:val="000000" w:themeColor="text1"/>
                <w:sz w:val="18"/>
                <w:szCs w:val="18"/>
              </w:rPr>
              <w:t>共和国公路法》第五十四条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任何单位和个人未经县级以上地方人民政府交通主管部门批准，不得在公路用地范围内设置公路标志以外的其他标志。第七十九条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违反本法第五十四条规定，在公路用地范围内设置公路标志以外的其他标志的，由交通主管部门责令限期拆除，可以处二万元以下的罚款；逾期不拆除的，由交通主管部门拆除，有关费用由设置者负担。</w:t>
            </w:r>
          </w:p>
          <w:p w14:paraId="2DDA092C">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15ED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49861A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65" w:type="dxa"/>
            <w:vAlign w:val="center"/>
          </w:tcPr>
          <w:p w14:paraId="33BE08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41" w:type="dxa"/>
            <w:gridSpan w:val="4"/>
            <w:vAlign w:val="center"/>
          </w:tcPr>
          <w:p w14:paraId="1A88B7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25" w:type="dxa"/>
            <w:gridSpan w:val="2"/>
            <w:vAlign w:val="center"/>
          </w:tcPr>
          <w:p w14:paraId="4D2400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499BBEB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403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2D9F2E1">
            <w:pPr>
              <w:rPr>
                <w:color w:val="000000" w:themeColor="text1"/>
              </w:rPr>
            </w:pPr>
          </w:p>
        </w:tc>
        <w:tc>
          <w:tcPr>
            <w:tcW w:w="965" w:type="dxa"/>
            <w:vAlign w:val="center"/>
          </w:tcPr>
          <w:p w14:paraId="6777B1D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41" w:type="dxa"/>
            <w:gridSpan w:val="4"/>
            <w:vAlign w:val="center"/>
          </w:tcPr>
          <w:p w14:paraId="182F8C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925" w:type="dxa"/>
            <w:gridSpan w:val="2"/>
            <w:vAlign w:val="center"/>
          </w:tcPr>
          <w:p w14:paraId="7EE545FE">
            <w:pPr>
              <w:jc w:val="center"/>
              <w:rPr>
                <w:rFonts w:ascii="仿宋_GB2312" w:hAnsi="黑体" w:eastAsia="仿宋_GB2312" w:cs="黑体"/>
                <w:color w:val="000000" w:themeColor="text1"/>
                <w:sz w:val="18"/>
                <w:szCs w:val="18"/>
              </w:rPr>
            </w:pPr>
          </w:p>
        </w:tc>
        <w:tc>
          <w:tcPr>
            <w:tcW w:w="1504" w:type="dxa"/>
            <w:vAlign w:val="center"/>
          </w:tcPr>
          <w:p w14:paraId="34BC45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3596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7B159C2">
            <w:pPr>
              <w:rPr>
                <w:color w:val="000000" w:themeColor="text1"/>
              </w:rPr>
            </w:pPr>
          </w:p>
        </w:tc>
        <w:tc>
          <w:tcPr>
            <w:tcW w:w="965" w:type="dxa"/>
            <w:vAlign w:val="center"/>
          </w:tcPr>
          <w:p w14:paraId="522AF05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41" w:type="dxa"/>
            <w:gridSpan w:val="4"/>
            <w:vAlign w:val="center"/>
          </w:tcPr>
          <w:p w14:paraId="753CE98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925" w:type="dxa"/>
            <w:gridSpan w:val="2"/>
            <w:vAlign w:val="center"/>
          </w:tcPr>
          <w:p w14:paraId="245770EC">
            <w:pPr>
              <w:jc w:val="center"/>
              <w:rPr>
                <w:rFonts w:ascii="仿宋_GB2312" w:hAnsi="黑体" w:eastAsia="仿宋_GB2312" w:cs="黑体"/>
                <w:color w:val="000000" w:themeColor="text1"/>
                <w:sz w:val="18"/>
                <w:szCs w:val="18"/>
              </w:rPr>
            </w:pPr>
          </w:p>
        </w:tc>
        <w:tc>
          <w:tcPr>
            <w:tcW w:w="1504" w:type="dxa"/>
            <w:vAlign w:val="center"/>
          </w:tcPr>
          <w:p w14:paraId="3F53DCC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6765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5" w:hRule="atLeast"/>
          <w:jc w:val="center"/>
        </w:trPr>
        <w:tc>
          <w:tcPr>
            <w:tcW w:w="1463" w:type="dxa"/>
            <w:vMerge w:val="continue"/>
            <w:vAlign w:val="center"/>
          </w:tcPr>
          <w:p w14:paraId="7471BB1E">
            <w:pPr>
              <w:rPr>
                <w:color w:val="000000" w:themeColor="text1"/>
              </w:rPr>
            </w:pPr>
          </w:p>
        </w:tc>
        <w:tc>
          <w:tcPr>
            <w:tcW w:w="965" w:type="dxa"/>
            <w:vAlign w:val="center"/>
          </w:tcPr>
          <w:p w14:paraId="28E2EC6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41" w:type="dxa"/>
            <w:gridSpan w:val="4"/>
            <w:vAlign w:val="center"/>
          </w:tcPr>
          <w:p w14:paraId="04F20B7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925" w:type="dxa"/>
            <w:gridSpan w:val="2"/>
            <w:vAlign w:val="center"/>
          </w:tcPr>
          <w:p w14:paraId="55BBB440">
            <w:pPr>
              <w:jc w:val="center"/>
              <w:rPr>
                <w:rFonts w:ascii="仿宋_GB2312" w:hAnsi="黑体" w:eastAsia="仿宋_GB2312" w:cs="黑体"/>
                <w:color w:val="000000" w:themeColor="text1"/>
                <w:sz w:val="18"/>
                <w:szCs w:val="18"/>
              </w:rPr>
            </w:pPr>
          </w:p>
        </w:tc>
        <w:tc>
          <w:tcPr>
            <w:tcW w:w="1504" w:type="dxa"/>
            <w:vAlign w:val="center"/>
          </w:tcPr>
          <w:p w14:paraId="57A99A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410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463" w:type="dxa"/>
            <w:vMerge w:val="continue"/>
            <w:vAlign w:val="center"/>
          </w:tcPr>
          <w:p w14:paraId="202DD48A">
            <w:pPr>
              <w:rPr>
                <w:color w:val="000000" w:themeColor="text1"/>
              </w:rPr>
            </w:pPr>
          </w:p>
        </w:tc>
        <w:tc>
          <w:tcPr>
            <w:tcW w:w="965" w:type="dxa"/>
            <w:vAlign w:val="center"/>
          </w:tcPr>
          <w:p w14:paraId="7DA2A0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41" w:type="dxa"/>
            <w:gridSpan w:val="4"/>
            <w:vAlign w:val="center"/>
          </w:tcPr>
          <w:p w14:paraId="5FDA476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925" w:type="dxa"/>
            <w:gridSpan w:val="2"/>
            <w:vAlign w:val="center"/>
          </w:tcPr>
          <w:p w14:paraId="1BFE5159">
            <w:pPr>
              <w:jc w:val="center"/>
              <w:rPr>
                <w:rFonts w:ascii="仿宋_GB2312" w:hAnsi="黑体" w:eastAsia="仿宋_GB2312" w:cs="黑体"/>
                <w:color w:val="000000" w:themeColor="text1"/>
                <w:sz w:val="18"/>
                <w:szCs w:val="18"/>
              </w:rPr>
            </w:pPr>
          </w:p>
        </w:tc>
        <w:tc>
          <w:tcPr>
            <w:tcW w:w="1504" w:type="dxa"/>
            <w:vAlign w:val="center"/>
          </w:tcPr>
          <w:p w14:paraId="1E32E3E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F969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90" w:hRule="atLeast"/>
          <w:jc w:val="center"/>
        </w:trPr>
        <w:tc>
          <w:tcPr>
            <w:tcW w:w="1463" w:type="dxa"/>
            <w:vMerge w:val="continue"/>
            <w:vAlign w:val="center"/>
          </w:tcPr>
          <w:p w14:paraId="2F6BCD93">
            <w:pPr>
              <w:rPr>
                <w:color w:val="000000" w:themeColor="text1"/>
              </w:rPr>
            </w:pPr>
          </w:p>
        </w:tc>
        <w:tc>
          <w:tcPr>
            <w:tcW w:w="965" w:type="dxa"/>
            <w:vAlign w:val="center"/>
          </w:tcPr>
          <w:p w14:paraId="1656E0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41" w:type="dxa"/>
            <w:gridSpan w:val="4"/>
            <w:vAlign w:val="center"/>
          </w:tcPr>
          <w:p w14:paraId="04FBE9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925" w:type="dxa"/>
            <w:gridSpan w:val="2"/>
            <w:vAlign w:val="center"/>
          </w:tcPr>
          <w:p w14:paraId="765AF95F">
            <w:pPr>
              <w:jc w:val="center"/>
              <w:rPr>
                <w:rFonts w:ascii="仿宋_GB2312" w:hAnsi="黑体" w:eastAsia="仿宋_GB2312" w:cs="黑体"/>
                <w:color w:val="000000" w:themeColor="text1"/>
                <w:sz w:val="18"/>
                <w:szCs w:val="18"/>
              </w:rPr>
            </w:pPr>
          </w:p>
        </w:tc>
        <w:tc>
          <w:tcPr>
            <w:tcW w:w="1504" w:type="dxa"/>
            <w:vAlign w:val="center"/>
          </w:tcPr>
          <w:p w14:paraId="3CEAE59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A14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1A34ABBE">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291088CD">
            <w:pPr>
              <w:widowControl/>
              <w:spacing w:line="20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6CC29EAC">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535747B7">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56F47109">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5F7A9813">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6E32EE93">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0C156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22E2EF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469A5435">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351A979">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A51F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0043BFB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9D704F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29C3EAF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7BF77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152A10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12A005C5">
            <w:pPr>
              <w:widowControl/>
              <w:jc w:val="left"/>
              <w:textAlignment w:val="center"/>
              <w:rPr>
                <w:rFonts w:ascii="黑体" w:eastAsia="黑体" w:cs="黑体"/>
                <w:color w:val="000000" w:themeColor="text1"/>
                <w:kern w:val="0"/>
                <w:sz w:val="18"/>
                <w:szCs w:val="18"/>
              </w:rPr>
            </w:pPr>
          </w:p>
        </w:tc>
      </w:tr>
    </w:tbl>
    <w:p w14:paraId="7F03082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79"/>
        <w:gridCol w:w="712"/>
        <w:gridCol w:w="1691"/>
        <w:gridCol w:w="1963"/>
        <w:gridCol w:w="1075"/>
        <w:gridCol w:w="484"/>
        <w:gridCol w:w="427"/>
        <w:gridCol w:w="1504"/>
      </w:tblGrid>
      <w:tr w14:paraId="6B0F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F8D805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13156A6">
            <w:pPr>
              <w:jc w:val="center"/>
              <w:rPr>
                <w:rFonts w:ascii="黑体" w:eastAsia="黑体" w:cs="黑体"/>
                <w:b/>
                <w:bCs/>
                <w:color w:val="000000" w:themeColor="text1"/>
                <w:szCs w:val="21"/>
              </w:rPr>
            </w:pPr>
            <w:r>
              <w:rPr>
                <w:rFonts w:ascii="黑体" w:eastAsia="黑体" w:cs="黑体"/>
                <w:b/>
                <w:bCs/>
                <w:color w:val="000000" w:themeColor="text1"/>
                <w:szCs w:val="21"/>
              </w:rPr>
              <w:t>201</w:t>
            </w:r>
          </w:p>
        </w:tc>
        <w:tc>
          <w:tcPr>
            <w:tcW w:w="1691" w:type="dxa"/>
            <w:vAlign w:val="center"/>
          </w:tcPr>
          <w:p w14:paraId="4E1E31E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7BA7B4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751A1B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B6DBA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134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2F9B3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643B221E">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对在公路建筑控制区内修建、扩建建筑物、地面构筑物或者未经许可埋设管道、电缆等设施逾期不拆除行为的行政强制</w:t>
            </w:r>
          </w:p>
        </w:tc>
      </w:tr>
      <w:tr w14:paraId="3EFC9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A56189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1FF2EE2">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3ECA5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14436C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458F82D2">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《中华人民共和国公路法》（国家主席令【</w:t>
            </w:r>
            <w:r>
              <w:rPr>
                <w:rFonts w:ascii="仿宋_GB2312" w:hAnsi="黑体" w:eastAsia="仿宋_GB2312" w:cs="黑体"/>
                <w:color w:val="000000" w:themeColor="text1"/>
                <w:sz w:val="18"/>
                <w:szCs w:val="18"/>
              </w:rPr>
              <w:t>97</w:t>
            </w:r>
            <w:r>
              <w:rPr>
                <w:rFonts w:hint="eastAsia" w:ascii="仿宋_GB2312" w:hAnsi="黑体" w:eastAsia="仿宋_GB2312" w:cs="黑体"/>
                <w:color w:val="000000" w:themeColor="text1"/>
                <w:sz w:val="18"/>
                <w:szCs w:val="18"/>
              </w:rPr>
              <w:t>】第</w:t>
            </w:r>
            <w:r>
              <w:rPr>
                <w:rFonts w:ascii="仿宋_GB2312" w:hAnsi="黑体" w:eastAsia="仿宋_GB2312" w:cs="黑体"/>
                <w:color w:val="000000" w:themeColor="text1"/>
                <w:sz w:val="18"/>
                <w:szCs w:val="18"/>
              </w:rPr>
              <w:t>86</w:t>
            </w:r>
            <w:r>
              <w:rPr>
                <w:rFonts w:hint="eastAsia" w:ascii="仿宋_GB2312" w:hAnsi="黑体" w:eastAsia="仿宋_GB2312" w:cs="黑体"/>
                <w:color w:val="000000" w:themeColor="text1"/>
                <w:sz w:val="18"/>
                <w:szCs w:val="18"/>
              </w:rPr>
              <w:t>号，</w:t>
            </w:r>
            <w:r>
              <w:rPr>
                <w:rFonts w:ascii="仿宋_GB2312" w:hAnsi="黑体" w:eastAsia="仿宋_GB2312" w:cs="黑体"/>
                <w:color w:val="000000" w:themeColor="text1"/>
                <w:sz w:val="18"/>
                <w:szCs w:val="18"/>
              </w:rPr>
              <w:t>2017</w:t>
            </w:r>
            <w:r>
              <w:rPr>
                <w:rFonts w:hint="eastAsia" w:ascii="仿宋_GB2312" w:hAnsi="黑体" w:eastAsia="仿宋_GB2312" w:cs="黑体"/>
                <w:color w:val="000000" w:themeColor="text1"/>
                <w:sz w:val="18"/>
                <w:szCs w:val="18"/>
              </w:rPr>
              <w:t>年</w:t>
            </w:r>
            <w:r>
              <w:rPr>
                <w:rFonts w:ascii="仿宋_GB2312" w:hAnsi="黑体" w:eastAsia="仿宋_GB2312" w:cs="黑体"/>
                <w:color w:val="000000" w:themeColor="text1"/>
                <w:sz w:val="18"/>
                <w:szCs w:val="18"/>
              </w:rPr>
              <w:t>11</w:t>
            </w:r>
            <w:r>
              <w:rPr>
                <w:rFonts w:hint="eastAsia" w:ascii="仿宋_GB2312" w:hAnsi="黑体" w:eastAsia="仿宋_GB2312" w:cs="黑体"/>
                <w:color w:val="000000" w:themeColor="text1"/>
                <w:sz w:val="18"/>
                <w:szCs w:val="18"/>
              </w:rPr>
              <w:t>月</w:t>
            </w: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日第五次修改）第八十一条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号）第五十六条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违反本条例的规定，有下列情形之一的，由公路管理机构责令限期拆除，可以处</w:t>
            </w: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rPr>
              <w:t>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p>
          <w:p w14:paraId="328135EA">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0CBCC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847AA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79" w:type="dxa"/>
            <w:vAlign w:val="center"/>
          </w:tcPr>
          <w:p w14:paraId="1189BC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41" w:type="dxa"/>
            <w:gridSpan w:val="4"/>
            <w:vAlign w:val="center"/>
          </w:tcPr>
          <w:p w14:paraId="62B5B0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11" w:type="dxa"/>
            <w:gridSpan w:val="2"/>
            <w:vAlign w:val="center"/>
          </w:tcPr>
          <w:p w14:paraId="3DF96C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230974E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B2C5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8745BA7">
            <w:pPr>
              <w:rPr>
                <w:color w:val="000000" w:themeColor="text1"/>
              </w:rPr>
            </w:pPr>
          </w:p>
        </w:tc>
        <w:tc>
          <w:tcPr>
            <w:tcW w:w="979" w:type="dxa"/>
            <w:vAlign w:val="center"/>
          </w:tcPr>
          <w:p w14:paraId="77B31F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41" w:type="dxa"/>
            <w:gridSpan w:val="4"/>
            <w:vAlign w:val="center"/>
          </w:tcPr>
          <w:p w14:paraId="565FD2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对违法行为当事人进行催告，要求当事人尽快处理违法行为。下达催告通知书，催告履行义务以及履行义务的期限、方式和当事人依法享有的陈述权和申辩权。</w:t>
            </w:r>
          </w:p>
        </w:tc>
        <w:tc>
          <w:tcPr>
            <w:tcW w:w="911" w:type="dxa"/>
            <w:gridSpan w:val="2"/>
            <w:vAlign w:val="center"/>
          </w:tcPr>
          <w:p w14:paraId="2C307688">
            <w:pPr>
              <w:jc w:val="center"/>
              <w:rPr>
                <w:rFonts w:ascii="仿宋_GB2312" w:hAnsi="黑体" w:eastAsia="仿宋_GB2312" w:cs="黑体"/>
                <w:color w:val="000000" w:themeColor="text1"/>
                <w:sz w:val="18"/>
                <w:szCs w:val="18"/>
              </w:rPr>
            </w:pPr>
          </w:p>
        </w:tc>
        <w:tc>
          <w:tcPr>
            <w:tcW w:w="1504" w:type="dxa"/>
            <w:vAlign w:val="center"/>
          </w:tcPr>
          <w:p w14:paraId="1175D0F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DEEF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2F2FCD5C">
            <w:pPr>
              <w:rPr>
                <w:color w:val="000000" w:themeColor="text1"/>
              </w:rPr>
            </w:pPr>
          </w:p>
        </w:tc>
        <w:tc>
          <w:tcPr>
            <w:tcW w:w="979" w:type="dxa"/>
            <w:vAlign w:val="center"/>
          </w:tcPr>
          <w:p w14:paraId="5D3D64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41" w:type="dxa"/>
            <w:gridSpan w:val="4"/>
            <w:vAlign w:val="center"/>
          </w:tcPr>
          <w:p w14:paraId="4B434AB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w:t>
            </w:r>
          </w:p>
        </w:tc>
        <w:tc>
          <w:tcPr>
            <w:tcW w:w="911" w:type="dxa"/>
            <w:gridSpan w:val="2"/>
            <w:vAlign w:val="center"/>
          </w:tcPr>
          <w:p w14:paraId="74FB83FB">
            <w:pPr>
              <w:jc w:val="center"/>
              <w:rPr>
                <w:rFonts w:ascii="仿宋_GB2312" w:hAnsi="黑体" w:eastAsia="仿宋_GB2312" w:cs="黑体"/>
                <w:color w:val="000000" w:themeColor="text1"/>
                <w:sz w:val="18"/>
                <w:szCs w:val="18"/>
              </w:rPr>
            </w:pPr>
          </w:p>
        </w:tc>
        <w:tc>
          <w:tcPr>
            <w:tcW w:w="1504" w:type="dxa"/>
            <w:vAlign w:val="center"/>
          </w:tcPr>
          <w:p w14:paraId="48861F7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5922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5" w:hRule="atLeast"/>
          <w:jc w:val="center"/>
        </w:trPr>
        <w:tc>
          <w:tcPr>
            <w:tcW w:w="1463" w:type="dxa"/>
            <w:vMerge w:val="continue"/>
            <w:vAlign w:val="center"/>
          </w:tcPr>
          <w:p w14:paraId="42642E94">
            <w:pPr>
              <w:rPr>
                <w:color w:val="000000" w:themeColor="text1"/>
              </w:rPr>
            </w:pPr>
          </w:p>
        </w:tc>
        <w:tc>
          <w:tcPr>
            <w:tcW w:w="979" w:type="dxa"/>
            <w:vAlign w:val="center"/>
          </w:tcPr>
          <w:p w14:paraId="1A3DD1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41" w:type="dxa"/>
            <w:gridSpan w:val="4"/>
            <w:vAlign w:val="center"/>
          </w:tcPr>
          <w:p w14:paraId="108B0A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充分听取当事人的意见，对当事人提出的事实、理由和证据，应当进行记录、复核，无正当理由的，对违法的建筑物、构筑物、设施等需要强制拆除的，执法部门发布《执行公告》，限期当事人自行拆除。</w:t>
            </w:r>
          </w:p>
        </w:tc>
        <w:tc>
          <w:tcPr>
            <w:tcW w:w="911" w:type="dxa"/>
            <w:gridSpan w:val="2"/>
            <w:vAlign w:val="center"/>
          </w:tcPr>
          <w:p w14:paraId="314D57D2">
            <w:pPr>
              <w:jc w:val="center"/>
              <w:rPr>
                <w:rFonts w:ascii="仿宋_GB2312" w:hAnsi="黑体" w:eastAsia="仿宋_GB2312" w:cs="黑体"/>
                <w:color w:val="000000" w:themeColor="text1"/>
                <w:sz w:val="18"/>
                <w:szCs w:val="18"/>
              </w:rPr>
            </w:pPr>
          </w:p>
        </w:tc>
        <w:tc>
          <w:tcPr>
            <w:tcW w:w="1504" w:type="dxa"/>
            <w:vAlign w:val="center"/>
          </w:tcPr>
          <w:p w14:paraId="3797DE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B1EF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1" w:hRule="atLeast"/>
          <w:jc w:val="center"/>
        </w:trPr>
        <w:tc>
          <w:tcPr>
            <w:tcW w:w="1463" w:type="dxa"/>
            <w:vMerge w:val="continue"/>
            <w:vAlign w:val="center"/>
          </w:tcPr>
          <w:p w14:paraId="783B1B59">
            <w:pPr>
              <w:rPr>
                <w:color w:val="000000" w:themeColor="text1"/>
              </w:rPr>
            </w:pPr>
          </w:p>
        </w:tc>
        <w:tc>
          <w:tcPr>
            <w:tcW w:w="979" w:type="dxa"/>
            <w:vAlign w:val="center"/>
          </w:tcPr>
          <w:p w14:paraId="2D5A517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41" w:type="dxa"/>
            <w:gridSpan w:val="4"/>
            <w:vAlign w:val="center"/>
          </w:tcPr>
          <w:p w14:paraId="4969663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按时限要求送达《催告书》，发布《执行公告》。</w:t>
            </w:r>
          </w:p>
        </w:tc>
        <w:tc>
          <w:tcPr>
            <w:tcW w:w="911" w:type="dxa"/>
            <w:gridSpan w:val="2"/>
            <w:vAlign w:val="center"/>
          </w:tcPr>
          <w:p w14:paraId="7EAD96F4">
            <w:pPr>
              <w:jc w:val="center"/>
              <w:rPr>
                <w:rFonts w:ascii="仿宋_GB2312" w:hAnsi="黑体" w:eastAsia="仿宋_GB2312" w:cs="黑体"/>
                <w:color w:val="000000" w:themeColor="text1"/>
                <w:sz w:val="18"/>
                <w:szCs w:val="18"/>
              </w:rPr>
            </w:pPr>
          </w:p>
        </w:tc>
        <w:tc>
          <w:tcPr>
            <w:tcW w:w="1504" w:type="dxa"/>
            <w:vAlign w:val="center"/>
          </w:tcPr>
          <w:p w14:paraId="319291F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D6ED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7" w:hRule="atLeast"/>
          <w:jc w:val="center"/>
        </w:trPr>
        <w:tc>
          <w:tcPr>
            <w:tcW w:w="1463" w:type="dxa"/>
            <w:vMerge w:val="continue"/>
            <w:vAlign w:val="center"/>
          </w:tcPr>
          <w:p w14:paraId="79644EB9">
            <w:pPr>
              <w:rPr>
                <w:color w:val="000000" w:themeColor="text1"/>
              </w:rPr>
            </w:pPr>
          </w:p>
        </w:tc>
        <w:tc>
          <w:tcPr>
            <w:tcW w:w="979" w:type="dxa"/>
            <w:vAlign w:val="center"/>
          </w:tcPr>
          <w:p w14:paraId="7042374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41" w:type="dxa"/>
            <w:gridSpan w:val="4"/>
            <w:vAlign w:val="center"/>
          </w:tcPr>
          <w:p w14:paraId="35372D4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当事人在执法部门决定的期限内不履行义务的，制作</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送达《催告书》；经催告，当事人仍逾期仍不履行行政决定，且无正当理由的，制作送达《行政强制拆除决定书》。</w:t>
            </w:r>
          </w:p>
        </w:tc>
        <w:tc>
          <w:tcPr>
            <w:tcW w:w="911" w:type="dxa"/>
            <w:gridSpan w:val="2"/>
            <w:vAlign w:val="center"/>
          </w:tcPr>
          <w:p w14:paraId="2F8715BF">
            <w:pPr>
              <w:jc w:val="center"/>
              <w:rPr>
                <w:rFonts w:ascii="仿宋_GB2312" w:hAnsi="黑体" w:eastAsia="仿宋_GB2312" w:cs="黑体"/>
                <w:color w:val="000000" w:themeColor="text1"/>
                <w:sz w:val="18"/>
                <w:szCs w:val="18"/>
              </w:rPr>
            </w:pPr>
          </w:p>
        </w:tc>
        <w:tc>
          <w:tcPr>
            <w:tcW w:w="1504" w:type="dxa"/>
            <w:vAlign w:val="center"/>
          </w:tcPr>
          <w:p w14:paraId="733A8F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5E13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12376DB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3F455C7D">
            <w:pPr>
              <w:widowControl/>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0995AE1C">
            <w:pPr>
              <w:widowControl/>
              <w:numPr>
                <w:ilvl w:val="0"/>
                <w:numId w:val="1"/>
              </w:numP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对不符合条件的实施行政强制的；</w:t>
            </w:r>
          </w:p>
          <w:p w14:paraId="4C705D91">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5689A913">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0832597A">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323F8EE9">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6BAA5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9" w:hRule="atLeast"/>
          <w:jc w:val="center"/>
        </w:trPr>
        <w:tc>
          <w:tcPr>
            <w:tcW w:w="1463" w:type="dxa"/>
            <w:vAlign w:val="center"/>
          </w:tcPr>
          <w:p w14:paraId="514B94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461340D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4224CFB">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CC35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3F5DCA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0FCB256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5B7E77D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3440D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66B4080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571B595A">
            <w:pPr>
              <w:widowControl/>
              <w:jc w:val="left"/>
              <w:textAlignment w:val="center"/>
              <w:rPr>
                <w:rFonts w:ascii="黑体" w:eastAsia="黑体" w:cs="黑体"/>
                <w:color w:val="000000" w:themeColor="text1"/>
                <w:kern w:val="0"/>
                <w:sz w:val="18"/>
                <w:szCs w:val="18"/>
              </w:rPr>
            </w:pPr>
          </w:p>
        </w:tc>
      </w:tr>
    </w:tbl>
    <w:p w14:paraId="487EED6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79"/>
        <w:gridCol w:w="712"/>
        <w:gridCol w:w="1691"/>
        <w:gridCol w:w="1963"/>
        <w:gridCol w:w="1061"/>
        <w:gridCol w:w="498"/>
        <w:gridCol w:w="427"/>
        <w:gridCol w:w="1504"/>
      </w:tblGrid>
      <w:tr w14:paraId="4804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857B6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8395A95">
            <w:pPr>
              <w:jc w:val="center"/>
              <w:rPr>
                <w:rFonts w:ascii="黑体" w:eastAsia="黑体" w:cs="黑体"/>
                <w:b/>
                <w:bCs/>
                <w:color w:val="000000" w:themeColor="text1"/>
                <w:szCs w:val="21"/>
              </w:rPr>
            </w:pPr>
            <w:r>
              <w:rPr>
                <w:rFonts w:ascii="黑体" w:eastAsia="黑体" w:cs="黑体"/>
                <w:b/>
                <w:bCs/>
                <w:color w:val="000000" w:themeColor="text1"/>
                <w:szCs w:val="21"/>
              </w:rPr>
              <w:t>202</w:t>
            </w:r>
          </w:p>
        </w:tc>
        <w:tc>
          <w:tcPr>
            <w:tcW w:w="1691" w:type="dxa"/>
            <w:vAlign w:val="center"/>
          </w:tcPr>
          <w:p w14:paraId="2C8638B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1DF0FD6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685683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886B3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E4F4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18195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4067C891">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对在公路建筑控制区外修建的建筑物、地面构筑物以及其他设施遮挡公路标志或者妨碍安全视距逾期不拆除行为的行政强制</w:t>
            </w:r>
          </w:p>
        </w:tc>
      </w:tr>
      <w:tr w14:paraId="3960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FBDE5D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753599B9">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201F4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7016F3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1356D96">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 w:hAnsi="仿宋" w:eastAsia="仿宋" w:cs="仿宋"/>
                <w:color w:val="000000" w:themeColor="text1"/>
                <w:kern w:val="0"/>
                <w:sz w:val="18"/>
                <w:szCs w:val="18"/>
              </w:rPr>
              <w:t>1.</w:t>
            </w:r>
            <w:r>
              <w:rPr>
                <w:rFonts w:hint="eastAsia" w:ascii="仿宋" w:hAnsi="仿宋" w:eastAsia="仿宋" w:cs="仿宋"/>
                <w:color w:val="000000" w:themeColor="text1"/>
                <w:kern w:val="0"/>
                <w:sz w:val="18"/>
                <w:szCs w:val="18"/>
              </w:rPr>
              <w:t>《中华人民共和国公路法》　第八十一条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ascii="仿宋" w:hAnsi="仿宋" w:eastAsia="仿宋" w:cs="仿宋"/>
                <w:color w:val="000000" w:themeColor="text1"/>
                <w:kern w:val="0"/>
                <w:sz w:val="18"/>
                <w:szCs w:val="18"/>
              </w:rPr>
              <w:br w:type="textWrapping"/>
            </w:r>
            <w:r>
              <w:rPr>
                <w:rFonts w:ascii="仿宋" w:hAnsi="仿宋" w:eastAsia="仿宋" w:cs="仿宋"/>
                <w:color w:val="000000" w:themeColor="text1"/>
                <w:kern w:val="0"/>
                <w:sz w:val="18"/>
                <w:szCs w:val="18"/>
              </w:rPr>
              <w:t>2.</w:t>
            </w:r>
            <w:r>
              <w:rPr>
                <w:rFonts w:hint="eastAsia" w:ascii="仿宋" w:hAnsi="仿宋" w:eastAsia="仿宋" w:cs="仿宋"/>
                <w:color w:val="000000" w:themeColor="text1"/>
                <w:kern w:val="0"/>
                <w:sz w:val="18"/>
                <w:szCs w:val="18"/>
              </w:rPr>
              <w:t>《公路安全保护条例》</w:t>
            </w:r>
            <w:r>
              <w:rPr>
                <w:rFonts w:hint="eastAsia" w:ascii="仿宋_GB2312" w:hAnsi="黑体" w:eastAsia="仿宋_GB2312" w:cs="黑体"/>
                <w:color w:val="000000" w:themeColor="text1"/>
                <w:sz w:val="18"/>
                <w:szCs w:val="18"/>
              </w:rPr>
              <w:t>（中华人民共和国国务院令第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w:t>
            </w:r>
            <w:r>
              <w:rPr>
                <w:rFonts w:hint="eastAsia" w:ascii="仿宋" w:hAnsi="仿宋" w:eastAsia="仿宋" w:cs="仿宋"/>
                <w:color w:val="000000" w:themeColor="text1"/>
                <w:kern w:val="0"/>
                <w:sz w:val="18"/>
                <w:szCs w:val="18"/>
              </w:rPr>
              <w:t>第五十六条违反本条例的规定，有下列情形之一的，由公路管理机构责令限期拆除，可以处</w:t>
            </w:r>
            <w:r>
              <w:rPr>
                <w:rFonts w:ascii="仿宋" w:hAnsi="仿宋" w:eastAsia="仿宋" w:cs="仿宋"/>
                <w:color w:val="000000" w:themeColor="text1"/>
                <w:kern w:val="0"/>
                <w:sz w:val="18"/>
                <w:szCs w:val="18"/>
              </w:rPr>
              <w:t>5</w:t>
            </w:r>
            <w:r>
              <w:rPr>
                <w:rFonts w:hint="eastAsia" w:ascii="仿宋" w:hAnsi="仿宋" w:eastAsia="仿宋" w:cs="仿宋"/>
                <w:color w:val="000000" w:themeColor="text1"/>
                <w:kern w:val="0"/>
                <w:sz w:val="18"/>
                <w:szCs w:val="18"/>
              </w:rPr>
              <w:t>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p>
          <w:p w14:paraId="0929AA9A">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42D78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0AD0B1A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79" w:type="dxa"/>
            <w:vAlign w:val="center"/>
          </w:tcPr>
          <w:p w14:paraId="16AD59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27" w:type="dxa"/>
            <w:gridSpan w:val="4"/>
            <w:vAlign w:val="center"/>
          </w:tcPr>
          <w:p w14:paraId="2C09111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25" w:type="dxa"/>
            <w:gridSpan w:val="2"/>
            <w:vAlign w:val="center"/>
          </w:tcPr>
          <w:p w14:paraId="5D7CD78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731ECF9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BC6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3583AE06">
            <w:pPr>
              <w:rPr>
                <w:color w:val="000000" w:themeColor="text1"/>
              </w:rPr>
            </w:pPr>
          </w:p>
        </w:tc>
        <w:tc>
          <w:tcPr>
            <w:tcW w:w="979" w:type="dxa"/>
            <w:vAlign w:val="center"/>
          </w:tcPr>
          <w:p w14:paraId="2351D0C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27" w:type="dxa"/>
            <w:gridSpan w:val="4"/>
            <w:vAlign w:val="center"/>
          </w:tcPr>
          <w:p w14:paraId="0EDF98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对违法行为当事人进行催告，要求当事人尽快处理违法行为。下达催告通知书，催告履行义务以及履行义务的期限、方式和当事人依法享有的陈述权和申辩权。</w:t>
            </w:r>
          </w:p>
        </w:tc>
        <w:tc>
          <w:tcPr>
            <w:tcW w:w="925" w:type="dxa"/>
            <w:gridSpan w:val="2"/>
            <w:vAlign w:val="center"/>
          </w:tcPr>
          <w:p w14:paraId="1CD7F59E">
            <w:pPr>
              <w:jc w:val="center"/>
              <w:rPr>
                <w:rFonts w:ascii="仿宋_GB2312" w:hAnsi="黑体" w:eastAsia="仿宋_GB2312" w:cs="黑体"/>
                <w:color w:val="000000" w:themeColor="text1"/>
                <w:sz w:val="18"/>
                <w:szCs w:val="18"/>
              </w:rPr>
            </w:pPr>
          </w:p>
        </w:tc>
        <w:tc>
          <w:tcPr>
            <w:tcW w:w="1504" w:type="dxa"/>
            <w:vAlign w:val="center"/>
          </w:tcPr>
          <w:p w14:paraId="1D9AA9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270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4F7B68B2">
            <w:pPr>
              <w:rPr>
                <w:color w:val="000000" w:themeColor="text1"/>
              </w:rPr>
            </w:pPr>
          </w:p>
        </w:tc>
        <w:tc>
          <w:tcPr>
            <w:tcW w:w="979" w:type="dxa"/>
            <w:vAlign w:val="center"/>
          </w:tcPr>
          <w:p w14:paraId="3AD7CDD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27" w:type="dxa"/>
            <w:gridSpan w:val="4"/>
            <w:vAlign w:val="center"/>
          </w:tcPr>
          <w:p w14:paraId="2B6AA3C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w:t>
            </w:r>
          </w:p>
        </w:tc>
        <w:tc>
          <w:tcPr>
            <w:tcW w:w="925" w:type="dxa"/>
            <w:gridSpan w:val="2"/>
            <w:vAlign w:val="center"/>
          </w:tcPr>
          <w:p w14:paraId="505BBC07">
            <w:pPr>
              <w:jc w:val="center"/>
              <w:rPr>
                <w:rFonts w:ascii="仿宋_GB2312" w:hAnsi="黑体" w:eastAsia="仿宋_GB2312" w:cs="黑体"/>
                <w:color w:val="000000" w:themeColor="text1"/>
                <w:sz w:val="18"/>
                <w:szCs w:val="18"/>
              </w:rPr>
            </w:pPr>
          </w:p>
        </w:tc>
        <w:tc>
          <w:tcPr>
            <w:tcW w:w="1504" w:type="dxa"/>
            <w:vAlign w:val="center"/>
          </w:tcPr>
          <w:p w14:paraId="76575AC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A987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60" w:hRule="atLeast"/>
          <w:jc w:val="center"/>
        </w:trPr>
        <w:tc>
          <w:tcPr>
            <w:tcW w:w="1463" w:type="dxa"/>
            <w:vMerge w:val="continue"/>
            <w:vAlign w:val="center"/>
          </w:tcPr>
          <w:p w14:paraId="638ABD7C">
            <w:pPr>
              <w:rPr>
                <w:color w:val="000000" w:themeColor="text1"/>
              </w:rPr>
            </w:pPr>
          </w:p>
        </w:tc>
        <w:tc>
          <w:tcPr>
            <w:tcW w:w="979" w:type="dxa"/>
            <w:vAlign w:val="center"/>
          </w:tcPr>
          <w:p w14:paraId="50AC92E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27" w:type="dxa"/>
            <w:gridSpan w:val="4"/>
            <w:vAlign w:val="center"/>
          </w:tcPr>
          <w:p w14:paraId="79D6AC6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充分听取当事人的意见，对当事人提出的事实、理由和证据，应当进行记录、复核，无正当理由的，对违法的建筑物、构筑物、设施等需要强制拆除的，执法部门发布《执行公告》，限期当事人自行拆除。</w:t>
            </w:r>
          </w:p>
        </w:tc>
        <w:tc>
          <w:tcPr>
            <w:tcW w:w="925" w:type="dxa"/>
            <w:gridSpan w:val="2"/>
            <w:vAlign w:val="center"/>
          </w:tcPr>
          <w:p w14:paraId="2B066F58">
            <w:pPr>
              <w:jc w:val="center"/>
              <w:rPr>
                <w:rFonts w:ascii="仿宋_GB2312" w:hAnsi="黑体" w:eastAsia="仿宋_GB2312" w:cs="黑体"/>
                <w:color w:val="000000" w:themeColor="text1"/>
                <w:sz w:val="18"/>
                <w:szCs w:val="18"/>
              </w:rPr>
            </w:pPr>
          </w:p>
        </w:tc>
        <w:tc>
          <w:tcPr>
            <w:tcW w:w="1504" w:type="dxa"/>
            <w:vAlign w:val="center"/>
          </w:tcPr>
          <w:p w14:paraId="4F16F0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A212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6" w:hRule="atLeast"/>
          <w:jc w:val="center"/>
        </w:trPr>
        <w:tc>
          <w:tcPr>
            <w:tcW w:w="1463" w:type="dxa"/>
            <w:vMerge w:val="continue"/>
            <w:vAlign w:val="center"/>
          </w:tcPr>
          <w:p w14:paraId="638EF23A">
            <w:pPr>
              <w:rPr>
                <w:color w:val="000000" w:themeColor="text1"/>
              </w:rPr>
            </w:pPr>
          </w:p>
        </w:tc>
        <w:tc>
          <w:tcPr>
            <w:tcW w:w="979" w:type="dxa"/>
            <w:vAlign w:val="center"/>
          </w:tcPr>
          <w:p w14:paraId="646456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27" w:type="dxa"/>
            <w:gridSpan w:val="4"/>
            <w:vAlign w:val="center"/>
          </w:tcPr>
          <w:p w14:paraId="360332F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按时限要求送达《催告书》，发布《执行公告》。</w:t>
            </w:r>
          </w:p>
        </w:tc>
        <w:tc>
          <w:tcPr>
            <w:tcW w:w="925" w:type="dxa"/>
            <w:gridSpan w:val="2"/>
            <w:vAlign w:val="center"/>
          </w:tcPr>
          <w:p w14:paraId="41BB1426">
            <w:pPr>
              <w:jc w:val="center"/>
              <w:rPr>
                <w:rFonts w:ascii="仿宋_GB2312" w:hAnsi="黑体" w:eastAsia="仿宋_GB2312" w:cs="黑体"/>
                <w:color w:val="000000" w:themeColor="text1"/>
                <w:sz w:val="18"/>
                <w:szCs w:val="18"/>
              </w:rPr>
            </w:pPr>
          </w:p>
        </w:tc>
        <w:tc>
          <w:tcPr>
            <w:tcW w:w="1504" w:type="dxa"/>
            <w:vAlign w:val="center"/>
          </w:tcPr>
          <w:p w14:paraId="3AEF6E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462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2" w:hRule="atLeast"/>
          <w:jc w:val="center"/>
        </w:trPr>
        <w:tc>
          <w:tcPr>
            <w:tcW w:w="1463" w:type="dxa"/>
            <w:vMerge w:val="continue"/>
            <w:vAlign w:val="center"/>
          </w:tcPr>
          <w:p w14:paraId="20156BB2">
            <w:pPr>
              <w:rPr>
                <w:color w:val="000000" w:themeColor="text1"/>
              </w:rPr>
            </w:pPr>
          </w:p>
        </w:tc>
        <w:tc>
          <w:tcPr>
            <w:tcW w:w="979" w:type="dxa"/>
            <w:vAlign w:val="center"/>
          </w:tcPr>
          <w:p w14:paraId="054B2AA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27" w:type="dxa"/>
            <w:gridSpan w:val="4"/>
            <w:vAlign w:val="center"/>
          </w:tcPr>
          <w:p w14:paraId="66CD7EA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当事人在执法部门决定的期限内不履行义务的，制作</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送达《催告书》；经催告，当事人仍逾期仍不履行行政决定，且无正当理由的，制作送达《行政强制拆除决定书》。</w:t>
            </w:r>
          </w:p>
        </w:tc>
        <w:tc>
          <w:tcPr>
            <w:tcW w:w="925" w:type="dxa"/>
            <w:gridSpan w:val="2"/>
            <w:vAlign w:val="center"/>
          </w:tcPr>
          <w:p w14:paraId="6E0044FA">
            <w:pPr>
              <w:jc w:val="center"/>
              <w:rPr>
                <w:rFonts w:ascii="仿宋_GB2312" w:hAnsi="黑体" w:eastAsia="仿宋_GB2312" w:cs="黑体"/>
                <w:color w:val="000000" w:themeColor="text1"/>
                <w:sz w:val="18"/>
                <w:szCs w:val="18"/>
              </w:rPr>
            </w:pPr>
          </w:p>
        </w:tc>
        <w:tc>
          <w:tcPr>
            <w:tcW w:w="1504" w:type="dxa"/>
            <w:vAlign w:val="center"/>
          </w:tcPr>
          <w:p w14:paraId="1819BE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ADA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2375847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4CE6B899">
            <w:pPr>
              <w:widowControl/>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5B90F885">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517C3EC2">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733CC753">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4794C203">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544577C4">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1572B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7" w:hRule="atLeast"/>
          <w:jc w:val="center"/>
        </w:trPr>
        <w:tc>
          <w:tcPr>
            <w:tcW w:w="1463" w:type="dxa"/>
            <w:vAlign w:val="center"/>
          </w:tcPr>
          <w:p w14:paraId="7B8E4D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6D57EA6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7FC17E0">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157A0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5" w:hRule="atLeast"/>
          <w:jc w:val="center"/>
        </w:trPr>
        <w:tc>
          <w:tcPr>
            <w:tcW w:w="1463" w:type="dxa"/>
            <w:vAlign w:val="center"/>
          </w:tcPr>
          <w:p w14:paraId="3A1B73A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006BD7A">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4E6E4D3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60F12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3" w:hRule="atLeast"/>
          <w:jc w:val="center"/>
        </w:trPr>
        <w:tc>
          <w:tcPr>
            <w:tcW w:w="1463" w:type="dxa"/>
            <w:vAlign w:val="center"/>
          </w:tcPr>
          <w:p w14:paraId="1166A26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169F7952">
            <w:pPr>
              <w:widowControl/>
              <w:jc w:val="left"/>
              <w:textAlignment w:val="center"/>
              <w:rPr>
                <w:rFonts w:ascii="黑体" w:eastAsia="黑体" w:cs="黑体"/>
                <w:color w:val="000000" w:themeColor="text1"/>
                <w:kern w:val="0"/>
                <w:sz w:val="18"/>
                <w:szCs w:val="18"/>
              </w:rPr>
            </w:pPr>
          </w:p>
        </w:tc>
      </w:tr>
    </w:tbl>
    <w:p w14:paraId="6680882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79"/>
        <w:gridCol w:w="712"/>
        <w:gridCol w:w="1691"/>
        <w:gridCol w:w="1963"/>
        <w:gridCol w:w="1047"/>
        <w:gridCol w:w="512"/>
        <w:gridCol w:w="427"/>
        <w:gridCol w:w="1504"/>
      </w:tblGrid>
      <w:tr w14:paraId="065AE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85" w:hRule="atLeast"/>
          <w:jc w:val="center"/>
        </w:trPr>
        <w:tc>
          <w:tcPr>
            <w:tcW w:w="1463" w:type="dxa"/>
            <w:vAlign w:val="center"/>
          </w:tcPr>
          <w:p w14:paraId="0B91A8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E6B5DB3">
            <w:pPr>
              <w:jc w:val="center"/>
              <w:rPr>
                <w:rFonts w:ascii="黑体" w:eastAsia="黑体" w:cs="黑体"/>
                <w:b/>
                <w:bCs/>
                <w:color w:val="000000" w:themeColor="text1"/>
                <w:szCs w:val="21"/>
              </w:rPr>
            </w:pPr>
            <w:r>
              <w:rPr>
                <w:rFonts w:ascii="黑体" w:eastAsia="黑体" w:cs="黑体"/>
                <w:b/>
                <w:bCs/>
                <w:color w:val="000000" w:themeColor="text1"/>
                <w:szCs w:val="21"/>
              </w:rPr>
              <w:t>203</w:t>
            </w:r>
          </w:p>
        </w:tc>
        <w:tc>
          <w:tcPr>
            <w:tcW w:w="1691" w:type="dxa"/>
            <w:vAlign w:val="center"/>
          </w:tcPr>
          <w:p w14:paraId="050C37C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096B62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3B4FCC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A4E67C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C05C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11" w:hRule="atLeast"/>
          <w:jc w:val="center"/>
        </w:trPr>
        <w:tc>
          <w:tcPr>
            <w:tcW w:w="1463" w:type="dxa"/>
            <w:vAlign w:val="center"/>
          </w:tcPr>
          <w:p w14:paraId="230C9D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639E29B6">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对经批准进行超限运输的车辆，未按照指定时间、路线和速度行驶拒不改正行为的行政强制</w:t>
            </w:r>
          </w:p>
        </w:tc>
      </w:tr>
      <w:tr w14:paraId="49E4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8" w:hRule="atLeast"/>
          <w:jc w:val="center"/>
        </w:trPr>
        <w:tc>
          <w:tcPr>
            <w:tcW w:w="1463" w:type="dxa"/>
            <w:vAlign w:val="center"/>
          </w:tcPr>
          <w:p w14:paraId="3E91C32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4E94C09A">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47448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328F73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1D09B3D9">
            <w:pPr>
              <w:widowControl/>
              <w:spacing w:line="240" w:lineRule="exact"/>
              <w:jc w:val="lef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号）第六十五条第一款</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违反本条例的规定，经批准进行超限运输的车辆，未按照指定时间、路线和速度行驶的，由公路管理机构或者公安机关交通管理部门责令改正；拒不改正的，公路管理机构或者公安机关交通管理部门可以扣留车辆。</w:t>
            </w: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《超限运输车辆行驶公路管理规定》第四十七条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p w14:paraId="40AF0CFF">
            <w:pPr>
              <w:widowControl/>
              <w:spacing w:line="240" w:lineRule="exact"/>
              <w:jc w:val="left"/>
              <w:textAlignment w:val="center"/>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5DB1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B01BE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79" w:type="dxa"/>
            <w:vAlign w:val="center"/>
          </w:tcPr>
          <w:p w14:paraId="6795CC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13" w:type="dxa"/>
            <w:gridSpan w:val="4"/>
            <w:vAlign w:val="center"/>
          </w:tcPr>
          <w:p w14:paraId="695843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39" w:type="dxa"/>
            <w:gridSpan w:val="2"/>
            <w:vAlign w:val="center"/>
          </w:tcPr>
          <w:p w14:paraId="621646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00A3B73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18C4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274CFFA1">
            <w:pPr>
              <w:rPr>
                <w:color w:val="000000" w:themeColor="text1"/>
              </w:rPr>
            </w:pPr>
          </w:p>
        </w:tc>
        <w:tc>
          <w:tcPr>
            <w:tcW w:w="979" w:type="dxa"/>
            <w:vAlign w:val="center"/>
          </w:tcPr>
          <w:p w14:paraId="2F67107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13" w:type="dxa"/>
            <w:gridSpan w:val="4"/>
            <w:vAlign w:val="center"/>
          </w:tcPr>
          <w:p w14:paraId="724191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939" w:type="dxa"/>
            <w:gridSpan w:val="2"/>
            <w:vAlign w:val="center"/>
          </w:tcPr>
          <w:p w14:paraId="12CFE088">
            <w:pPr>
              <w:jc w:val="center"/>
              <w:rPr>
                <w:rFonts w:ascii="仿宋_GB2312" w:hAnsi="黑体" w:eastAsia="仿宋_GB2312" w:cs="黑体"/>
                <w:color w:val="000000" w:themeColor="text1"/>
                <w:sz w:val="18"/>
                <w:szCs w:val="18"/>
              </w:rPr>
            </w:pPr>
          </w:p>
        </w:tc>
        <w:tc>
          <w:tcPr>
            <w:tcW w:w="1504" w:type="dxa"/>
            <w:vAlign w:val="center"/>
          </w:tcPr>
          <w:p w14:paraId="24ED5D9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B26A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66F00CED">
            <w:pPr>
              <w:rPr>
                <w:color w:val="000000" w:themeColor="text1"/>
              </w:rPr>
            </w:pPr>
          </w:p>
        </w:tc>
        <w:tc>
          <w:tcPr>
            <w:tcW w:w="979" w:type="dxa"/>
            <w:vAlign w:val="center"/>
          </w:tcPr>
          <w:p w14:paraId="4B1CDCC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13" w:type="dxa"/>
            <w:gridSpan w:val="4"/>
            <w:vAlign w:val="center"/>
          </w:tcPr>
          <w:p w14:paraId="2A6D7D1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939" w:type="dxa"/>
            <w:gridSpan w:val="2"/>
            <w:vAlign w:val="center"/>
          </w:tcPr>
          <w:p w14:paraId="382651EE">
            <w:pPr>
              <w:jc w:val="center"/>
              <w:rPr>
                <w:rFonts w:ascii="仿宋_GB2312" w:hAnsi="黑体" w:eastAsia="仿宋_GB2312" w:cs="黑体"/>
                <w:color w:val="000000" w:themeColor="text1"/>
                <w:sz w:val="18"/>
                <w:szCs w:val="18"/>
              </w:rPr>
            </w:pPr>
          </w:p>
        </w:tc>
        <w:tc>
          <w:tcPr>
            <w:tcW w:w="1504" w:type="dxa"/>
            <w:vAlign w:val="center"/>
          </w:tcPr>
          <w:p w14:paraId="44524C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030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9" w:hRule="atLeast"/>
          <w:jc w:val="center"/>
        </w:trPr>
        <w:tc>
          <w:tcPr>
            <w:tcW w:w="1463" w:type="dxa"/>
            <w:vMerge w:val="continue"/>
            <w:vAlign w:val="center"/>
          </w:tcPr>
          <w:p w14:paraId="200A56E5">
            <w:pPr>
              <w:rPr>
                <w:color w:val="000000" w:themeColor="text1"/>
              </w:rPr>
            </w:pPr>
          </w:p>
        </w:tc>
        <w:tc>
          <w:tcPr>
            <w:tcW w:w="979" w:type="dxa"/>
            <w:vAlign w:val="center"/>
          </w:tcPr>
          <w:p w14:paraId="41C5E42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13" w:type="dxa"/>
            <w:gridSpan w:val="4"/>
            <w:vAlign w:val="center"/>
          </w:tcPr>
          <w:p w14:paraId="71BD2BB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939" w:type="dxa"/>
            <w:gridSpan w:val="2"/>
            <w:vAlign w:val="center"/>
          </w:tcPr>
          <w:p w14:paraId="2DCCDCAF">
            <w:pPr>
              <w:jc w:val="center"/>
              <w:rPr>
                <w:rFonts w:ascii="仿宋_GB2312" w:hAnsi="黑体" w:eastAsia="仿宋_GB2312" w:cs="黑体"/>
                <w:color w:val="000000" w:themeColor="text1"/>
                <w:sz w:val="18"/>
                <w:szCs w:val="18"/>
              </w:rPr>
            </w:pPr>
          </w:p>
        </w:tc>
        <w:tc>
          <w:tcPr>
            <w:tcW w:w="1504" w:type="dxa"/>
            <w:vAlign w:val="center"/>
          </w:tcPr>
          <w:p w14:paraId="1DE852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9686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1" w:hRule="atLeast"/>
          <w:jc w:val="center"/>
        </w:trPr>
        <w:tc>
          <w:tcPr>
            <w:tcW w:w="1463" w:type="dxa"/>
            <w:vMerge w:val="continue"/>
            <w:vAlign w:val="center"/>
          </w:tcPr>
          <w:p w14:paraId="454784DC">
            <w:pPr>
              <w:rPr>
                <w:color w:val="000000" w:themeColor="text1"/>
              </w:rPr>
            </w:pPr>
          </w:p>
        </w:tc>
        <w:tc>
          <w:tcPr>
            <w:tcW w:w="979" w:type="dxa"/>
            <w:vAlign w:val="center"/>
          </w:tcPr>
          <w:p w14:paraId="7845FD6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13" w:type="dxa"/>
            <w:gridSpan w:val="4"/>
            <w:vAlign w:val="center"/>
          </w:tcPr>
          <w:p w14:paraId="140DA96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939" w:type="dxa"/>
            <w:gridSpan w:val="2"/>
            <w:vAlign w:val="center"/>
          </w:tcPr>
          <w:p w14:paraId="10CBE01A">
            <w:pPr>
              <w:jc w:val="center"/>
              <w:rPr>
                <w:rFonts w:ascii="仿宋_GB2312" w:hAnsi="黑体" w:eastAsia="仿宋_GB2312" w:cs="黑体"/>
                <w:color w:val="000000" w:themeColor="text1"/>
                <w:sz w:val="18"/>
                <w:szCs w:val="18"/>
              </w:rPr>
            </w:pPr>
          </w:p>
        </w:tc>
        <w:tc>
          <w:tcPr>
            <w:tcW w:w="1504" w:type="dxa"/>
            <w:vAlign w:val="center"/>
          </w:tcPr>
          <w:p w14:paraId="69D466D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8BFF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20" w:hRule="atLeast"/>
          <w:jc w:val="center"/>
        </w:trPr>
        <w:tc>
          <w:tcPr>
            <w:tcW w:w="1463" w:type="dxa"/>
            <w:vMerge w:val="continue"/>
            <w:vAlign w:val="center"/>
          </w:tcPr>
          <w:p w14:paraId="5B0B3906">
            <w:pPr>
              <w:rPr>
                <w:color w:val="000000" w:themeColor="text1"/>
              </w:rPr>
            </w:pPr>
          </w:p>
        </w:tc>
        <w:tc>
          <w:tcPr>
            <w:tcW w:w="979" w:type="dxa"/>
            <w:vAlign w:val="center"/>
          </w:tcPr>
          <w:p w14:paraId="1ED402E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13" w:type="dxa"/>
            <w:gridSpan w:val="4"/>
            <w:vAlign w:val="center"/>
          </w:tcPr>
          <w:p w14:paraId="075E7E3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939" w:type="dxa"/>
            <w:gridSpan w:val="2"/>
            <w:vAlign w:val="center"/>
          </w:tcPr>
          <w:p w14:paraId="7DAA89BE">
            <w:pPr>
              <w:jc w:val="center"/>
              <w:rPr>
                <w:rFonts w:ascii="仿宋_GB2312" w:hAnsi="黑体" w:eastAsia="仿宋_GB2312" w:cs="黑体"/>
                <w:color w:val="000000" w:themeColor="text1"/>
                <w:sz w:val="18"/>
                <w:szCs w:val="18"/>
              </w:rPr>
            </w:pPr>
          </w:p>
        </w:tc>
        <w:tc>
          <w:tcPr>
            <w:tcW w:w="1504" w:type="dxa"/>
            <w:vAlign w:val="center"/>
          </w:tcPr>
          <w:p w14:paraId="43BC6E5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CAA2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96" w:hRule="atLeast"/>
          <w:jc w:val="center"/>
        </w:trPr>
        <w:tc>
          <w:tcPr>
            <w:tcW w:w="1463" w:type="dxa"/>
            <w:vAlign w:val="center"/>
          </w:tcPr>
          <w:p w14:paraId="2180F98B">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428227F0">
            <w:pPr>
              <w:widowControl/>
              <w:spacing w:line="20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0CF2FA7F">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6B31D99C">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3D149973">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0F97A866">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7EF0192C">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06C8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8" w:hRule="atLeast"/>
          <w:jc w:val="center"/>
        </w:trPr>
        <w:tc>
          <w:tcPr>
            <w:tcW w:w="1463" w:type="dxa"/>
            <w:vAlign w:val="center"/>
          </w:tcPr>
          <w:p w14:paraId="15FF2E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5DEB816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533A47E8">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40F9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2" w:hRule="atLeast"/>
          <w:jc w:val="center"/>
        </w:trPr>
        <w:tc>
          <w:tcPr>
            <w:tcW w:w="1463" w:type="dxa"/>
            <w:vAlign w:val="center"/>
          </w:tcPr>
          <w:p w14:paraId="422740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75EC2F4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2592BFC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2B5C4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167BE32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074629C5">
            <w:pPr>
              <w:widowControl/>
              <w:jc w:val="left"/>
              <w:textAlignment w:val="center"/>
              <w:rPr>
                <w:rFonts w:ascii="黑体" w:eastAsia="黑体" w:cs="黑体"/>
                <w:color w:val="000000" w:themeColor="text1"/>
                <w:kern w:val="0"/>
                <w:sz w:val="18"/>
                <w:szCs w:val="18"/>
              </w:rPr>
            </w:pPr>
          </w:p>
        </w:tc>
      </w:tr>
    </w:tbl>
    <w:p w14:paraId="2D8F478F">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65"/>
        <w:gridCol w:w="726"/>
        <w:gridCol w:w="1691"/>
        <w:gridCol w:w="1963"/>
        <w:gridCol w:w="1088"/>
        <w:gridCol w:w="471"/>
        <w:gridCol w:w="427"/>
        <w:gridCol w:w="1504"/>
      </w:tblGrid>
      <w:tr w14:paraId="64C1F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8D6FF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E7AD640">
            <w:pPr>
              <w:jc w:val="center"/>
              <w:rPr>
                <w:rFonts w:ascii="黑体" w:eastAsia="黑体" w:cs="黑体"/>
                <w:b/>
                <w:bCs/>
                <w:color w:val="000000" w:themeColor="text1"/>
                <w:szCs w:val="21"/>
              </w:rPr>
            </w:pPr>
            <w:r>
              <w:rPr>
                <w:rFonts w:ascii="黑体" w:eastAsia="黑体" w:cs="黑体"/>
                <w:b/>
                <w:bCs/>
                <w:color w:val="000000" w:themeColor="text1"/>
                <w:szCs w:val="21"/>
              </w:rPr>
              <w:t>204</w:t>
            </w:r>
          </w:p>
        </w:tc>
        <w:tc>
          <w:tcPr>
            <w:tcW w:w="1691" w:type="dxa"/>
            <w:vAlign w:val="center"/>
          </w:tcPr>
          <w:p w14:paraId="3B353E8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A0EFE3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58A4C84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4C0FF3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2E14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5" w:hRule="atLeast"/>
          <w:jc w:val="center"/>
        </w:trPr>
        <w:tc>
          <w:tcPr>
            <w:tcW w:w="1463" w:type="dxa"/>
            <w:vAlign w:val="center"/>
          </w:tcPr>
          <w:p w14:paraId="3CD884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1D280928">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对未随车携带超限运输车辆通行证行为的行政强制</w:t>
            </w:r>
          </w:p>
        </w:tc>
      </w:tr>
      <w:tr w14:paraId="08DF0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52" w:hRule="atLeast"/>
          <w:jc w:val="center"/>
        </w:trPr>
        <w:tc>
          <w:tcPr>
            <w:tcW w:w="1463" w:type="dxa"/>
            <w:vAlign w:val="center"/>
          </w:tcPr>
          <w:p w14:paraId="39EE21B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3047351D">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02DFB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5E4017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734E012">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号）第六十五条第二款</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未随车携带超限运输车辆通行证的，由公路管理机构扣留车辆，责令车辆驾驶人提供超限运输车辆通行证或者相应的证明。</w:t>
            </w:r>
            <w:r>
              <w:rPr>
                <w:rFonts w:ascii="仿宋_GB2312" w:hAnsi="黑体" w:eastAsia="仿宋_GB2312" w:cs="黑体"/>
                <w:color w:val="000000" w:themeColor="text1"/>
                <w:sz w:val="18"/>
                <w:szCs w:val="18"/>
              </w:rPr>
              <w:t xml:space="preserve"> 2.</w:t>
            </w:r>
            <w:r>
              <w:rPr>
                <w:rFonts w:hint="eastAsia" w:ascii="仿宋_GB2312" w:hAnsi="黑体" w:eastAsia="仿宋_GB2312" w:cs="黑体"/>
                <w:color w:val="000000" w:themeColor="text1"/>
                <w:sz w:val="18"/>
                <w:szCs w:val="18"/>
              </w:rPr>
              <w:t>《超限运输车辆行驶公路管理规定》第四十七条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p w14:paraId="017C6749">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8FC5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579A92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65" w:type="dxa"/>
            <w:vAlign w:val="center"/>
          </w:tcPr>
          <w:p w14:paraId="625826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68" w:type="dxa"/>
            <w:gridSpan w:val="4"/>
            <w:vAlign w:val="center"/>
          </w:tcPr>
          <w:p w14:paraId="529443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898" w:type="dxa"/>
            <w:gridSpan w:val="2"/>
            <w:vAlign w:val="center"/>
          </w:tcPr>
          <w:p w14:paraId="04B122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7965FE8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AB9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879CBCD">
            <w:pPr>
              <w:rPr>
                <w:color w:val="000000" w:themeColor="text1"/>
              </w:rPr>
            </w:pPr>
          </w:p>
        </w:tc>
        <w:tc>
          <w:tcPr>
            <w:tcW w:w="965" w:type="dxa"/>
            <w:vAlign w:val="center"/>
          </w:tcPr>
          <w:p w14:paraId="303CFC9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68" w:type="dxa"/>
            <w:gridSpan w:val="4"/>
            <w:vAlign w:val="center"/>
          </w:tcPr>
          <w:p w14:paraId="0C101F5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898" w:type="dxa"/>
            <w:gridSpan w:val="2"/>
            <w:vAlign w:val="center"/>
          </w:tcPr>
          <w:p w14:paraId="232E0EC6">
            <w:pPr>
              <w:jc w:val="center"/>
              <w:rPr>
                <w:rFonts w:ascii="仿宋_GB2312" w:hAnsi="黑体" w:eastAsia="仿宋_GB2312" w:cs="黑体"/>
                <w:color w:val="000000" w:themeColor="text1"/>
                <w:sz w:val="18"/>
                <w:szCs w:val="18"/>
              </w:rPr>
            </w:pPr>
          </w:p>
        </w:tc>
        <w:tc>
          <w:tcPr>
            <w:tcW w:w="1504" w:type="dxa"/>
            <w:vAlign w:val="center"/>
          </w:tcPr>
          <w:p w14:paraId="2F7DB5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BAB9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C628B76">
            <w:pPr>
              <w:rPr>
                <w:color w:val="000000" w:themeColor="text1"/>
              </w:rPr>
            </w:pPr>
          </w:p>
        </w:tc>
        <w:tc>
          <w:tcPr>
            <w:tcW w:w="965" w:type="dxa"/>
            <w:vAlign w:val="center"/>
          </w:tcPr>
          <w:p w14:paraId="6C2D0C0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68" w:type="dxa"/>
            <w:gridSpan w:val="4"/>
            <w:vAlign w:val="center"/>
          </w:tcPr>
          <w:p w14:paraId="0F72E82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898" w:type="dxa"/>
            <w:gridSpan w:val="2"/>
            <w:vAlign w:val="center"/>
          </w:tcPr>
          <w:p w14:paraId="3E675E26">
            <w:pPr>
              <w:jc w:val="center"/>
              <w:rPr>
                <w:rFonts w:ascii="仿宋_GB2312" w:hAnsi="黑体" w:eastAsia="仿宋_GB2312" w:cs="黑体"/>
                <w:color w:val="000000" w:themeColor="text1"/>
                <w:sz w:val="18"/>
                <w:szCs w:val="18"/>
              </w:rPr>
            </w:pPr>
          </w:p>
        </w:tc>
        <w:tc>
          <w:tcPr>
            <w:tcW w:w="1504" w:type="dxa"/>
            <w:vAlign w:val="center"/>
          </w:tcPr>
          <w:p w14:paraId="0DDDBF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FF7E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4" w:hRule="atLeast"/>
          <w:jc w:val="center"/>
        </w:trPr>
        <w:tc>
          <w:tcPr>
            <w:tcW w:w="1463" w:type="dxa"/>
            <w:vMerge w:val="continue"/>
            <w:vAlign w:val="center"/>
          </w:tcPr>
          <w:p w14:paraId="7D273DE7">
            <w:pPr>
              <w:rPr>
                <w:color w:val="000000" w:themeColor="text1"/>
              </w:rPr>
            </w:pPr>
          </w:p>
        </w:tc>
        <w:tc>
          <w:tcPr>
            <w:tcW w:w="965" w:type="dxa"/>
            <w:vAlign w:val="center"/>
          </w:tcPr>
          <w:p w14:paraId="386B80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68" w:type="dxa"/>
            <w:gridSpan w:val="4"/>
            <w:vAlign w:val="center"/>
          </w:tcPr>
          <w:p w14:paraId="772DFD8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898" w:type="dxa"/>
            <w:gridSpan w:val="2"/>
            <w:vAlign w:val="center"/>
          </w:tcPr>
          <w:p w14:paraId="21A9EFFF">
            <w:pPr>
              <w:jc w:val="center"/>
              <w:rPr>
                <w:rFonts w:ascii="仿宋_GB2312" w:hAnsi="黑体" w:eastAsia="仿宋_GB2312" w:cs="黑体"/>
                <w:color w:val="000000" w:themeColor="text1"/>
                <w:sz w:val="18"/>
                <w:szCs w:val="18"/>
              </w:rPr>
            </w:pPr>
          </w:p>
        </w:tc>
        <w:tc>
          <w:tcPr>
            <w:tcW w:w="1504" w:type="dxa"/>
            <w:vAlign w:val="center"/>
          </w:tcPr>
          <w:p w14:paraId="2D249CB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561A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6" w:hRule="atLeast"/>
          <w:jc w:val="center"/>
        </w:trPr>
        <w:tc>
          <w:tcPr>
            <w:tcW w:w="1463" w:type="dxa"/>
            <w:vMerge w:val="continue"/>
            <w:vAlign w:val="center"/>
          </w:tcPr>
          <w:p w14:paraId="20CDAA52">
            <w:pPr>
              <w:rPr>
                <w:color w:val="000000" w:themeColor="text1"/>
              </w:rPr>
            </w:pPr>
          </w:p>
        </w:tc>
        <w:tc>
          <w:tcPr>
            <w:tcW w:w="965" w:type="dxa"/>
            <w:vAlign w:val="center"/>
          </w:tcPr>
          <w:p w14:paraId="39D6F71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68" w:type="dxa"/>
            <w:gridSpan w:val="4"/>
            <w:vAlign w:val="center"/>
          </w:tcPr>
          <w:p w14:paraId="279987C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898" w:type="dxa"/>
            <w:gridSpan w:val="2"/>
            <w:vAlign w:val="center"/>
          </w:tcPr>
          <w:p w14:paraId="4F6B8254">
            <w:pPr>
              <w:jc w:val="center"/>
              <w:rPr>
                <w:rFonts w:ascii="仿宋_GB2312" w:hAnsi="黑体" w:eastAsia="仿宋_GB2312" w:cs="黑体"/>
                <w:color w:val="000000" w:themeColor="text1"/>
                <w:sz w:val="18"/>
                <w:szCs w:val="18"/>
              </w:rPr>
            </w:pPr>
          </w:p>
        </w:tc>
        <w:tc>
          <w:tcPr>
            <w:tcW w:w="1504" w:type="dxa"/>
            <w:vAlign w:val="center"/>
          </w:tcPr>
          <w:p w14:paraId="4786390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9E91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463" w:type="dxa"/>
            <w:vMerge w:val="continue"/>
            <w:vAlign w:val="center"/>
          </w:tcPr>
          <w:p w14:paraId="2A55B34A">
            <w:pPr>
              <w:rPr>
                <w:color w:val="000000" w:themeColor="text1"/>
              </w:rPr>
            </w:pPr>
          </w:p>
        </w:tc>
        <w:tc>
          <w:tcPr>
            <w:tcW w:w="965" w:type="dxa"/>
            <w:vAlign w:val="center"/>
          </w:tcPr>
          <w:p w14:paraId="6FA88C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68" w:type="dxa"/>
            <w:gridSpan w:val="4"/>
            <w:vAlign w:val="center"/>
          </w:tcPr>
          <w:p w14:paraId="26B83E0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898" w:type="dxa"/>
            <w:gridSpan w:val="2"/>
            <w:vAlign w:val="center"/>
          </w:tcPr>
          <w:p w14:paraId="6D7CDAC6">
            <w:pPr>
              <w:jc w:val="center"/>
              <w:rPr>
                <w:rFonts w:ascii="仿宋_GB2312" w:hAnsi="黑体" w:eastAsia="仿宋_GB2312" w:cs="黑体"/>
                <w:color w:val="000000" w:themeColor="text1"/>
                <w:sz w:val="18"/>
                <w:szCs w:val="18"/>
              </w:rPr>
            </w:pPr>
          </w:p>
        </w:tc>
        <w:tc>
          <w:tcPr>
            <w:tcW w:w="1504" w:type="dxa"/>
            <w:vAlign w:val="center"/>
          </w:tcPr>
          <w:p w14:paraId="10026EC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796C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31BE6C14">
            <w:pPr>
              <w:widowControl/>
              <w:spacing w:line="20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6737B08B">
            <w:pPr>
              <w:widowControl/>
              <w:spacing w:line="20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4D24995A">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32A61A2C">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23DCF75E">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29AABEA2">
            <w:pPr>
              <w:widowControl/>
              <w:spacing w:line="20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4739AA28">
            <w:pPr>
              <w:widowControl/>
              <w:spacing w:line="20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3205C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0FC0CE4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1EDABBC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064FDC0">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1604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2E95DE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4A0EAC0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36FE1FF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53DAF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18690A7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44D9669F">
            <w:pPr>
              <w:widowControl/>
              <w:jc w:val="left"/>
              <w:textAlignment w:val="center"/>
              <w:rPr>
                <w:rFonts w:ascii="黑体" w:eastAsia="黑体" w:cs="黑体"/>
                <w:color w:val="000000" w:themeColor="text1"/>
                <w:kern w:val="0"/>
                <w:sz w:val="18"/>
                <w:szCs w:val="18"/>
              </w:rPr>
            </w:pPr>
          </w:p>
        </w:tc>
      </w:tr>
    </w:tbl>
    <w:p w14:paraId="3CA2C9B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87"/>
        <w:gridCol w:w="1078"/>
        <w:gridCol w:w="889"/>
        <w:gridCol w:w="1691"/>
        <w:gridCol w:w="1963"/>
        <w:gridCol w:w="1061"/>
        <w:gridCol w:w="498"/>
        <w:gridCol w:w="427"/>
        <w:gridCol w:w="1504"/>
      </w:tblGrid>
      <w:tr w14:paraId="44BF5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4" w:hRule="atLeast"/>
          <w:jc w:val="center"/>
        </w:trPr>
        <w:tc>
          <w:tcPr>
            <w:tcW w:w="1187" w:type="dxa"/>
            <w:vAlign w:val="center"/>
          </w:tcPr>
          <w:p w14:paraId="2A5393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67" w:type="dxa"/>
            <w:gridSpan w:val="2"/>
            <w:vAlign w:val="center"/>
          </w:tcPr>
          <w:p w14:paraId="4F8F9B10">
            <w:pPr>
              <w:jc w:val="center"/>
              <w:rPr>
                <w:rFonts w:ascii="黑体" w:eastAsia="黑体" w:cs="黑体"/>
                <w:b/>
                <w:bCs/>
                <w:color w:val="000000" w:themeColor="text1"/>
                <w:szCs w:val="21"/>
              </w:rPr>
            </w:pPr>
            <w:r>
              <w:rPr>
                <w:rFonts w:ascii="黑体" w:eastAsia="黑体" w:cs="黑体"/>
                <w:b/>
                <w:bCs/>
                <w:color w:val="000000" w:themeColor="text1"/>
                <w:szCs w:val="21"/>
              </w:rPr>
              <w:t>205</w:t>
            </w:r>
          </w:p>
        </w:tc>
        <w:tc>
          <w:tcPr>
            <w:tcW w:w="1691" w:type="dxa"/>
            <w:vAlign w:val="center"/>
          </w:tcPr>
          <w:p w14:paraId="3CE2754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622AE63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5F643E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DF061B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5847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87" w:type="dxa"/>
            <w:vAlign w:val="center"/>
          </w:tcPr>
          <w:p w14:paraId="2A18FDC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11" w:type="dxa"/>
            <w:gridSpan w:val="8"/>
            <w:vAlign w:val="center"/>
          </w:tcPr>
          <w:p w14:paraId="52B43A70">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对采取故意堵塞固定超限检测站点通行车道、强行通过固定超限检测站点等方式扰乱超限检测秩序等行为的行政强制</w:t>
            </w:r>
          </w:p>
        </w:tc>
      </w:tr>
      <w:tr w14:paraId="7959A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65" w:hRule="atLeast"/>
          <w:jc w:val="center"/>
        </w:trPr>
        <w:tc>
          <w:tcPr>
            <w:tcW w:w="1187" w:type="dxa"/>
            <w:vAlign w:val="center"/>
          </w:tcPr>
          <w:p w14:paraId="292883B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111" w:type="dxa"/>
            <w:gridSpan w:val="8"/>
            <w:vAlign w:val="center"/>
          </w:tcPr>
          <w:p w14:paraId="3467C7FE">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1D79D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187" w:type="dxa"/>
            <w:vAlign w:val="center"/>
          </w:tcPr>
          <w:p w14:paraId="4BF4AE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11" w:type="dxa"/>
            <w:gridSpan w:val="8"/>
            <w:vAlign w:val="center"/>
          </w:tcPr>
          <w:p w14:paraId="48828843">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号）第六十七条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违反本条例的规定，有下列行为之一的，由公路管理机构强制拖离或者扣留车辆，处</w:t>
            </w: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万元以下的罚款：（一）采取故意堵塞固定超限检测站点通行车道、强行通过固定超限检测站点等方式扰乱超限检测秩序的；（二）采取短途驳载等方式逃避超限检测的。</w:t>
            </w:r>
          </w:p>
          <w:p w14:paraId="66C562F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6EA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87" w:type="dxa"/>
            <w:vMerge w:val="restart"/>
            <w:vAlign w:val="center"/>
          </w:tcPr>
          <w:p w14:paraId="419DF3C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78" w:type="dxa"/>
            <w:vAlign w:val="center"/>
          </w:tcPr>
          <w:p w14:paraId="5B1D06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604" w:type="dxa"/>
            <w:gridSpan w:val="4"/>
            <w:vAlign w:val="center"/>
          </w:tcPr>
          <w:p w14:paraId="2527D6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25" w:type="dxa"/>
            <w:gridSpan w:val="2"/>
            <w:vAlign w:val="center"/>
          </w:tcPr>
          <w:p w14:paraId="4D031E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3D8345C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E2EF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187" w:type="dxa"/>
            <w:vMerge w:val="continue"/>
            <w:vAlign w:val="center"/>
          </w:tcPr>
          <w:p w14:paraId="7C81F6B0">
            <w:pPr>
              <w:rPr>
                <w:color w:val="000000" w:themeColor="text1"/>
              </w:rPr>
            </w:pPr>
          </w:p>
        </w:tc>
        <w:tc>
          <w:tcPr>
            <w:tcW w:w="1078" w:type="dxa"/>
            <w:vAlign w:val="center"/>
          </w:tcPr>
          <w:p w14:paraId="5EC1F2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604" w:type="dxa"/>
            <w:gridSpan w:val="4"/>
            <w:vAlign w:val="center"/>
          </w:tcPr>
          <w:p w14:paraId="3D942A1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通知当事人到场，当场告知当事人采取行政强制措施的理由、依据以及当事人依法享有的权利、救济途径。</w:t>
            </w:r>
          </w:p>
        </w:tc>
        <w:tc>
          <w:tcPr>
            <w:tcW w:w="925" w:type="dxa"/>
            <w:gridSpan w:val="2"/>
            <w:vAlign w:val="center"/>
          </w:tcPr>
          <w:p w14:paraId="4E5CBC84">
            <w:pPr>
              <w:jc w:val="center"/>
              <w:rPr>
                <w:rFonts w:ascii="仿宋_GB2312" w:hAnsi="黑体" w:eastAsia="仿宋_GB2312" w:cs="黑体"/>
                <w:color w:val="000000" w:themeColor="text1"/>
                <w:sz w:val="18"/>
                <w:szCs w:val="18"/>
              </w:rPr>
            </w:pPr>
          </w:p>
        </w:tc>
        <w:tc>
          <w:tcPr>
            <w:tcW w:w="1504" w:type="dxa"/>
            <w:vAlign w:val="center"/>
          </w:tcPr>
          <w:p w14:paraId="4202B8C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A5E8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187" w:type="dxa"/>
            <w:vMerge w:val="continue"/>
            <w:vAlign w:val="center"/>
          </w:tcPr>
          <w:p w14:paraId="34926AB2">
            <w:pPr>
              <w:rPr>
                <w:color w:val="000000" w:themeColor="text1"/>
              </w:rPr>
            </w:pPr>
          </w:p>
        </w:tc>
        <w:tc>
          <w:tcPr>
            <w:tcW w:w="1078" w:type="dxa"/>
            <w:vAlign w:val="center"/>
          </w:tcPr>
          <w:p w14:paraId="627A979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604" w:type="dxa"/>
            <w:gridSpan w:val="4"/>
            <w:vAlign w:val="center"/>
          </w:tcPr>
          <w:p w14:paraId="0DB19B1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实施前须向交通行政机关负责人报告并经批准；情况紧急，需要当场实施行政强制措施的，行政执法人员应当在二十四小时内向行政机关负责人报告，并补办批准手续。交通行政机关负责人认为不应当采取行政强制措施的，应当立即解除。在决定前要充分听取当事人的陈述和申辩，告知当事人采取行政强制措施的理由、依据以及当事人依法享有的权利、救济途径。</w:t>
            </w:r>
          </w:p>
        </w:tc>
        <w:tc>
          <w:tcPr>
            <w:tcW w:w="925" w:type="dxa"/>
            <w:gridSpan w:val="2"/>
            <w:vAlign w:val="center"/>
          </w:tcPr>
          <w:p w14:paraId="57E8D5E8">
            <w:pPr>
              <w:jc w:val="center"/>
              <w:rPr>
                <w:rFonts w:ascii="仿宋_GB2312" w:hAnsi="黑体" w:eastAsia="仿宋_GB2312" w:cs="黑体"/>
                <w:color w:val="000000" w:themeColor="text1"/>
                <w:sz w:val="18"/>
                <w:szCs w:val="18"/>
              </w:rPr>
            </w:pPr>
          </w:p>
        </w:tc>
        <w:tc>
          <w:tcPr>
            <w:tcW w:w="1504" w:type="dxa"/>
            <w:vAlign w:val="center"/>
          </w:tcPr>
          <w:p w14:paraId="5B7C783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EAE1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05" w:hRule="atLeast"/>
          <w:jc w:val="center"/>
        </w:trPr>
        <w:tc>
          <w:tcPr>
            <w:tcW w:w="1187" w:type="dxa"/>
            <w:vMerge w:val="continue"/>
            <w:vAlign w:val="center"/>
          </w:tcPr>
          <w:p w14:paraId="4A168F0B">
            <w:pPr>
              <w:rPr>
                <w:color w:val="000000" w:themeColor="text1"/>
              </w:rPr>
            </w:pPr>
          </w:p>
        </w:tc>
        <w:tc>
          <w:tcPr>
            <w:tcW w:w="1078" w:type="dxa"/>
            <w:vAlign w:val="center"/>
          </w:tcPr>
          <w:p w14:paraId="2551350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604" w:type="dxa"/>
            <w:gridSpan w:val="4"/>
            <w:vAlign w:val="center"/>
          </w:tcPr>
          <w:p w14:paraId="298172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要制作现场笔录，并由当事人签名或者盖章；无正当理由的，向行政机关负责人报告并经《行政强制措施审批表》批准作出强制措施决定。</w:t>
            </w:r>
          </w:p>
        </w:tc>
        <w:tc>
          <w:tcPr>
            <w:tcW w:w="925" w:type="dxa"/>
            <w:gridSpan w:val="2"/>
            <w:vAlign w:val="center"/>
          </w:tcPr>
          <w:p w14:paraId="5616948D">
            <w:pPr>
              <w:jc w:val="center"/>
              <w:rPr>
                <w:rFonts w:ascii="仿宋_GB2312" w:hAnsi="黑体" w:eastAsia="仿宋_GB2312" w:cs="黑体"/>
                <w:color w:val="000000" w:themeColor="text1"/>
                <w:sz w:val="18"/>
                <w:szCs w:val="18"/>
              </w:rPr>
            </w:pPr>
          </w:p>
        </w:tc>
        <w:tc>
          <w:tcPr>
            <w:tcW w:w="1504" w:type="dxa"/>
            <w:vAlign w:val="center"/>
          </w:tcPr>
          <w:p w14:paraId="5C05FDE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1DBDC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6" w:hRule="atLeast"/>
          <w:jc w:val="center"/>
        </w:trPr>
        <w:tc>
          <w:tcPr>
            <w:tcW w:w="1187" w:type="dxa"/>
            <w:vMerge w:val="continue"/>
            <w:vAlign w:val="center"/>
          </w:tcPr>
          <w:p w14:paraId="7EB58333">
            <w:pPr>
              <w:rPr>
                <w:color w:val="000000" w:themeColor="text1"/>
              </w:rPr>
            </w:pPr>
          </w:p>
        </w:tc>
        <w:tc>
          <w:tcPr>
            <w:tcW w:w="1078" w:type="dxa"/>
            <w:vAlign w:val="center"/>
          </w:tcPr>
          <w:p w14:paraId="4A12DB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604" w:type="dxa"/>
            <w:gridSpan w:val="4"/>
            <w:vAlign w:val="center"/>
          </w:tcPr>
          <w:p w14:paraId="43F796D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送达交通《行政强制措施通知书》和《行政强制措施决定书》。</w:t>
            </w:r>
          </w:p>
        </w:tc>
        <w:tc>
          <w:tcPr>
            <w:tcW w:w="925" w:type="dxa"/>
            <w:gridSpan w:val="2"/>
            <w:vAlign w:val="center"/>
          </w:tcPr>
          <w:p w14:paraId="0CA73C45">
            <w:pPr>
              <w:jc w:val="center"/>
              <w:rPr>
                <w:rFonts w:ascii="仿宋_GB2312" w:hAnsi="黑体" w:eastAsia="仿宋_GB2312" w:cs="黑体"/>
                <w:color w:val="000000" w:themeColor="text1"/>
                <w:sz w:val="18"/>
                <w:szCs w:val="18"/>
              </w:rPr>
            </w:pPr>
          </w:p>
        </w:tc>
        <w:tc>
          <w:tcPr>
            <w:tcW w:w="1504" w:type="dxa"/>
            <w:vAlign w:val="center"/>
          </w:tcPr>
          <w:p w14:paraId="2F130DF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49B9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187" w:type="dxa"/>
            <w:vMerge w:val="continue"/>
            <w:vAlign w:val="center"/>
          </w:tcPr>
          <w:p w14:paraId="4945B3E2">
            <w:pPr>
              <w:rPr>
                <w:color w:val="000000" w:themeColor="text1"/>
              </w:rPr>
            </w:pPr>
          </w:p>
        </w:tc>
        <w:tc>
          <w:tcPr>
            <w:tcW w:w="1078" w:type="dxa"/>
            <w:vAlign w:val="center"/>
          </w:tcPr>
          <w:p w14:paraId="11522A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604" w:type="dxa"/>
            <w:gridSpan w:val="4"/>
            <w:vAlign w:val="center"/>
          </w:tcPr>
          <w:p w14:paraId="4D32324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对查封、扣押的场所、设施或者财物，行政机关应当妥善保管，不得使用或者损毁</w:t>
            </w:r>
            <w:r>
              <w:rPr>
                <w:rFonts w:ascii="仿宋_GB2312" w:hAnsi="黑体" w:eastAsia="仿宋_GB2312" w:cs="黑体"/>
                <w:color w:val="000000" w:themeColor="text1"/>
                <w:sz w:val="18"/>
                <w:szCs w:val="18"/>
              </w:rPr>
              <w:t>;</w:t>
            </w:r>
            <w:r>
              <w:rPr>
                <w:rFonts w:hint="eastAsia" w:ascii="仿宋_GB2312" w:hAnsi="黑体" w:eastAsia="仿宋_GB2312" w:cs="黑体"/>
                <w:color w:val="000000" w:themeColor="text1"/>
                <w:sz w:val="18"/>
                <w:szCs w:val="18"/>
              </w:rPr>
              <w:t>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tc>
        <w:tc>
          <w:tcPr>
            <w:tcW w:w="925" w:type="dxa"/>
            <w:gridSpan w:val="2"/>
            <w:vAlign w:val="center"/>
          </w:tcPr>
          <w:p w14:paraId="58C55C6C">
            <w:pPr>
              <w:jc w:val="center"/>
              <w:rPr>
                <w:rFonts w:ascii="仿宋_GB2312" w:hAnsi="黑体" w:eastAsia="仿宋_GB2312" w:cs="黑体"/>
                <w:color w:val="000000" w:themeColor="text1"/>
                <w:sz w:val="18"/>
                <w:szCs w:val="18"/>
              </w:rPr>
            </w:pPr>
          </w:p>
        </w:tc>
        <w:tc>
          <w:tcPr>
            <w:tcW w:w="1504" w:type="dxa"/>
            <w:vAlign w:val="center"/>
          </w:tcPr>
          <w:p w14:paraId="5AA2751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908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603" w:hRule="atLeast"/>
          <w:jc w:val="center"/>
        </w:trPr>
        <w:tc>
          <w:tcPr>
            <w:tcW w:w="1187" w:type="dxa"/>
            <w:vAlign w:val="center"/>
          </w:tcPr>
          <w:p w14:paraId="765F4E09">
            <w:pPr>
              <w:widowControl/>
              <w:spacing w:line="22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11" w:type="dxa"/>
            <w:gridSpan w:val="8"/>
            <w:vAlign w:val="center"/>
          </w:tcPr>
          <w:p w14:paraId="6C1455D9">
            <w:pPr>
              <w:widowControl/>
              <w:spacing w:line="22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0B0BDB8F">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299F7CD4">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69502671">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2406390F">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35B0D744">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6150E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3" w:hRule="atLeast"/>
          <w:jc w:val="center"/>
        </w:trPr>
        <w:tc>
          <w:tcPr>
            <w:tcW w:w="1187" w:type="dxa"/>
            <w:vAlign w:val="center"/>
          </w:tcPr>
          <w:p w14:paraId="411AAB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11" w:type="dxa"/>
            <w:gridSpan w:val="8"/>
            <w:vAlign w:val="center"/>
          </w:tcPr>
          <w:p w14:paraId="5960AC6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42230BE0">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2A7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65" w:hRule="atLeast"/>
          <w:jc w:val="center"/>
        </w:trPr>
        <w:tc>
          <w:tcPr>
            <w:tcW w:w="1187" w:type="dxa"/>
            <w:vAlign w:val="center"/>
          </w:tcPr>
          <w:p w14:paraId="7C5FD3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11" w:type="dxa"/>
            <w:gridSpan w:val="8"/>
            <w:vAlign w:val="center"/>
          </w:tcPr>
          <w:p w14:paraId="40510C1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6B82448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007F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87" w:type="dxa"/>
            <w:vAlign w:val="center"/>
          </w:tcPr>
          <w:p w14:paraId="61098F3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11" w:type="dxa"/>
            <w:gridSpan w:val="8"/>
            <w:vAlign w:val="center"/>
          </w:tcPr>
          <w:p w14:paraId="08F29E78">
            <w:pPr>
              <w:widowControl/>
              <w:jc w:val="left"/>
              <w:textAlignment w:val="center"/>
              <w:rPr>
                <w:rFonts w:ascii="黑体" w:eastAsia="黑体" w:cs="黑体"/>
                <w:color w:val="000000" w:themeColor="text1"/>
                <w:kern w:val="0"/>
                <w:sz w:val="18"/>
                <w:szCs w:val="18"/>
              </w:rPr>
            </w:pPr>
          </w:p>
        </w:tc>
      </w:tr>
    </w:tbl>
    <w:p w14:paraId="78558AD3">
      <w:pPr>
        <w:rPr>
          <w:color w:val="000000" w:themeColor="text1"/>
        </w:rPr>
      </w:pPr>
    </w:p>
    <w:p w14:paraId="2D4A82A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93"/>
        <w:gridCol w:w="698"/>
        <w:gridCol w:w="1691"/>
        <w:gridCol w:w="1963"/>
        <w:gridCol w:w="1047"/>
        <w:gridCol w:w="512"/>
        <w:gridCol w:w="427"/>
        <w:gridCol w:w="1504"/>
      </w:tblGrid>
      <w:tr w14:paraId="2D1F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63ED5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1F4B80A7">
            <w:pPr>
              <w:jc w:val="center"/>
              <w:rPr>
                <w:rFonts w:ascii="黑体" w:eastAsia="黑体" w:cs="黑体"/>
                <w:b/>
                <w:bCs/>
                <w:color w:val="000000" w:themeColor="text1"/>
                <w:szCs w:val="21"/>
              </w:rPr>
            </w:pPr>
            <w:r>
              <w:rPr>
                <w:rFonts w:ascii="黑体" w:eastAsia="黑体" w:cs="黑体"/>
                <w:b/>
                <w:bCs/>
                <w:color w:val="000000" w:themeColor="text1"/>
                <w:szCs w:val="21"/>
              </w:rPr>
              <w:t>206</w:t>
            </w:r>
          </w:p>
        </w:tc>
        <w:tc>
          <w:tcPr>
            <w:tcW w:w="1691" w:type="dxa"/>
            <w:vAlign w:val="center"/>
          </w:tcPr>
          <w:p w14:paraId="7E9E9D3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43D081F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1A98A5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4EFE6C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EDA5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881D40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5AB7ED31">
            <w:pPr>
              <w:widowControl/>
              <w:jc w:val="center"/>
              <w:textAlignment w:val="center"/>
              <w:rPr>
                <w:rFonts w:ascii="仿宋_GB2312" w:eastAsia="仿宋_GB2312" w:cs="仿宋_GB2312"/>
                <w:color w:val="000000" w:themeColor="text1"/>
                <w:kern w:val="0"/>
                <w:sz w:val="18"/>
                <w:szCs w:val="18"/>
              </w:rPr>
            </w:pPr>
            <w:r>
              <w:rPr>
                <w:rFonts w:hint="eastAsia" w:ascii="仿宋_GB2312" w:hAnsi="黑体" w:eastAsia="仿宋_GB2312" w:cs="黑体"/>
                <w:color w:val="000000" w:themeColor="text1"/>
                <w:sz w:val="18"/>
                <w:szCs w:val="18"/>
              </w:rPr>
              <w:t>对造成公路、公路附属设施损坏，逾期不接受处理，并且经公告</w:t>
            </w: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个月仍不来接受处理的行政强制</w:t>
            </w:r>
          </w:p>
        </w:tc>
      </w:tr>
      <w:tr w14:paraId="49985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0B25E71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C7DF9C9">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6D292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21C3C22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782DB44C">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【法律法规】《公路安全保护条例》（中华人民共和国国务院令第</w:t>
            </w:r>
            <w:r>
              <w:rPr>
                <w:rFonts w:ascii="仿宋_GB2312" w:hAnsi="黑体" w:eastAsia="仿宋_GB2312" w:cs="黑体"/>
                <w:color w:val="000000" w:themeColor="text1"/>
                <w:sz w:val="18"/>
                <w:szCs w:val="18"/>
              </w:rPr>
              <w:t>593</w:t>
            </w:r>
            <w:r>
              <w:rPr>
                <w:rFonts w:hint="eastAsia" w:ascii="仿宋_GB2312" w:hAnsi="黑体" w:eastAsia="仿宋_GB2312" w:cs="黑体"/>
                <w:color w:val="000000" w:themeColor="text1"/>
                <w:sz w:val="18"/>
                <w:szCs w:val="18"/>
              </w:rPr>
              <w:t>号）第七十二条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造成公路、公路附属设施损坏，拒不接受公路管理机构现场调查处理的，公路管理机构可以扣留车辆、工具。公路管理机构扣留车辆、工具的，应当当场出具凭证，并告知当事人在规定期限内到公路管理机构接受处理。逾期不接受处理，并且经公告</w:t>
            </w: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个月仍不来接受处理的，对扣留的车辆、工具，由公路管理机构依法处理。</w:t>
            </w:r>
          </w:p>
          <w:p w14:paraId="30273CE3">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7456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0B2AA4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93" w:type="dxa"/>
            <w:vAlign w:val="center"/>
          </w:tcPr>
          <w:p w14:paraId="138290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399" w:type="dxa"/>
            <w:gridSpan w:val="4"/>
            <w:vAlign w:val="center"/>
          </w:tcPr>
          <w:p w14:paraId="22CF159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39" w:type="dxa"/>
            <w:gridSpan w:val="2"/>
            <w:vAlign w:val="center"/>
          </w:tcPr>
          <w:p w14:paraId="0BE63D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035BB69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445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23F3A65">
            <w:pPr>
              <w:rPr>
                <w:color w:val="000000" w:themeColor="text1"/>
              </w:rPr>
            </w:pPr>
          </w:p>
        </w:tc>
        <w:tc>
          <w:tcPr>
            <w:tcW w:w="993" w:type="dxa"/>
            <w:vAlign w:val="center"/>
          </w:tcPr>
          <w:p w14:paraId="0A2D2E8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399" w:type="dxa"/>
            <w:gridSpan w:val="4"/>
            <w:vAlign w:val="center"/>
          </w:tcPr>
          <w:p w14:paraId="16D26F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对违法行为当事人进行催告，要求当事人尽快处理违法行为。下达催告通知书，催告履行义务以及履行义务的期限、方式和当事人依法享有的陈述权和申辩权。</w:t>
            </w:r>
          </w:p>
        </w:tc>
        <w:tc>
          <w:tcPr>
            <w:tcW w:w="939" w:type="dxa"/>
            <w:gridSpan w:val="2"/>
            <w:vAlign w:val="center"/>
          </w:tcPr>
          <w:p w14:paraId="1D7FDE4D">
            <w:pPr>
              <w:jc w:val="center"/>
              <w:rPr>
                <w:rFonts w:ascii="仿宋_GB2312" w:hAnsi="黑体" w:eastAsia="仿宋_GB2312" w:cs="黑体"/>
                <w:color w:val="000000" w:themeColor="text1"/>
                <w:sz w:val="18"/>
                <w:szCs w:val="18"/>
              </w:rPr>
            </w:pPr>
          </w:p>
        </w:tc>
        <w:tc>
          <w:tcPr>
            <w:tcW w:w="1504" w:type="dxa"/>
            <w:vAlign w:val="center"/>
          </w:tcPr>
          <w:p w14:paraId="4B8C4FF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9DE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69D5163">
            <w:pPr>
              <w:rPr>
                <w:color w:val="000000" w:themeColor="text1"/>
              </w:rPr>
            </w:pPr>
          </w:p>
        </w:tc>
        <w:tc>
          <w:tcPr>
            <w:tcW w:w="993" w:type="dxa"/>
            <w:vAlign w:val="center"/>
          </w:tcPr>
          <w:p w14:paraId="30A41CD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399" w:type="dxa"/>
            <w:gridSpan w:val="4"/>
            <w:vAlign w:val="center"/>
          </w:tcPr>
          <w:p w14:paraId="2D86447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w:t>
            </w:r>
          </w:p>
        </w:tc>
        <w:tc>
          <w:tcPr>
            <w:tcW w:w="939" w:type="dxa"/>
            <w:gridSpan w:val="2"/>
            <w:vAlign w:val="center"/>
          </w:tcPr>
          <w:p w14:paraId="563CB31B">
            <w:pPr>
              <w:jc w:val="center"/>
              <w:rPr>
                <w:rFonts w:ascii="仿宋_GB2312" w:hAnsi="黑体" w:eastAsia="仿宋_GB2312" w:cs="黑体"/>
                <w:color w:val="000000" w:themeColor="text1"/>
                <w:sz w:val="18"/>
                <w:szCs w:val="18"/>
              </w:rPr>
            </w:pPr>
          </w:p>
        </w:tc>
        <w:tc>
          <w:tcPr>
            <w:tcW w:w="1504" w:type="dxa"/>
            <w:vAlign w:val="center"/>
          </w:tcPr>
          <w:p w14:paraId="0608B0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B6F5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463" w:type="dxa"/>
            <w:vMerge w:val="continue"/>
            <w:vAlign w:val="center"/>
          </w:tcPr>
          <w:p w14:paraId="176BA389">
            <w:pPr>
              <w:rPr>
                <w:color w:val="000000" w:themeColor="text1"/>
              </w:rPr>
            </w:pPr>
          </w:p>
        </w:tc>
        <w:tc>
          <w:tcPr>
            <w:tcW w:w="993" w:type="dxa"/>
            <w:vAlign w:val="center"/>
          </w:tcPr>
          <w:p w14:paraId="6C3F29F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399" w:type="dxa"/>
            <w:gridSpan w:val="4"/>
            <w:vAlign w:val="center"/>
          </w:tcPr>
          <w:p w14:paraId="78C4D32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充分听取当事人的意见，对当事人提出的事实、理由和证据，应当进行记录、复核，无正当理由的，经催告，当事人仍逾期仍不履行行政决定，且无正当理由的，制作送达《代履行决定书》。</w:t>
            </w:r>
          </w:p>
        </w:tc>
        <w:tc>
          <w:tcPr>
            <w:tcW w:w="939" w:type="dxa"/>
            <w:gridSpan w:val="2"/>
            <w:vAlign w:val="center"/>
          </w:tcPr>
          <w:p w14:paraId="47811BFB">
            <w:pPr>
              <w:jc w:val="center"/>
              <w:rPr>
                <w:rFonts w:ascii="仿宋_GB2312" w:hAnsi="黑体" w:eastAsia="仿宋_GB2312" w:cs="黑体"/>
                <w:color w:val="000000" w:themeColor="text1"/>
                <w:sz w:val="18"/>
                <w:szCs w:val="18"/>
              </w:rPr>
            </w:pPr>
          </w:p>
        </w:tc>
        <w:tc>
          <w:tcPr>
            <w:tcW w:w="1504" w:type="dxa"/>
            <w:vAlign w:val="center"/>
          </w:tcPr>
          <w:p w14:paraId="40798B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EB0E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463" w:type="dxa"/>
            <w:vMerge w:val="continue"/>
            <w:vAlign w:val="center"/>
          </w:tcPr>
          <w:p w14:paraId="64E73E07">
            <w:pPr>
              <w:rPr>
                <w:color w:val="000000" w:themeColor="text1"/>
              </w:rPr>
            </w:pPr>
          </w:p>
        </w:tc>
        <w:tc>
          <w:tcPr>
            <w:tcW w:w="993" w:type="dxa"/>
            <w:vAlign w:val="center"/>
          </w:tcPr>
          <w:p w14:paraId="3EC3AFA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399" w:type="dxa"/>
            <w:gridSpan w:val="4"/>
            <w:vAlign w:val="center"/>
          </w:tcPr>
          <w:p w14:paraId="6E5FE4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按时限要求送达《催告书》和《代履行决定书》。</w:t>
            </w:r>
          </w:p>
        </w:tc>
        <w:tc>
          <w:tcPr>
            <w:tcW w:w="939" w:type="dxa"/>
            <w:gridSpan w:val="2"/>
            <w:vAlign w:val="center"/>
          </w:tcPr>
          <w:p w14:paraId="185957E7">
            <w:pPr>
              <w:jc w:val="center"/>
              <w:rPr>
                <w:rFonts w:ascii="仿宋_GB2312" w:hAnsi="黑体" w:eastAsia="仿宋_GB2312" w:cs="黑体"/>
                <w:color w:val="000000" w:themeColor="text1"/>
                <w:sz w:val="18"/>
                <w:szCs w:val="18"/>
              </w:rPr>
            </w:pPr>
          </w:p>
        </w:tc>
        <w:tc>
          <w:tcPr>
            <w:tcW w:w="1504" w:type="dxa"/>
            <w:vAlign w:val="center"/>
          </w:tcPr>
          <w:p w14:paraId="24E3D13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753C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463" w:type="dxa"/>
            <w:vMerge w:val="continue"/>
            <w:vAlign w:val="center"/>
          </w:tcPr>
          <w:p w14:paraId="4B3CA5AF">
            <w:pPr>
              <w:rPr>
                <w:color w:val="000000" w:themeColor="text1"/>
              </w:rPr>
            </w:pPr>
          </w:p>
        </w:tc>
        <w:tc>
          <w:tcPr>
            <w:tcW w:w="993" w:type="dxa"/>
            <w:vAlign w:val="center"/>
          </w:tcPr>
          <w:p w14:paraId="4796807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399" w:type="dxa"/>
            <w:gridSpan w:val="4"/>
            <w:vAlign w:val="center"/>
          </w:tcPr>
          <w:p w14:paraId="210699C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当事人在执法部门决定的期限内不履行义务的，制作</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送达《催告书》；经催告，当事人仍逾期仍不履行行政决定，且无正当理由的，行政机关实施代履行。</w:t>
            </w:r>
          </w:p>
        </w:tc>
        <w:tc>
          <w:tcPr>
            <w:tcW w:w="939" w:type="dxa"/>
            <w:gridSpan w:val="2"/>
            <w:vAlign w:val="center"/>
          </w:tcPr>
          <w:p w14:paraId="443E1C95">
            <w:pPr>
              <w:jc w:val="center"/>
              <w:rPr>
                <w:rFonts w:ascii="仿宋_GB2312" w:hAnsi="黑体" w:eastAsia="仿宋_GB2312" w:cs="黑体"/>
                <w:color w:val="000000" w:themeColor="text1"/>
                <w:sz w:val="18"/>
                <w:szCs w:val="18"/>
              </w:rPr>
            </w:pPr>
          </w:p>
        </w:tc>
        <w:tc>
          <w:tcPr>
            <w:tcW w:w="1504" w:type="dxa"/>
            <w:vAlign w:val="center"/>
          </w:tcPr>
          <w:p w14:paraId="530480F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C4FA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5415653F">
            <w:pPr>
              <w:widowControl/>
              <w:spacing w:line="22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56EAFB00">
            <w:pPr>
              <w:widowControl/>
              <w:spacing w:line="22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729A0B14">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38F67AFB">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255DEBDE">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41A47152">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12BCD4A1">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55254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0CDAFC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135564F3">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25F4334">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7880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75EDB9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204C0A3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39B2EC9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5815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24" w:hRule="atLeast"/>
          <w:jc w:val="center"/>
        </w:trPr>
        <w:tc>
          <w:tcPr>
            <w:tcW w:w="1463" w:type="dxa"/>
            <w:vAlign w:val="center"/>
          </w:tcPr>
          <w:p w14:paraId="04F837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35D8FA18">
            <w:pPr>
              <w:widowControl/>
              <w:jc w:val="left"/>
              <w:textAlignment w:val="center"/>
              <w:rPr>
                <w:rFonts w:ascii="黑体" w:eastAsia="黑体" w:cs="黑体"/>
                <w:color w:val="000000" w:themeColor="text1"/>
                <w:kern w:val="0"/>
                <w:sz w:val="18"/>
                <w:szCs w:val="18"/>
              </w:rPr>
            </w:pPr>
          </w:p>
        </w:tc>
      </w:tr>
    </w:tbl>
    <w:p w14:paraId="6F48606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979"/>
        <w:gridCol w:w="712"/>
        <w:gridCol w:w="1691"/>
        <w:gridCol w:w="1963"/>
        <w:gridCol w:w="1047"/>
        <w:gridCol w:w="512"/>
        <w:gridCol w:w="427"/>
        <w:gridCol w:w="1504"/>
      </w:tblGrid>
      <w:tr w14:paraId="38F18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4243A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534FE725">
            <w:pPr>
              <w:jc w:val="center"/>
              <w:rPr>
                <w:rFonts w:ascii="黑体" w:eastAsia="黑体" w:cs="黑体"/>
                <w:b/>
                <w:bCs/>
                <w:color w:val="000000" w:themeColor="text1"/>
                <w:szCs w:val="21"/>
              </w:rPr>
            </w:pPr>
            <w:r>
              <w:rPr>
                <w:rFonts w:ascii="黑体" w:eastAsia="黑体" w:cs="黑体"/>
                <w:b/>
                <w:bCs/>
                <w:color w:val="000000" w:themeColor="text1"/>
                <w:szCs w:val="21"/>
              </w:rPr>
              <w:t>207</w:t>
            </w:r>
          </w:p>
        </w:tc>
        <w:tc>
          <w:tcPr>
            <w:tcW w:w="1691" w:type="dxa"/>
            <w:vAlign w:val="center"/>
          </w:tcPr>
          <w:p w14:paraId="3808F38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42D951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654281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19983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7BC7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680C73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138C2DF7">
            <w:pPr>
              <w:widowControl/>
              <w:jc w:val="center"/>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对没有车辆营运证又无法当场提供其他有效证明的车辆实施的行政强制</w:t>
            </w:r>
          </w:p>
        </w:tc>
      </w:tr>
      <w:tr w14:paraId="0DAB8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2CC21D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739A4DD5">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00B67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0C85EB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3E9AB992">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《中华人民共和国道路运输条例》（</w:t>
            </w:r>
            <w:r>
              <w:rPr>
                <w:rFonts w:ascii="仿宋_GB2312" w:hAnsi="黑体" w:eastAsia="仿宋_GB2312" w:cs="黑体"/>
                <w:color w:val="000000" w:themeColor="text1"/>
                <w:sz w:val="18"/>
                <w:szCs w:val="18"/>
              </w:rPr>
              <w:t>2023</w:t>
            </w:r>
            <w:r>
              <w:rPr>
                <w:rFonts w:hint="eastAsia" w:ascii="仿宋_GB2312" w:hAnsi="黑体" w:eastAsia="仿宋_GB2312" w:cs="黑体"/>
                <w:color w:val="000000" w:themeColor="text1"/>
                <w:sz w:val="18"/>
                <w:szCs w:val="18"/>
              </w:rPr>
              <w:t>年</w:t>
            </w:r>
            <w:r>
              <w:rPr>
                <w:rFonts w:ascii="仿宋_GB2312" w:hAnsi="黑体" w:eastAsia="仿宋_GB2312" w:cs="黑体"/>
                <w:color w:val="000000" w:themeColor="text1"/>
                <w:sz w:val="18"/>
                <w:szCs w:val="18"/>
              </w:rPr>
              <w:t>7</w:t>
            </w:r>
            <w:r>
              <w:rPr>
                <w:rFonts w:hint="eastAsia" w:ascii="仿宋_GB2312" w:hAnsi="黑体" w:eastAsia="仿宋_GB2312" w:cs="黑体"/>
                <w:color w:val="000000" w:themeColor="text1"/>
                <w:sz w:val="18"/>
                <w:szCs w:val="18"/>
              </w:rPr>
              <w:t>月</w:t>
            </w:r>
            <w:r>
              <w:rPr>
                <w:rFonts w:ascii="仿宋_GB2312" w:hAnsi="黑体" w:eastAsia="仿宋_GB2312" w:cs="黑体"/>
                <w:color w:val="000000" w:themeColor="text1"/>
                <w:sz w:val="18"/>
                <w:szCs w:val="18"/>
              </w:rPr>
              <w:t>20</w:t>
            </w:r>
            <w:r>
              <w:rPr>
                <w:rFonts w:hint="eastAsia" w:ascii="仿宋_GB2312" w:hAnsi="黑体" w:eastAsia="仿宋_GB2312" w:cs="黑体"/>
                <w:color w:val="000000" w:themeColor="text1"/>
                <w:sz w:val="18"/>
                <w:szCs w:val="18"/>
              </w:rPr>
              <w:t>日中华人民共和国国务院令第</w:t>
            </w:r>
            <w:r>
              <w:rPr>
                <w:rFonts w:ascii="仿宋_GB2312" w:hAnsi="黑体" w:eastAsia="仿宋_GB2312" w:cs="黑体"/>
                <w:color w:val="000000" w:themeColor="text1"/>
                <w:sz w:val="18"/>
                <w:szCs w:val="18"/>
              </w:rPr>
              <w:t>764</w:t>
            </w:r>
            <w:r>
              <w:rPr>
                <w:rFonts w:hint="eastAsia" w:ascii="仿宋_GB2312" w:hAnsi="黑体" w:eastAsia="仿宋_GB2312" w:cs="黑体"/>
                <w:color w:val="000000" w:themeColor="text1"/>
                <w:sz w:val="18"/>
                <w:szCs w:val="18"/>
              </w:rPr>
              <w:t>号</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）第六十二条</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县级以上人民政府交通运输主管部门的工作人员在实施道路运输监督检查过程中，对没有车辆营运证又无法当场提供其他有效证明的车辆予以暂扣的，应当妥善保管，不得使用，不得收取或者变相收取保管费用。</w:t>
            </w: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《河北省道路运输条例》第五十五条第一款　交通运输主管部门在实施道路运输监督检查中，对无道路运输证件、持无效道路运输证件，又无法当场提供其他有效证明的，或者拒不接受检查影响道路交通安全的，可以暂扣相应车辆或者相关证件。法律、行政法规另有规定的，从其规定。</w:t>
            </w:r>
          </w:p>
          <w:p w14:paraId="79BB5265">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C724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4359BC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79" w:type="dxa"/>
            <w:vAlign w:val="center"/>
          </w:tcPr>
          <w:p w14:paraId="36700A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413" w:type="dxa"/>
            <w:gridSpan w:val="4"/>
            <w:vAlign w:val="center"/>
          </w:tcPr>
          <w:p w14:paraId="1CCACF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39" w:type="dxa"/>
            <w:gridSpan w:val="2"/>
            <w:vAlign w:val="center"/>
          </w:tcPr>
          <w:p w14:paraId="324C0E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3D81F96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280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463E55E4">
            <w:pPr>
              <w:rPr>
                <w:color w:val="000000" w:themeColor="text1"/>
              </w:rPr>
            </w:pPr>
          </w:p>
        </w:tc>
        <w:tc>
          <w:tcPr>
            <w:tcW w:w="979" w:type="dxa"/>
            <w:vAlign w:val="center"/>
          </w:tcPr>
          <w:p w14:paraId="6DBFEFC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413" w:type="dxa"/>
            <w:gridSpan w:val="4"/>
            <w:vAlign w:val="center"/>
          </w:tcPr>
          <w:p w14:paraId="74BD013B">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当事人未在规定期限内缴纳罚款的，执法部门依法加处罚款的，应当将加处罚款的标准告知当事人。</w:t>
            </w:r>
            <w:r>
              <w:rPr>
                <w:rFonts w:ascii="仿宋" w:hAnsi="仿宋" w:eastAsia="仿宋" w:cs="仿宋_GB2312"/>
                <w:color w:val="000000" w:themeColor="text1"/>
                <w:kern w:val="0"/>
                <w:sz w:val="18"/>
                <w:szCs w:val="18"/>
              </w:rPr>
              <w:br w:type="textWrapping"/>
            </w:r>
          </w:p>
        </w:tc>
        <w:tc>
          <w:tcPr>
            <w:tcW w:w="939" w:type="dxa"/>
            <w:gridSpan w:val="2"/>
            <w:vAlign w:val="center"/>
          </w:tcPr>
          <w:p w14:paraId="17735089">
            <w:pPr>
              <w:jc w:val="center"/>
              <w:rPr>
                <w:rFonts w:ascii="仿宋_GB2312" w:hAnsi="黑体" w:eastAsia="仿宋_GB2312" w:cs="黑体"/>
                <w:color w:val="000000" w:themeColor="text1"/>
                <w:sz w:val="18"/>
                <w:szCs w:val="18"/>
              </w:rPr>
            </w:pPr>
          </w:p>
        </w:tc>
        <w:tc>
          <w:tcPr>
            <w:tcW w:w="1504" w:type="dxa"/>
            <w:vAlign w:val="center"/>
          </w:tcPr>
          <w:p w14:paraId="6BF3DDE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523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911E5D5">
            <w:pPr>
              <w:rPr>
                <w:color w:val="000000" w:themeColor="text1"/>
              </w:rPr>
            </w:pPr>
          </w:p>
        </w:tc>
        <w:tc>
          <w:tcPr>
            <w:tcW w:w="979" w:type="dxa"/>
            <w:vAlign w:val="center"/>
          </w:tcPr>
          <w:p w14:paraId="4E44A8D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413" w:type="dxa"/>
            <w:gridSpan w:val="4"/>
            <w:vAlign w:val="center"/>
          </w:tcPr>
          <w:p w14:paraId="4A2BF0C4">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w:t>
            </w:r>
          </w:p>
        </w:tc>
        <w:tc>
          <w:tcPr>
            <w:tcW w:w="939" w:type="dxa"/>
            <w:gridSpan w:val="2"/>
            <w:vAlign w:val="center"/>
          </w:tcPr>
          <w:p w14:paraId="1487DE87">
            <w:pPr>
              <w:jc w:val="center"/>
              <w:rPr>
                <w:rFonts w:ascii="仿宋_GB2312" w:hAnsi="黑体" w:eastAsia="仿宋_GB2312" w:cs="黑体"/>
                <w:color w:val="000000" w:themeColor="text1"/>
                <w:sz w:val="18"/>
                <w:szCs w:val="18"/>
              </w:rPr>
            </w:pPr>
          </w:p>
        </w:tc>
        <w:tc>
          <w:tcPr>
            <w:tcW w:w="1504" w:type="dxa"/>
            <w:vAlign w:val="center"/>
          </w:tcPr>
          <w:p w14:paraId="2DB969A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26CD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463" w:type="dxa"/>
            <w:vMerge w:val="continue"/>
            <w:vAlign w:val="center"/>
          </w:tcPr>
          <w:p w14:paraId="57D05261">
            <w:pPr>
              <w:rPr>
                <w:color w:val="000000" w:themeColor="text1"/>
              </w:rPr>
            </w:pPr>
          </w:p>
        </w:tc>
        <w:tc>
          <w:tcPr>
            <w:tcW w:w="979" w:type="dxa"/>
            <w:vAlign w:val="center"/>
          </w:tcPr>
          <w:p w14:paraId="5D72F6D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413" w:type="dxa"/>
            <w:gridSpan w:val="4"/>
            <w:vAlign w:val="center"/>
          </w:tcPr>
          <w:p w14:paraId="6FBAB995">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充分听取当事人的意见，对当事人提出的事实、理由和证据，应当进行记录、复核，无正当理由的，执法部门实施加处罚款超过三十日当事人仍不履行的，制作送达《催告书》。</w:t>
            </w:r>
          </w:p>
        </w:tc>
        <w:tc>
          <w:tcPr>
            <w:tcW w:w="939" w:type="dxa"/>
            <w:gridSpan w:val="2"/>
            <w:vAlign w:val="center"/>
          </w:tcPr>
          <w:p w14:paraId="1E27438C">
            <w:pPr>
              <w:jc w:val="center"/>
              <w:rPr>
                <w:rFonts w:ascii="仿宋_GB2312" w:hAnsi="黑体" w:eastAsia="仿宋_GB2312" w:cs="黑体"/>
                <w:color w:val="000000" w:themeColor="text1"/>
                <w:sz w:val="18"/>
                <w:szCs w:val="18"/>
              </w:rPr>
            </w:pPr>
          </w:p>
        </w:tc>
        <w:tc>
          <w:tcPr>
            <w:tcW w:w="1504" w:type="dxa"/>
            <w:vAlign w:val="center"/>
          </w:tcPr>
          <w:p w14:paraId="79D21E9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3A0E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463" w:type="dxa"/>
            <w:vMerge w:val="continue"/>
            <w:vAlign w:val="center"/>
          </w:tcPr>
          <w:p w14:paraId="4F4CE088">
            <w:pPr>
              <w:rPr>
                <w:color w:val="000000" w:themeColor="text1"/>
              </w:rPr>
            </w:pPr>
          </w:p>
        </w:tc>
        <w:tc>
          <w:tcPr>
            <w:tcW w:w="979" w:type="dxa"/>
            <w:vAlign w:val="center"/>
          </w:tcPr>
          <w:p w14:paraId="2574842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413" w:type="dxa"/>
            <w:gridSpan w:val="4"/>
            <w:vAlign w:val="center"/>
          </w:tcPr>
          <w:p w14:paraId="4211D206">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按时限要求送达《催告书》。</w:t>
            </w:r>
          </w:p>
        </w:tc>
        <w:tc>
          <w:tcPr>
            <w:tcW w:w="939" w:type="dxa"/>
            <w:gridSpan w:val="2"/>
            <w:vAlign w:val="center"/>
          </w:tcPr>
          <w:p w14:paraId="0EB0CCD5">
            <w:pPr>
              <w:jc w:val="center"/>
              <w:rPr>
                <w:rFonts w:ascii="仿宋_GB2312" w:hAnsi="黑体" w:eastAsia="仿宋_GB2312" w:cs="黑体"/>
                <w:color w:val="000000" w:themeColor="text1"/>
                <w:sz w:val="18"/>
                <w:szCs w:val="18"/>
              </w:rPr>
            </w:pPr>
          </w:p>
        </w:tc>
        <w:tc>
          <w:tcPr>
            <w:tcW w:w="1504" w:type="dxa"/>
            <w:vAlign w:val="center"/>
          </w:tcPr>
          <w:p w14:paraId="2CBC437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75CE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463" w:type="dxa"/>
            <w:vMerge w:val="continue"/>
            <w:vAlign w:val="center"/>
          </w:tcPr>
          <w:p w14:paraId="07FBC955">
            <w:pPr>
              <w:rPr>
                <w:color w:val="000000" w:themeColor="text1"/>
              </w:rPr>
            </w:pPr>
          </w:p>
        </w:tc>
        <w:tc>
          <w:tcPr>
            <w:tcW w:w="979" w:type="dxa"/>
            <w:vAlign w:val="center"/>
          </w:tcPr>
          <w:p w14:paraId="57C0F60E">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413" w:type="dxa"/>
            <w:gridSpan w:val="4"/>
            <w:vAlign w:val="center"/>
          </w:tcPr>
          <w:p w14:paraId="36A3ECC7">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当事人在执法部门决定的期限内不履行义务的，制作送达《催告书》；经催告，当事人仍逾期仍不履行行政决定，申请人民法院强制执行。</w:t>
            </w:r>
          </w:p>
          <w:p w14:paraId="56870507">
            <w:pPr>
              <w:jc w:val="center"/>
              <w:rPr>
                <w:rFonts w:ascii="仿宋_GB2312" w:hAnsi="黑体" w:eastAsia="仿宋_GB2312" w:cs="黑体"/>
                <w:color w:val="000000" w:themeColor="text1"/>
                <w:sz w:val="18"/>
                <w:szCs w:val="18"/>
              </w:rPr>
            </w:pPr>
          </w:p>
        </w:tc>
        <w:tc>
          <w:tcPr>
            <w:tcW w:w="939" w:type="dxa"/>
            <w:gridSpan w:val="2"/>
            <w:vAlign w:val="center"/>
          </w:tcPr>
          <w:p w14:paraId="533672F0">
            <w:pPr>
              <w:jc w:val="center"/>
              <w:rPr>
                <w:rFonts w:ascii="仿宋_GB2312" w:hAnsi="黑体" w:eastAsia="仿宋_GB2312" w:cs="黑体"/>
                <w:color w:val="000000" w:themeColor="text1"/>
                <w:sz w:val="18"/>
                <w:szCs w:val="18"/>
              </w:rPr>
            </w:pPr>
          </w:p>
        </w:tc>
        <w:tc>
          <w:tcPr>
            <w:tcW w:w="1504" w:type="dxa"/>
            <w:vAlign w:val="center"/>
          </w:tcPr>
          <w:p w14:paraId="62529A9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009A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06D214D5">
            <w:pPr>
              <w:widowControl/>
              <w:spacing w:line="22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0BCCE28A">
            <w:pPr>
              <w:widowControl/>
              <w:spacing w:line="22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17D0FE54">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13133B35">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5A6FDC59">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3374AB08">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43FD8892">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1BC26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349384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14B1FD6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3A1C4EA7">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74C29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5F9030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41DCEE0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2D82CC39">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6BA7A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463" w:type="dxa"/>
            <w:vAlign w:val="center"/>
          </w:tcPr>
          <w:p w14:paraId="7B8660F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192BA46F">
            <w:pPr>
              <w:widowControl/>
              <w:jc w:val="left"/>
              <w:textAlignment w:val="center"/>
              <w:rPr>
                <w:rFonts w:ascii="黑体" w:eastAsia="黑体" w:cs="黑体"/>
                <w:color w:val="000000" w:themeColor="text1"/>
                <w:kern w:val="0"/>
                <w:sz w:val="18"/>
                <w:szCs w:val="18"/>
              </w:rPr>
            </w:pPr>
          </w:p>
        </w:tc>
      </w:tr>
    </w:tbl>
    <w:p w14:paraId="63D7E1B6">
      <w:pPr>
        <w:widowControl/>
        <w:jc w:val="center"/>
        <w:textAlignment w:val="center"/>
        <w:rPr>
          <w:rFonts w:ascii="方正小标宋简体" w:eastAsia="方正小标宋简体" w:cs="方正小标宋简体"/>
          <w:color w:val="000000" w:themeColor="text1"/>
          <w:kern w:val="0"/>
          <w:sz w:val="44"/>
          <w:szCs w:val="44"/>
        </w:rPr>
      </w:pPr>
    </w:p>
    <w:p w14:paraId="083347B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228"/>
        <w:gridCol w:w="1023"/>
        <w:gridCol w:w="903"/>
        <w:gridCol w:w="1691"/>
        <w:gridCol w:w="1963"/>
        <w:gridCol w:w="992"/>
        <w:gridCol w:w="567"/>
        <w:gridCol w:w="427"/>
        <w:gridCol w:w="1504"/>
      </w:tblGrid>
      <w:tr w14:paraId="5D495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228" w:type="dxa"/>
            <w:vAlign w:val="center"/>
          </w:tcPr>
          <w:p w14:paraId="64BE755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926" w:type="dxa"/>
            <w:gridSpan w:val="2"/>
            <w:vAlign w:val="center"/>
          </w:tcPr>
          <w:p w14:paraId="2360CC31">
            <w:pPr>
              <w:jc w:val="center"/>
              <w:rPr>
                <w:rFonts w:ascii="黑体" w:eastAsia="黑体" w:cs="黑体"/>
                <w:b/>
                <w:bCs/>
                <w:color w:val="000000" w:themeColor="text1"/>
                <w:szCs w:val="21"/>
              </w:rPr>
            </w:pPr>
            <w:r>
              <w:rPr>
                <w:rFonts w:ascii="黑体" w:eastAsia="黑体" w:cs="黑体"/>
                <w:b/>
                <w:bCs/>
                <w:color w:val="000000" w:themeColor="text1"/>
                <w:szCs w:val="21"/>
              </w:rPr>
              <w:t>208</w:t>
            </w:r>
          </w:p>
        </w:tc>
        <w:tc>
          <w:tcPr>
            <w:tcW w:w="1691" w:type="dxa"/>
            <w:vAlign w:val="center"/>
          </w:tcPr>
          <w:p w14:paraId="5AC31EA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5A23F62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214473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EBB2E4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E884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7" w:hRule="atLeast"/>
          <w:jc w:val="center"/>
        </w:trPr>
        <w:tc>
          <w:tcPr>
            <w:tcW w:w="1228" w:type="dxa"/>
            <w:vAlign w:val="center"/>
          </w:tcPr>
          <w:p w14:paraId="4FD25F6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070" w:type="dxa"/>
            <w:gridSpan w:val="8"/>
            <w:vAlign w:val="center"/>
          </w:tcPr>
          <w:p w14:paraId="14EB2CC8">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sz w:val="18"/>
                <w:szCs w:val="18"/>
              </w:rPr>
              <w:t>对车辆超载运输行为的行政强制</w:t>
            </w:r>
          </w:p>
        </w:tc>
      </w:tr>
      <w:tr w14:paraId="6927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228" w:type="dxa"/>
            <w:vAlign w:val="center"/>
          </w:tcPr>
          <w:p w14:paraId="1C87F36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070" w:type="dxa"/>
            <w:gridSpan w:val="8"/>
            <w:vAlign w:val="center"/>
          </w:tcPr>
          <w:p w14:paraId="5F6BA428">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5FFE5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228" w:type="dxa"/>
            <w:vAlign w:val="center"/>
          </w:tcPr>
          <w:p w14:paraId="143C3E6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070" w:type="dxa"/>
            <w:gridSpan w:val="8"/>
            <w:vAlign w:val="center"/>
          </w:tcPr>
          <w:p w14:paraId="7B5E598F">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【法律法规】《中华人民共和国道路运输条例》（</w:t>
            </w:r>
            <w:r>
              <w:rPr>
                <w:rFonts w:ascii="仿宋_GB2312" w:hAnsi="黑体" w:eastAsia="仿宋_GB2312" w:cs="黑体"/>
                <w:color w:val="000000" w:themeColor="text1"/>
                <w:sz w:val="18"/>
                <w:szCs w:val="18"/>
              </w:rPr>
              <w:t>2023</w:t>
            </w:r>
            <w:r>
              <w:rPr>
                <w:rFonts w:hint="eastAsia" w:ascii="仿宋_GB2312" w:hAnsi="黑体" w:eastAsia="仿宋_GB2312" w:cs="黑体"/>
                <w:color w:val="000000" w:themeColor="text1"/>
                <w:sz w:val="18"/>
                <w:szCs w:val="18"/>
              </w:rPr>
              <w:t>年</w:t>
            </w:r>
            <w:r>
              <w:rPr>
                <w:rFonts w:ascii="仿宋_GB2312" w:hAnsi="黑体" w:eastAsia="仿宋_GB2312" w:cs="黑体"/>
                <w:color w:val="000000" w:themeColor="text1"/>
                <w:sz w:val="18"/>
                <w:szCs w:val="18"/>
              </w:rPr>
              <w:t>7</w:t>
            </w:r>
            <w:r>
              <w:rPr>
                <w:rFonts w:hint="eastAsia" w:ascii="仿宋_GB2312" w:hAnsi="黑体" w:eastAsia="仿宋_GB2312" w:cs="黑体"/>
                <w:color w:val="000000" w:themeColor="text1"/>
                <w:sz w:val="18"/>
                <w:szCs w:val="18"/>
              </w:rPr>
              <w:t>月</w:t>
            </w:r>
            <w:r>
              <w:rPr>
                <w:rFonts w:ascii="仿宋_GB2312" w:hAnsi="黑体" w:eastAsia="仿宋_GB2312" w:cs="黑体"/>
                <w:color w:val="000000" w:themeColor="text1"/>
                <w:sz w:val="18"/>
                <w:szCs w:val="18"/>
              </w:rPr>
              <w:t>20</w:t>
            </w:r>
            <w:r>
              <w:rPr>
                <w:rFonts w:hint="eastAsia" w:ascii="仿宋_GB2312" w:hAnsi="黑体" w:eastAsia="仿宋_GB2312" w:cs="黑体"/>
                <w:color w:val="000000" w:themeColor="text1"/>
                <w:sz w:val="18"/>
                <w:szCs w:val="18"/>
              </w:rPr>
              <w:t>日中华人民共和国国务院令第</w:t>
            </w:r>
            <w:r>
              <w:rPr>
                <w:rFonts w:ascii="仿宋_GB2312" w:hAnsi="黑体" w:eastAsia="仿宋_GB2312" w:cs="黑体"/>
                <w:color w:val="000000" w:themeColor="text1"/>
                <w:sz w:val="18"/>
                <w:szCs w:val="18"/>
              </w:rPr>
              <w:t>764</w:t>
            </w:r>
            <w:r>
              <w:rPr>
                <w:rFonts w:hint="eastAsia" w:ascii="仿宋_GB2312" w:hAnsi="黑体" w:eastAsia="仿宋_GB2312" w:cs="黑体"/>
                <w:color w:val="000000" w:themeColor="text1"/>
                <w:sz w:val="18"/>
                <w:szCs w:val="18"/>
              </w:rPr>
              <w:t>号</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）第六十一条：县级以上人民政府交通运输主管部门的工作人员在实施道路运输监督检查过程中，发现车辆超载行为的，应当立即予以制止，并采取相应措施安排旅客改乘或者强制卸货。</w:t>
            </w:r>
          </w:p>
          <w:p w14:paraId="69B6A493">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AF42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228" w:type="dxa"/>
            <w:vMerge w:val="restart"/>
            <w:vAlign w:val="center"/>
          </w:tcPr>
          <w:p w14:paraId="34563C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23" w:type="dxa"/>
            <w:vAlign w:val="center"/>
          </w:tcPr>
          <w:p w14:paraId="47A7D2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549" w:type="dxa"/>
            <w:gridSpan w:val="4"/>
            <w:vAlign w:val="center"/>
          </w:tcPr>
          <w:p w14:paraId="434637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4" w:type="dxa"/>
            <w:gridSpan w:val="2"/>
            <w:vAlign w:val="center"/>
          </w:tcPr>
          <w:p w14:paraId="3BD4955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159E882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B853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228" w:type="dxa"/>
            <w:vMerge w:val="continue"/>
            <w:vAlign w:val="center"/>
          </w:tcPr>
          <w:p w14:paraId="3ECF965B">
            <w:pPr>
              <w:rPr>
                <w:color w:val="000000" w:themeColor="text1"/>
              </w:rPr>
            </w:pPr>
          </w:p>
        </w:tc>
        <w:tc>
          <w:tcPr>
            <w:tcW w:w="1023" w:type="dxa"/>
            <w:vAlign w:val="center"/>
          </w:tcPr>
          <w:p w14:paraId="49F4B3C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549" w:type="dxa"/>
            <w:gridSpan w:val="4"/>
            <w:vAlign w:val="center"/>
          </w:tcPr>
          <w:p w14:paraId="76A04325">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当事人未在规定期限内缴纳罚款的，执法部门依法加处罚款的，应当将加处罚款的标准告知当事人。</w:t>
            </w:r>
            <w:r>
              <w:rPr>
                <w:rFonts w:ascii="仿宋" w:hAnsi="仿宋" w:eastAsia="仿宋" w:cs="仿宋_GB2312"/>
                <w:color w:val="000000" w:themeColor="text1"/>
                <w:kern w:val="0"/>
                <w:sz w:val="18"/>
                <w:szCs w:val="18"/>
              </w:rPr>
              <w:br w:type="textWrapping"/>
            </w:r>
          </w:p>
        </w:tc>
        <w:tc>
          <w:tcPr>
            <w:tcW w:w="994" w:type="dxa"/>
            <w:gridSpan w:val="2"/>
            <w:vAlign w:val="center"/>
          </w:tcPr>
          <w:p w14:paraId="764739AC">
            <w:pPr>
              <w:jc w:val="center"/>
              <w:rPr>
                <w:rFonts w:ascii="仿宋_GB2312" w:hAnsi="黑体" w:eastAsia="仿宋_GB2312" w:cs="黑体"/>
                <w:color w:val="000000" w:themeColor="text1"/>
                <w:sz w:val="18"/>
                <w:szCs w:val="18"/>
              </w:rPr>
            </w:pPr>
          </w:p>
        </w:tc>
        <w:tc>
          <w:tcPr>
            <w:tcW w:w="1504" w:type="dxa"/>
            <w:vAlign w:val="center"/>
          </w:tcPr>
          <w:p w14:paraId="4C6BE86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48A1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228" w:type="dxa"/>
            <w:vMerge w:val="continue"/>
            <w:vAlign w:val="center"/>
          </w:tcPr>
          <w:p w14:paraId="467A70EE">
            <w:pPr>
              <w:rPr>
                <w:color w:val="000000" w:themeColor="text1"/>
              </w:rPr>
            </w:pPr>
          </w:p>
        </w:tc>
        <w:tc>
          <w:tcPr>
            <w:tcW w:w="1023" w:type="dxa"/>
            <w:vAlign w:val="center"/>
          </w:tcPr>
          <w:p w14:paraId="7CD5B44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549" w:type="dxa"/>
            <w:gridSpan w:val="4"/>
            <w:vAlign w:val="center"/>
          </w:tcPr>
          <w:p w14:paraId="1385E2A7">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w:t>
            </w:r>
          </w:p>
        </w:tc>
        <w:tc>
          <w:tcPr>
            <w:tcW w:w="994" w:type="dxa"/>
            <w:gridSpan w:val="2"/>
            <w:vAlign w:val="center"/>
          </w:tcPr>
          <w:p w14:paraId="63E4E283">
            <w:pPr>
              <w:jc w:val="center"/>
              <w:rPr>
                <w:rFonts w:ascii="仿宋_GB2312" w:hAnsi="黑体" w:eastAsia="仿宋_GB2312" w:cs="黑体"/>
                <w:color w:val="000000" w:themeColor="text1"/>
                <w:sz w:val="18"/>
                <w:szCs w:val="18"/>
              </w:rPr>
            </w:pPr>
          </w:p>
        </w:tc>
        <w:tc>
          <w:tcPr>
            <w:tcW w:w="1504" w:type="dxa"/>
            <w:vAlign w:val="center"/>
          </w:tcPr>
          <w:p w14:paraId="78D59449">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4C3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228" w:type="dxa"/>
            <w:vMerge w:val="continue"/>
            <w:vAlign w:val="center"/>
          </w:tcPr>
          <w:p w14:paraId="0BEEE3FF">
            <w:pPr>
              <w:rPr>
                <w:color w:val="000000" w:themeColor="text1"/>
              </w:rPr>
            </w:pPr>
          </w:p>
        </w:tc>
        <w:tc>
          <w:tcPr>
            <w:tcW w:w="1023" w:type="dxa"/>
            <w:vAlign w:val="center"/>
          </w:tcPr>
          <w:p w14:paraId="6C6BAAC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549" w:type="dxa"/>
            <w:gridSpan w:val="4"/>
            <w:vAlign w:val="center"/>
          </w:tcPr>
          <w:p w14:paraId="712179AA">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充分听取当事人的意见，对当事人提出的事实、理由和证据，应当进行记录、复核，无正当理由的，执法部门实施加处罚款超过三十日当事人仍不履行的，制作送达《催告书》。</w:t>
            </w:r>
          </w:p>
        </w:tc>
        <w:tc>
          <w:tcPr>
            <w:tcW w:w="994" w:type="dxa"/>
            <w:gridSpan w:val="2"/>
            <w:vAlign w:val="center"/>
          </w:tcPr>
          <w:p w14:paraId="137CDC9E">
            <w:pPr>
              <w:jc w:val="center"/>
              <w:rPr>
                <w:rFonts w:ascii="仿宋_GB2312" w:hAnsi="黑体" w:eastAsia="仿宋_GB2312" w:cs="黑体"/>
                <w:color w:val="000000" w:themeColor="text1"/>
                <w:sz w:val="18"/>
                <w:szCs w:val="18"/>
              </w:rPr>
            </w:pPr>
          </w:p>
        </w:tc>
        <w:tc>
          <w:tcPr>
            <w:tcW w:w="1504" w:type="dxa"/>
            <w:vAlign w:val="center"/>
          </w:tcPr>
          <w:p w14:paraId="6477C007">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382E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228" w:type="dxa"/>
            <w:vMerge w:val="continue"/>
            <w:vAlign w:val="center"/>
          </w:tcPr>
          <w:p w14:paraId="6330D086">
            <w:pPr>
              <w:rPr>
                <w:color w:val="000000" w:themeColor="text1"/>
              </w:rPr>
            </w:pPr>
          </w:p>
        </w:tc>
        <w:tc>
          <w:tcPr>
            <w:tcW w:w="1023" w:type="dxa"/>
            <w:vAlign w:val="center"/>
          </w:tcPr>
          <w:p w14:paraId="479DB40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549" w:type="dxa"/>
            <w:gridSpan w:val="4"/>
            <w:vAlign w:val="center"/>
          </w:tcPr>
          <w:p w14:paraId="7673ED81">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按时限要求送达《催告书》。</w:t>
            </w:r>
          </w:p>
        </w:tc>
        <w:tc>
          <w:tcPr>
            <w:tcW w:w="994" w:type="dxa"/>
            <w:gridSpan w:val="2"/>
            <w:vAlign w:val="center"/>
          </w:tcPr>
          <w:p w14:paraId="7551C9F9">
            <w:pPr>
              <w:jc w:val="center"/>
              <w:rPr>
                <w:rFonts w:ascii="仿宋_GB2312" w:hAnsi="黑体" w:eastAsia="仿宋_GB2312" w:cs="黑体"/>
                <w:color w:val="000000" w:themeColor="text1"/>
                <w:sz w:val="18"/>
                <w:szCs w:val="18"/>
              </w:rPr>
            </w:pPr>
          </w:p>
        </w:tc>
        <w:tc>
          <w:tcPr>
            <w:tcW w:w="1504" w:type="dxa"/>
            <w:vAlign w:val="center"/>
          </w:tcPr>
          <w:p w14:paraId="347AD0EF">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6B09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228" w:type="dxa"/>
            <w:vMerge w:val="continue"/>
            <w:vAlign w:val="center"/>
          </w:tcPr>
          <w:p w14:paraId="2ADADE64">
            <w:pPr>
              <w:rPr>
                <w:color w:val="000000" w:themeColor="text1"/>
              </w:rPr>
            </w:pPr>
          </w:p>
        </w:tc>
        <w:tc>
          <w:tcPr>
            <w:tcW w:w="1023" w:type="dxa"/>
            <w:vAlign w:val="center"/>
          </w:tcPr>
          <w:p w14:paraId="088593D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549" w:type="dxa"/>
            <w:gridSpan w:val="4"/>
            <w:vAlign w:val="center"/>
          </w:tcPr>
          <w:p w14:paraId="2E299CE7">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当事人在执法部门决定的期限内不履行义务的，制作送达《催告书》；经催告，当事人仍逾期仍不履行行政决定，申请人民法院强制执行。</w:t>
            </w:r>
          </w:p>
          <w:p w14:paraId="4F6DD7AB">
            <w:pPr>
              <w:jc w:val="center"/>
              <w:rPr>
                <w:rFonts w:ascii="仿宋_GB2312" w:hAnsi="黑体" w:eastAsia="仿宋_GB2312" w:cs="黑体"/>
                <w:color w:val="000000" w:themeColor="text1"/>
                <w:sz w:val="18"/>
                <w:szCs w:val="18"/>
              </w:rPr>
            </w:pPr>
          </w:p>
        </w:tc>
        <w:tc>
          <w:tcPr>
            <w:tcW w:w="994" w:type="dxa"/>
            <w:gridSpan w:val="2"/>
            <w:vAlign w:val="center"/>
          </w:tcPr>
          <w:p w14:paraId="340EAF5E">
            <w:pPr>
              <w:jc w:val="center"/>
              <w:rPr>
                <w:rFonts w:ascii="仿宋_GB2312" w:hAnsi="黑体" w:eastAsia="仿宋_GB2312" w:cs="黑体"/>
                <w:color w:val="000000" w:themeColor="text1"/>
                <w:sz w:val="18"/>
                <w:szCs w:val="18"/>
              </w:rPr>
            </w:pPr>
          </w:p>
        </w:tc>
        <w:tc>
          <w:tcPr>
            <w:tcW w:w="1504" w:type="dxa"/>
            <w:vAlign w:val="center"/>
          </w:tcPr>
          <w:p w14:paraId="32C7493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4E1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228" w:type="dxa"/>
            <w:vAlign w:val="center"/>
          </w:tcPr>
          <w:p w14:paraId="102DFC6C">
            <w:pPr>
              <w:widowControl/>
              <w:spacing w:line="22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070" w:type="dxa"/>
            <w:gridSpan w:val="8"/>
            <w:vAlign w:val="center"/>
          </w:tcPr>
          <w:p w14:paraId="293D2DE7">
            <w:pPr>
              <w:widowControl/>
              <w:spacing w:line="22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31180D45">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47BDDD58">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3F6CCA64">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608A3F9F">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6BD40A9E">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13BF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228" w:type="dxa"/>
            <w:vAlign w:val="center"/>
          </w:tcPr>
          <w:p w14:paraId="7FA682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070" w:type="dxa"/>
            <w:gridSpan w:val="8"/>
            <w:vAlign w:val="center"/>
          </w:tcPr>
          <w:p w14:paraId="1AE3DDEA">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137BE8DF">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336F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228" w:type="dxa"/>
            <w:vAlign w:val="center"/>
          </w:tcPr>
          <w:p w14:paraId="0CF10C7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070" w:type="dxa"/>
            <w:gridSpan w:val="8"/>
            <w:vAlign w:val="center"/>
          </w:tcPr>
          <w:p w14:paraId="1F8AA98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732E18B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596AC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228" w:type="dxa"/>
            <w:vAlign w:val="center"/>
          </w:tcPr>
          <w:p w14:paraId="7EC5EC6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070" w:type="dxa"/>
            <w:gridSpan w:val="8"/>
            <w:vAlign w:val="center"/>
          </w:tcPr>
          <w:p w14:paraId="175B803A">
            <w:pPr>
              <w:widowControl/>
              <w:jc w:val="left"/>
              <w:textAlignment w:val="center"/>
              <w:rPr>
                <w:rFonts w:ascii="黑体" w:eastAsia="黑体" w:cs="黑体"/>
                <w:color w:val="000000" w:themeColor="text1"/>
                <w:kern w:val="0"/>
                <w:sz w:val="18"/>
                <w:szCs w:val="18"/>
              </w:rPr>
            </w:pPr>
          </w:p>
        </w:tc>
      </w:tr>
    </w:tbl>
    <w:p w14:paraId="17877819">
      <w:pPr>
        <w:widowControl/>
        <w:jc w:val="center"/>
        <w:textAlignment w:val="center"/>
        <w:rPr>
          <w:rFonts w:ascii="方正小标宋简体" w:eastAsia="方正小标宋简体" w:cs="方正小标宋简体"/>
          <w:color w:val="000000" w:themeColor="text1"/>
          <w:kern w:val="0"/>
          <w:sz w:val="44"/>
          <w:szCs w:val="44"/>
        </w:rPr>
      </w:pPr>
    </w:p>
    <w:p w14:paraId="6F7E0BCC">
      <w:pPr>
        <w:widowControl/>
        <w:jc w:val="center"/>
        <w:textAlignment w:val="center"/>
        <w:rPr>
          <w:rFonts w:hint="eastAsia" w:ascii="方正小标宋简体" w:eastAsia="方正小标宋简体" w:cs="方正小标宋简体"/>
          <w:color w:val="000000" w:themeColor="text1"/>
          <w:kern w:val="0"/>
          <w:sz w:val="44"/>
          <w:szCs w:val="44"/>
        </w:rPr>
      </w:pPr>
    </w:p>
    <w:p w14:paraId="4475DB9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269"/>
        <w:gridCol w:w="914"/>
        <w:gridCol w:w="971"/>
        <w:gridCol w:w="1691"/>
        <w:gridCol w:w="1963"/>
        <w:gridCol w:w="1075"/>
        <w:gridCol w:w="484"/>
        <w:gridCol w:w="427"/>
        <w:gridCol w:w="1504"/>
      </w:tblGrid>
      <w:tr w14:paraId="405BA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269" w:type="dxa"/>
            <w:vAlign w:val="center"/>
          </w:tcPr>
          <w:p w14:paraId="73BB9D3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85" w:type="dxa"/>
            <w:gridSpan w:val="2"/>
            <w:vAlign w:val="center"/>
          </w:tcPr>
          <w:p w14:paraId="414FA7D3">
            <w:pPr>
              <w:jc w:val="center"/>
              <w:rPr>
                <w:rFonts w:ascii="黑体" w:eastAsia="黑体" w:cs="黑体"/>
                <w:b/>
                <w:bCs/>
                <w:color w:val="000000" w:themeColor="text1"/>
                <w:szCs w:val="21"/>
              </w:rPr>
            </w:pPr>
            <w:r>
              <w:rPr>
                <w:rFonts w:ascii="黑体" w:eastAsia="黑体" w:cs="黑体"/>
                <w:b/>
                <w:bCs/>
                <w:color w:val="000000" w:themeColor="text1"/>
                <w:szCs w:val="21"/>
              </w:rPr>
              <w:t>209</w:t>
            </w:r>
          </w:p>
        </w:tc>
        <w:tc>
          <w:tcPr>
            <w:tcW w:w="1691" w:type="dxa"/>
            <w:vAlign w:val="center"/>
          </w:tcPr>
          <w:p w14:paraId="02C3883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21F2C87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5D0A7E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425A6C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DF9E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269" w:type="dxa"/>
            <w:vAlign w:val="center"/>
          </w:tcPr>
          <w:p w14:paraId="5C44FE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029" w:type="dxa"/>
            <w:gridSpan w:val="8"/>
            <w:vAlign w:val="center"/>
          </w:tcPr>
          <w:p w14:paraId="616287EF">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sz w:val="18"/>
                <w:szCs w:val="18"/>
              </w:rPr>
              <w:t>对交通运输领域安全生产检查中对有根据认为不符合保障安全生产的国家标准或者行业标准的设施、设备、器材以及违法生产、储存、使用、经营、运输的危险物品的行政强制</w:t>
            </w:r>
          </w:p>
        </w:tc>
      </w:tr>
      <w:tr w14:paraId="58C09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269" w:type="dxa"/>
            <w:vAlign w:val="center"/>
          </w:tcPr>
          <w:p w14:paraId="3B9944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9029" w:type="dxa"/>
            <w:gridSpan w:val="8"/>
            <w:vAlign w:val="center"/>
          </w:tcPr>
          <w:p w14:paraId="03983787">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7C8BF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269" w:type="dxa"/>
            <w:vAlign w:val="center"/>
          </w:tcPr>
          <w:p w14:paraId="5B325E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029" w:type="dxa"/>
            <w:gridSpan w:val="8"/>
            <w:vAlign w:val="center"/>
          </w:tcPr>
          <w:p w14:paraId="17800BEF">
            <w:pPr>
              <w:widowControl/>
              <w:spacing w:line="240" w:lineRule="exact"/>
              <w:jc w:val="left"/>
              <w:textAlignment w:val="center"/>
              <w:rPr>
                <w:rFonts w:ascii="仿宋" w:hAnsi="仿宋" w:eastAsia="仿宋" w:cs="仿宋"/>
                <w:color w:val="000000" w:themeColor="text1"/>
                <w:kern w:val="0"/>
                <w:sz w:val="18"/>
                <w:szCs w:val="18"/>
              </w:rPr>
            </w:pPr>
            <w:r>
              <w:rPr>
                <w:rFonts w:hint="eastAsia" w:ascii="仿宋_GB2312" w:hAnsi="黑体" w:eastAsia="仿宋_GB2312" w:cs="黑体"/>
                <w:color w:val="000000" w:themeColor="text1"/>
                <w:sz w:val="18"/>
                <w:szCs w:val="18"/>
              </w:rPr>
              <w:t>【法律法规】</w:t>
            </w:r>
            <w:r>
              <w:rPr>
                <w:rFonts w:hint="eastAsia" w:ascii="仿宋" w:hAnsi="仿宋" w:eastAsia="仿宋" w:cs="仿宋"/>
                <w:color w:val="000000" w:themeColor="text1"/>
                <w:kern w:val="0"/>
                <w:sz w:val="18"/>
                <w:szCs w:val="18"/>
              </w:rPr>
              <w:t>《中华人民共和国安全生产法》第六十五条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仿宋" w:hAnsi="仿宋" w:eastAsia="仿宋" w:cs="仿宋"/>
                <w:color w:val="000000" w:themeColor="text1"/>
                <w:kern w:val="0"/>
                <w:sz w:val="18"/>
                <w:szCs w:val="18"/>
              </w:rPr>
              <w:t>:</w:t>
            </w:r>
            <w:r>
              <w:rPr>
                <w:rFonts w:hint="eastAsia" w:ascii="仿宋" w:hAnsi="仿宋" w:eastAsia="仿宋" w:cs="仿宋"/>
                <w:color w:val="000000" w:themeColor="text1"/>
                <w:kern w:val="0"/>
                <w:sz w:val="18"/>
                <w:szCs w:val="18"/>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1BBF8AF9">
            <w:pPr>
              <w:widowControl/>
              <w:spacing w:line="240" w:lineRule="exact"/>
              <w:jc w:val="left"/>
              <w:textAlignment w:val="center"/>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2DC7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269" w:type="dxa"/>
            <w:vMerge w:val="restart"/>
            <w:vAlign w:val="center"/>
          </w:tcPr>
          <w:p w14:paraId="16EC39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914" w:type="dxa"/>
            <w:vAlign w:val="center"/>
          </w:tcPr>
          <w:p w14:paraId="68A742D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700" w:type="dxa"/>
            <w:gridSpan w:val="4"/>
            <w:vAlign w:val="center"/>
          </w:tcPr>
          <w:p w14:paraId="34673F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11" w:type="dxa"/>
            <w:gridSpan w:val="2"/>
            <w:vAlign w:val="center"/>
          </w:tcPr>
          <w:p w14:paraId="3C8B0C8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1792005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51F0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269" w:type="dxa"/>
            <w:vMerge w:val="continue"/>
            <w:vAlign w:val="center"/>
          </w:tcPr>
          <w:p w14:paraId="3E1D35A3">
            <w:pPr>
              <w:rPr>
                <w:color w:val="000000" w:themeColor="text1"/>
              </w:rPr>
            </w:pPr>
          </w:p>
        </w:tc>
        <w:tc>
          <w:tcPr>
            <w:tcW w:w="914" w:type="dxa"/>
            <w:vAlign w:val="center"/>
          </w:tcPr>
          <w:p w14:paraId="53FD763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700" w:type="dxa"/>
            <w:gridSpan w:val="4"/>
            <w:vAlign w:val="center"/>
          </w:tcPr>
          <w:p w14:paraId="46D24741">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当事人未在规定期限内缴纳罚款的，执法部门依法加处罚款的，应当将加处罚款的标准告知当事人。</w:t>
            </w:r>
            <w:r>
              <w:rPr>
                <w:rFonts w:ascii="仿宋" w:hAnsi="仿宋" w:eastAsia="仿宋" w:cs="仿宋_GB2312"/>
                <w:color w:val="000000" w:themeColor="text1"/>
                <w:kern w:val="0"/>
                <w:sz w:val="18"/>
                <w:szCs w:val="18"/>
              </w:rPr>
              <w:br w:type="textWrapping"/>
            </w:r>
          </w:p>
        </w:tc>
        <w:tc>
          <w:tcPr>
            <w:tcW w:w="911" w:type="dxa"/>
            <w:gridSpan w:val="2"/>
            <w:vAlign w:val="center"/>
          </w:tcPr>
          <w:p w14:paraId="163B1018">
            <w:pPr>
              <w:jc w:val="center"/>
              <w:rPr>
                <w:rFonts w:ascii="仿宋_GB2312" w:hAnsi="黑体" w:eastAsia="仿宋_GB2312" w:cs="黑体"/>
                <w:color w:val="000000" w:themeColor="text1"/>
                <w:sz w:val="18"/>
                <w:szCs w:val="18"/>
              </w:rPr>
            </w:pPr>
          </w:p>
        </w:tc>
        <w:tc>
          <w:tcPr>
            <w:tcW w:w="1504" w:type="dxa"/>
            <w:vAlign w:val="center"/>
          </w:tcPr>
          <w:p w14:paraId="68864C3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4C4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269" w:type="dxa"/>
            <w:vMerge w:val="continue"/>
            <w:vAlign w:val="center"/>
          </w:tcPr>
          <w:p w14:paraId="70CCA98D">
            <w:pPr>
              <w:rPr>
                <w:color w:val="000000" w:themeColor="text1"/>
              </w:rPr>
            </w:pPr>
          </w:p>
        </w:tc>
        <w:tc>
          <w:tcPr>
            <w:tcW w:w="914" w:type="dxa"/>
            <w:vAlign w:val="center"/>
          </w:tcPr>
          <w:p w14:paraId="6F286B83">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700" w:type="dxa"/>
            <w:gridSpan w:val="4"/>
            <w:vAlign w:val="center"/>
          </w:tcPr>
          <w:p w14:paraId="339086AD">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w:t>
            </w:r>
          </w:p>
        </w:tc>
        <w:tc>
          <w:tcPr>
            <w:tcW w:w="911" w:type="dxa"/>
            <w:gridSpan w:val="2"/>
            <w:vAlign w:val="center"/>
          </w:tcPr>
          <w:p w14:paraId="0CA08689">
            <w:pPr>
              <w:jc w:val="center"/>
              <w:rPr>
                <w:rFonts w:ascii="仿宋_GB2312" w:hAnsi="黑体" w:eastAsia="仿宋_GB2312" w:cs="黑体"/>
                <w:color w:val="000000" w:themeColor="text1"/>
                <w:sz w:val="18"/>
                <w:szCs w:val="18"/>
              </w:rPr>
            </w:pPr>
          </w:p>
        </w:tc>
        <w:tc>
          <w:tcPr>
            <w:tcW w:w="1504" w:type="dxa"/>
            <w:vAlign w:val="center"/>
          </w:tcPr>
          <w:p w14:paraId="124F01F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9399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269" w:type="dxa"/>
            <w:vMerge w:val="continue"/>
            <w:vAlign w:val="center"/>
          </w:tcPr>
          <w:p w14:paraId="2A07358C">
            <w:pPr>
              <w:rPr>
                <w:color w:val="000000" w:themeColor="text1"/>
              </w:rPr>
            </w:pPr>
          </w:p>
        </w:tc>
        <w:tc>
          <w:tcPr>
            <w:tcW w:w="914" w:type="dxa"/>
            <w:vAlign w:val="center"/>
          </w:tcPr>
          <w:p w14:paraId="703B1F1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700" w:type="dxa"/>
            <w:gridSpan w:val="4"/>
            <w:vAlign w:val="center"/>
          </w:tcPr>
          <w:p w14:paraId="18D8EEA0">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充分听取当事人的意见，对当事人提出的事实、理由和证据，应当进行记录、复核，无正当理由的，执法部门实施加处罚款超过三十日当事人仍不履行的，制作送达《催告书》。</w:t>
            </w:r>
          </w:p>
        </w:tc>
        <w:tc>
          <w:tcPr>
            <w:tcW w:w="911" w:type="dxa"/>
            <w:gridSpan w:val="2"/>
            <w:vAlign w:val="center"/>
          </w:tcPr>
          <w:p w14:paraId="24A5DA70">
            <w:pPr>
              <w:jc w:val="center"/>
              <w:rPr>
                <w:rFonts w:ascii="仿宋_GB2312" w:hAnsi="黑体" w:eastAsia="仿宋_GB2312" w:cs="黑体"/>
                <w:color w:val="000000" w:themeColor="text1"/>
                <w:sz w:val="18"/>
                <w:szCs w:val="18"/>
              </w:rPr>
            </w:pPr>
          </w:p>
        </w:tc>
        <w:tc>
          <w:tcPr>
            <w:tcW w:w="1504" w:type="dxa"/>
            <w:vAlign w:val="center"/>
          </w:tcPr>
          <w:p w14:paraId="76C943E5">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DF6B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269" w:type="dxa"/>
            <w:vMerge w:val="continue"/>
            <w:vAlign w:val="center"/>
          </w:tcPr>
          <w:p w14:paraId="22EFCA90">
            <w:pPr>
              <w:rPr>
                <w:color w:val="000000" w:themeColor="text1"/>
              </w:rPr>
            </w:pPr>
          </w:p>
        </w:tc>
        <w:tc>
          <w:tcPr>
            <w:tcW w:w="914" w:type="dxa"/>
            <w:vAlign w:val="center"/>
          </w:tcPr>
          <w:p w14:paraId="6EFEEF6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700" w:type="dxa"/>
            <w:gridSpan w:val="4"/>
            <w:vAlign w:val="center"/>
          </w:tcPr>
          <w:p w14:paraId="34CB4438">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kern w:val="0"/>
                <w:sz w:val="18"/>
                <w:szCs w:val="18"/>
              </w:rPr>
              <w:t>按时限要求送达《催告书》。</w:t>
            </w:r>
          </w:p>
        </w:tc>
        <w:tc>
          <w:tcPr>
            <w:tcW w:w="911" w:type="dxa"/>
            <w:gridSpan w:val="2"/>
            <w:vAlign w:val="center"/>
          </w:tcPr>
          <w:p w14:paraId="36097290">
            <w:pPr>
              <w:jc w:val="center"/>
              <w:rPr>
                <w:rFonts w:ascii="仿宋_GB2312" w:hAnsi="黑体" w:eastAsia="仿宋_GB2312" w:cs="黑体"/>
                <w:color w:val="000000" w:themeColor="text1"/>
                <w:sz w:val="18"/>
                <w:szCs w:val="18"/>
              </w:rPr>
            </w:pPr>
          </w:p>
        </w:tc>
        <w:tc>
          <w:tcPr>
            <w:tcW w:w="1504" w:type="dxa"/>
            <w:vAlign w:val="center"/>
          </w:tcPr>
          <w:p w14:paraId="420A8F1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5E5DE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27" w:hRule="atLeast"/>
          <w:jc w:val="center"/>
        </w:trPr>
        <w:tc>
          <w:tcPr>
            <w:tcW w:w="1269" w:type="dxa"/>
            <w:vMerge w:val="continue"/>
            <w:vAlign w:val="center"/>
          </w:tcPr>
          <w:p w14:paraId="2673D78B">
            <w:pPr>
              <w:rPr>
                <w:color w:val="000000" w:themeColor="text1"/>
              </w:rPr>
            </w:pPr>
          </w:p>
        </w:tc>
        <w:tc>
          <w:tcPr>
            <w:tcW w:w="914" w:type="dxa"/>
            <w:vAlign w:val="center"/>
          </w:tcPr>
          <w:p w14:paraId="296BF90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700" w:type="dxa"/>
            <w:gridSpan w:val="4"/>
            <w:vAlign w:val="center"/>
          </w:tcPr>
          <w:p w14:paraId="324BDA62">
            <w:pPr>
              <w:widowControl/>
              <w:spacing w:line="240" w:lineRule="exact"/>
              <w:jc w:val="left"/>
              <w:textAlignment w:val="cente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当事人在执法部门决定的期限内不履行义务的，制作送达《催告书》；经催告，当事人仍逾期仍不履行行政决定，申请人民法院强制执行。</w:t>
            </w:r>
          </w:p>
          <w:p w14:paraId="0DE94607">
            <w:pPr>
              <w:jc w:val="center"/>
              <w:rPr>
                <w:rFonts w:ascii="仿宋_GB2312" w:hAnsi="黑体" w:eastAsia="仿宋_GB2312" w:cs="黑体"/>
                <w:color w:val="000000" w:themeColor="text1"/>
                <w:sz w:val="18"/>
                <w:szCs w:val="18"/>
              </w:rPr>
            </w:pPr>
          </w:p>
        </w:tc>
        <w:tc>
          <w:tcPr>
            <w:tcW w:w="911" w:type="dxa"/>
            <w:gridSpan w:val="2"/>
            <w:vAlign w:val="center"/>
          </w:tcPr>
          <w:p w14:paraId="632BDC47">
            <w:pPr>
              <w:jc w:val="center"/>
              <w:rPr>
                <w:rFonts w:ascii="仿宋_GB2312" w:hAnsi="黑体" w:eastAsia="仿宋_GB2312" w:cs="黑体"/>
                <w:color w:val="000000" w:themeColor="text1"/>
                <w:sz w:val="18"/>
                <w:szCs w:val="18"/>
              </w:rPr>
            </w:pPr>
          </w:p>
        </w:tc>
        <w:tc>
          <w:tcPr>
            <w:tcW w:w="1504" w:type="dxa"/>
            <w:vAlign w:val="center"/>
          </w:tcPr>
          <w:p w14:paraId="50524DB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FC5D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269" w:type="dxa"/>
            <w:vAlign w:val="center"/>
          </w:tcPr>
          <w:p w14:paraId="12880845">
            <w:pPr>
              <w:widowControl/>
              <w:spacing w:line="22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029" w:type="dxa"/>
            <w:gridSpan w:val="8"/>
            <w:vAlign w:val="center"/>
          </w:tcPr>
          <w:p w14:paraId="5146EB7C">
            <w:pPr>
              <w:widowControl/>
              <w:spacing w:line="220" w:lineRule="exact"/>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570ABE02">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2EF9BE10">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0ED6D5F0">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38BCB2D1">
            <w:pPr>
              <w:widowControl/>
              <w:spacing w:line="220" w:lineRule="exact"/>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6D3A3F32">
            <w:pPr>
              <w:widowControl/>
              <w:spacing w:line="220" w:lineRule="exact"/>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r>
              <w:rPr>
                <w:rFonts w:hint="eastAsia" w:ascii="仿宋_GB2312" w:hAnsi="黑体" w:eastAsia="仿宋_GB2312" w:cs="黑体"/>
                <w:color w:val="000000" w:themeColor="text1"/>
                <w:sz w:val="18"/>
                <w:szCs w:val="18"/>
              </w:rPr>
              <w:t>规定的行为。</w:t>
            </w:r>
          </w:p>
        </w:tc>
      </w:tr>
      <w:tr w14:paraId="3EB4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269" w:type="dxa"/>
            <w:vAlign w:val="center"/>
          </w:tcPr>
          <w:p w14:paraId="7E3EB71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029" w:type="dxa"/>
            <w:gridSpan w:val="8"/>
            <w:vAlign w:val="center"/>
          </w:tcPr>
          <w:p w14:paraId="6E69B75F">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DBD2C18">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1E1B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269" w:type="dxa"/>
            <w:vAlign w:val="center"/>
          </w:tcPr>
          <w:p w14:paraId="660CDA2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029" w:type="dxa"/>
            <w:gridSpan w:val="8"/>
            <w:vAlign w:val="center"/>
          </w:tcPr>
          <w:p w14:paraId="6AE2A63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3505962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．不服强制决定应当自知道或者应当知道作出行政行为之日起六个月内提出向抚宁区人民法院提起行政诉讼。</w:t>
            </w:r>
          </w:p>
        </w:tc>
      </w:tr>
      <w:tr w14:paraId="35E8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269" w:type="dxa"/>
            <w:vAlign w:val="center"/>
          </w:tcPr>
          <w:p w14:paraId="6D008A7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029" w:type="dxa"/>
            <w:gridSpan w:val="8"/>
            <w:vAlign w:val="center"/>
          </w:tcPr>
          <w:p w14:paraId="3F48BA92">
            <w:pPr>
              <w:widowControl/>
              <w:jc w:val="left"/>
              <w:textAlignment w:val="center"/>
              <w:rPr>
                <w:rFonts w:ascii="黑体" w:eastAsia="黑体" w:cs="黑体"/>
                <w:color w:val="000000" w:themeColor="text1"/>
                <w:kern w:val="0"/>
                <w:sz w:val="18"/>
                <w:szCs w:val="18"/>
              </w:rPr>
            </w:pPr>
          </w:p>
        </w:tc>
      </w:tr>
    </w:tbl>
    <w:p w14:paraId="65C0B10A">
      <w:pPr>
        <w:widowControl/>
        <w:ind w:firstLine="1320" w:firstLineChars="300"/>
        <w:textAlignment w:val="center"/>
        <w:rPr>
          <w:rFonts w:ascii="方正小标宋简体" w:eastAsia="方正小标宋简体" w:cs="方正小标宋简体"/>
          <w:color w:val="000000" w:themeColor="text1"/>
          <w:kern w:val="0"/>
          <w:sz w:val="44"/>
          <w:szCs w:val="44"/>
        </w:rPr>
      </w:pPr>
    </w:p>
    <w:p w14:paraId="466558B4">
      <w:pPr>
        <w:widowControl/>
        <w:ind w:firstLine="1320" w:firstLineChars="300"/>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履职行权规程（行政强制类）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963"/>
        <w:gridCol w:w="992"/>
        <w:gridCol w:w="567"/>
        <w:gridCol w:w="427"/>
        <w:gridCol w:w="1504"/>
      </w:tblGrid>
      <w:tr w14:paraId="4A568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726C504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0CB8B5E">
            <w:pPr>
              <w:jc w:val="center"/>
              <w:rPr>
                <w:rFonts w:ascii="黑体" w:eastAsia="黑体" w:cs="黑体"/>
                <w:b/>
                <w:bCs/>
                <w:color w:val="000000" w:themeColor="text1"/>
                <w:szCs w:val="21"/>
              </w:rPr>
            </w:pPr>
            <w:r>
              <w:rPr>
                <w:rFonts w:ascii="黑体" w:eastAsia="黑体" w:cs="黑体"/>
                <w:b/>
                <w:bCs/>
                <w:color w:val="000000" w:themeColor="text1"/>
                <w:szCs w:val="21"/>
              </w:rPr>
              <w:t>210</w:t>
            </w:r>
          </w:p>
        </w:tc>
        <w:tc>
          <w:tcPr>
            <w:tcW w:w="1691" w:type="dxa"/>
            <w:vAlign w:val="center"/>
          </w:tcPr>
          <w:p w14:paraId="556AB9B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vAlign w:val="center"/>
          </w:tcPr>
          <w:p w14:paraId="7B61A75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行政强制</w:t>
            </w:r>
          </w:p>
        </w:tc>
        <w:tc>
          <w:tcPr>
            <w:tcW w:w="1559" w:type="dxa"/>
            <w:gridSpan w:val="2"/>
            <w:vAlign w:val="center"/>
          </w:tcPr>
          <w:p w14:paraId="7A2676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40B627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977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6C409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8"/>
            <w:vAlign w:val="center"/>
          </w:tcPr>
          <w:p w14:paraId="68A404D5">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kern w:val="0"/>
                <w:sz w:val="18"/>
                <w:szCs w:val="18"/>
              </w:rPr>
              <w:t>对逾期不履行交通运输领域排除妨碍、恢复原状等义务的行政决定，其后果已经或将危害交通安全、造成环境污染或者破坏自然资源等行为的行政强制</w:t>
            </w:r>
            <w:r>
              <w:rPr>
                <w:rFonts w:hint="eastAsia" w:ascii="仿宋_GB2312" w:hAnsi="黑体" w:eastAsia="仿宋_GB2312" w:cs="黑体"/>
                <w:color w:val="000000" w:themeColor="text1"/>
                <w:sz w:val="18"/>
                <w:szCs w:val="18"/>
              </w:rPr>
              <w:t>。</w:t>
            </w:r>
          </w:p>
        </w:tc>
      </w:tr>
      <w:tr w14:paraId="1027C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6CEEA4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管辖范围</w:t>
            </w:r>
          </w:p>
        </w:tc>
        <w:tc>
          <w:tcPr>
            <w:tcW w:w="8835" w:type="dxa"/>
            <w:gridSpan w:val="8"/>
            <w:vAlign w:val="center"/>
          </w:tcPr>
          <w:p w14:paraId="6D17459C">
            <w:pPr>
              <w:jc w:val="center"/>
              <w:rPr>
                <w:rFonts w:ascii="黑体" w:hAnsi="黑体" w:eastAsia="黑体" w:cs="黑体"/>
                <w:color w:val="000000" w:themeColor="text1"/>
                <w:kern w:val="0"/>
                <w:sz w:val="18"/>
                <w:szCs w:val="18"/>
              </w:rPr>
            </w:pPr>
            <w:r>
              <w:rPr>
                <w:rFonts w:hint="eastAsia" w:ascii="仿宋_GB2312" w:eastAsia="仿宋_GB2312" w:cs="黑体"/>
                <w:color w:val="000000" w:themeColor="text1"/>
                <w:kern w:val="0"/>
                <w:sz w:val="18"/>
                <w:szCs w:val="18"/>
              </w:rPr>
              <w:t>抚宁辖区内</w:t>
            </w:r>
          </w:p>
        </w:tc>
      </w:tr>
      <w:tr w14:paraId="5A013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6FF269E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8"/>
            <w:vAlign w:val="center"/>
          </w:tcPr>
          <w:p w14:paraId="15768426">
            <w:pPr>
              <w:spacing w:line="240" w:lineRule="exact"/>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【法律法规】</w:t>
            </w:r>
            <w:r>
              <w:rPr>
                <w:rFonts w:hint="eastAsia" w:ascii="仿宋" w:hAnsi="仿宋" w:eastAsia="仿宋" w:cs="仿宋"/>
                <w:color w:val="000000" w:themeColor="text1"/>
                <w:kern w:val="0"/>
                <w:sz w:val="18"/>
                <w:szCs w:val="18"/>
              </w:rPr>
              <w:t>《中华人民共和国行政强制法》</w:t>
            </w:r>
            <w:r>
              <w:rPr>
                <w:rFonts w:ascii="仿宋" w:hAnsi="仿宋" w:eastAsia="仿宋" w:cs="仿宋"/>
                <w:color w:val="000000" w:themeColor="text1"/>
                <w:kern w:val="0"/>
                <w:sz w:val="18"/>
                <w:szCs w:val="18"/>
              </w:rPr>
              <w:br w:type="textWrapping"/>
            </w:r>
            <w:r>
              <w:rPr>
                <w:rFonts w:hint="eastAsia" w:ascii="仿宋" w:hAnsi="仿宋" w:eastAsia="仿宋" w:cs="仿宋"/>
                <w:color w:val="000000" w:themeColor="text1"/>
                <w:kern w:val="0"/>
                <w:sz w:val="18"/>
                <w:szCs w:val="18"/>
              </w:rPr>
              <w:t>第五十条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0370F819">
            <w:pPr>
              <w:rPr>
                <w:color w:val="000000" w:themeColor="text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第三条第十五款落实行业主管部门的安全生产监管职责，各科室落实分管领域的安全生产监管职责。</w:t>
            </w:r>
          </w:p>
        </w:tc>
      </w:tr>
      <w:tr w14:paraId="78C9A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020C60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0A78B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4"/>
            <w:vAlign w:val="center"/>
          </w:tcPr>
          <w:p w14:paraId="6EEC0D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4" w:type="dxa"/>
            <w:gridSpan w:val="2"/>
            <w:vAlign w:val="center"/>
          </w:tcPr>
          <w:p w14:paraId="2E20BC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4" w:type="dxa"/>
            <w:vAlign w:val="center"/>
          </w:tcPr>
          <w:p w14:paraId="3837FFA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13F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5A261720">
            <w:pPr>
              <w:rPr>
                <w:color w:val="000000" w:themeColor="text1"/>
              </w:rPr>
            </w:pPr>
          </w:p>
        </w:tc>
        <w:tc>
          <w:tcPr>
            <w:tcW w:w="1050" w:type="dxa"/>
            <w:vAlign w:val="center"/>
          </w:tcPr>
          <w:p w14:paraId="6D325A5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告知</w:t>
            </w:r>
          </w:p>
        </w:tc>
        <w:tc>
          <w:tcPr>
            <w:tcW w:w="5287" w:type="dxa"/>
            <w:gridSpan w:val="4"/>
            <w:vAlign w:val="center"/>
          </w:tcPr>
          <w:p w14:paraId="13413A3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当事人未在规定期限内缴纳罚款的，执法部门依法加处罚款的，应当将加处罚款的标准告知当事人。</w:t>
            </w:r>
          </w:p>
        </w:tc>
        <w:tc>
          <w:tcPr>
            <w:tcW w:w="994" w:type="dxa"/>
            <w:gridSpan w:val="2"/>
            <w:vAlign w:val="center"/>
          </w:tcPr>
          <w:p w14:paraId="591D385B">
            <w:pPr>
              <w:jc w:val="center"/>
              <w:rPr>
                <w:rFonts w:ascii="仿宋_GB2312" w:hAnsi="黑体" w:eastAsia="仿宋_GB2312" w:cs="黑体"/>
                <w:color w:val="000000" w:themeColor="text1"/>
                <w:sz w:val="18"/>
                <w:szCs w:val="18"/>
              </w:rPr>
            </w:pPr>
          </w:p>
        </w:tc>
        <w:tc>
          <w:tcPr>
            <w:tcW w:w="1504" w:type="dxa"/>
            <w:vAlign w:val="center"/>
          </w:tcPr>
          <w:p w14:paraId="5E23CC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2783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41013E2C">
            <w:pPr>
              <w:rPr>
                <w:color w:val="000000" w:themeColor="text1"/>
              </w:rPr>
            </w:pPr>
          </w:p>
        </w:tc>
        <w:tc>
          <w:tcPr>
            <w:tcW w:w="1050" w:type="dxa"/>
            <w:vAlign w:val="center"/>
          </w:tcPr>
          <w:p w14:paraId="1886E5A8">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tc>
        <w:tc>
          <w:tcPr>
            <w:tcW w:w="5287" w:type="dxa"/>
            <w:gridSpan w:val="4"/>
            <w:vAlign w:val="center"/>
          </w:tcPr>
          <w:p w14:paraId="4843F1B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w:t>
            </w:r>
          </w:p>
        </w:tc>
        <w:tc>
          <w:tcPr>
            <w:tcW w:w="994" w:type="dxa"/>
            <w:gridSpan w:val="2"/>
            <w:vAlign w:val="center"/>
          </w:tcPr>
          <w:p w14:paraId="292729DD">
            <w:pPr>
              <w:jc w:val="center"/>
              <w:rPr>
                <w:rFonts w:ascii="仿宋_GB2312" w:hAnsi="黑体" w:eastAsia="仿宋_GB2312" w:cs="黑体"/>
                <w:color w:val="000000" w:themeColor="text1"/>
                <w:sz w:val="18"/>
                <w:szCs w:val="18"/>
              </w:rPr>
            </w:pPr>
          </w:p>
        </w:tc>
        <w:tc>
          <w:tcPr>
            <w:tcW w:w="1504" w:type="dxa"/>
            <w:vAlign w:val="center"/>
          </w:tcPr>
          <w:p w14:paraId="694AD33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66AC0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20" w:hRule="atLeast"/>
          <w:jc w:val="center"/>
        </w:trPr>
        <w:tc>
          <w:tcPr>
            <w:tcW w:w="1463" w:type="dxa"/>
            <w:vMerge w:val="continue"/>
            <w:vAlign w:val="center"/>
          </w:tcPr>
          <w:p w14:paraId="16CAB856">
            <w:pPr>
              <w:rPr>
                <w:color w:val="000000" w:themeColor="text1"/>
              </w:rPr>
            </w:pPr>
          </w:p>
        </w:tc>
        <w:tc>
          <w:tcPr>
            <w:tcW w:w="1050" w:type="dxa"/>
            <w:vAlign w:val="center"/>
          </w:tcPr>
          <w:p w14:paraId="3061855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执行</w:t>
            </w:r>
          </w:p>
        </w:tc>
        <w:tc>
          <w:tcPr>
            <w:tcW w:w="5287" w:type="dxa"/>
            <w:gridSpan w:val="4"/>
            <w:vAlign w:val="center"/>
          </w:tcPr>
          <w:p w14:paraId="30493E8A">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充分听取当事人的意见，对当事人提出的事实、理由和证据，应当进行记录、复核，无正当理由的，执法部门实施加处罚款超过三十日当事人仍不履行的，制作送达《催告书》</w:t>
            </w:r>
          </w:p>
        </w:tc>
        <w:tc>
          <w:tcPr>
            <w:tcW w:w="994" w:type="dxa"/>
            <w:gridSpan w:val="2"/>
            <w:vAlign w:val="center"/>
          </w:tcPr>
          <w:p w14:paraId="4CA58C0A">
            <w:pPr>
              <w:jc w:val="center"/>
              <w:rPr>
                <w:rFonts w:ascii="仿宋_GB2312" w:hAnsi="黑体" w:eastAsia="仿宋_GB2312" w:cs="黑体"/>
                <w:color w:val="000000" w:themeColor="text1"/>
                <w:sz w:val="18"/>
                <w:szCs w:val="18"/>
              </w:rPr>
            </w:pPr>
          </w:p>
        </w:tc>
        <w:tc>
          <w:tcPr>
            <w:tcW w:w="1504" w:type="dxa"/>
            <w:vAlign w:val="center"/>
          </w:tcPr>
          <w:p w14:paraId="17DD1B0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027B4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6" w:hRule="atLeast"/>
          <w:jc w:val="center"/>
        </w:trPr>
        <w:tc>
          <w:tcPr>
            <w:tcW w:w="1463" w:type="dxa"/>
            <w:vMerge w:val="continue"/>
            <w:vAlign w:val="center"/>
          </w:tcPr>
          <w:p w14:paraId="4F4DDA43">
            <w:pPr>
              <w:rPr>
                <w:color w:val="000000" w:themeColor="text1"/>
              </w:rPr>
            </w:pPr>
          </w:p>
        </w:tc>
        <w:tc>
          <w:tcPr>
            <w:tcW w:w="1050" w:type="dxa"/>
            <w:vAlign w:val="center"/>
          </w:tcPr>
          <w:p w14:paraId="49E8C342">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送达</w:t>
            </w:r>
          </w:p>
        </w:tc>
        <w:tc>
          <w:tcPr>
            <w:tcW w:w="5287" w:type="dxa"/>
            <w:gridSpan w:val="4"/>
            <w:vAlign w:val="center"/>
          </w:tcPr>
          <w:p w14:paraId="1EA7798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按时限要求送达《催告书》，</w:t>
            </w:r>
          </w:p>
        </w:tc>
        <w:tc>
          <w:tcPr>
            <w:tcW w:w="994" w:type="dxa"/>
            <w:gridSpan w:val="2"/>
            <w:vAlign w:val="center"/>
          </w:tcPr>
          <w:p w14:paraId="1387F14B">
            <w:pPr>
              <w:jc w:val="center"/>
              <w:rPr>
                <w:rFonts w:ascii="仿宋_GB2312" w:hAnsi="黑体" w:eastAsia="仿宋_GB2312" w:cs="黑体"/>
                <w:color w:val="000000" w:themeColor="text1"/>
                <w:sz w:val="18"/>
                <w:szCs w:val="18"/>
              </w:rPr>
            </w:pPr>
          </w:p>
        </w:tc>
        <w:tc>
          <w:tcPr>
            <w:tcW w:w="1504" w:type="dxa"/>
            <w:vAlign w:val="center"/>
          </w:tcPr>
          <w:p w14:paraId="2000F860">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39701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98" w:hRule="atLeast"/>
          <w:jc w:val="center"/>
        </w:trPr>
        <w:tc>
          <w:tcPr>
            <w:tcW w:w="1463" w:type="dxa"/>
            <w:vMerge w:val="continue"/>
            <w:vAlign w:val="center"/>
          </w:tcPr>
          <w:p w14:paraId="14DA383D">
            <w:pPr>
              <w:rPr>
                <w:color w:val="000000" w:themeColor="text1"/>
              </w:rPr>
            </w:pPr>
          </w:p>
        </w:tc>
        <w:tc>
          <w:tcPr>
            <w:tcW w:w="1050" w:type="dxa"/>
            <w:vAlign w:val="center"/>
          </w:tcPr>
          <w:p w14:paraId="7DC4397C">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处理</w:t>
            </w:r>
          </w:p>
        </w:tc>
        <w:tc>
          <w:tcPr>
            <w:tcW w:w="5287" w:type="dxa"/>
            <w:gridSpan w:val="4"/>
            <w:vAlign w:val="center"/>
          </w:tcPr>
          <w:p w14:paraId="7DE6727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当事人在执法部门决定的期限内不履行义务的，制作</w:t>
            </w:r>
            <w:r>
              <w:rPr>
                <w:rFonts w:ascii="仿宋_GB2312" w:hAnsi="黑体" w:eastAsia="仿宋_GB2312" w:cs="黑体"/>
                <w:color w:val="000000" w:themeColor="text1"/>
                <w:sz w:val="18"/>
                <w:szCs w:val="18"/>
              </w:rPr>
              <w:t xml:space="preserve">  </w:t>
            </w:r>
            <w:r>
              <w:rPr>
                <w:rFonts w:hint="eastAsia" w:ascii="仿宋_GB2312" w:hAnsi="黑体" w:eastAsia="仿宋_GB2312" w:cs="黑体"/>
                <w:color w:val="000000" w:themeColor="text1"/>
                <w:sz w:val="18"/>
                <w:szCs w:val="18"/>
              </w:rPr>
              <w:t>送达《催告书》；经催告，当事人仍逾期仍不履行行政决定，申请人民法院强制执行。</w:t>
            </w:r>
          </w:p>
        </w:tc>
        <w:tc>
          <w:tcPr>
            <w:tcW w:w="994" w:type="dxa"/>
            <w:gridSpan w:val="2"/>
            <w:vAlign w:val="center"/>
          </w:tcPr>
          <w:p w14:paraId="459EC6EA">
            <w:pPr>
              <w:jc w:val="center"/>
              <w:rPr>
                <w:rFonts w:ascii="仿宋_GB2312" w:hAnsi="黑体" w:eastAsia="仿宋_GB2312" w:cs="黑体"/>
                <w:color w:val="000000" w:themeColor="text1"/>
                <w:sz w:val="18"/>
                <w:szCs w:val="18"/>
              </w:rPr>
            </w:pPr>
          </w:p>
        </w:tc>
        <w:tc>
          <w:tcPr>
            <w:tcW w:w="1504" w:type="dxa"/>
            <w:vAlign w:val="center"/>
          </w:tcPr>
          <w:p w14:paraId="4208A57B">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区交通运输综合行政执法大队</w:t>
            </w:r>
          </w:p>
        </w:tc>
      </w:tr>
      <w:tr w14:paraId="4D13F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5" w:hRule="atLeast"/>
          <w:jc w:val="center"/>
        </w:trPr>
        <w:tc>
          <w:tcPr>
            <w:tcW w:w="1463" w:type="dxa"/>
            <w:vAlign w:val="center"/>
          </w:tcPr>
          <w:p w14:paraId="20D1BD2D">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8"/>
            <w:vAlign w:val="center"/>
          </w:tcPr>
          <w:p w14:paraId="39B8C258">
            <w:pPr>
              <w:widowControl/>
              <w:textAlignment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因不履行或不正确履行行政职责，有下列情形的，行政机关及相关工作人员应承担相应责任：</w:t>
            </w:r>
          </w:p>
          <w:p w14:paraId="1AD38DFE">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对不符合条件的实施行政强制的；</w:t>
            </w:r>
          </w:p>
          <w:p w14:paraId="60A67BFD">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2.</w:t>
            </w:r>
            <w:r>
              <w:rPr>
                <w:rFonts w:hint="eastAsia" w:ascii="仿宋_GB2312" w:hAnsi="黑体" w:eastAsia="仿宋_GB2312" w:cs="黑体"/>
                <w:color w:val="000000" w:themeColor="text1"/>
                <w:sz w:val="18"/>
                <w:szCs w:val="18"/>
              </w:rPr>
              <w:t>因违法实施行政强制，给行政相对人造成损失的；</w:t>
            </w:r>
          </w:p>
          <w:p w14:paraId="20DD7CBA">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3.</w:t>
            </w:r>
            <w:r>
              <w:rPr>
                <w:rFonts w:hint="eastAsia" w:ascii="仿宋_GB2312" w:hAnsi="黑体" w:eastAsia="仿宋_GB2312" w:cs="黑体"/>
                <w:color w:val="000000" w:themeColor="text1"/>
                <w:sz w:val="18"/>
                <w:szCs w:val="18"/>
              </w:rPr>
              <w:t>违反法定权限、程序实施行政强制的；</w:t>
            </w:r>
          </w:p>
          <w:p w14:paraId="11887D22">
            <w:pPr>
              <w:widowControl/>
              <w:textAlignment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4.</w:t>
            </w:r>
            <w:r>
              <w:rPr>
                <w:rFonts w:hint="eastAsia" w:ascii="仿宋_GB2312" w:hAnsi="黑体" w:eastAsia="仿宋_GB2312" w:cs="黑体"/>
                <w:color w:val="000000" w:themeColor="text1"/>
                <w:sz w:val="18"/>
                <w:szCs w:val="18"/>
              </w:rPr>
              <w:t>在行使行政强制权过程中发生腐败行为的；</w:t>
            </w:r>
          </w:p>
          <w:p w14:paraId="15336C99">
            <w:pPr>
              <w:widowControl/>
              <w:textAlignment w:val="center"/>
              <w:rPr>
                <w:rFonts w:ascii="黑体" w:eastAsia="黑体" w:cs="黑体"/>
                <w:color w:val="000000" w:themeColor="text1"/>
                <w:szCs w:val="21"/>
              </w:rPr>
            </w:pPr>
            <w:r>
              <w:rPr>
                <w:rFonts w:ascii="仿宋_GB2312" w:hAnsi="黑体" w:eastAsia="仿宋_GB2312" w:cs="黑体"/>
                <w:color w:val="000000" w:themeColor="text1"/>
                <w:sz w:val="18"/>
                <w:szCs w:val="18"/>
              </w:rPr>
              <w:t>5.</w:t>
            </w:r>
            <w:r>
              <w:rPr>
                <w:rFonts w:hint="eastAsia" w:ascii="仿宋_GB2312" w:hAnsi="黑体" w:eastAsia="仿宋_GB2312" w:cs="黑体"/>
                <w:color w:val="000000" w:themeColor="text1"/>
                <w:sz w:val="18"/>
                <w:szCs w:val="18"/>
                <w:lang w:eastAsia="zh-CN"/>
              </w:rPr>
              <w:t>其他违反法律法规规章文件</w:t>
            </w:r>
            <w:bookmarkStart w:id="39" w:name="_GoBack"/>
            <w:bookmarkEnd w:id="39"/>
            <w:r>
              <w:rPr>
                <w:rFonts w:hint="eastAsia" w:ascii="仿宋_GB2312" w:hAnsi="黑体" w:eastAsia="仿宋_GB2312" w:cs="黑体"/>
                <w:color w:val="000000" w:themeColor="text1"/>
                <w:sz w:val="18"/>
                <w:szCs w:val="18"/>
              </w:rPr>
              <w:t>规定的行为。</w:t>
            </w:r>
          </w:p>
        </w:tc>
      </w:tr>
      <w:tr w14:paraId="28B76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3E7B1E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8"/>
            <w:vAlign w:val="center"/>
          </w:tcPr>
          <w:p w14:paraId="2CF22AFE">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ascii="仿宋_GB2312" w:hAnsi="黑体" w:eastAsia="仿宋_GB2312" w:cs="黑体"/>
                <w:color w:val="000000" w:themeColor="text1"/>
                <w:kern w:val="0"/>
                <w:sz w:val="18"/>
                <w:szCs w:val="18"/>
              </w:rPr>
              <w:t xml:space="preserve"> 6181162      2.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6682452</w:t>
            </w:r>
          </w:p>
          <w:p w14:paraId="7C4B1197">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CBDA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489F1E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8"/>
            <w:vAlign w:val="center"/>
          </w:tcPr>
          <w:p w14:paraId="17BBB3E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．不服强制决定自知道该具体行政行为之日起六十日内向抚宁区人民政府申请行政复议。</w:t>
            </w:r>
          </w:p>
          <w:p w14:paraId="2170DC00">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．不服强制决定应当自知道或者应当知道作出行政行为之日起六个月内向抚宁区人民法院提起行政诉讼。</w:t>
            </w:r>
          </w:p>
        </w:tc>
      </w:tr>
      <w:tr w14:paraId="64B33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3" w:hRule="atLeast"/>
          <w:jc w:val="center"/>
        </w:trPr>
        <w:tc>
          <w:tcPr>
            <w:tcW w:w="1463" w:type="dxa"/>
            <w:vAlign w:val="center"/>
          </w:tcPr>
          <w:p w14:paraId="3594915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8"/>
            <w:vAlign w:val="center"/>
          </w:tcPr>
          <w:p w14:paraId="0498FEF3">
            <w:pPr>
              <w:widowControl/>
              <w:jc w:val="left"/>
              <w:textAlignment w:val="center"/>
              <w:rPr>
                <w:rFonts w:ascii="黑体" w:eastAsia="黑体" w:cs="黑体"/>
                <w:color w:val="000000" w:themeColor="text1"/>
                <w:kern w:val="0"/>
                <w:sz w:val="18"/>
                <w:szCs w:val="18"/>
              </w:rPr>
            </w:pPr>
          </w:p>
        </w:tc>
      </w:tr>
    </w:tbl>
    <w:p w14:paraId="28DBE972">
      <w:pPr>
        <w:rPr>
          <w:color w:val="000000" w:themeColor="text1"/>
        </w:rPr>
      </w:pPr>
    </w:p>
    <w:p w14:paraId="571DAC30">
      <w:pPr>
        <w:widowControl/>
        <w:ind w:firstLine="1320" w:firstLineChars="300"/>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履职行权规程（行政确认类）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219"/>
        <w:gridCol w:w="744"/>
        <w:gridCol w:w="992"/>
        <w:gridCol w:w="567"/>
        <w:gridCol w:w="348"/>
        <w:gridCol w:w="1583"/>
      </w:tblGrid>
      <w:tr w14:paraId="0407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2F0DA4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A80D706">
            <w:pPr>
              <w:jc w:val="center"/>
              <w:rPr>
                <w:rFonts w:ascii="黑体" w:eastAsia="黑体" w:cs="黑体"/>
                <w:b/>
                <w:bCs/>
                <w:color w:val="000000" w:themeColor="text1"/>
                <w:szCs w:val="21"/>
              </w:rPr>
            </w:pPr>
            <w:r>
              <w:rPr>
                <w:rFonts w:ascii="黑体" w:eastAsia="黑体" w:cs="黑体"/>
                <w:b/>
                <w:bCs/>
                <w:color w:val="000000" w:themeColor="text1"/>
                <w:szCs w:val="21"/>
              </w:rPr>
              <w:t>211</w:t>
            </w:r>
          </w:p>
        </w:tc>
        <w:tc>
          <w:tcPr>
            <w:tcW w:w="1691" w:type="dxa"/>
            <w:vAlign w:val="center"/>
          </w:tcPr>
          <w:p w14:paraId="5646BA7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6AC5235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行政确认</w:t>
            </w:r>
          </w:p>
        </w:tc>
        <w:tc>
          <w:tcPr>
            <w:tcW w:w="1559" w:type="dxa"/>
            <w:gridSpan w:val="2"/>
            <w:vAlign w:val="center"/>
          </w:tcPr>
          <w:p w14:paraId="0397B2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80426C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D8ED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06E33F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65DE78A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黑体"/>
                <w:color w:val="000000" w:themeColor="text1"/>
                <w:sz w:val="18"/>
                <w:szCs w:val="18"/>
              </w:rPr>
              <w:t>客运站站级核定</w:t>
            </w:r>
          </w:p>
        </w:tc>
      </w:tr>
      <w:tr w14:paraId="2181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47" w:hRule="atLeast"/>
          <w:jc w:val="center"/>
        </w:trPr>
        <w:tc>
          <w:tcPr>
            <w:tcW w:w="1463" w:type="dxa"/>
            <w:vAlign w:val="center"/>
          </w:tcPr>
          <w:p w14:paraId="0D28FF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56C5CAED">
            <w:pPr>
              <w:autoSpaceDN w:val="0"/>
              <w:spacing w:line="240" w:lineRule="exact"/>
              <w:jc w:val="lef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【法律法规】</w:t>
            </w:r>
          </w:p>
          <w:p w14:paraId="7F144587">
            <w:pPr>
              <w:autoSpaceDN w:val="0"/>
              <w:spacing w:line="240" w:lineRule="exact"/>
              <w:jc w:val="left"/>
              <w:rPr>
                <w:rFonts w:ascii="仿宋" w:eastAsia="仿宋" w:cs="??_GB2312"/>
                <w:color w:val="000000" w:themeColor="text1"/>
                <w:sz w:val="18"/>
                <w:szCs w:val="18"/>
              </w:rPr>
            </w:pPr>
            <w:r>
              <w:rPr>
                <w:rFonts w:ascii="仿宋" w:eastAsia="仿宋" w:cs="??_GB2312"/>
                <w:color w:val="000000" w:themeColor="text1"/>
                <w:sz w:val="18"/>
                <w:szCs w:val="18"/>
              </w:rPr>
              <w:t>1.</w:t>
            </w:r>
            <w:r>
              <w:rPr>
                <w:rFonts w:hint="eastAsia" w:ascii="仿宋" w:eastAsia="仿宋" w:cs="宋体"/>
                <w:color w:val="000000" w:themeColor="text1"/>
                <w:sz w:val="18"/>
                <w:szCs w:val="18"/>
              </w:rPr>
              <w:t>《道路旅客运输及客运站管理规定》第十五条</w:t>
            </w:r>
            <w:r>
              <w:rPr>
                <w:rFonts w:ascii="仿宋" w:eastAsia="仿宋" w:cs="??_GB2312"/>
                <w:color w:val="000000" w:themeColor="text1"/>
                <w:sz w:val="18"/>
                <w:szCs w:val="18"/>
              </w:rPr>
              <w:t>;</w:t>
            </w:r>
          </w:p>
          <w:p w14:paraId="0C18DA00">
            <w:pPr>
              <w:widowControl/>
              <w:spacing w:line="240" w:lineRule="exact"/>
              <w:jc w:val="left"/>
              <w:textAlignment w:val="center"/>
              <w:rPr>
                <w:rFonts w:ascii="仿宋" w:eastAsia="仿宋" w:cs="仿宋"/>
                <w:color w:val="000000" w:themeColor="text1"/>
                <w:kern w:val="0"/>
                <w:sz w:val="18"/>
                <w:szCs w:val="18"/>
              </w:rPr>
            </w:pPr>
            <w:r>
              <w:rPr>
                <w:rFonts w:ascii="仿宋" w:eastAsia="仿宋" w:cs="??_GB2312"/>
                <w:color w:val="000000" w:themeColor="text1"/>
                <w:sz w:val="18"/>
                <w:szCs w:val="18"/>
              </w:rPr>
              <w:t>2.</w:t>
            </w:r>
            <w:r>
              <w:rPr>
                <w:rFonts w:hint="eastAsia" w:ascii="仿宋" w:eastAsia="仿宋" w:cs="宋体"/>
                <w:color w:val="000000" w:themeColor="text1"/>
                <w:sz w:val="18"/>
                <w:szCs w:val="18"/>
              </w:rPr>
              <w:t>《汽车客运站级别划分和建设要求》</w:t>
            </w:r>
            <w:r>
              <w:rPr>
                <w:rFonts w:ascii="仿宋" w:eastAsia="仿宋" w:cs="??_GB2312"/>
                <w:color w:val="000000" w:themeColor="text1"/>
                <w:sz w:val="18"/>
                <w:szCs w:val="18"/>
              </w:rPr>
              <w:t>(</w:t>
            </w:r>
            <w:r>
              <w:rPr>
                <w:rFonts w:ascii="Helvetica" w:hAnsi="Helvetica" w:cs="Helvetica"/>
                <w:color w:val="000000" w:themeColor="text1"/>
                <w:sz w:val="18"/>
                <w:szCs w:val="18"/>
                <w:shd w:val="clear" w:color="auto" w:fill="FFFFFF"/>
              </w:rPr>
              <w:t>JT/T 200-2020</w:t>
            </w:r>
            <w:r>
              <w:rPr>
                <w:rFonts w:ascii="仿宋" w:eastAsia="仿宋" w:cs="??_GB2312"/>
                <w:color w:val="000000" w:themeColor="text1"/>
                <w:sz w:val="18"/>
                <w:szCs w:val="18"/>
              </w:rPr>
              <w:t>)</w:t>
            </w:r>
            <w:r>
              <w:rPr>
                <w:rFonts w:hint="eastAsia" w:ascii="仿宋" w:eastAsia="仿宋" w:cs="宋体"/>
                <w:color w:val="000000" w:themeColor="text1"/>
                <w:sz w:val="18"/>
                <w:szCs w:val="18"/>
              </w:rPr>
              <w:t>第八条</w:t>
            </w:r>
            <w:r>
              <w:rPr>
                <w:rFonts w:ascii="仿宋" w:eastAsia="仿宋" w:cs="??_GB2312"/>
                <w:color w:val="000000" w:themeColor="text1"/>
                <w:sz w:val="18"/>
                <w:szCs w:val="18"/>
              </w:rPr>
              <w:t>:</w:t>
            </w:r>
            <w:r>
              <w:rPr>
                <w:rFonts w:hint="eastAsia" w:ascii="仿宋" w:eastAsia="仿宋" w:cs="仿宋"/>
                <w:color w:val="000000" w:themeColor="text1"/>
                <w:kern w:val="0"/>
                <w:sz w:val="18"/>
                <w:szCs w:val="18"/>
              </w:rPr>
              <w:t>一、二级车站由所在地设区的市级交通运输主管部门组织验收与评定，其他级别的车站由所在地县级或设区的市级交通运输主管部门组织验收与评定。</w:t>
            </w:r>
          </w:p>
          <w:p w14:paraId="5DC55094">
            <w:pPr>
              <w:autoSpaceDN w:val="0"/>
              <w:spacing w:line="240" w:lineRule="exact"/>
              <w:jc w:val="left"/>
              <w:rPr>
                <w:rFonts w:ascii="仿宋" w:eastAsia="仿宋" w:cs="仿宋"/>
                <w:color w:val="000000" w:themeColor="text1"/>
                <w:sz w:val="18"/>
                <w:szCs w:val="18"/>
              </w:rPr>
            </w:pPr>
            <w:r>
              <w:rPr>
                <w:rFonts w:ascii="仿宋" w:eastAsia="仿宋" w:cs="仿宋"/>
                <w:color w:val="000000" w:themeColor="text1"/>
                <w:sz w:val="18"/>
                <w:szCs w:val="18"/>
              </w:rPr>
              <w:t>3.</w:t>
            </w:r>
            <w:r>
              <w:rPr>
                <w:rFonts w:hint="eastAsia" w:ascii="仿宋" w:eastAsia="仿宋" w:cs="仿宋"/>
                <w:color w:val="000000" w:themeColor="text1"/>
                <w:sz w:val="18"/>
                <w:szCs w:val="18"/>
              </w:rPr>
              <w:t>《河北省道路运输条例》（河北省人大常委会第</w:t>
            </w:r>
            <w:r>
              <w:rPr>
                <w:rFonts w:ascii="仿宋" w:eastAsia="仿宋" w:cs="仿宋"/>
                <w:color w:val="000000" w:themeColor="text1"/>
                <w:sz w:val="18"/>
                <w:szCs w:val="18"/>
              </w:rPr>
              <w:t>116</w:t>
            </w:r>
            <w:r>
              <w:rPr>
                <w:rFonts w:hint="eastAsia" w:ascii="仿宋" w:eastAsia="仿宋" w:cs="仿宋"/>
                <w:color w:val="000000" w:themeColor="text1"/>
                <w:sz w:val="18"/>
                <w:szCs w:val="18"/>
              </w:rPr>
              <w:t>号）第三十九条汽车客运站的站级由道路运输管理机构根据国家和本省相关行业标准核定和管理。汽车客运站应当实行实名售票和实名查验。通过网络、电话等方式实名购票的，购票人应当提供真实准确的旅客有效身份信息。</w:t>
            </w:r>
          </w:p>
          <w:p w14:paraId="5296D1CC">
            <w:pPr>
              <w:autoSpaceDN w:val="0"/>
              <w:spacing w:line="240" w:lineRule="exact"/>
              <w:jc w:val="left"/>
              <w:rPr>
                <w:rFonts w:ascii="仿宋" w:eastAsia="仿宋" w:cs="仿宋"/>
                <w:color w:val="000000" w:themeColor="text1"/>
                <w:sz w:val="18"/>
                <w:szCs w:val="18"/>
              </w:rPr>
            </w:pPr>
            <w:r>
              <w:rPr>
                <w:rFonts w:ascii="仿宋" w:eastAsia="仿宋" w:cs="仿宋"/>
                <w:color w:val="000000" w:themeColor="text1"/>
                <w:sz w:val="18"/>
                <w:szCs w:val="18"/>
              </w:rPr>
              <w:t>4.</w:t>
            </w:r>
            <w:r>
              <w:rPr>
                <w:rFonts w:hint="eastAsia" w:ascii="仿宋" w:eastAsia="仿宋" w:cs="仿宋"/>
                <w:color w:val="000000" w:themeColor="text1"/>
                <w:sz w:val="18"/>
                <w:szCs w:val="18"/>
              </w:rPr>
              <w:t>《道路运输管理工作规范》</w:t>
            </w:r>
            <w:r>
              <w:rPr>
                <w:rFonts w:ascii="仿宋" w:eastAsia="仿宋" w:cs="仿宋"/>
                <w:color w:val="000000" w:themeColor="text1"/>
                <w:sz w:val="18"/>
                <w:szCs w:val="18"/>
              </w:rPr>
              <w:t>(</w:t>
            </w:r>
            <w:r>
              <w:rPr>
                <w:rFonts w:hint="eastAsia" w:ascii="仿宋" w:eastAsia="仿宋" w:cs="仿宋"/>
                <w:color w:val="000000" w:themeColor="text1"/>
                <w:sz w:val="18"/>
                <w:szCs w:val="18"/>
              </w:rPr>
              <w:t>交运便字</w:t>
            </w:r>
            <w:r>
              <w:rPr>
                <w:rFonts w:ascii="仿宋" w:eastAsia="仿宋" w:cs="仿宋"/>
                <w:color w:val="000000" w:themeColor="text1"/>
                <w:sz w:val="18"/>
                <w:szCs w:val="18"/>
              </w:rPr>
              <w:t>[2014]181</w:t>
            </w:r>
            <w:r>
              <w:rPr>
                <w:rFonts w:hint="eastAsia" w:ascii="仿宋" w:eastAsia="仿宋" w:cs="仿宋"/>
                <w:color w:val="000000" w:themeColor="text1"/>
                <w:sz w:val="18"/>
                <w:szCs w:val="18"/>
              </w:rPr>
              <w:t>号</w:t>
            </w:r>
            <w:r>
              <w:rPr>
                <w:rFonts w:ascii="仿宋" w:eastAsia="仿宋" w:cs="仿宋"/>
                <w:color w:val="000000" w:themeColor="text1"/>
                <w:sz w:val="18"/>
                <w:szCs w:val="18"/>
              </w:rPr>
              <w:t>)</w:t>
            </w:r>
            <w:r>
              <w:rPr>
                <w:rFonts w:hint="eastAsia" w:ascii="仿宋" w:eastAsia="仿宋" w:cs="仿宋"/>
                <w:color w:val="000000" w:themeColor="text1"/>
                <w:sz w:val="18"/>
                <w:szCs w:val="18"/>
              </w:rPr>
              <w:t>第七章道路客运站管理工作规范第一节客运站站级核定一、客运站站级核定申请及受理权限客运站经有关部门组织的工程竣工验收合格后，申请人凭竣工验收合格证明，向道路运输管理机构提出核定申请，并提交《道路客运站站级核定申请表》。</w:t>
            </w:r>
            <w:r>
              <w:rPr>
                <w:rFonts w:ascii="仿宋" w:eastAsia="仿宋" w:cs="仿宋"/>
                <w:color w:val="000000" w:themeColor="text1"/>
                <w:sz w:val="18"/>
                <w:szCs w:val="18"/>
              </w:rPr>
              <w:t>(</w:t>
            </w:r>
            <w:r>
              <w:rPr>
                <w:rFonts w:hint="eastAsia" w:ascii="仿宋" w:eastAsia="仿宋" w:cs="仿宋"/>
                <w:color w:val="000000" w:themeColor="text1"/>
                <w:sz w:val="18"/>
                <w:szCs w:val="18"/>
              </w:rPr>
              <w:t>一</w:t>
            </w:r>
            <w:r>
              <w:rPr>
                <w:rFonts w:ascii="仿宋" w:eastAsia="仿宋" w:cs="仿宋"/>
                <w:color w:val="000000" w:themeColor="text1"/>
                <w:sz w:val="18"/>
                <w:szCs w:val="18"/>
              </w:rPr>
              <w:t>)</w:t>
            </w:r>
            <w:r>
              <w:rPr>
                <w:rFonts w:hint="eastAsia" w:ascii="仿宋" w:eastAsia="仿宋" w:cs="仿宋"/>
                <w:color w:val="000000" w:themeColor="text1"/>
                <w:sz w:val="18"/>
                <w:szCs w:val="18"/>
              </w:rPr>
              <w:t>省级道路运输管理机构负责一、二级客运站站级核定。</w:t>
            </w:r>
            <w:r>
              <w:rPr>
                <w:rFonts w:ascii="仿宋" w:eastAsia="仿宋" w:cs="仿宋"/>
                <w:color w:val="000000" w:themeColor="text1"/>
                <w:sz w:val="18"/>
                <w:szCs w:val="18"/>
              </w:rPr>
              <w:t>(</w:t>
            </w:r>
            <w:r>
              <w:rPr>
                <w:rFonts w:hint="eastAsia" w:ascii="仿宋" w:eastAsia="仿宋" w:cs="仿宋"/>
                <w:color w:val="000000" w:themeColor="text1"/>
                <w:sz w:val="18"/>
                <w:szCs w:val="18"/>
              </w:rPr>
              <w:t>二</w:t>
            </w:r>
            <w:r>
              <w:rPr>
                <w:rFonts w:ascii="仿宋" w:eastAsia="仿宋" w:cs="仿宋"/>
                <w:color w:val="000000" w:themeColor="text1"/>
                <w:sz w:val="18"/>
                <w:szCs w:val="18"/>
              </w:rPr>
              <w:t>)</w:t>
            </w:r>
            <w:r>
              <w:rPr>
                <w:rFonts w:hint="eastAsia" w:ascii="仿宋" w:eastAsia="仿宋" w:cs="仿宋"/>
                <w:color w:val="000000" w:themeColor="text1"/>
                <w:sz w:val="18"/>
                <w:szCs w:val="18"/>
              </w:rPr>
              <w:t>设区的市级道路运输管理机构负责三级客运站站级核定。</w:t>
            </w:r>
            <w:r>
              <w:rPr>
                <w:rFonts w:ascii="仿宋" w:eastAsia="仿宋" w:cs="仿宋"/>
                <w:color w:val="000000" w:themeColor="text1"/>
                <w:sz w:val="18"/>
                <w:szCs w:val="18"/>
              </w:rPr>
              <w:t>(</w:t>
            </w:r>
            <w:r>
              <w:rPr>
                <w:rFonts w:hint="eastAsia" w:ascii="仿宋" w:eastAsia="仿宋" w:cs="仿宋"/>
                <w:color w:val="000000" w:themeColor="text1"/>
                <w:sz w:val="18"/>
                <w:szCs w:val="18"/>
              </w:rPr>
              <w:t>三</w:t>
            </w:r>
            <w:r>
              <w:rPr>
                <w:rFonts w:ascii="仿宋" w:eastAsia="仿宋" w:cs="仿宋"/>
                <w:color w:val="000000" w:themeColor="text1"/>
                <w:sz w:val="18"/>
                <w:szCs w:val="18"/>
              </w:rPr>
              <w:t>)</w:t>
            </w:r>
            <w:r>
              <w:rPr>
                <w:rFonts w:hint="eastAsia" w:ascii="仿宋" w:eastAsia="仿宋" w:cs="仿宋"/>
                <w:color w:val="000000" w:themeColor="text1"/>
                <w:sz w:val="18"/>
                <w:szCs w:val="18"/>
              </w:rPr>
              <w:t>县级道路运输管理机构负责其他级别的客运站站级核定。</w:t>
            </w:r>
          </w:p>
          <w:p w14:paraId="103146DD">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37B1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06C74FC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BFFBA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45ADCA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15" w:type="dxa"/>
            <w:gridSpan w:val="2"/>
            <w:vAlign w:val="center"/>
          </w:tcPr>
          <w:p w14:paraId="2D0EB8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83" w:type="dxa"/>
            <w:vAlign w:val="center"/>
          </w:tcPr>
          <w:p w14:paraId="2670C2E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F2B3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507DC3A9">
            <w:pPr>
              <w:rPr>
                <w:color w:val="000000" w:themeColor="text1"/>
              </w:rPr>
            </w:pPr>
          </w:p>
        </w:tc>
        <w:tc>
          <w:tcPr>
            <w:tcW w:w="1050" w:type="dxa"/>
            <w:vAlign w:val="center"/>
          </w:tcPr>
          <w:p w14:paraId="692E6C3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14623681">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15" w:type="dxa"/>
            <w:gridSpan w:val="2"/>
            <w:vAlign w:val="center"/>
          </w:tcPr>
          <w:p w14:paraId="2A2B7F64">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83" w:type="dxa"/>
            <w:vAlign w:val="center"/>
          </w:tcPr>
          <w:p w14:paraId="399C485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642AB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25BFDE4B">
            <w:pPr>
              <w:rPr>
                <w:color w:val="000000" w:themeColor="text1"/>
              </w:rPr>
            </w:pPr>
          </w:p>
        </w:tc>
        <w:tc>
          <w:tcPr>
            <w:tcW w:w="1050" w:type="dxa"/>
            <w:vAlign w:val="center"/>
          </w:tcPr>
          <w:p w14:paraId="469506D9">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审查</w:t>
            </w:r>
            <w:r>
              <w:rPr>
                <w:rFonts w:hint="eastAsia" w:ascii="仿宋_GB2312" w:eastAsia="仿宋_GB2312" w:cs="黑体"/>
                <w:color w:val="000000" w:themeColor="text1"/>
                <w:sz w:val="18"/>
                <w:szCs w:val="18"/>
                <w:lang w:eastAsia="zh-CN"/>
              </w:rPr>
              <w:t>勘验</w:t>
            </w:r>
          </w:p>
        </w:tc>
        <w:tc>
          <w:tcPr>
            <w:tcW w:w="5287" w:type="dxa"/>
            <w:gridSpan w:val="5"/>
            <w:vAlign w:val="center"/>
          </w:tcPr>
          <w:p w14:paraId="1CA63CB4">
            <w:pPr>
              <w:pStyle w:val="27"/>
              <w:adjustRightInd w:val="0"/>
              <w:snapToGrid w:val="0"/>
              <w:spacing w:line="240" w:lineRule="exact"/>
              <w:ind w:left="19" w:right="81"/>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对申请材料进行审查，依法履行听证职责，提出审核意见。有核定权的交通运输主管部门收到申请后，应当在</w:t>
            </w:r>
            <w:r>
              <w:rPr>
                <w:rFonts w:ascii="仿宋_GB2312" w:eastAsia="仿宋_GB2312" w:cs="黑体"/>
                <w:color w:val="000000" w:themeColor="text1"/>
                <w:sz w:val="18"/>
                <w:szCs w:val="18"/>
              </w:rPr>
              <w:t>7</w:t>
            </w:r>
            <w:r>
              <w:rPr>
                <w:rFonts w:hint="eastAsia" w:ascii="仿宋_GB2312" w:eastAsia="仿宋_GB2312" w:cs="黑体"/>
                <w:color w:val="000000" w:themeColor="text1"/>
                <w:sz w:val="18"/>
                <w:szCs w:val="18"/>
              </w:rPr>
              <w:t>个工作日内对客运站进行现场核查，并按照《汽车客运站级别划分和建设要求》</w:t>
            </w:r>
            <w:r>
              <w:rPr>
                <w:rFonts w:ascii="仿宋_GB2312" w:eastAsia="仿宋_GB2312" w:cs="黑体"/>
                <w:color w:val="000000" w:themeColor="text1"/>
                <w:sz w:val="18"/>
                <w:szCs w:val="18"/>
              </w:rPr>
              <w:t>(</w:t>
            </w:r>
            <w:r>
              <w:rPr>
                <w:rFonts w:ascii="Helvetica" w:hAnsi="Helvetica" w:cs="Helvetica"/>
                <w:color w:val="000000" w:themeColor="text1"/>
                <w:sz w:val="18"/>
                <w:szCs w:val="18"/>
                <w:shd w:val="clear" w:color="auto" w:fill="FFFFFF"/>
              </w:rPr>
              <w:t>JT/T 200-2020</w:t>
            </w:r>
            <w:r>
              <w:rPr>
                <w:rFonts w:ascii="仿宋_GB2312" w:eastAsia="仿宋_GB2312" w:cs="黑体"/>
                <w:color w:val="000000" w:themeColor="text1"/>
                <w:sz w:val="18"/>
                <w:szCs w:val="18"/>
              </w:rPr>
              <w:t>)</w:t>
            </w:r>
            <w:r>
              <w:rPr>
                <w:rFonts w:hint="eastAsia" w:ascii="仿宋_GB2312" w:eastAsia="仿宋_GB2312" w:cs="黑体"/>
                <w:color w:val="000000" w:themeColor="text1"/>
                <w:sz w:val="18"/>
                <w:szCs w:val="18"/>
              </w:rPr>
              <w:t>核定站级。</w:t>
            </w:r>
            <w:r>
              <w:rPr>
                <w:rFonts w:hint="eastAsia" w:ascii="仿宋" w:hAnsi="仿宋" w:eastAsia="仿宋"/>
                <w:color w:val="000000" w:themeColor="text1"/>
                <w:sz w:val="18"/>
                <w:szCs w:val="18"/>
              </w:rPr>
              <w:t>需要所在地县级交通运输主管部门初审的，受理初审后，逐级上报到有核定权的交通运输主管部门。</w:t>
            </w:r>
          </w:p>
        </w:tc>
        <w:tc>
          <w:tcPr>
            <w:tcW w:w="915" w:type="dxa"/>
            <w:gridSpan w:val="2"/>
            <w:vAlign w:val="center"/>
          </w:tcPr>
          <w:p w14:paraId="435D396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2</w:t>
            </w:r>
            <w:r>
              <w:rPr>
                <w:rFonts w:hint="eastAsia" w:ascii="仿宋_GB2312" w:eastAsia="仿宋_GB2312" w:cs="黑体"/>
                <w:color w:val="000000" w:themeColor="text1"/>
                <w:sz w:val="18"/>
                <w:szCs w:val="18"/>
              </w:rPr>
              <w:t>个工作日</w:t>
            </w:r>
          </w:p>
        </w:tc>
        <w:tc>
          <w:tcPr>
            <w:tcW w:w="1583" w:type="dxa"/>
            <w:vAlign w:val="center"/>
          </w:tcPr>
          <w:p w14:paraId="3DF0404A">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区交通运输局运输管理股</w:t>
            </w:r>
          </w:p>
        </w:tc>
      </w:tr>
      <w:tr w14:paraId="23F87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2" w:hRule="atLeast"/>
          <w:jc w:val="center"/>
        </w:trPr>
        <w:tc>
          <w:tcPr>
            <w:tcW w:w="1463" w:type="dxa"/>
            <w:vMerge w:val="continue"/>
            <w:vAlign w:val="center"/>
          </w:tcPr>
          <w:p w14:paraId="7B7EEEA5">
            <w:pPr>
              <w:rPr>
                <w:color w:val="000000" w:themeColor="text1"/>
              </w:rPr>
            </w:pPr>
          </w:p>
        </w:tc>
        <w:tc>
          <w:tcPr>
            <w:tcW w:w="1050" w:type="dxa"/>
            <w:vAlign w:val="center"/>
          </w:tcPr>
          <w:p w14:paraId="29DEB14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送达</w:t>
            </w:r>
          </w:p>
        </w:tc>
        <w:tc>
          <w:tcPr>
            <w:tcW w:w="5287" w:type="dxa"/>
            <w:gridSpan w:val="5"/>
            <w:tcBorders>
              <w:bottom w:val="single" w:color="auto" w:sz="4" w:space="0"/>
            </w:tcBorders>
            <w:vAlign w:val="center"/>
          </w:tcPr>
          <w:p w14:paraId="088291B0">
            <w:pPr>
              <w:pStyle w:val="27"/>
              <w:adjustRightInd w:val="0"/>
              <w:snapToGrid w:val="0"/>
              <w:spacing w:line="240" w:lineRule="exact"/>
              <w:ind w:left="19" w:right="81"/>
              <w:rPr>
                <w:rFonts w:ascii="仿宋" w:hAnsi="仿宋" w:eastAsia="仿宋"/>
                <w:color w:val="000000" w:themeColor="text1"/>
                <w:sz w:val="18"/>
                <w:szCs w:val="18"/>
              </w:rPr>
            </w:pPr>
            <w:r>
              <w:rPr>
                <w:rFonts w:hint="eastAsia" w:ascii="仿宋" w:hAnsi="仿宋" w:eastAsia="仿宋"/>
                <w:color w:val="000000" w:themeColor="text1"/>
                <w:sz w:val="18"/>
                <w:szCs w:val="18"/>
              </w:rPr>
              <w:t>符合规定的，应当出具客运站站级验收合格证明。依法定程序送达文书。</w:t>
            </w:r>
          </w:p>
          <w:p w14:paraId="5EDEBB5E">
            <w:pPr>
              <w:jc w:val="center"/>
              <w:rPr>
                <w:rFonts w:ascii="仿宋_GB2312" w:eastAsia="仿宋_GB2312" w:cs="黑体"/>
                <w:color w:val="000000" w:themeColor="text1"/>
                <w:sz w:val="18"/>
                <w:szCs w:val="18"/>
              </w:rPr>
            </w:pPr>
          </w:p>
        </w:tc>
        <w:tc>
          <w:tcPr>
            <w:tcW w:w="915" w:type="dxa"/>
            <w:gridSpan w:val="2"/>
            <w:vAlign w:val="center"/>
          </w:tcPr>
          <w:p w14:paraId="5CC31833">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83" w:type="dxa"/>
            <w:vAlign w:val="center"/>
          </w:tcPr>
          <w:p w14:paraId="33E8EF9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41CF7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2" w:hRule="atLeast"/>
          <w:jc w:val="center"/>
        </w:trPr>
        <w:tc>
          <w:tcPr>
            <w:tcW w:w="1463" w:type="dxa"/>
            <w:vAlign w:val="center"/>
          </w:tcPr>
          <w:p w14:paraId="390BB40B">
            <w:pPr>
              <w:jc w:val="center"/>
              <w:rPr>
                <w:rFonts w:hint="eastAsia" w:ascii="黑体" w:hAnsi="黑体" w:eastAsia="黑体" w:cs="黑体"/>
                <w:b/>
                <w:bCs/>
                <w:color w:val="000000" w:themeColor="text1"/>
                <w:lang w:val="en-US" w:eastAsia="zh-CN"/>
              </w:rPr>
            </w:pPr>
            <w:r>
              <w:rPr>
                <w:rFonts w:hint="eastAsia" w:ascii="黑体" w:hAnsi="黑体" w:eastAsia="黑体" w:cs="黑体"/>
                <w:b/>
                <w:bCs/>
                <w:color w:val="000000" w:themeColor="text1"/>
                <w:lang w:val="en-US" w:eastAsia="zh-CN"/>
              </w:rPr>
              <w:t>办理渠道</w:t>
            </w:r>
          </w:p>
        </w:tc>
        <w:tc>
          <w:tcPr>
            <w:tcW w:w="4601" w:type="dxa"/>
            <w:gridSpan w:val="4"/>
            <w:tcBorders>
              <w:right w:val="single" w:color="auto" w:sz="4" w:space="0"/>
            </w:tcBorders>
            <w:vAlign w:val="center"/>
          </w:tcPr>
          <w:p w14:paraId="187DE341">
            <w:pPr>
              <w:jc w:val="center"/>
              <w:rPr>
                <w:rFonts w:hint="eastAsia" w:ascii="仿宋_GB2312" w:eastAsia="方正仿宋_GBK" w:cs="黑体"/>
                <w:color w:val="000000" w:themeColor="text1"/>
                <w:sz w:val="18"/>
                <w:szCs w:val="18"/>
                <w:lang w:val="en-US" w:eastAsia="zh-CN"/>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736" w:type="dxa"/>
            <w:gridSpan w:val="2"/>
            <w:tcBorders>
              <w:top w:val="single" w:color="auto" w:sz="4" w:space="0"/>
              <w:left w:val="single" w:color="auto" w:sz="4" w:space="0"/>
            </w:tcBorders>
            <w:vAlign w:val="center"/>
          </w:tcPr>
          <w:p w14:paraId="1BBAF401">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vAlign w:val="center"/>
          </w:tcPr>
          <w:p w14:paraId="629DE87A">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否</w:t>
            </w:r>
          </w:p>
        </w:tc>
      </w:tr>
      <w:tr w14:paraId="2F1C8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2" w:hRule="atLeast"/>
          <w:jc w:val="center"/>
        </w:trPr>
        <w:tc>
          <w:tcPr>
            <w:tcW w:w="1463" w:type="dxa"/>
            <w:vAlign w:val="center"/>
          </w:tcPr>
          <w:p w14:paraId="16372CDF">
            <w:pPr>
              <w:jc w:val="center"/>
              <w:rPr>
                <w:rFonts w:hint="eastAsia" w:ascii="黑体" w:hAnsi="黑体" w:eastAsia="黑体" w:cs="黑体"/>
                <w:b/>
                <w:bCs/>
                <w:color w:val="000000" w:themeColor="text1"/>
                <w:lang w:val="en-US" w:eastAsia="zh-CN"/>
              </w:rPr>
            </w:pPr>
            <w:r>
              <w:rPr>
                <w:rFonts w:hint="eastAsia" w:ascii="黑体" w:hAnsi="黑体" w:eastAsia="黑体" w:cs="黑体"/>
                <w:b/>
                <w:bCs/>
                <w:color w:val="000000" w:themeColor="text1"/>
                <w:lang w:val="en-US" w:eastAsia="zh-CN"/>
              </w:rPr>
              <w:t>所需资料</w:t>
            </w:r>
          </w:p>
        </w:tc>
        <w:tc>
          <w:tcPr>
            <w:tcW w:w="8835" w:type="dxa"/>
            <w:gridSpan w:val="9"/>
            <w:vAlign w:val="center"/>
          </w:tcPr>
          <w:p w14:paraId="27666D8E">
            <w:pPr>
              <w:jc w:val="left"/>
              <w:rPr>
                <w:rFonts w:hint="eastAsia" w:ascii="仿宋" w:hAnsi="仿宋" w:eastAsia="仿宋" w:cs="仿宋"/>
                <w:color w:val="000000" w:themeColor="text1"/>
                <w:sz w:val="18"/>
                <w:szCs w:val="18"/>
                <w:lang w:val="en-US" w:eastAsia="zh-CN"/>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业务操作规程和安全生产管理制度文本</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2、</w:t>
            </w:r>
            <w:r>
              <w:rPr>
                <w:rFonts w:hint="eastAsia" w:ascii="仿宋" w:hAnsi="仿宋" w:eastAsia="仿宋" w:cs="仿宋"/>
                <w:i w:val="0"/>
                <w:iCs w:val="0"/>
                <w:caps w:val="0"/>
                <w:color w:val="000000" w:themeColor="text1"/>
                <w:spacing w:val="0"/>
                <w:sz w:val="18"/>
                <w:szCs w:val="18"/>
              </w:rPr>
              <w:t>汽车客运站站级核定表（三级以下）</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3、</w:t>
            </w:r>
            <w:r>
              <w:rPr>
                <w:rFonts w:hint="eastAsia" w:ascii="仿宋" w:hAnsi="仿宋" w:eastAsia="仿宋" w:cs="仿宋"/>
                <w:i w:val="0"/>
                <w:iCs w:val="0"/>
                <w:caps w:val="0"/>
                <w:color w:val="000000" w:themeColor="text1"/>
                <w:spacing w:val="0"/>
                <w:sz w:val="18"/>
                <w:szCs w:val="18"/>
              </w:rPr>
              <w:t>客运站竣工验收证明和站级验收证明</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4、</w:t>
            </w:r>
            <w:r>
              <w:rPr>
                <w:rFonts w:hint="eastAsia" w:ascii="仿宋" w:hAnsi="仿宋" w:eastAsia="仿宋" w:cs="仿宋"/>
                <w:i w:val="0"/>
                <w:iCs w:val="0"/>
                <w:caps w:val="0"/>
                <w:color w:val="000000" w:themeColor="text1"/>
                <w:spacing w:val="0"/>
                <w:sz w:val="18"/>
                <w:szCs w:val="18"/>
              </w:rPr>
              <w:t>道路旅客运输站经营申请表（三级以下）</w:t>
            </w:r>
            <w:r>
              <w:rPr>
                <w:rFonts w:hint="eastAsia" w:ascii="仿宋" w:hAnsi="仿宋" w:eastAsia="仿宋" w:cs="仿宋"/>
                <w:i w:val="0"/>
                <w:iCs w:val="0"/>
                <w:caps w:val="0"/>
                <w:color w:val="000000" w:themeColor="text1"/>
                <w:spacing w:val="0"/>
                <w:sz w:val="18"/>
                <w:szCs w:val="18"/>
                <w:lang w:eastAsia="zh-CN"/>
              </w:rPr>
              <w:t>。</w:t>
            </w:r>
          </w:p>
        </w:tc>
      </w:tr>
      <w:tr w14:paraId="584DF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463" w:type="dxa"/>
            <w:vAlign w:val="center"/>
          </w:tcPr>
          <w:p w14:paraId="25DAC5C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0D1B8D9F">
            <w:pPr>
              <w:spacing w:line="240" w:lineRule="exac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690D6190">
            <w:pPr>
              <w:spacing w:line="240" w:lineRule="exact"/>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2712CD1A">
            <w:pPr>
              <w:spacing w:line="240" w:lineRule="exact"/>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7053971F">
            <w:pPr>
              <w:spacing w:line="240" w:lineRule="exact"/>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76098846">
            <w:pPr>
              <w:spacing w:line="240" w:lineRule="exact"/>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1187ECA2">
            <w:pPr>
              <w:spacing w:line="240" w:lineRule="exact"/>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2F4A6F8C">
            <w:pPr>
              <w:spacing w:line="240" w:lineRule="exact"/>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21AE2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8" w:hRule="atLeast"/>
          <w:jc w:val="center"/>
        </w:trPr>
        <w:tc>
          <w:tcPr>
            <w:tcW w:w="1463" w:type="dxa"/>
            <w:vAlign w:val="center"/>
          </w:tcPr>
          <w:p w14:paraId="1BCA97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48B4DEB1">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 w:hAnsi="仿宋" w:eastAsia="仿宋" w:cs="仿宋"/>
                <w:i w:val="0"/>
                <w:iCs w:val="0"/>
                <w:caps w:val="0"/>
                <w:color w:val="000000" w:themeColor="text1"/>
                <w:spacing w:val="0"/>
                <w:sz w:val="18"/>
                <w:szCs w:val="18"/>
                <w:shd w:val="clear" w:fill="FFFFFF"/>
              </w:rPr>
              <w:t>7828572</w:t>
            </w:r>
            <w:r>
              <w:rPr>
                <w:rFonts w:hint="eastAsia" w:ascii="仿宋" w:hAnsi="仿宋" w:eastAsia="仿宋" w:cs="仿宋"/>
                <w:color w:val="000000" w:themeColor="text1"/>
                <w:kern w:val="0"/>
                <w:sz w:val="18"/>
                <w:szCs w:val="18"/>
              </w:rPr>
              <w:t xml:space="preserve">   </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889B507">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20AE0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0" w:hRule="atLeast"/>
          <w:jc w:val="center"/>
        </w:trPr>
        <w:tc>
          <w:tcPr>
            <w:tcW w:w="1463" w:type="dxa"/>
            <w:vAlign w:val="center"/>
          </w:tcPr>
          <w:p w14:paraId="4751B5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70DF9FC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．不服确认决定自知道该具体行政行为之日起六十日内向抚宁区人民政府申请行政复议。</w:t>
            </w:r>
          </w:p>
          <w:p w14:paraId="7470938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．不服确认决定应当自知道或者应当知道作出行政行为之日起六个月内提出向抚宁区人民法院提起行政诉讼。</w:t>
            </w:r>
          </w:p>
        </w:tc>
      </w:tr>
      <w:tr w14:paraId="66C4C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3" w:hRule="atLeast"/>
          <w:jc w:val="center"/>
        </w:trPr>
        <w:tc>
          <w:tcPr>
            <w:tcW w:w="1463" w:type="dxa"/>
            <w:vAlign w:val="center"/>
          </w:tcPr>
          <w:p w14:paraId="692F38D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74ADBDFC">
            <w:pPr>
              <w:widowControl/>
              <w:jc w:val="left"/>
              <w:textAlignment w:val="center"/>
              <w:rPr>
                <w:rFonts w:ascii="黑体" w:eastAsia="黑体" w:cs="黑体"/>
                <w:color w:val="000000" w:themeColor="text1"/>
                <w:kern w:val="0"/>
                <w:sz w:val="18"/>
                <w:szCs w:val="18"/>
              </w:rPr>
            </w:pPr>
          </w:p>
        </w:tc>
      </w:tr>
    </w:tbl>
    <w:p w14:paraId="32C65AEA">
      <w:pPr>
        <w:rPr>
          <w:color w:val="000000" w:themeColor="text1"/>
        </w:rPr>
      </w:pPr>
    </w:p>
    <w:p w14:paraId="1A90A941">
      <w:pPr>
        <w:widowControl/>
        <w:ind w:firstLine="880" w:firstLineChars="200"/>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履职行权规程（行政确认类）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084"/>
        <w:gridCol w:w="879"/>
        <w:gridCol w:w="992"/>
        <w:gridCol w:w="567"/>
        <w:gridCol w:w="457"/>
        <w:gridCol w:w="1474"/>
      </w:tblGrid>
      <w:tr w14:paraId="5FC25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748441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CE8B84C">
            <w:pPr>
              <w:jc w:val="center"/>
              <w:rPr>
                <w:rFonts w:ascii="黑体" w:eastAsia="黑体" w:cs="黑体"/>
                <w:b/>
                <w:bCs/>
                <w:color w:val="000000" w:themeColor="text1"/>
                <w:szCs w:val="21"/>
              </w:rPr>
            </w:pPr>
            <w:r>
              <w:rPr>
                <w:rFonts w:ascii="黑体" w:eastAsia="黑体" w:cs="黑体"/>
                <w:b/>
                <w:bCs/>
                <w:color w:val="000000" w:themeColor="text1"/>
                <w:szCs w:val="21"/>
              </w:rPr>
              <w:t>212</w:t>
            </w:r>
          </w:p>
        </w:tc>
        <w:tc>
          <w:tcPr>
            <w:tcW w:w="1691" w:type="dxa"/>
            <w:vAlign w:val="center"/>
          </w:tcPr>
          <w:p w14:paraId="62F3925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00C1AF7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行政确认</w:t>
            </w:r>
          </w:p>
        </w:tc>
        <w:tc>
          <w:tcPr>
            <w:tcW w:w="1559" w:type="dxa"/>
            <w:gridSpan w:val="2"/>
            <w:vAlign w:val="center"/>
          </w:tcPr>
          <w:p w14:paraId="183623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E28F4C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2265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102CF4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171877E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黑体"/>
                <w:color w:val="000000" w:themeColor="text1"/>
                <w:sz w:val="18"/>
                <w:szCs w:val="18"/>
              </w:rPr>
              <w:t>确认特定时段开行包车或者加班车资质</w:t>
            </w:r>
          </w:p>
        </w:tc>
      </w:tr>
      <w:tr w14:paraId="615A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463" w:type="dxa"/>
            <w:vAlign w:val="center"/>
          </w:tcPr>
          <w:p w14:paraId="5EBF65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7069F13A">
            <w:pPr>
              <w:spacing w:line="240" w:lineRule="exact"/>
              <w:rPr>
                <w:rFonts w:ascii="仿宋" w:eastAsia="仿宋" w:cs="黑体"/>
                <w:color w:val="000000" w:themeColor="text1"/>
                <w:sz w:val="18"/>
                <w:szCs w:val="18"/>
              </w:rPr>
            </w:pPr>
            <w:r>
              <w:rPr>
                <w:rFonts w:hint="eastAsia" w:ascii="仿宋" w:eastAsia="仿宋" w:cs="黑体"/>
                <w:color w:val="000000" w:themeColor="text1"/>
                <w:sz w:val="18"/>
                <w:szCs w:val="18"/>
              </w:rPr>
              <w:t>【法律法规】</w:t>
            </w:r>
            <w:r>
              <w:rPr>
                <w:rFonts w:hint="eastAsia" w:ascii="仿宋" w:eastAsia="仿宋" w:cs="宋体"/>
                <w:color w:val="000000" w:themeColor="text1"/>
                <w:sz w:val="18"/>
                <w:szCs w:val="18"/>
              </w:rPr>
              <w:t>《道路旅客运输及客运站管理规定》（中华人民共和国交通运输部令</w:t>
            </w:r>
            <w:r>
              <w:rPr>
                <w:rFonts w:ascii="仿宋" w:eastAsia="仿宋" w:cs="??_GB2312"/>
                <w:color w:val="000000" w:themeColor="text1"/>
                <w:sz w:val="18"/>
                <w:szCs w:val="18"/>
              </w:rPr>
              <w:t>2023</w:t>
            </w:r>
            <w:r>
              <w:rPr>
                <w:rFonts w:hint="eastAsia" w:ascii="仿宋" w:eastAsia="仿宋" w:cs="宋体"/>
                <w:color w:val="000000" w:themeColor="text1"/>
                <w:sz w:val="18"/>
                <w:szCs w:val="18"/>
              </w:rPr>
              <w:t>年第</w:t>
            </w:r>
            <w:r>
              <w:rPr>
                <w:rFonts w:ascii="仿宋" w:eastAsia="仿宋" w:cs="??_GB2312"/>
                <w:color w:val="000000" w:themeColor="text1"/>
                <w:sz w:val="18"/>
                <w:szCs w:val="18"/>
              </w:rPr>
              <w:t>18</w:t>
            </w:r>
            <w:r>
              <w:rPr>
                <w:rFonts w:hint="eastAsia" w:ascii="仿宋" w:eastAsia="仿宋" w:cs="宋体"/>
                <w:color w:val="000000" w:themeColor="text1"/>
                <w:sz w:val="18"/>
                <w:szCs w:val="18"/>
              </w:rPr>
              <w:t>号）第三十六条</w:t>
            </w:r>
            <w:r>
              <w:rPr>
                <w:rFonts w:ascii="仿宋" w:eastAsia="仿宋" w:cs="??_GB2312"/>
                <w:color w:val="000000" w:themeColor="text1"/>
                <w:sz w:val="18"/>
                <w:szCs w:val="18"/>
              </w:rPr>
              <w:t>:</w:t>
            </w:r>
            <w:r>
              <w:rPr>
                <w:rFonts w:ascii="仿宋" w:eastAsia="仿宋" w:cs="微软雅黑"/>
                <w:color w:val="000000" w:themeColor="text1"/>
                <w:sz w:val="18"/>
                <w:szCs w:val="18"/>
              </w:rPr>
              <w:t xml:space="preserve"> </w:t>
            </w:r>
            <w:r>
              <w:rPr>
                <w:rFonts w:hint="eastAsia" w:ascii="仿宋" w:eastAsia="仿宋" w:cs="微软雅黑"/>
                <w:color w:val="000000" w:themeColor="text1"/>
                <w:sz w:val="18"/>
                <w:szCs w:val="18"/>
              </w:rPr>
              <w:t>在重大活动、节假日、春运期间、旅游旺季等特殊时段或者发生突发事件，客运经营者不能满足运力需求的，交通运输主管部门可以临时调用车辆技术等级不低于二级的营运客车和社会非营运客车开行包车或者加班车。非营运客车凭交通运输主管部门开具的证明运行。</w:t>
            </w:r>
          </w:p>
          <w:p w14:paraId="7202522E">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203F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208E8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74C746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42AA14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24" w:type="dxa"/>
            <w:gridSpan w:val="2"/>
            <w:vAlign w:val="center"/>
          </w:tcPr>
          <w:p w14:paraId="3D7CC95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74" w:type="dxa"/>
            <w:vAlign w:val="center"/>
          </w:tcPr>
          <w:p w14:paraId="76438BA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0466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08302D74">
            <w:pPr>
              <w:rPr>
                <w:color w:val="000000" w:themeColor="text1"/>
              </w:rPr>
            </w:pPr>
          </w:p>
        </w:tc>
        <w:tc>
          <w:tcPr>
            <w:tcW w:w="1050" w:type="dxa"/>
            <w:vAlign w:val="center"/>
          </w:tcPr>
          <w:p w14:paraId="00FF82F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4833D9FA">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r>
              <w:rPr>
                <w:rFonts w:ascii="仿宋_GB2312" w:eastAsia="仿宋_GB2312" w:cs="黑体"/>
                <w:color w:val="000000" w:themeColor="text1"/>
                <w:sz w:val="18"/>
                <w:szCs w:val="18"/>
              </w:rPr>
              <w:t xml:space="preserve"> </w:t>
            </w:r>
          </w:p>
        </w:tc>
        <w:tc>
          <w:tcPr>
            <w:tcW w:w="1024" w:type="dxa"/>
            <w:gridSpan w:val="2"/>
            <w:vAlign w:val="center"/>
          </w:tcPr>
          <w:p w14:paraId="5AA6FB9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474" w:type="dxa"/>
            <w:vAlign w:val="center"/>
          </w:tcPr>
          <w:p w14:paraId="53E6808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1E3E0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32271821">
            <w:pPr>
              <w:rPr>
                <w:color w:val="000000" w:themeColor="text1"/>
              </w:rPr>
            </w:pPr>
          </w:p>
        </w:tc>
        <w:tc>
          <w:tcPr>
            <w:tcW w:w="1050" w:type="dxa"/>
            <w:vAlign w:val="center"/>
          </w:tcPr>
          <w:p w14:paraId="773E5BB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6C4DEFD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对申请材料进行审核</w:t>
            </w:r>
            <w:r>
              <w:rPr>
                <w:rFonts w:ascii="仿宋_GB2312" w:eastAsia="仿宋_GB2312" w:cs="黑体"/>
                <w:color w:val="000000" w:themeColor="text1"/>
                <w:sz w:val="18"/>
                <w:szCs w:val="18"/>
              </w:rPr>
              <w:t>,</w:t>
            </w:r>
            <w:r>
              <w:rPr>
                <w:rFonts w:hint="eastAsia" w:ascii="仿宋_GB2312" w:eastAsia="仿宋_GB2312" w:cs="黑体"/>
                <w:color w:val="000000" w:themeColor="text1"/>
                <w:sz w:val="18"/>
                <w:szCs w:val="18"/>
              </w:rPr>
              <w:t>根据核查结果提出意见</w:t>
            </w:r>
            <w:r>
              <w:rPr>
                <w:rFonts w:ascii="仿宋_GB2312" w:eastAsia="仿宋_GB2312" w:cs="黑体"/>
                <w:color w:val="000000" w:themeColor="text1"/>
                <w:sz w:val="18"/>
                <w:szCs w:val="18"/>
              </w:rPr>
              <w:t>.</w:t>
            </w:r>
          </w:p>
        </w:tc>
        <w:tc>
          <w:tcPr>
            <w:tcW w:w="1024" w:type="dxa"/>
            <w:gridSpan w:val="2"/>
            <w:vAlign w:val="center"/>
          </w:tcPr>
          <w:p w14:paraId="5117606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0.5</w:t>
            </w:r>
            <w:r>
              <w:rPr>
                <w:rFonts w:hint="eastAsia" w:ascii="仿宋_GB2312" w:eastAsia="仿宋_GB2312" w:cs="黑体"/>
                <w:color w:val="000000" w:themeColor="text1"/>
                <w:sz w:val="18"/>
                <w:szCs w:val="18"/>
              </w:rPr>
              <w:t>个工作日</w:t>
            </w:r>
          </w:p>
        </w:tc>
        <w:tc>
          <w:tcPr>
            <w:tcW w:w="1474" w:type="dxa"/>
            <w:vAlign w:val="center"/>
          </w:tcPr>
          <w:p w14:paraId="00F8C60A">
            <w:pPr>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区</w:t>
            </w:r>
            <w:r>
              <w:rPr>
                <w:rFonts w:hint="eastAsia" w:ascii="仿宋" w:hAnsi="仿宋" w:eastAsia="仿宋" w:cs="仿宋"/>
                <w:color w:val="000000" w:themeColor="text1"/>
                <w:sz w:val="18"/>
                <w:szCs w:val="18"/>
                <w:lang w:eastAsia="zh-CN"/>
              </w:rPr>
              <w:t>交通运输局运输管理股</w:t>
            </w:r>
          </w:p>
        </w:tc>
      </w:tr>
      <w:tr w14:paraId="33E1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638530F2">
            <w:pPr>
              <w:rPr>
                <w:color w:val="000000" w:themeColor="text1"/>
              </w:rPr>
            </w:pPr>
          </w:p>
        </w:tc>
        <w:tc>
          <w:tcPr>
            <w:tcW w:w="1050" w:type="dxa"/>
            <w:vAlign w:val="center"/>
          </w:tcPr>
          <w:p w14:paraId="2CC3594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tcBorders>
              <w:bottom w:val="single" w:color="auto" w:sz="4" w:space="0"/>
            </w:tcBorders>
            <w:vAlign w:val="center"/>
          </w:tcPr>
          <w:p w14:paraId="6F44846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核发临时客运班车标志牌</w:t>
            </w:r>
            <w:r>
              <w:rPr>
                <w:rFonts w:ascii="仿宋_GB2312" w:eastAsia="仿宋_GB2312" w:cs="黑体"/>
                <w:color w:val="000000" w:themeColor="text1"/>
                <w:sz w:val="18"/>
                <w:szCs w:val="18"/>
              </w:rPr>
              <w:t>.</w:t>
            </w:r>
          </w:p>
        </w:tc>
        <w:tc>
          <w:tcPr>
            <w:tcW w:w="1024" w:type="dxa"/>
            <w:gridSpan w:val="2"/>
            <w:vAlign w:val="center"/>
          </w:tcPr>
          <w:p w14:paraId="2DBF26E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0</w:t>
            </w:r>
            <w:r>
              <w:rPr>
                <w:rFonts w:hint="eastAsia" w:ascii="仿宋_GB2312" w:eastAsia="仿宋_GB2312" w:cs="黑体"/>
                <w:color w:val="000000" w:themeColor="text1"/>
                <w:sz w:val="18"/>
                <w:szCs w:val="18"/>
              </w:rPr>
              <w:t>个工作日</w:t>
            </w:r>
          </w:p>
        </w:tc>
        <w:tc>
          <w:tcPr>
            <w:tcW w:w="1474" w:type="dxa"/>
            <w:vAlign w:val="center"/>
          </w:tcPr>
          <w:p w14:paraId="2D498F85">
            <w:pPr>
              <w:jc w:val="center"/>
              <w:rPr>
                <w:rFonts w:ascii="仿宋" w:hAnsi="仿宋" w:eastAsia="仿宋" w:cs="仿宋"/>
                <w:color w:val="000000" w:themeColor="text1"/>
                <w:sz w:val="18"/>
                <w:szCs w:val="18"/>
              </w:rPr>
            </w:pPr>
            <w:r>
              <w:rPr>
                <w:rFonts w:hint="eastAsia" w:ascii="仿宋_GB2312" w:eastAsia="仿宋_GB2312" w:cs="黑体"/>
                <w:color w:val="000000" w:themeColor="text1"/>
                <w:sz w:val="18"/>
                <w:szCs w:val="18"/>
              </w:rPr>
              <w:t>政务服务中心交通窗口</w:t>
            </w:r>
          </w:p>
        </w:tc>
      </w:tr>
      <w:tr w14:paraId="39A8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shd w:val="clear" w:color="auto" w:fill="auto"/>
            <w:vAlign w:val="center"/>
          </w:tcPr>
          <w:p w14:paraId="70E3FE67">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466" w:type="dxa"/>
            <w:gridSpan w:val="4"/>
            <w:tcBorders>
              <w:right w:val="single" w:color="auto" w:sz="4" w:space="0"/>
            </w:tcBorders>
            <w:shd w:val="clear" w:color="auto" w:fill="auto"/>
            <w:vAlign w:val="center"/>
          </w:tcPr>
          <w:p w14:paraId="3986D5E2">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871" w:type="dxa"/>
            <w:gridSpan w:val="2"/>
            <w:tcBorders>
              <w:top w:val="single" w:color="auto" w:sz="4" w:space="0"/>
              <w:left w:val="single" w:color="auto" w:sz="4" w:space="0"/>
            </w:tcBorders>
            <w:shd w:val="clear" w:color="auto" w:fill="auto"/>
            <w:vAlign w:val="center"/>
          </w:tcPr>
          <w:p w14:paraId="579EB75A">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71A0AC1C">
            <w:pPr>
              <w:jc w:val="center"/>
              <w:rPr>
                <w:rFonts w:hint="eastAsia" w:ascii="仿宋" w:hAnsi="仿宋" w:eastAsia="仿宋" w:cs="仿宋"/>
                <w:color w:val="000000" w:themeColor="text1"/>
                <w:sz w:val="18"/>
                <w:szCs w:val="18"/>
              </w:rPr>
            </w:pPr>
            <w:r>
              <w:rPr>
                <w:rFonts w:hint="eastAsia" w:ascii="仿宋_GB2312" w:eastAsia="仿宋_GB2312" w:cs="黑体"/>
                <w:color w:val="000000" w:themeColor="text1"/>
                <w:sz w:val="18"/>
                <w:szCs w:val="18"/>
                <w:lang w:eastAsia="zh-CN"/>
              </w:rPr>
              <w:t>否</w:t>
            </w:r>
          </w:p>
        </w:tc>
      </w:tr>
      <w:tr w14:paraId="08918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shd w:val="clear" w:color="auto" w:fill="auto"/>
            <w:vAlign w:val="center"/>
          </w:tcPr>
          <w:p w14:paraId="17930EE5">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0BD06B9B">
            <w:pPr>
              <w:jc w:val="left"/>
              <w:rPr>
                <w:rFonts w:hint="eastAsia" w:ascii="仿宋" w:hAnsi="仿宋" w:eastAsia="微软雅黑" w:cs="仿宋"/>
                <w:color w:val="000000" w:themeColor="text1"/>
                <w:sz w:val="18"/>
                <w:szCs w:val="18"/>
                <w:lang w:val="en-US" w:eastAsia="zh-CN"/>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承运车辆的《道路运输证》和《车辆行驶证》</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2、</w:t>
            </w:r>
            <w:r>
              <w:rPr>
                <w:rFonts w:hint="eastAsia" w:ascii="仿宋" w:hAnsi="仿宋" w:eastAsia="仿宋" w:cs="仿宋"/>
                <w:i w:val="0"/>
                <w:iCs w:val="0"/>
                <w:caps w:val="0"/>
                <w:color w:val="000000" w:themeColor="text1"/>
                <w:spacing w:val="0"/>
                <w:sz w:val="18"/>
                <w:szCs w:val="18"/>
              </w:rPr>
              <w:t>从业人员驾驶证和从业资格证及复印件</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3、</w:t>
            </w:r>
            <w:r>
              <w:rPr>
                <w:rFonts w:hint="eastAsia" w:ascii="仿宋" w:hAnsi="仿宋" w:eastAsia="仿宋" w:cs="仿宋"/>
                <w:i w:val="0"/>
                <w:iCs w:val="0"/>
                <w:caps w:val="0"/>
                <w:color w:val="000000" w:themeColor="text1"/>
                <w:spacing w:val="0"/>
                <w:sz w:val="18"/>
                <w:szCs w:val="18"/>
              </w:rPr>
              <w:t>车辆承运人责任险</w:t>
            </w:r>
            <w:r>
              <w:rPr>
                <w:rFonts w:hint="eastAsia" w:ascii="仿宋" w:hAnsi="仿宋" w:eastAsia="仿宋" w:cs="仿宋"/>
                <w:i w:val="0"/>
                <w:iCs w:val="0"/>
                <w:caps w:val="0"/>
                <w:color w:val="000000" w:themeColor="text1"/>
                <w:spacing w:val="0"/>
                <w:sz w:val="18"/>
                <w:szCs w:val="18"/>
                <w:lang w:eastAsia="zh-CN"/>
              </w:rPr>
              <w:t>；</w:t>
            </w:r>
            <w:r>
              <w:rPr>
                <w:rFonts w:hint="eastAsia" w:ascii="仿宋" w:hAnsi="仿宋" w:eastAsia="仿宋" w:cs="仿宋"/>
                <w:i w:val="0"/>
                <w:iCs w:val="0"/>
                <w:caps w:val="0"/>
                <w:color w:val="000000" w:themeColor="text1"/>
                <w:spacing w:val="0"/>
                <w:sz w:val="18"/>
                <w:szCs w:val="18"/>
                <w:lang w:val="en-US" w:eastAsia="zh-CN"/>
              </w:rPr>
              <w:t>4、</w:t>
            </w:r>
            <w:r>
              <w:rPr>
                <w:rFonts w:hint="eastAsia" w:ascii="仿宋" w:hAnsi="仿宋" w:eastAsia="仿宋" w:cs="仿宋"/>
                <w:i w:val="0"/>
                <w:iCs w:val="0"/>
                <w:caps w:val="0"/>
                <w:color w:val="000000" w:themeColor="text1"/>
                <w:spacing w:val="0"/>
                <w:sz w:val="18"/>
                <w:szCs w:val="18"/>
              </w:rPr>
              <w:t>客运企业临时客运班车标牌申请表</w:t>
            </w:r>
            <w:r>
              <w:rPr>
                <w:rFonts w:hint="eastAsia" w:ascii="仿宋" w:hAnsi="仿宋" w:eastAsia="仿宋" w:cs="仿宋"/>
                <w:i w:val="0"/>
                <w:iCs w:val="0"/>
                <w:caps w:val="0"/>
                <w:color w:val="000000" w:themeColor="text1"/>
                <w:spacing w:val="0"/>
                <w:sz w:val="18"/>
                <w:szCs w:val="18"/>
                <w:lang w:eastAsia="zh-CN"/>
              </w:rPr>
              <w:t>。</w:t>
            </w:r>
          </w:p>
        </w:tc>
      </w:tr>
      <w:tr w14:paraId="64113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378" w:hRule="atLeast"/>
          <w:jc w:val="center"/>
        </w:trPr>
        <w:tc>
          <w:tcPr>
            <w:tcW w:w="1463" w:type="dxa"/>
            <w:vAlign w:val="center"/>
          </w:tcPr>
          <w:p w14:paraId="5510918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064B922C">
            <w:pPr>
              <w:spacing w:line="240" w:lineRule="exact"/>
              <w:rPr>
                <w:rFonts w:ascii="仿宋_GB2312" w:eastAsia="仿宋_GB2312" w:cs="黑体"/>
                <w:color w:val="000000" w:themeColor="text1"/>
                <w:kern w:val="0"/>
                <w:sz w:val="18"/>
                <w:szCs w:val="18"/>
              </w:rPr>
            </w:pPr>
            <w:r>
              <w:rPr>
                <w:rFonts w:hint="eastAsia" w:ascii="仿宋_GB2312" w:eastAsia="仿宋_GB2312" w:cs="黑体"/>
                <w:color w:val="000000" w:themeColor="text1"/>
                <w:kern w:val="0"/>
                <w:sz w:val="18"/>
                <w:szCs w:val="18"/>
              </w:rPr>
              <w:t>因不履行或不正确履行行政职责，有下列情形的，行政机关及相关工作人员应承担相应责任：</w:t>
            </w:r>
          </w:p>
          <w:p w14:paraId="1C90FFE5">
            <w:pPr>
              <w:spacing w:line="240" w:lineRule="exact"/>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对符合受理条件的行政确认申请不予受理；</w:t>
            </w:r>
          </w:p>
          <w:p w14:paraId="43B42CA3">
            <w:pPr>
              <w:spacing w:line="240" w:lineRule="exact"/>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2.</w:t>
            </w:r>
            <w:r>
              <w:rPr>
                <w:rFonts w:hint="eastAsia" w:ascii="仿宋_GB2312" w:eastAsia="仿宋_GB2312" w:cs="黑体"/>
                <w:color w:val="000000" w:themeColor="text1"/>
                <w:kern w:val="0"/>
                <w:sz w:val="18"/>
                <w:szCs w:val="18"/>
              </w:rPr>
              <w:t>对不符合条件的受理、办理的情形；</w:t>
            </w:r>
          </w:p>
          <w:p w14:paraId="105D0012">
            <w:pPr>
              <w:spacing w:line="240" w:lineRule="exact"/>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未严格按照相关政策、法律、法规履行审查义务，对应当予以确认的不予确认，或者对不应确认的予以确认；</w:t>
            </w:r>
          </w:p>
          <w:p w14:paraId="6518757F">
            <w:pPr>
              <w:spacing w:line="240" w:lineRule="exact"/>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4.</w:t>
            </w:r>
            <w:r>
              <w:rPr>
                <w:rFonts w:hint="eastAsia" w:ascii="仿宋_GB2312" w:eastAsia="仿宋_GB2312" w:cs="黑体"/>
                <w:color w:val="000000" w:themeColor="text1"/>
                <w:kern w:val="0"/>
                <w:sz w:val="18"/>
                <w:szCs w:val="18"/>
              </w:rPr>
              <w:t>在审查过程中玩忽职守、滥用职权的；</w:t>
            </w:r>
          </w:p>
          <w:p w14:paraId="082F30F0">
            <w:pPr>
              <w:spacing w:line="240" w:lineRule="exact"/>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5.</w:t>
            </w:r>
            <w:r>
              <w:rPr>
                <w:rFonts w:hint="eastAsia" w:ascii="仿宋_GB2312" w:eastAsia="仿宋_GB2312" w:cs="黑体"/>
                <w:color w:val="000000" w:themeColor="text1"/>
                <w:kern w:val="0"/>
                <w:sz w:val="18"/>
                <w:szCs w:val="18"/>
              </w:rPr>
              <w:t>在行使行政权力过程中发生腐败行为的；</w:t>
            </w:r>
          </w:p>
          <w:p w14:paraId="4E8BA65D">
            <w:pPr>
              <w:spacing w:line="240" w:lineRule="exact"/>
              <w:rPr>
                <w:rFonts w:ascii="黑体" w:eastAsia="黑体" w:cs="黑体"/>
                <w:color w:val="000000" w:themeColor="text1"/>
                <w:szCs w:val="21"/>
              </w:rPr>
            </w:pPr>
            <w:r>
              <w:rPr>
                <w:rFonts w:ascii="仿宋_GB2312" w:eastAsia="仿宋_GB2312" w:cs="黑体"/>
                <w:color w:val="000000" w:themeColor="text1"/>
                <w:kern w:val="0"/>
                <w:sz w:val="18"/>
                <w:szCs w:val="18"/>
              </w:rPr>
              <w:t>6.</w:t>
            </w:r>
            <w:r>
              <w:rPr>
                <w:rFonts w:hint="eastAsia" w:ascii="仿宋_GB2312" w:eastAsia="仿宋_GB2312" w:cs="黑体"/>
                <w:color w:val="000000" w:themeColor="text1"/>
                <w:kern w:val="0"/>
                <w:sz w:val="18"/>
                <w:szCs w:val="18"/>
              </w:rPr>
              <w:t>其他违反法律法规规章文件规定的行为。</w:t>
            </w:r>
          </w:p>
        </w:tc>
      </w:tr>
      <w:tr w14:paraId="2101A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499CA5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4352E2EA">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 xml:space="preserve"> </w:t>
            </w:r>
            <w:r>
              <w:rPr>
                <w:rFonts w:hint="eastAsia" w:ascii="仿宋" w:hAnsi="仿宋" w:eastAsia="仿宋" w:cs="仿宋"/>
                <w:i w:val="0"/>
                <w:iCs w:val="0"/>
                <w:caps w:val="0"/>
                <w:color w:val="000000" w:themeColor="text1"/>
                <w:spacing w:val="0"/>
                <w:sz w:val="18"/>
                <w:szCs w:val="18"/>
                <w:shd w:val="clear" w:fill="FFFFFF"/>
              </w:rPr>
              <w:t>7828572</w:t>
            </w:r>
            <w:r>
              <w:rPr>
                <w:rFonts w:hint="eastAsia" w:ascii="仿宋" w:hAnsi="仿宋" w:eastAsia="仿宋" w:cs="仿宋"/>
                <w:color w:val="000000" w:themeColor="text1"/>
                <w:kern w:val="0"/>
                <w:sz w:val="18"/>
                <w:szCs w:val="18"/>
              </w:rPr>
              <w:t xml:space="preserve">  </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EAEB09D">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FA5C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393263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2A441BB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．不服确认决定自知道该具体行政行为之日起六十日内向抚宁区人民政府申请行政复议。</w:t>
            </w:r>
          </w:p>
          <w:p w14:paraId="5EDB333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．不服确认决定应当自知道或者应当知道作出行政行为之日起六个月内提出向抚宁区人民法院提起行政诉讼。</w:t>
            </w:r>
          </w:p>
        </w:tc>
      </w:tr>
      <w:tr w14:paraId="03FF8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0" w:hRule="atLeast"/>
          <w:jc w:val="center"/>
        </w:trPr>
        <w:tc>
          <w:tcPr>
            <w:tcW w:w="1463" w:type="dxa"/>
            <w:vAlign w:val="center"/>
          </w:tcPr>
          <w:p w14:paraId="75D6BF1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348E4728">
            <w:pPr>
              <w:widowControl/>
              <w:jc w:val="left"/>
              <w:textAlignment w:val="center"/>
              <w:rPr>
                <w:rFonts w:ascii="黑体" w:eastAsia="黑体" w:cs="黑体"/>
                <w:color w:val="000000" w:themeColor="text1"/>
                <w:kern w:val="0"/>
                <w:sz w:val="18"/>
                <w:szCs w:val="18"/>
              </w:rPr>
            </w:pPr>
          </w:p>
        </w:tc>
      </w:tr>
    </w:tbl>
    <w:p w14:paraId="63365BEB">
      <w:pPr>
        <w:rPr>
          <w:color w:val="000000" w:themeColor="text1"/>
        </w:rPr>
      </w:pPr>
    </w:p>
    <w:p w14:paraId="0568B705">
      <w:pPr>
        <w:widowControl/>
        <w:textAlignment w:val="center"/>
        <w:rPr>
          <w:rFonts w:ascii="方正小标宋简体" w:eastAsia="方正小标宋简体" w:cs="方正小标宋简体"/>
          <w:color w:val="000000" w:themeColor="text1"/>
          <w:kern w:val="0"/>
          <w:sz w:val="44"/>
          <w:szCs w:val="44"/>
        </w:rPr>
      </w:pPr>
    </w:p>
    <w:p w14:paraId="67976AFF">
      <w:pPr>
        <w:widowControl/>
        <w:ind w:firstLine="1320" w:firstLineChars="300"/>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履职行权规程（行政确认类）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414"/>
        <w:gridCol w:w="549"/>
        <w:gridCol w:w="992"/>
        <w:gridCol w:w="567"/>
        <w:gridCol w:w="375"/>
        <w:gridCol w:w="1556"/>
      </w:tblGrid>
      <w:tr w14:paraId="30E9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A69596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0479AFFB">
            <w:pPr>
              <w:jc w:val="center"/>
              <w:rPr>
                <w:rFonts w:ascii="黑体" w:eastAsia="黑体" w:cs="黑体"/>
                <w:b/>
                <w:bCs/>
                <w:color w:val="000000" w:themeColor="text1"/>
                <w:szCs w:val="21"/>
              </w:rPr>
            </w:pPr>
            <w:r>
              <w:rPr>
                <w:rFonts w:ascii="黑体" w:eastAsia="黑体" w:cs="黑体"/>
                <w:b/>
                <w:bCs/>
                <w:color w:val="000000" w:themeColor="text1"/>
                <w:szCs w:val="21"/>
              </w:rPr>
              <w:t>213</w:t>
            </w:r>
          </w:p>
        </w:tc>
        <w:tc>
          <w:tcPr>
            <w:tcW w:w="1691" w:type="dxa"/>
            <w:vAlign w:val="center"/>
          </w:tcPr>
          <w:p w14:paraId="691BB98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9CA0C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行政确认</w:t>
            </w:r>
          </w:p>
        </w:tc>
        <w:tc>
          <w:tcPr>
            <w:tcW w:w="1559" w:type="dxa"/>
            <w:gridSpan w:val="2"/>
            <w:vAlign w:val="center"/>
          </w:tcPr>
          <w:p w14:paraId="5CA724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60053D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CA6C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04204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304A947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黑体"/>
                <w:color w:val="000000" w:themeColor="text1"/>
                <w:sz w:val="18"/>
                <w:szCs w:val="18"/>
              </w:rPr>
              <w:t>公路工程竣工质量复测</w:t>
            </w:r>
          </w:p>
        </w:tc>
      </w:tr>
      <w:tr w14:paraId="4AFB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463" w:type="dxa"/>
            <w:vAlign w:val="center"/>
          </w:tcPr>
          <w:p w14:paraId="0EC687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693508EE">
            <w:pPr>
              <w:spacing w:line="240" w:lineRule="exact"/>
              <w:rPr>
                <w:rFonts w:ascii="仿宋" w:eastAsia="仿宋" w:cs="黑体"/>
                <w:color w:val="000000" w:themeColor="text1"/>
                <w:sz w:val="18"/>
                <w:szCs w:val="18"/>
              </w:rPr>
            </w:pPr>
            <w:r>
              <w:rPr>
                <w:rFonts w:hint="eastAsia" w:ascii="仿宋" w:eastAsia="仿宋" w:cs="黑体"/>
                <w:color w:val="000000" w:themeColor="text1"/>
                <w:sz w:val="18"/>
                <w:szCs w:val="18"/>
              </w:rPr>
              <w:t>【法律法规】《公路水运工程质量监督管理规定》</w:t>
            </w:r>
            <w:r>
              <w:rPr>
                <w:rFonts w:ascii="仿宋" w:eastAsia="仿宋" w:cs="黑体"/>
                <w:color w:val="000000" w:themeColor="text1"/>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黑体"/>
                <w:color w:val="000000" w:themeColor="text1"/>
                <w:sz w:val="18"/>
                <w:szCs w:val="18"/>
              </w:rPr>
              <w:t>交通运输部令</w:t>
            </w:r>
            <w:r>
              <w:rPr>
                <w:rFonts w:ascii="仿宋" w:eastAsia="仿宋" w:cs="黑体"/>
                <w:color w:val="000000" w:themeColor="text1"/>
                <w:sz w:val="18"/>
                <w:szCs w:val="18"/>
              </w:rPr>
              <w:t>[2017]28</w:t>
            </w:r>
            <w:r>
              <w:rPr>
                <w:rFonts w:hint="eastAsia" w:ascii="仿宋" w:eastAsia="仿宋" w:cs="黑体"/>
                <w:color w:val="000000" w:themeColor="text1"/>
                <w:sz w:val="18"/>
                <w:szCs w:val="18"/>
              </w:rPr>
              <w:t>号</w:t>
            </w:r>
            <w:r>
              <w:rPr>
                <w:rFonts w:ascii="仿宋" w:eastAsia="仿宋" w:cs="黑体"/>
                <w:color w:val="000000" w:themeColor="text1"/>
                <w:sz w:val="18"/>
                <w:szCs w:val="18"/>
              </w:rPr>
              <w:t>)</w:t>
            </w:r>
            <w:r>
              <w:rPr>
                <w:rFonts w:hint="eastAsia" w:ascii="仿宋" w:eastAsia="仿宋" w:cs="黑体"/>
                <w:color w:val="000000" w:themeColor="text1"/>
                <w:sz w:val="18"/>
                <w:szCs w:val="18"/>
              </w:rPr>
              <w:t>第二十六条</w:t>
            </w:r>
            <w:r>
              <w:rPr>
                <w:rFonts w:ascii="仿宋" w:eastAsia="仿宋" w:cs="黑体"/>
                <w:color w:val="000000" w:themeColor="text1"/>
                <w:sz w:val="18"/>
                <w:szCs w:val="18"/>
              </w:rPr>
              <w:t xml:space="preserve"> </w:t>
            </w:r>
            <w:r>
              <w:rPr>
                <w:rFonts w:hint="eastAsia" w:ascii="仿宋" w:eastAsia="仿宋" w:cs="黑体"/>
                <w:color w:val="000000" w:themeColor="text1"/>
                <w:sz w:val="18"/>
                <w:szCs w:val="18"/>
              </w:rPr>
              <w:t>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p w14:paraId="0AEB306D">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号第三条第八款承担全区公路建设市场监管责任</w:t>
            </w:r>
            <w:r>
              <w:rPr>
                <w:rFonts w:ascii="仿宋" w:eastAsia="仿宋" w:cs="仿宋_GB2312"/>
                <w:color w:val="000000" w:themeColor="text1"/>
                <w:kern w:val="0"/>
                <w:sz w:val="18"/>
                <w:szCs w:val="18"/>
              </w:rPr>
              <w:t>.</w:t>
            </w:r>
            <w:r>
              <w:rPr>
                <w:rFonts w:hint="eastAsia" w:asci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AFB8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C08A5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263927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4CB6B40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42" w:type="dxa"/>
            <w:gridSpan w:val="2"/>
            <w:vAlign w:val="center"/>
          </w:tcPr>
          <w:p w14:paraId="415FBF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56" w:type="dxa"/>
            <w:vAlign w:val="center"/>
          </w:tcPr>
          <w:p w14:paraId="75B85C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8504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40" w:hRule="atLeast"/>
          <w:jc w:val="center"/>
        </w:trPr>
        <w:tc>
          <w:tcPr>
            <w:tcW w:w="1463" w:type="dxa"/>
            <w:vMerge w:val="continue"/>
            <w:vAlign w:val="center"/>
          </w:tcPr>
          <w:p w14:paraId="3C7095F1">
            <w:pPr>
              <w:rPr>
                <w:color w:val="000000" w:themeColor="text1"/>
              </w:rPr>
            </w:pPr>
          </w:p>
        </w:tc>
        <w:tc>
          <w:tcPr>
            <w:tcW w:w="1050" w:type="dxa"/>
            <w:vAlign w:val="center"/>
          </w:tcPr>
          <w:p w14:paraId="062FD17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678EF114">
            <w:pPr>
              <w:spacing w:line="240" w:lineRule="exact"/>
              <w:jc w:val="left"/>
              <w:rPr>
                <w:rFonts w:hint="eastAsia" w:ascii="仿宋_GB2312" w:eastAsia="仿宋_GB2312" w:cs="黑体"/>
                <w:color w:val="000000" w:themeColor="text1"/>
                <w:sz w:val="18"/>
                <w:szCs w:val="18"/>
                <w:lang w:eastAsia="zh-CN"/>
              </w:rPr>
            </w:pPr>
            <w:r>
              <w:rPr>
                <w:rFonts w:hint="eastAsia" w:ascii="仿宋" w:hAnsi="仿宋" w:eastAsia="仿宋" w:cs="宋体"/>
                <w:color w:val="000000" w:themeColor="text1"/>
                <w:sz w:val="18"/>
                <w:szCs w:val="18"/>
              </w:rPr>
              <w:t>对公路水运工程竣工验收前，根据交通运输主管部门拟定的验收工作计划，受理对工程质量复测工作。</w:t>
            </w:r>
          </w:p>
        </w:tc>
        <w:tc>
          <w:tcPr>
            <w:tcW w:w="942" w:type="dxa"/>
            <w:gridSpan w:val="2"/>
            <w:vAlign w:val="center"/>
          </w:tcPr>
          <w:p w14:paraId="6B8728B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56" w:type="dxa"/>
            <w:vAlign w:val="center"/>
          </w:tcPr>
          <w:p w14:paraId="44BEC89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0E07D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7" w:hRule="atLeast"/>
          <w:jc w:val="center"/>
        </w:trPr>
        <w:tc>
          <w:tcPr>
            <w:tcW w:w="1463" w:type="dxa"/>
            <w:vMerge w:val="continue"/>
            <w:vAlign w:val="center"/>
          </w:tcPr>
          <w:p w14:paraId="2DEBE872">
            <w:pPr>
              <w:rPr>
                <w:color w:val="000000" w:themeColor="text1"/>
              </w:rPr>
            </w:pPr>
          </w:p>
        </w:tc>
        <w:tc>
          <w:tcPr>
            <w:tcW w:w="1050" w:type="dxa"/>
            <w:vAlign w:val="center"/>
          </w:tcPr>
          <w:p w14:paraId="3D581236">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审核勘验</w:t>
            </w:r>
          </w:p>
        </w:tc>
        <w:tc>
          <w:tcPr>
            <w:tcW w:w="5287" w:type="dxa"/>
            <w:gridSpan w:val="5"/>
            <w:vAlign w:val="center"/>
          </w:tcPr>
          <w:p w14:paraId="5CE6FF1B">
            <w:pPr>
              <w:jc w:val="center"/>
              <w:rPr>
                <w:rFonts w:hint="eastAsia" w:ascii="仿宋_GB2312" w:eastAsia="仿宋" w:cs="黑体"/>
                <w:color w:val="000000" w:themeColor="text1"/>
                <w:sz w:val="18"/>
                <w:szCs w:val="18"/>
                <w:lang w:eastAsia="zh-CN"/>
              </w:rPr>
            </w:pPr>
            <w:r>
              <w:rPr>
                <w:rFonts w:hint="eastAsia" w:ascii="仿宋" w:hAnsi="仿宋" w:eastAsia="仿宋" w:cs="宋体"/>
                <w:color w:val="000000" w:themeColor="text1"/>
                <w:sz w:val="18"/>
                <w:szCs w:val="18"/>
              </w:rPr>
              <w:t>对符合竣工验收复测条件的公路工程，组织复测，出具项目工程质量鉴定报告和项目工程质量监督管理工作报告。</w:t>
            </w:r>
          </w:p>
        </w:tc>
        <w:tc>
          <w:tcPr>
            <w:tcW w:w="942" w:type="dxa"/>
            <w:gridSpan w:val="2"/>
            <w:vAlign w:val="center"/>
          </w:tcPr>
          <w:p w14:paraId="1563DD3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13</w:t>
            </w:r>
            <w:r>
              <w:rPr>
                <w:rFonts w:hint="eastAsia" w:ascii="仿宋_GB2312" w:eastAsia="仿宋_GB2312" w:cs="黑体"/>
                <w:color w:val="000000" w:themeColor="text1"/>
                <w:sz w:val="18"/>
                <w:szCs w:val="18"/>
              </w:rPr>
              <w:t>个工作日</w:t>
            </w:r>
          </w:p>
        </w:tc>
        <w:tc>
          <w:tcPr>
            <w:tcW w:w="1556" w:type="dxa"/>
            <w:vAlign w:val="center"/>
          </w:tcPr>
          <w:p w14:paraId="1DDC7137">
            <w:pPr>
              <w:jc w:val="center"/>
              <w:rPr>
                <w:rFonts w:hint="eastAsia" w:ascii="仿宋" w:eastAsia="仿宋" w:cs="黑体"/>
                <w:color w:val="000000" w:themeColor="text1"/>
                <w:sz w:val="18"/>
                <w:szCs w:val="18"/>
                <w:lang w:eastAsia="zh-CN"/>
              </w:rPr>
            </w:pPr>
            <w:r>
              <w:rPr>
                <w:rFonts w:hint="eastAsia" w:ascii="仿宋" w:hAnsi="仿宋" w:eastAsia="仿宋" w:cs="仿宋"/>
                <w:color w:val="000000" w:themeColor="text1"/>
                <w:sz w:val="18"/>
                <w:szCs w:val="18"/>
              </w:rPr>
              <w:t>区</w:t>
            </w:r>
            <w:r>
              <w:rPr>
                <w:rFonts w:hint="eastAsia" w:ascii="仿宋" w:hAnsi="仿宋" w:eastAsia="仿宋" w:cs="仿宋"/>
                <w:color w:val="000000" w:themeColor="text1"/>
                <w:sz w:val="18"/>
                <w:szCs w:val="18"/>
                <w:lang w:eastAsia="zh-CN"/>
              </w:rPr>
              <w:t>交通运输局公路管理股</w:t>
            </w:r>
          </w:p>
        </w:tc>
      </w:tr>
      <w:tr w14:paraId="10C2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07" w:hRule="atLeast"/>
          <w:jc w:val="center"/>
        </w:trPr>
        <w:tc>
          <w:tcPr>
            <w:tcW w:w="1463" w:type="dxa"/>
            <w:vMerge w:val="continue"/>
            <w:vAlign w:val="center"/>
          </w:tcPr>
          <w:p w14:paraId="37E62862">
            <w:pPr>
              <w:rPr>
                <w:color w:val="000000" w:themeColor="text1"/>
              </w:rPr>
            </w:pPr>
          </w:p>
        </w:tc>
        <w:tc>
          <w:tcPr>
            <w:tcW w:w="1050" w:type="dxa"/>
            <w:vAlign w:val="center"/>
          </w:tcPr>
          <w:p w14:paraId="46AA949B">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办结</w:t>
            </w:r>
          </w:p>
        </w:tc>
        <w:tc>
          <w:tcPr>
            <w:tcW w:w="5287" w:type="dxa"/>
            <w:gridSpan w:val="5"/>
            <w:vAlign w:val="center"/>
          </w:tcPr>
          <w:p w14:paraId="50FA598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对确认结果进行反馈。</w:t>
            </w:r>
          </w:p>
        </w:tc>
        <w:tc>
          <w:tcPr>
            <w:tcW w:w="942" w:type="dxa"/>
            <w:gridSpan w:val="2"/>
            <w:vAlign w:val="center"/>
          </w:tcPr>
          <w:p w14:paraId="6F26DC8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56" w:type="dxa"/>
            <w:vAlign w:val="center"/>
          </w:tcPr>
          <w:p w14:paraId="1ED2ECDC">
            <w:pPr>
              <w:jc w:val="center"/>
              <w:rPr>
                <w:rFonts w:asci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16927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7" w:hRule="atLeast"/>
          <w:jc w:val="center"/>
        </w:trPr>
        <w:tc>
          <w:tcPr>
            <w:tcW w:w="1463" w:type="dxa"/>
            <w:shd w:val="clear" w:color="auto" w:fill="auto"/>
            <w:vAlign w:val="center"/>
          </w:tcPr>
          <w:p w14:paraId="59172A3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96" w:type="dxa"/>
            <w:gridSpan w:val="4"/>
            <w:tcBorders>
              <w:right w:val="single" w:color="auto" w:sz="4" w:space="0"/>
            </w:tcBorders>
            <w:shd w:val="clear" w:color="auto" w:fill="auto"/>
            <w:vAlign w:val="center"/>
          </w:tcPr>
          <w:p w14:paraId="3CA38BCF">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41" w:type="dxa"/>
            <w:gridSpan w:val="2"/>
            <w:tcBorders>
              <w:left w:val="single" w:color="auto" w:sz="4" w:space="0"/>
            </w:tcBorders>
            <w:shd w:val="clear" w:color="auto" w:fill="auto"/>
            <w:vAlign w:val="center"/>
          </w:tcPr>
          <w:p w14:paraId="24D0ECAF">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54405B5E">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FABA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463" w:type="dxa"/>
            <w:shd w:val="clear" w:color="auto" w:fill="auto"/>
            <w:vAlign w:val="center"/>
          </w:tcPr>
          <w:p w14:paraId="57D270EF">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39BDD1C9">
            <w:pPr>
              <w:jc w:val="left"/>
              <w:rPr>
                <w:rFonts w:hint="eastAsia" w:ascii="仿宋" w:hAnsi="仿宋" w:eastAsia="微软雅黑" w:cs="仿宋"/>
                <w:color w:val="000000" w:themeColor="text1"/>
                <w:kern w:val="2"/>
                <w:sz w:val="18"/>
                <w:szCs w:val="18"/>
                <w:lang w:val="en-US" w:eastAsia="zh-CN" w:bidi="ar-SA"/>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公路工程竣工复测申请</w:t>
            </w:r>
          </w:p>
        </w:tc>
      </w:tr>
      <w:tr w14:paraId="62901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02392F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4D0FA0B2">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7828572</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18210F81">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44FD0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346DD3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6282C571">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．不服确认决定自知道该具体行政行为之日起六十日内向抚宁区人民政府申请行政复议。</w:t>
            </w:r>
          </w:p>
          <w:p w14:paraId="6AE4445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．不服确认决定应当自知道或者应当知道作出行政行为之日起六个月内提出向抚宁区人民法院提起行政诉讼。</w:t>
            </w:r>
          </w:p>
        </w:tc>
      </w:tr>
      <w:tr w14:paraId="073E3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1" w:hRule="atLeast"/>
          <w:jc w:val="center"/>
        </w:trPr>
        <w:tc>
          <w:tcPr>
            <w:tcW w:w="1463" w:type="dxa"/>
            <w:vAlign w:val="center"/>
          </w:tcPr>
          <w:p w14:paraId="0E012BB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4784F10F">
            <w:pPr>
              <w:widowControl/>
              <w:jc w:val="left"/>
              <w:textAlignment w:val="center"/>
              <w:rPr>
                <w:rFonts w:ascii="黑体" w:eastAsia="黑体" w:cs="黑体"/>
                <w:color w:val="000000" w:themeColor="text1"/>
                <w:kern w:val="0"/>
                <w:sz w:val="18"/>
                <w:szCs w:val="18"/>
              </w:rPr>
            </w:pPr>
          </w:p>
        </w:tc>
      </w:tr>
    </w:tbl>
    <w:p w14:paraId="57CB8E05">
      <w:pPr>
        <w:widowControl/>
        <w:textAlignment w:val="center"/>
        <w:rPr>
          <w:rFonts w:ascii="方正小标宋简体" w:eastAsia="方正小标宋简体" w:cs="方正小标宋简体"/>
          <w:color w:val="000000" w:themeColor="text1"/>
          <w:kern w:val="0"/>
          <w:sz w:val="44"/>
          <w:szCs w:val="44"/>
        </w:rPr>
      </w:pPr>
    </w:p>
    <w:p w14:paraId="304F37B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履职行权规程（行政确认类）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279"/>
        <w:gridCol w:w="684"/>
        <w:gridCol w:w="992"/>
        <w:gridCol w:w="567"/>
        <w:gridCol w:w="320"/>
        <w:gridCol w:w="1611"/>
      </w:tblGrid>
      <w:tr w14:paraId="277E3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52667C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C6C50CD">
            <w:pPr>
              <w:jc w:val="center"/>
              <w:rPr>
                <w:rFonts w:ascii="黑体" w:eastAsia="黑体" w:cs="黑体"/>
                <w:b/>
                <w:bCs/>
                <w:color w:val="000000" w:themeColor="text1"/>
                <w:szCs w:val="21"/>
              </w:rPr>
            </w:pPr>
            <w:r>
              <w:rPr>
                <w:rFonts w:ascii="黑体" w:eastAsia="黑体" w:cs="黑体"/>
                <w:b/>
                <w:bCs/>
                <w:color w:val="000000" w:themeColor="text1"/>
                <w:szCs w:val="21"/>
              </w:rPr>
              <w:t>214</w:t>
            </w:r>
          </w:p>
        </w:tc>
        <w:tc>
          <w:tcPr>
            <w:tcW w:w="1691" w:type="dxa"/>
            <w:vAlign w:val="center"/>
          </w:tcPr>
          <w:p w14:paraId="5B4DB7F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176C06F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行政确认</w:t>
            </w:r>
          </w:p>
        </w:tc>
        <w:tc>
          <w:tcPr>
            <w:tcW w:w="1559" w:type="dxa"/>
            <w:gridSpan w:val="2"/>
            <w:vAlign w:val="center"/>
          </w:tcPr>
          <w:p w14:paraId="01014A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459F6E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2876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72C71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427DB4B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黑体"/>
                <w:color w:val="000000" w:themeColor="text1"/>
                <w:sz w:val="18"/>
                <w:szCs w:val="18"/>
              </w:rPr>
              <w:t>公路工程交工质量核验</w:t>
            </w:r>
          </w:p>
        </w:tc>
      </w:tr>
      <w:tr w14:paraId="00E5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73" w:hRule="atLeast"/>
          <w:jc w:val="center"/>
        </w:trPr>
        <w:tc>
          <w:tcPr>
            <w:tcW w:w="1463" w:type="dxa"/>
            <w:vAlign w:val="center"/>
          </w:tcPr>
          <w:p w14:paraId="383F31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4155609F">
            <w:pPr>
              <w:spacing w:line="240" w:lineRule="exac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【法律法规】《公路水运工程质量监督管理规定》</w:t>
            </w:r>
            <w:r>
              <w:rPr>
                <w:rFonts w:ascii="仿宋_GB2312" w:eastAsia="仿宋_GB2312" w:cs="黑体"/>
                <w:color w:val="000000" w:themeColor="text1"/>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_GB2312" w:eastAsia="仿宋_GB2312" w:cs="黑体"/>
                <w:color w:val="000000" w:themeColor="text1"/>
                <w:sz w:val="18"/>
                <w:szCs w:val="18"/>
              </w:rPr>
              <w:t>交通运输部令</w:t>
            </w:r>
            <w:r>
              <w:rPr>
                <w:rFonts w:ascii="仿宋_GB2312" w:eastAsia="仿宋_GB2312" w:cs="黑体"/>
                <w:color w:val="000000" w:themeColor="text1"/>
                <w:sz w:val="18"/>
                <w:szCs w:val="18"/>
              </w:rPr>
              <w:t>[2017]28</w:t>
            </w:r>
            <w:r>
              <w:rPr>
                <w:rFonts w:hint="eastAsia" w:ascii="仿宋_GB2312" w:eastAsia="仿宋_GB2312" w:cs="黑体"/>
                <w:color w:val="000000" w:themeColor="text1"/>
                <w:sz w:val="18"/>
                <w:szCs w:val="18"/>
              </w:rPr>
              <w:t>号</w:t>
            </w:r>
            <w:r>
              <w:rPr>
                <w:rFonts w:ascii="仿宋_GB2312" w:eastAsia="仿宋_GB2312" w:cs="黑体"/>
                <w:color w:val="000000" w:themeColor="text1"/>
                <w:sz w:val="18"/>
                <w:szCs w:val="18"/>
              </w:rPr>
              <w:t>)</w:t>
            </w:r>
            <w:r>
              <w:rPr>
                <w:rFonts w:hint="eastAsia" w:ascii="仿宋_GB2312" w:eastAsia="仿宋_GB2312" w:cs="黑体"/>
                <w:color w:val="000000" w:themeColor="text1"/>
                <w:sz w:val="18"/>
                <w:szCs w:val="18"/>
              </w:rPr>
              <w:t>第二十五条</w:t>
            </w:r>
            <w:r>
              <w:rPr>
                <w:rFonts w:ascii="仿宋_GB2312" w:eastAsia="仿宋_GB2312" w:cs="黑体"/>
                <w:color w:val="000000" w:themeColor="text1"/>
                <w:sz w:val="18"/>
                <w:szCs w:val="18"/>
              </w:rPr>
              <w:t xml:space="preserve"> </w:t>
            </w:r>
            <w:r>
              <w:rPr>
                <w:rFonts w:hint="eastAsia" w:ascii="仿宋_GB2312" w:eastAsia="仿宋_GB2312" w:cs="黑体"/>
                <w:color w:val="000000" w:themeColor="text1"/>
                <w:sz w:val="18"/>
                <w:szCs w:val="18"/>
              </w:rPr>
              <w:t>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交通运输主管部门委托的建设工程质量监督机构应当对建设单位提交的报告材料进行审核，并对工程质量进行验证性检测，出具工程交工质量核验意见。工程交工质量核验意见应当包括交工验收质量检测工作组织、质量评定或者评估程序执行、监督管理过程中发现的质量问题整改以及工程质量验证性检测结果等情况。</w:t>
            </w:r>
          </w:p>
          <w:p w14:paraId="057A8646">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号第三条第八款承担全区公路建设市场监管责任</w:t>
            </w:r>
            <w:r>
              <w:rPr>
                <w:rFonts w:ascii="仿宋" w:eastAsia="仿宋" w:cs="仿宋_GB2312"/>
                <w:color w:val="000000" w:themeColor="text1"/>
                <w:kern w:val="0"/>
                <w:sz w:val="18"/>
                <w:szCs w:val="18"/>
              </w:rPr>
              <w:t>.</w:t>
            </w:r>
            <w:r>
              <w:rPr>
                <w:rFonts w:hint="eastAsia" w:asci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1416C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573686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2D9BE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EE5EE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887" w:type="dxa"/>
            <w:gridSpan w:val="2"/>
            <w:vAlign w:val="center"/>
          </w:tcPr>
          <w:p w14:paraId="34A265F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611" w:type="dxa"/>
            <w:vAlign w:val="center"/>
          </w:tcPr>
          <w:p w14:paraId="684EB0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7987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9EBF33B">
            <w:pPr>
              <w:rPr>
                <w:color w:val="000000" w:themeColor="text1"/>
              </w:rPr>
            </w:pPr>
          </w:p>
        </w:tc>
        <w:tc>
          <w:tcPr>
            <w:tcW w:w="1050" w:type="dxa"/>
            <w:vAlign w:val="center"/>
          </w:tcPr>
          <w:p w14:paraId="601C2FE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33BE033B">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887" w:type="dxa"/>
            <w:gridSpan w:val="2"/>
            <w:vAlign w:val="center"/>
          </w:tcPr>
          <w:p w14:paraId="758C345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611" w:type="dxa"/>
            <w:vAlign w:val="center"/>
          </w:tcPr>
          <w:p w14:paraId="13BCFB6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0AA18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1" w:hRule="atLeast"/>
          <w:jc w:val="center"/>
        </w:trPr>
        <w:tc>
          <w:tcPr>
            <w:tcW w:w="1463" w:type="dxa"/>
            <w:vMerge w:val="continue"/>
            <w:vAlign w:val="center"/>
          </w:tcPr>
          <w:p w14:paraId="1660C015">
            <w:pPr>
              <w:rPr>
                <w:color w:val="000000" w:themeColor="text1"/>
              </w:rPr>
            </w:pPr>
          </w:p>
        </w:tc>
        <w:tc>
          <w:tcPr>
            <w:tcW w:w="1050" w:type="dxa"/>
            <w:vAlign w:val="center"/>
          </w:tcPr>
          <w:p w14:paraId="29D4062E">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审核</w:t>
            </w:r>
            <w:r>
              <w:rPr>
                <w:rFonts w:hint="eastAsia" w:ascii="仿宋_GB2312" w:eastAsia="仿宋_GB2312" w:cs="黑体"/>
                <w:color w:val="000000" w:themeColor="text1"/>
                <w:sz w:val="18"/>
                <w:szCs w:val="18"/>
                <w:lang w:eastAsia="zh-CN"/>
              </w:rPr>
              <w:t>勘查</w:t>
            </w:r>
          </w:p>
        </w:tc>
        <w:tc>
          <w:tcPr>
            <w:tcW w:w="5287" w:type="dxa"/>
            <w:gridSpan w:val="5"/>
            <w:vAlign w:val="center"/>
          </w:tcPr>
          <w:p w14:paraId="1F56BA2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对建设单位提交的报告材料进行审核，并对工程质量进行验证性检测，</w:t>
            </w:r>
            <w:r>
              <w:rPr>
                <w:rFonts w:hint="eastAsia" w:ascii="仿宋_GB2312" w:eastAsia="仿宋_GB2312" w:cs="黑体"/>
                <w:color w:val="000000" w:themeColor="text1"/>
                <w:sz w:val="18"/>
                <w:szCs w:val="18"/>
                <w:lang w:eastAsia="zh-CN"/>
              </w:rPr>
              <w:t>符合要求的，</w:t>
            </w:r>
            <w:r>
              <w:rPr>
                <w:rFonts w:hint="eastAsia" w:ascii="仿宋_GB2312" w:eastAsia="仿宋_GB2312" w:cs="黑体"/>
                <w:color w:val="000000" w:themeColor="text1"/>
                <w:sz w:val="18"/>
                <w:szCs w:val="18"/>
              </w:rPr>
              <w:t>出具工程交工质量核验意见。</w:t>
            </w:r>
          </w:p>
        </w:tc>
        <w:tc>
          <w:tcPr>
            <w:tcW w:w="887" w:type="dxa"/>
            <w:gridSpan w:val="2"/>
            <w:vAlign w:val="center"/>
          </w:tcPr>
          <w:p w14:paraId="0A7ACDB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13</w:t>
            </w:r>
            <w:r>
              <w:rPr>
                <w:rFonts w:hint="eastAsia" w:ascii="仿宋_GB2312" w:eastAsia="仿宋_GB2312" w:cs="黑体"/>
                <w:color w:val="000000" w:themeColor="text1"/>
                <w:sz w:val="18"/>
                <w:szCs w:val="18"/>
              </w:rPr>
              <w:t>个工作日</w:t>
            </w:r>
          </w:p>
        </w:tc>
        <w:tc>
          <w:tcPr>
            <w:tcW w:w="1611" w:type="dxa"/>
            <w:vAlign w:val="center"/>
          </w:tcPr>
          <w:p w14:paraId="77455DF1">
            <w:pPr>
              <w:jc w:val="center"/>
              <w:rPr>
                <w:rFonts w:hint="eastAsia" w:ascii="仿宋" w:eastAsia="仿宋" w:cs="黑体"/>
                <w:color w:val="000000" w:themeColor="text1"/>
                <w:sz w:val="18"/>
                <w:szCs w:val="18"/>
                <w:lang w:eastAsia="zh-CN"/>
              </w:rPr>
            </w:pPr>
            <w:r>
              <w:rPr>
                <w:rFonts w:hint="eastAsia" w:ascii="仿宋" w:hAnsi="仿宋" w:eastAsia="仿宋" w:cs="仿宋"/>
                <w:color w:val="000000" w:themeColor="text1"/>
                <w:sz w:val="18"/>
                <w:szCs w:val="18"/>
              </w:rPr>
              <w:t>区交通</w:t>
            </w:r>
            <w:r>
              <w:rPr>
                <w:rFonts w:hint="eastAsia" w:ascii="仿宋" w:hAnsi="仿宋" w:eastAsia="仿宋" w:cs="仿宋"/>
                <w:color w:val="000000" w:themeColor="text1"/>
                <w:sz w:val="18"/>
                <w:szCs w:val="18"/>
                <w:lang w:eastAsia="zh-CN"/>
              </w:rPr>
              <w:t>运输局公路管理股</w:t>
            </w:r>
          </w:p>
        </w:tc>
      </w:tr>
      <w:tr w14:paraId="4C770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7" w:hRule="atLeast"/>
          <w:jc w:val="center"/>
        </w:trPr>
        <w:tc>
          <w:tcPr>
            <w:tcW w:w="1463" w:type="dxa"/>
            <w:vMerge w:val="continue"/>
            <w:vAlign w:val="center"/>
          </w:tcPr>
          <w:p w14:paraId="58C66047">
            <w:pPr>
              <w:rPr>
                <w:color w:val="000000" w:themeColor="text1"/>
              </w:rPr>
            </w:pPr>
          </w:p>
        </w:tc>
        <w:tc>
          <w:tcPr>
            <w:tcW w:w="1050" w:type="dxa"/>
            <w:vAlign w:val="center"/>
          </w:tcPr>
          <w:p w14:paraId="1A4A68C8">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办结</w:t>
            </w:r>
          </w:p>
        </w:tc>
        <w:tc>
          <w:tcPr>
            <w:tcW w:w="5287" w:type="dxa"/>
            <w:gridSpan w:val="5"/>
            <w:vAlign w:val="center"/>
          </w:tcPr>
          <w:p w14:paraId="24D8AFE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对确认结果进行反馈。</w:t>
            </w:r>
          </w:p>
        </w:tc>
        <w:tc>
          <w:tcPr>
            <w:tcW w:w="887" w:type="dxa"/>
            <w:gridSpan w:val="2"/>
            <w:vAlign w:val="center"/>
          </w:tcPr>
          <w:p w14:paraId="26FD771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611" w:type="dxa"/>
            <w:vAlign w:val="center"/>
          </w:tcPr>
          <w:p w14:paraId="623600E7">
            <w:pPr>
              <w:jc w:val="center"/>
              <w:rPr>
                <w:rFonts w:asci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259F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67" w:hRule="atLeast"/>
          <w:jc w:val="center"/>
        </w:trPr>
        <w:tc>
          <w:tcPr>
            <w:tcW w:w="1463" w:type="dxa"/>
            <w:shd w:val="clear" w:color="auto" w:fill="auto"/>
            <w:vAlign w:val="center"/>
          </w:tcPr>
          <w:p w14:paraId="399A4EE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61" w:type="dxa"/>
            <w:gridSpan w:val="4"/>
            <w:tcBorders>
              <w:right w:val="single" w:color="auto" w:sz="4" w:space="0"/>
            </w:tcBorders>
            <w:shd w:val="clear" w:color="auto" w:fill="auto"/>
            <w:vAlign w:val="center"/>
          </w:tcPr>
          <w:p w14:paraId="40B6FA0F">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676" w:type="dxa"/>
            <w:gridSpan w:val="2"/>
            <w:tcBorders>
              <w:left w:val="single" w:color="auto" w:sz="4" w:space="0"/>
            </w:tcBorders>
            <w:shd w:val="clear" w:color="auto" w:fill="auto"/>
            <w:vAlign w:val="center"/>
          </w:tcPr>
          <w:p w14:paraId="7A3FD4A5">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358D735F">
            <w:pPr>
              <w:jc w:val="center"/>
              <w:rPr>
                <w:rFonts w:hint="eastAsia" w:ascii="仿宋" w:hAnsi="仿宋" w:eastAsia="仿宋" w:cs="仿宋"/>
                <w:color w:val="000000" w:themeColor="text1"/>
                <w:sz w:val="18"/>
                <w:szCs w:val="18"/>
              </w:rPr>
            </w:pPr>
            <w:r>
              <w:rPr>
                <w:rFonts w:hint="eastAsia" w:ascii="仿宋_GB2312" w:eastAsia="仿宋_GB2312" w:cs="黑体"/>
                <w:color w:val="000000" w:themeColor="text1"/>
                <w:sz w:val="18"/>
                <w:szCs w:val="18"/>
                <w:lang w:eastAsia="zh-CN"/>
              </w:rPr>
              <w:t>否</w:t>
            </w:r>
          </w:p>
        </w:tc>
      </w:tr>
      <w:tr w14:paraId="228D4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57" w:hRule="atLeast"/>
          <w:jc w:val="center"/>
        </w:trPr>
        <w:tc>
          <w:tcPr>
            <w:tcW w:w="1463" w:type="dxa"/>
            <w:shd w:val="clear" w:color="auto" w:fill="auto"/>
            <w:vAlign w:val="center"/>
          </w:tcPr>
          <w:p w14:paraId="48E94D5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1C81C552">
            <w:pP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交工质量核验申请表</w:t>
            </w:r>
          </w:p>
        </w:tc>
      </w:tr>
      <w:tr w14:paraId="18D2E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463" w:type="dxa"/>
            <w:vAlign w:val="center"/>
          </w:tcPr>
          <w:p w14:paraId="11D4126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636CE56">
            <w:pPr>
              <w:rPr>
                <w:rFonts w:ascii="仿宋_GB2312" w:eastAsia="仿宋_GB2312" w:cs="黑体"/>
                <w:color w:val="000000" w:themeColor="text1"/>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6BA0F37D">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168429DA">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7E5F1C42">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7529AA0D">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3B9D0A0E">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36E810CB">
            <w:pPr>
              <w:spacing w:line="240" w:lineRule="exact"/>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6077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463" w:type="dxa"/>
            <w:vAlign w:val="center"/>
          </w:tcPr>
          <w:p w14:paraId="2C84F6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7FFEFEDD">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7828572</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8D20EAB">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1DBA4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463" w:type="dxa"/>
            <w:vAlign w:val="center"/>
          </w:tcPr>
          <w:p w14:paraId="0C505C8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5DF2B3C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．不服确认决定自知道该具体行政行为之日起六十日内向抚宁区人民政府申请行政复议。</w:t>
            </w:r>
          </w:p>
          <w:p w14:paraId="5B73C7D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．不服确认决定应当自知道或者应当知道作出行政行为之日起六个月内提出向抚宁区人民法院提起行政诉讼。</w:t>
            </w:r>
          </w:p>
        </w:tc>
      </w:tr>
      <w:tr w14:paraId="5444B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19" w:hRule="atLeast"/>
          <w:jc w:val="center"/>
        </w:trPr>
        <w:tc>
          <w:tcPr>
            <w:tcW w:w="1463" w:type="dxa"/>
            <w:vAlign w:val="center"/>
          </w:tcPr>
          <w:p w14:paraId="65CEDBB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2949F03F">
            <w:pPr>
              <w:widowControl/>
              <w:jc w:val="left"/>
              <w:textAlignment w:val="center"/>
              <w:rPr>
                <w:rFonts w:ascii="黑体" w:eastAsia="黑体" w:cs="黑体"/>
                <w:color w:val="000000" w:themeColor="text1"/>
                <w:kern w:val="0"/>
                <w:sz w:val="18"/>
                <w:szCs w:val="18"/>
              </w:rPr>
            </w:pPr>
          </w:p>
        </w:tc>
      </w:tr>
    </w:tbl>
    <w:p w14:paraId="25E96118">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履职行权规程（行政确认类）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04"/>
        <w:gridCol w:w="459"/>
        <w:gridCol w:w="992"/>
        <w:gridCol w:w="567"/>
        <w:gridCol w:w="429"/>
        <w:gridCol w:w="1502"/>
      </w:tblGrid>
      <w:tr w14:paraId="3F7AD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5A2172F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4DB27D72">
            <w:pPr>
              <w:jc w:val="center"/>
              <w:rPr>
                <w:rFonts w:ascii="黑体" w:eastAsia="黑体" w:cs="黑体"/>
                <w:b/>
                <w:bCs/>
                <w:color w:val="000000" w:themeColor="text1"/>
                <w:szCs w:val="21"/>
              </w:rPr>
            </w:pPr>
            <w:r>
              <w:rPr>
                <w:rFonts w:ascii="黑体" w:eastAsia="黑体" w:cs="黑体"/>
                <w:b/>
                <w:bCs/>
                <w:color w:val="000000" w:themeColor="text1"/>
                <w:szCs w:val="21"/>
              </w:rPr>
              <w:t>215</w:t>
            </w:r>
          </w:p>
        </w:tc>
        <w:tc>
          <w:tcPr>
            <w:tcW w:w="1691" w:type="dxa"/>
            <w:vAlign w:val="center"/>
          </w:tcPr>
          <w:p w14:paraId="3E2ABE9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99EA0F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行政确认</w:t>
            </w:r>
          </w:p>
        </w:tc>
        <w:tc>
          <w:tcPr>
            <w:tcW w:w="1559" w:type="dxa"/>
            <w:gridSpan w:val="2"/>
            <w:vAlign w:val="center"/>
          </w:tcPr>
          <w:p w14:paraId="69E18C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56C571B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289F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26F18C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1B482EC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黑体"/>
                <w:color w:val="000000" w:themeColor="text1"/>
                <w:kern w:val="0"/>
                <w:sz w:val="18"/>
                <w:szCs w:val="18"/>
              </w:rPr>
              <w:t>对在公路桥梁跨越的河道上下游各</w:t>
            </w:r>
            <w:r>
              <w:rPr>
                <w:rFonts w:ascii="仿宋_GB2312" w:eastAsia="仿宋_GB2312" w:cs="黑体"/>
                <w:color w:val="000000" w:themeColor="text1"/>
                <w:kern w:val="0"/>
                <w:sz w:val="18"/>
                <w:szCs w:val="18"/>
              </w:rPr>
              <w:t>500</w:t>
            </w:r>
            <w:r>
              <w:rPr>
                <w:rFonts w:hint="eastAsia" w:ascii="仿宋_GB2312" w:eastAsia="仿宋_GB2312" w:cs="黑体"/>
                <w:color w:val="000000" w:themeColor="text1"/>
                <w:kern w:val="0"/>
                <w:sz w:val="18"/>
                <w:szCs w:val="18"/>
              </w:rPr>
              <w:t>米范围内依法进行疏浚作业的公路桥梁安全确认</w:t>
            </w:r>
          </w:p>
        </w:tc>
      </w:tr>
      <w:tr w14:paraId="17AD5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398" w:hRule="atLeast"/>
          <w:jc w:val="center"/>
        </w:trPr>
        <w:tc>
          <w:tcPr>
            <w:tcW w:w="1324" w:type="dxa"/>
            <w:vAlign w:val="center"/>
          </w:tcPr>
          <w:p w14:paraId="597136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6E20E656">
            <w:pPr>
              <w:spacing w:line="240" w:lineRule="exac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【法律法规】《公路安全保护条例》</w:t>
            </w:r>
            <w:r>
              <w:rPr>
                <w:rFonts w:ascii="仿宋_GB2312" w:eastAsia="仿宋_GB2312" w:cs="黑体"/>
                <w:color w:val="000000" w:themeColor="text1"/>
                <w:sz w:val="18"/>
                <w:szCs w:val="18"/>
              </w:rPr>
              <w:t>(</w:t>
            </w:r>
            <w:r>
              <w:rPr>
                <w:rFonts w:hint="eastAsia" w:ascii="仿宋_GB2312" w:eastAsia="仿宋_GB2312" w:cs="黑体"/>
                <w:color w:val="000000" w:themeColor="text1"/>
                <w:sz w:val="18"/>
                <w:szCs w:val="18"/>
              </w:rPr>
              <w:t>国务院令第</w:t>
            </w:r>
            <w:r>
              <w:rPr>
                <w:rFonts w:ascii="仿宋_GB2312" w:eastAsia="仿宋_GB2312" w:cs="黑体"/>
                <w:color w:val="000000" w:themeColor="text1"/>
                <w:sz w:val="18"/>
                <w:szCs w:val="18"/>
              </w:rPr>
              <w:t>593</w:t>
            </w:r>
            <w:r>
              <w:rPr>
                <w:rFonts w:hint="eastAsia" w:ascii="仿宋_GB2312" w:eastAsia="仿宋_GB2312" w:cs="黑体"/>
                <w:color w:val="000000" w:themeColor="text1"/>
                <w:sz w:val="18"/>
                <w:szCs w:val="18"/>
              </w:rPr>
              <w:t>号</w:t>
            </w:r>
            <w:r>
              <w:rPr>
                <w:rFonts w:ascii="仿宋_GB2312" w:eastAsia="仿宋_GB2312" w:cs="黑体"/>
                <w:color w:val="000000" w:themeColor="text1"/>
                <w:sz w:val="18"/>
                <w:szCs w:val="18"/>
              </w:rPr>
              <w:t>)</w:t>
            </w:r>
            <w:r>
              <w:rPr>
                <w:rFonts w:hint="eastAsia" w:ascii="仿宋_GB2312" w:eastAsia="仿宋_GB2312" w:cs="黑体"/>
                <w:color w:val="000000" w:themeColor="text1"/>
                <w:sz w:val="18"/>
                <w:szCs w:val="18"/>
              </w:rPr>
              <w:t>第二十一条</w:t>
            </w:r>
            <w:r>
              <w:rPr>
                <w:rFonts w:ascii="仿宋_GB2312" w:eastAsia="仿宋_GB2312" w:cs="黑体"/>
                <w:color w:val="000000" w:themeColor="text1"/>
                <w:sz w:val="18"/>
                <w:szCs w:val="18"/>
              </w:rPr>
              <w:t xml:space="preserve"> </w:t>
            </w:r>
            <w:r>
              <w:rPr>
                <w:rFonts w:hint="eastAsia" w:ascii="仿宋_GB2312" w:eastAsia="仿宋_GB2312" w:cs="黑体"/>
                <w:color w:val="000000" w:themeColor="text1"/>
                <w:sz w:val="18"/>
                <w:szCs w:val="18"/>
              </w:rPr>
              <w:t>在公路桥梁跨越的河道上下游各</w:t>
            </w:r>
            <w:r>
              <w:rPr>
                <w:rFonts w:ascii="仿宋_GB2312" w:eastAsia="仿宋_GB2312" w:cs="黑体"/>
                <w:color w:val="000000" w:themeColor="text1"/>
                <w:sz w:val="18"/>
                <w:szCs w:val="18"/>
              </w:rPr>
              <w:t>500</w:t>
            </w:r>
            <w:r>
              <w:rPr>
                <w:rFonts w:hint="eastAsia" w:ascii="仿宋_GB2312" w:eastAsia="仿宋_GB2312" w:cs="黑体"/>
                <w:color w:val="000000" w:themeColor="text1"/>
                <w:sz w:val="18"/>
                <w:szCs w:val="18"/>
              </w:rPr>
              <w:t>米范围内依法进行疏浚作业的，应当符合公路桥梁安全要求，经公路管理机构确认安全方可作业。</w:t>
            </w:r>
          </w:p>
          <w:p w14:paraId="56B2BE70">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号第三条第八款承担全区公路建设市场监管责任</w:t>
            </w:r>
            <w:r>
              <w:rPr>
                <w:rFonts w:ascii="仿宋" w:eastAsia="仿宋" w:cs="仿宋_GB2312"/>
                <w:color w:val="000000" w:themeColor="text1"/>
                <w:kern w:val="0"/>
                <w:sz w:val="18"/>
                <w:szCs w:val="18"/>
              </w:rPr>
              <w:t>.</w:t>
            </w:r>
            <w:r>
              <w:rPr>
                <w:rFonts w:hint="eastAsia" w:asci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十五款落实行业主管部门的安全生产监管职责，各科室落实分管领域的安全生产监管职责。</w:t>
            </w:r>
          </w:p>
        </w:tc>
      </w:tr>
      <w:tr w14:paraId="15442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361623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8F25EB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5085625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765CE8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3293C4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83C7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57157E49">
            <w:pPr>
              <w:rPr>
                <w:color w:val="000000" w:themeColor="text1"/>
              </w:rPr>
            </w:pPr>
          </w:p>
        </w:tc>
        <w:tc>
          <w:tcPr>
            <w:tcW w:w="1189" w:type="dxa"/>
            <w:vAlign w:val="center"/>
          </w:tcPr>
          <w:p w14:paraId="7EC5456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20E99D1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公示应当提交的材料，</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70C8405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502" w:type="dxa"/>
            <w:vAlign w:val="center"/>
          </w:tcPr>
          <w:p w14:paraId="77565AE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264C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2AA3C788">
            <w:pPr>
              <w:rPr>
                <w:color w:val="000000" w:themeColor="text1"/>
              </w:rPr>
            </w:pPr>
          </w:p>
        </w:tc>
        <w:tc>
          <w:tcPr>
            <w:tcW w:w="1189" w:type="dxa"/>
            <w:vAlign w:val="center"/>
          </w:tcPr>
          <w:p w14:paraId="792DC584">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审核勘验</w:t>
            </w:r>
          </w:p>
        </w:tc>
        <w:tc>
          <w:tcPr>
            <w:tcW w:w="5287" w:type="dxa"/>
            <w:gridSpan w:val="5"/>
            <w:vAlign w:val="center"/>
          </w:tcPr>
          <w:p w14:paraId="1253693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组织现场勘查审验，</w:t>
            </w:r>
            <w:r>
              <w:rPr>
                <w:rFonts w:hint="eastAsia" w:ascii="仿宋_GB2312" w:eastAsia="仿宋_GB2312" w:cs="黑体"/>
                <w:color w:val="000000" w:themeColor="text1"/>
                <w:sz w:val="18"/>
                <w:szCs w:val="18"/>
              </w:rPr>
              <w:t>审查是否符合法定条件，是否符合公路桥梁安全要求，</w:t>
            </w:r>
            <w:r>
              <w:rPr>
                <w:rFonts w:hint="eastAsia" w:ascii="仿宋_GB2312" w:eastAsia="仿宋_GB2312" w:cs="黑体"/>
                <w:color w:val="000000" w:themeColor="text1"/>
                <w:sz w:val="18"/>
                <w:szCs w:val="18"/>
                <w:lang w:eastAsia="zh-CN"/>
              </w:rPr>
              <w:t>组织专家评审并</w:t>
            </w:r>
            <w:r>
              <w:rPr>
                <w:rFonts w:hint="eastAsia" w:ascii="仿宋_GB2312" w:eastAsia="仿宋_GB2312" w:cs="黑体"/>
                <w:color w:val="000000" w:themeColor="text1"/>
                <w:sz w:val="18"/>
                <w:szCs w:val="18"/>
              </w:rPr>
              <w:t>提出审查意见。</w:t>
            </w:r>
          </w:p>
        </w:tc>
        <w:tc>
          <w:tcPr>
            <w:tcW w:w="996" w:type="dxa"/>
            <w:gridSpan w:val="2"/>
            <w:vAlign w:val="center"/>
          </w:tcPr>
          <w:p w14:paraId="2F7D6FC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2</w:t>
            </w:r>
            <w:r>
              <w:rPr>
                <w:rFonts w:hint="eastAsia" w:ascii="仿宋_GB2312" w:eastAsia="仿宋_GB2312" w:cs="黑体"/>
                <w:color w:val="000000" w:themeColor="text1"/>
                <w:sz w:val="18"/>
                <w:szCs w:val="18"/>
              </w:rPr>
              <w:t>个工作日</w:t>
            </w:r>
          </w:p>
        </w:tc>
        <w:tc>
          <w:tcPr>
            <w:tcW w:w="1502" w:type="dxa"/>
            <w:vAlign w:val="center"/>
          </w:tcPr>
          <w:p w14:paraId="1FFBEB08">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rPr>
              <w:t>区交通</w:t>
            </w:r>
            <w:r>
              <w:rPr>
                <w:rFonts w:hint="eastAsia" w:ascii="仿宋" w:hAnsi="仿宋" w:eastAsia="仿宋" w:cs="仿宋"/>
                <w:color w:val="000000" w:themeColor="text1"/>
                <w:sz w:val="18"/>
                <w:szCs w:val="18"/>
                <w:lang w:eastAsia="zh-CN"/>
              </w:rPr>
              <w:t>运输局公路管理股</w:t>
            </w:r>
          </w:p>
        </w:tc>
      </w:tr>
      <w:tr w14:paraId="3798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324" w:type="dxa"/>
            <w:vMerge w:val="continue"/>
            <w:vAlign w:val="center"/>
          </w:tcPr>
          <w:p w14:paraId="2FF554EA">
            <w:pPr>
              <w:rPr>
                <w:color w:val="000000" w:themeColor="text1"/>
              </w:rPr>
            </w:pPr>
          </w:p>
        </w:tc>
        <w:tc>
          <w:tcPr>
            <w:tcW w:w="1189" w:type="dxa"/>
            <w:vAlign w:val="center"/>
          </w:tcPr>
          <w:p w14:paraId="01849EC0">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决定</w:t>
            </w:r>
          </w:p>
        </w:tc>
        <w:tc>
          <w:tcPr>
            <w:tcW w:w="5287" w:type="dxa"/>
            <w:gridSpan w:val="5"/>
            <w:vAlign w:val="center"/>
          </w:tcPr>
          <w:p w14:paraId="1B3671C5">
            <w:pPr>
              <w:jc w:val="center"/>
              <w:rPr>
                <w:rFonts w:ascii="仿宋_GB2312" w:eastAsia="仿宋_GB2312" w:cs="黑体"/>
                <w:color w:val="000000" w:themeColor="text1"/>
                <w:sz w:val="18"/>
                <w:szCs w:val="18"/>
              </w:rPr>
            </w:pPr>
            <w:r>
              <w:rPr>
                <w:rFonts w:hint="eastAsia" w:ascii="仿宋" w:hAnsi="仿宋" w:eastAsia="仿宋" w:cs="宋体"/>
                <w:color w:val="000000" w:themeColor="text1"/>
                <w:sz w:val="18"/>
                <w:szCs w:val="18"/>
              </w:rPr>
              <w:t>依法作出能否确认安全的决定</w:t>
            </w:r>
            <w:r>
              <w:rPr>
                <w:rFonts w:hint="eastAsia" w:ascii="仿宋" w:hAnsi="仿宋" w:eastAsia="仿宋" w:cs="宋体"/>
                <w:color w:val="000000" w:themeColor="text1"/>
                <w:sz w:val="18"/>
                <w:szCs w:val="18"/>
                <w:lang w:eastAsia="zh-CN"/>
              </w:rPr>
              <w:t>，</w:t>
            </w:r>
            <w:r>
              <w:rPr>
                <w:rFonts w:hint="eastAsia" w:ascii="仿宋" w:hAnsi="仿宋" w:eastAsia="仿宋" w:cs="宋体"/>
                <w:color w:val="000000" w:themeColor="text1"/>
                <w:sz w:val="18"/>
                <w:szCs w:val="18"/>
              </w:rPr>
              <w:t>对确认结果进行反馈。</w:t>
            </w:r>
          </w:p>
        </w:tc>
        <w:tc>
          <w:tcPr>
            <w:tcW w:w="996" w:type="dxa"/>
            <w:gridSpan w:val="2"/>
            <w:vAlign w:val="center"/>
          </w:tcPr>
          <w:p w14:paraId="76BBC863">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502" w:type="dxa"/>
            <w:vAlign w:val="center"/>
          </w:tcPr>
          <w:p w14:paraId="2039242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78587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5" w:hRule="atLeast"/>
          <w:jc w:val="center"/>
        </w:trPr>
        <w:tc>
          <w:tcPr>
            <w:tcW w:w="1324" w:type="dxa"/>
            <w:shd w:val="clear" w:color="auto" w:fill="auto"/>
            <w:vAlign w:val="center"/>
          </w:tcPr>
          <w:p w14:paraId="35DDADA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25" w:type="dxa"/>
            <w:gridSpan w:val="4"/>
            <w:tcBorders>
              <w:right w:val="single" w:color="auto" w:sz="4" w:space="0"/>
            </w:tcBorders>
            <w:shd w:val="clear" w:color="auto" w:fill="auto"/>
            <w:vAlign w:val="center"/>
          </w:tcPr>
          <w:p w14:paraId="4290FFC1">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51" w:type="dxa"/>
            <w:gridSpan w:val="2"/>
            <w:tcBorders>
              <w:left w:val="single" w:color="auto" w:sz="4" w:space="0"/>
            </w:tcBorders>
            <w:shd w:val="clear" w:color="auto" w:fill="auto"/>
            <w:vAlign w:val="center"/>
          </w:tcPr>
          <w:p w14:paraId="541E34A4">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24F0D995">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1CFCE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0" w:hRule="atLeast"/>
          <w:jc w:val="center"/>
        </w:trPr>
        <w:tc>
          <w:tcPr>
            <w:tcW w:w="1324" w:type="dxa"/>
            <w:shd w:val="clear" w:color="auto" w:fill="auto"/>
            <w:vAlign w:val="center"/>
          </w:tcPr>
          <w:p w14:paraId="7DF9081E">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15CB629A">
            <w:pPr>
              <w:jc w:val="left"/>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符合技术标准、规范要求的设计图和施工方案;</w:t>
            </w:r>
          </w:p>
        </w:tc>
      </w:tr>
      <w:tr w14:paraId="2DFA9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2325FB0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0AEEF082">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6CE335AC">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5F0ADE24">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2F47E60B">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5A60443E">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05BA3378">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22195C0D">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4005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66963B3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4219032B">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7828572</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2799CAFF">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D6F2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485B90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62FF50F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．不服确认决定自知道该具体行政行为之日起六十日内向抚宁区人民政府申请行政复议。</w:t>
            </w:r>
          </w:p>
          <w:p w14:paraId="604E853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．不服确认决定应当自知道或者应当知道作出行政行为之日起六个月内提出向抚宁区人民法院提起行政诉讼。</w:t>
            </w:r>
          </w:p>
        </w:tc>
      </w:tr>
      <w:tr w14:paraId="0323D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8" w:hRule="atLeast"/>
          <w:jc w:val="center"/>
        </w:trPr>
        <w:tc>
          <w:tcPr>
            <w:tcW w:w="1324" w:type="dxa"/>
            <w:vAlign w:val="center"/>
          </w:tcPr>
          <w:p w14:paraId="6CE48BA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1A1EFA6E">
            <w:pPr>
              <w:widowControl/>
              <w:jc w:val="left"/>
              <w:textAlignment w:val="center"/>
              <w:rPr>
                <w:rFonts w:ascii="黑体" w:eastAsia="黑体" w:cs="黑体"/>
                <w:color w:val="000000" w:themeColor="text1"/>
                <w:kern w:val="0"/>
                <w:sz w:val="18"/>
                <w:szCs w:val="18"/>
              </w:rPr>
            </w:pPr>
          </w:p>
        </w:tc>
      </w:tr>
    </w:tbl>
    <w:p w14:paraId="507BE2F6">
      <w:pPr>
        <w:widowControl/>
        <w:spacing w:line="240" w:lineRule="exact"/>
        <w:jc w:val="left"/>
        <w:textAlignment w:val="center"/>
        <w:rPr>
          <w:rFonts w:ascii="仿宋" w:eastAsia="仿宋" w:cs="仿宋"/>
          <w:color w:val="000000" w:themeColor="text1"/>
          <w:kern w:val="0"/>
          <w:sz w:val="18"/>
          <w:szCs w:val="18"/>
        </w:rPr>
      </w:pPr>
    </w:p>
    <w:p w14:paraId="1DD94A9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履职行权规程（行政许可）</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07"/>
        <w:gridCol w:w="1406"/>
        <w:gridCol w:w="641"/>
        <w:gridCol w:w="1691"/>
        <w:gridCol w:w="1414"/>
        <w:gridCol w:w="549"/>
        <w:gridCol w:w="992"/>
        <w:gridCol w:w="567"/>
        <w:gridCol w:w="525"/>
        <w:gridCol w:w="1406"/>
      </w:tblGrid>
      <w:tr w14:paraId="2496A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07" w:type="dxa"/>
            <w:vAlign w:val="center"/>
          </w:tcPr>
          <w:p w14:paraId="19853B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047" w:type="dxa"/>
            <w:gridSpan w:val="2"/>
            <w:vAlign w:val="center"/>
          </w:tcPr>
          <w:p w14:paraId="415A9EB8">
            <w:pPr>
              <w:jc w:val="center"/>
              <w:rPr>
                <w:rFonts w:ascii="黑体" w:eastAsia="黑体" w:cs="黑体"/>
                <w:b/>
                <w:bCs/>
                <w:color w:val="000000" w:themeColor="text1"/>
                <w:szCs w:val="21"/>
              </w:rPr>
            </w:pPr>
            <w:r>
              <w:rPr>
                <w:rFonts w:ascii="黑体" w:eastAsia="黑体" w:cs="黑体"/>
                <w:b/>
                <w:bCs/>
                <w:color w:val="000000" w:themeColor="text1"/>
                <w:szCs w:val="21"/>
              </w:rPr>
              <w:t>216</w:t>
            </w:r>
          </w:p>
        </w:tc>
        <w:tc>
          <w:tcPr>
            <w:tcW w:w="1691" w:type="dxa"/>
            <w:vAlign w:val="center"/>
          </w:tcPr>
          <w:p w14:paraId="42101527">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142AFA7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行政许可</w:t>
            </w:r>
          </w:p>
        </w:tc>
        <w:tc>
          <w:tcPr>
            <w:tcW w:w="1559" w:type="dxa"/>
            <w:gridSpan w:val="2"/>
            <w:vAlign w:val="center"/>
          </w:tcPr>
          <w:p w14:paraId="7D728D7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BB2CA4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F4E9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07" w:type="dxa"/>
            <w:vAlign w:val="center"/>
          </w:tcPr>
          <w:p w14:paraId="7FFD1F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91" w:type="dxa"/>
            <w:gridSpan w:val="9"/>
            <w:vAlign w:val="center"/>
          </w:tcPr>
          <w:p w14:paraId="2B5F6286">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kern w:val="0"/>
                <w:sz w:val="18"/>
                <w:szCs w:val="18"/>
              </w:rPr>
              <w:t>公路建设项目设计文件审批</w:t>
            </w:r>
          </w:p>
        </w:tc>
      </w:tr>
      <w:tr w14:paraId="24382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107" w:type="dxa"/>
            <w:vAlign w:val="center"/>
          </w:tcPr>
          <w:p w14:paraId="018EE2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91" w:type="dxa"/>
            <w:gridSpan w:val="9"/>
            <w:vAlign w:val="center"/>
          </w:tcPr>
          <w:p w14:paraId="5A53642D">
            <w:pPr>
              <w:spacing w:line="240" w:lineRule="exact"/>
              <w:jc w:val="left"/>
              <w:rPr>
                <w:rFonts w:ascii="仿宋" w:hAnsi="仿宋" w:eastAsia="仿宋" w:cs="仿宋_GB2312"/>
                <w:color w:val="000000" w:themeColor="text1"/>
                <w:sz w:val="15"/>
                <w:szCs w:val="15"/>
              </w:rPr>
            </w:pPr>
            <w:r>
              <w:rPr>
                <w:rFonts w:hint="eastAsia" w:ascii="仿宋" w:hAnsi="仿宋" w:eastAsia="仿宋" w:cs="仿宋_GB2312"/>
                <w:color w:val="000000" w:themeColor="text1"/>
                <w:kern w:val="0"/>
                <w:sz w:val="15"/>
                <w:szCs w:val="15"/>
              </w:rPr>
              <w:t>【法律法规】</w:t>
            </w:r>
          </w:p>
          <w:p w14:paraId="1E63AB13">
            <w:pPr>
              <w:snapToGrid w:val="0"/>
              <w:spacing w:line="240" w:lineRule="atLeast"/>
              <w:rPr>
                <w:rFonts w:ascii="仿宋" w:hAnsi="仿宋" w:eastAsia="仿宋" w:cs="Helvetica"/>
                <w:b/>
                <w:bCs/>
                <w:color w:val="000000" w:themeColor="text1"/>
                <w:sz w:val="15"/>
                <w:szCs w:val="15"/>
                <w:shd w:val="clear" w:color="auto" w:fill="FFFFFF"/>
              </w:rPr>
            </w:pPr>
            <w:r>
              <w:rPr>
                <w:rFonts w:ascii="仿宋" w:hAnsi="仿宋" w:eastAsia="仿宋"/>
                <w:color w:val="000000" w:themeColor="text1"/>
                <w:sz w:val="15"/>
                <w:szCs w:val="15"/>
              </w:rPr>
              <w:t>1.</w:t>
            </w:r>
            <w:r>
              <w:rPr>
                <w:rFonts w:hint="eastAsia" w:ascii="仿宋" w:hAnsi="仿宋" w:eastAsia="仿宋"/>
                <w:color w:val="000000" w:themeColor="text1"/>
                <w:sz w:val="15"/>
                <w:szCs w:val="15"/>
              </w:rPr>
              <w:t>《中华人民共和国公路法》（</w:t>
            </w:r>
            <w:r>
              <w:rPr>
                <w:rFonts w:ascii="仿宋" w:hAnsi="仿宋" w:eastAsia="仿宋"/>
                <w:color w:val="000000" w:themeColor="text1"/>
                <w:sz w:val="15"/>
                <w:szCs w:val="15"/>
              </w:rPr>
              <w:t>1997</w:t>
            </w:r>
            <w:r>
              <w:rPr>
                <w:rFonts w:hint="eastAsia" w:ascii="仿宋" w:hAnsi="仿宋" w:eastAsia="仿宋"/>
                <w:color w:val="000000" w:themeColor="text1"/>
                <w:sz w:val="15"/>
                <w:szCs w:val="15"/>
              </w:rPr>
              <w:t>年</w:t>
            </w:r>
            <w:r>
              <w:rPr>
                <w:rFonts w:ascii="仿宋" w:hAnsi="仿宋" w:eastAsia="仿宋"/>
                <w:color w:val="000000" w:themeColor="text1"/>
                <w:sz w:val="15"/>
                <w:szCs w:val="15"/>
              </w:rPr>
              <w:t>7</w:t>
            </w:r>
            <w:r>
              <w:rPr>
                <w:rFonts w:hint="eastAsia" w:ascii="仿宋" w:hAnsi="仿宋" w:eastAsia="仿宋"/>
                <w:color w:val="000000" w:themeColor="text1"/>
                <w:sz w:val="15"/>
                <w:szCs w:val="15"/>
              </w:rPr>
              <w:t>月</w:t>
            </w:r>
            <w:r>
              <w:rPr>
                <w:rFonts w:ascii="仿宋" w:hAnsi="仿宋" w:eastAsia="仿宋"/>
                <w:color w:val="000000" w:themeColor="text1"/>
                <w:sz w:val="15"/>
                <w:szCs w:val="15"/>
              </w:rPr>
              <w:t>3</w:t>
            </w:r>
            <w:r>
              <w:rPr>
                <w:rFonts w:hint="eastAsia" w:ascii="仿宋" w:hAnsi="仿宋" w:eastAsia="仿宋"/>
                <w:color w:val="000000" w:themeColor="text1"/>
                <w:sz w:val="15"/>
                <w:szCs w:val="15"/>
              </w:rPr>
              <w:t>日通过，</w:t>
            </w:r>
            <w:r>
              <w:rPr>
                <w:rFonts w:ascii="仿宋" w:hAnsi="仿宋" w:eastAsia="仿宋"/>
                <w:color w:val="000000" w:themeColor="text1"/>
                <w:sz w:val="15"/>
                <w:szCs w:val="15"/>
              </w:rPr>
              <w:t>2017</w:t>
            </w:r>
            <w:r>
              <w:rPr>
                <w:rFonts w:hint="eastAsia" w:ascii="仿宋" w:hAnsi="仿宋" w:eastAsia="仿宋"/>
                <w:color w:val="000000" w:themeColor="text1"/>
                <w:sz w:val="15"/>
                <w:szCs w:val="15"/>
              </w:rPr>
              <w:t>年</w:t>
            </w:r>
            <w:r>
              <w:rPr>
                <w:rFonts w:ascii="仿宋" w:hAnsi="仿宋" w:eastAsia="仿宋"/>
                <w:color w:val="000000" w:themeColor="text1"/>
                <w:sz w:val="15"/>
                <w:szCs w:val="15"/>
              </w:rPr>
              <w:t>11</w:t>
            </w:r>
            <w:r>
              <w:rPr>
                <w:rFonts w:hint="eastAsia" w:ascii="仿宋" w:hAnsi="仿宋" w:eastAsia="仿宋"/>
                <w:color w:val="000000" w:themeColor="text1"/>
                <w:sz w:val="15"/>
                <w:szCs w:val="15"/>
              </w:rPr>
              <w:t>月</w:t>
            </w:r>
            <w:r>
              <w:rPr>
                <w:rFonts w:ascii="仿宋" w:hAnsi="仿宋" w:eastAsia="仿宋"/>
                <w:color w:val="000000" w:themeColor="text1"/>
                <w:sz w:val="15"/>
                <w:szCs w:val="15"/>
              </w:rPr>
              <w:t>4</w:t>
            </w:r>
            <w:r>
              <w:rPr>
                <w:rFonts w:hint="eastAsia" w:ascii="仿宋" w:hAnsi="仿宋" w:eastAsia="仿宋"/>
                <w:color w:val="000000" w:themeColor="text1"/>
                <w:sz w:val="15"/>
                <w:szCs w:val="15"/>
              </w:rPr>
              <w:t>日主席令第</w:t>
            </w:r>
            <w:r>
              <w:rPr>
                <w:rFonts w:ascii="仿宋" w:hAnsi="仿宋" w:eastAsia="仿宋"/>
                <w:color w:val="000000" w:themeColor="text1"/>
                <w:sz w:val="15"/>
                <w:szCs w:val="15"/>
              </w:rPr>
              <w:t>81</w:t>
            </w:r>
            <w:r>
              <w:rPr>
                <w:rFonts w:hint="eastAsia" w:ascii="仿宋" w:hAnsi="仿宋" w:eastAsia="仿宋"/>
                <w:color w:val="000000" w:themeColor="text1"/>
                <w:sz w:val="15"/>
                <w:szCs w:val="15"/>
              </w:rPr>
              <w:t>号修正）第二十二条：公路建设应当按照国家规定的基本建设程序和有关规定进行。</w:t>
            </w:r>
          </w:p>
          <w:p w14:paraId="5D11B8CD">
            <w:pPr>
              <w:snapToGrid w:val="0"/>
              <w:spacing w:line="240" w:lineRule="atLeast"/>
              <w:rPr>
                <w:rFonts w:ascii="仿宋" w:hAnsi="仿宋" w:eastAsia="仿宋"/>
                <w:color w:val="000000" w:themeColor="text1"/>
                <w:sz w:val="15"/>
                <w:szCs w:val="15"/>
              </w:rPr>
            </w:pPr>
            <w:r>
              <w:rPr>
                <w:rFonts w:ascii="仿宋" w:hAnsi="仿宋" w:eastAsia="仿宋"/>
                <w:color w:val="000000" w:themeColor="text1"/>
                <w:sz w:val="15"/>
                <w:szCs w:val="15"/>
              </w:rPr>
              <w:t>2.</w:t>
            </w:r>
            <w:r>
              <w:rPr>
                <w:rFonts w:hint="eastAsia" w:ascii="仿宋" w:hAnsi="仿宋" w:eastAsia="仿宋"/>
                <w:color w:val="000000" w:themeColor="text1"/>
                <w:sz w:val="15"/>
                <w:szCs w:val="15"/>
              </w:rPr>
              <w:t>《建设工程质量管理条例》（国务院令第</w:t>
            </w:r>
            <w:r>
              <w:rPr>
                <w:rFonts w:ascii="仿宋" w:hAnsi="仿宋" w:eastAsia="仿宋"/>
                <w:color w:val="000000" w:themeColor="text1"/>
                <w:sz w:val="15"/>
                <w:szCs w:val="15"/>
              </w:rPr>
              <w:t>279</w:t>
            </w:r>
            <w:r>
              <w:rPr>
                <w:rFonts w:hint="eastAsia" w:ascii="仿宋" w:hAnsi="仿宋" w:eastAsia="仿宋"/>
                <w:color w:val="000000" w:themeColor="text1"/>
                <w:sz w:val="15"/>
                <w:szCs w:val="15"/>
              </w:rPr>
              <w:t>号）第五条：从事建设工程活动，必须严格执行基本建设程序，坚持先勘察、后设计、再施工的原则；第十一条：施工图文件审查的具体办法，由国务院建设行政主管部门、国务院其它有关部门制定。施工图设计文件未经审查批准的不准使用。</w:t>
            </w:r>
          </w:p>
          <w:p w14:paraId="4F85CB8B">
            <w:pPr>
              <w:snapToGrid w:val="0"/>
              <w:spacing w:line="240" w:lineRule="atLeast"/>
              <w:rPr>
                <w:rFonts w:ascii="仿宋" w:hAnsi="仿宋" w:eastAsia="仿宋"/>
                <w:color w:val="000000" w:themeColor="text1"/>
                <w:sz w:val="15"/>
                <w:szCs w:val="15"/>
              </w:rPr>
            </w:pPr>
            <w:r>
              <w:rPr>
                <w:rFonts w:ascii="仿宋" w:hAnsi="仿宋" w:eastAsia="仿宋"/>
                <w:color w:val="000000" w:themeColor="text1"/>
                <w:sz w:val="15"/>
                <w:szCs w:val="15"/>
              </w:rPr>
              <w:t>3.</w:t>
            </w:r>
            <w:r>
              <w:rPr>
                <w:rFonts w:hint="eastAsia" w:ascii="仿宋" w:hAnsi="仿宋" w:eastAsia="仿宋"/>
                <w:color w:val="000000" w:themeColor="text1"/>
                <w:sz w:val="15"/>
                <w:szCs w:val="15"/>
              </w:rPr>
              <w:t>《公路建设市场管理办法》（</w:t>
            </w:r>
            <w:r>
              <w:rPr>
                <w:rFonts w:hint="eastAsia" w:ascii="仿宋_GB2312" w:eastAsia="仿宋_GB2312" w:cs="仿宋_GB2312"/>
                <w:color w:val="000000" w:themeColor="text1"/>
                <w:kern w:val="0"/>
                <w:sz w:val="15"/>
                <w:szCs w:val="15"/>
                <w:lang w:eastAsia="zh-CN"/>
              </w:rPr>
              <w:t>中华人民共和国</w:t>
            </w:r>
            <w:r>
              <w:rPr>
                <w:rFonts w:hint="eastAsia" w:ascii="仿宋" w:hAnsi="仿宋" w:eastAsia="仿宋"/>
                <w:color w:val="000000" w:themeColor="text1"/>
                <w:sz w:val="15"/>
                <w:szCs w:val="15"/>
              </w:rPr>
              <w:t>交通运输部令</w:t>
            </w:r>
            <w:r>
              <w:rPr>
                <w:rFonts w:ascii="仿宋" w:hAnsi="仿宋" w:eastAsia="仿宋"/>
                <w:color w:val="000000" w:themeColor="text1"/>
                <w:sz w:val="15"/>
                <w:szCs w:val="15"/>
              </w:rPr>
              <w:t>2015</w:t>
            </w:r>
            <w:r>
              <w:rPr>
                <w:rFonts w:hint="eastAsia" w:ascii="仿宋" w:hAnsi="仿宋" w:eastAsia="仿宋"/>
                <w:color w:val="000000" w:themeColor="text1"/>
                <w:sz w:val="15"/>
                <w:szCs w:val="15"/>
              </w:rPr>
              <w:t>年第</w:t>
            </w:r>
            <w:r>
              <w:rPr>
                <w:rFonts w:ascii="仿宋" w:hAnsi="仿宋" w:eastAsia="仿宋"/>
                <w:color w:val="000000" w:themeColor="text1"/>
                <w:sz w:val="15"/>
                <w:szCs w:val="15"/>
              </w:rPr>
              <w:t>11</w:t>
            </w:r>
            <w:r>
              <w:rPr>
                <w:rFonts w:hint="eastAsia" w:ascii="仿宋" w:hAnsi="仿宋" w:eastAsia="仿宋"/>
                <w:color w:val="000000" w:themeColor="text1"/>
                <w:sz w:val="15"/>
                <w:szCs w:val="15"/>
              </w:rPr>
              <w:t>号修正）</w:t>
            </w:r>
            <w:r>
              <w:rPr>
                <w:rStyle w:val="11"/>
                <w:rFonts w:hint="eastAsia" w:ascii="仿宋" w:hAnsi="仿宋" w:eastAsia="仿宋"/>
                <w:b w:val="0"/>
                <w:color w:val="000000" w:themeColor="text1"/>
                <w:sz w:val="15"/>
                <w:szCs w:val="15"/>
                <w:shd w:val="clear" w:color="auto" w:fill="FFFFFF"/>
              </w:rPr>
              <w:t>第十八条</w:t>
            </w:r>
            <w:r>
              <w:rPr>
                <w:rFonts w:ascii="Arial" w:hAnsi="Arial" w:eastAsia="仿宋"/>
                <w:color w:val="000000" w:themeColor="text1"/>
                <w:sz w:val="15"/>
                <w:szCs w:val="15"/>
                <w:shd w:val="clear" w:color="auto" w:fill="FFFFFF"/>
              </w:rPr>
              <w:t> </w:t>
            </w:r>
            <w:r>
              <w:rPr>
                <w:rFonts w:hint="eastAsia" w:ascii="仿宋" w:hAnsi="仿宋" w:eastAsia="仿宋"/>
                <w:color w:val="000000" w:themeColor="text1"/>
                <w:sz w:val="15"/>
                <w:szCs w:val="15"/>
                <w:shd w:val="clear" w:color="auto" w:fill="FFFFFF"/>
              </w:rPr>
              <w:t>公路建设项目法人应当按照项目管理隶属关系将施工图设计文件报交通运输主管部门审批。施工图设计文件未经审批的，不得使用。</w:t>
            </w:r>
          </w:p>
          <w:p w14:paraId="69F97B32">
            <w:pPr>
              <w:snapToGrid w:val="0"/>
              <w:spacing w:line="240" w:lineRule="atLeast"/>
              <w:rPr>
                <w:rFonts w:ascii="仿宋" w:hAnsi="仿宋" w:eastAsia="仿宋"/>
                <w:color w:val="000000" w:themeColor="text1"/>
                <w:sz w:val="15"/>
                <w:szCs w:val="15"/>
              </w:rPr>
            </w:pPr>
            <w:r>
              <w:rPr>
                <w:rFonts w:ascii="仿宋" w:hAnsi="仿宋" w:eastAsia="仿宋"/>
                <w:color w:val="000000" w:themeColor="text1"/>
                <w:sz w:val="15"/>
                <w:szCs w:val="15"/>
              </w:rPr>
              <w:t>4.</w:t>
            </w:r>
            <w:r>
              <w:rPr>
                <w:rFonts w:hint="eastAsia" w:ascii="仿宋" w:hAnsi="仿宋" w:eastAsia="仿宋"/>
                <w:color w:val="000000" w:themeColor="text1"/>
                <w:sz w:val="15"/>
                <w:szCs w:val="15"/>
              </w:rPr>
              <w:t>《公路建设监督管理办法》（</w:t>
            </w:r>
            <w:r>
              <w:rPr>
                <w:rFonts w:hint="eastAsia" w:ascii="仿宋_GB2312" w:eastAsia="仿宋_GB2312" w:cs="仿宋_GB2312"/>
                <w:color w:val="000000" w:themeColor="text1"/>
                <w:kern w:val="0"/>
                <w:sz w:val="15"/>
                <w:szCs w:val="15"/>
                <w:lang w:eastAsia="zh-CN"/>
              </w:rPr>
              <w:t>中华人民共和国</w:t>
            </w:r>
            <w:r>
              <w:rPr>
                <w:rFonts w:hint="eastAsia" w:ascii="仿宋" w:hAnsi="仿宋" w:eastAsia="仿宋"/>
                <w:color w:val="000000" w:themeColor="text1"/>
                <w:sz w:val="15"/>
                <w:szCs w:val="15"/>
              </w:rPr>
              <w:t>交通运输部令</w:t>
            </w:r>
            <w:r>
              <w:rPr>
                <w:rFonts w:ascii="仿宋" w:hAnsi="仿宋" w:eastAsia="仿宋"/>
                <w:color w:val="000000" w:themeColor="text1"/>
                <w:sz w:val="15"/>
                <w:szCs w:val="15"/>
              </w:rPr>
              <w:t>2021</w:t>
            </w:r>
            <w:r>
              <w:rPr>
                <w:rFonts w:hint="eastAsia" w:ascii="仿宋" w:hAnsi="仿宋" w:eastAsia="仿宋"/>
                <w:color w:val="000000" w:themeColor="text1"/>
                <w:sz w:val="15"/>
                <w:szCs w:val="15"/>
              </w:rPr>
              <w:t>年第</w:t>
            </w:r>
            <w:r>
              <w:rPr>
                <w:rFonts w:ascii="仿宋" w:hAnsi="仿宋" w:eastAsia="仿宋"/>
                <w:color w:val="000000" w:themeColor="text1"/>
                <w:sz w:val="15"/>
                <w:szCs w:val="15"/>
              </w:rPr>
              <w:t>11</w:t>
            </w:r>
            <w:r>
              <w:rPr>
                <w:rFonts w:hint="eastAsia" w:ascii="仿宋" w:hAnsi="仿宋" w:eastAsia="仿宋"/>
                <w:color w:val="000000" w:themeColor="text1"/>
                <w:sz w:val="15"/>
                <w:szCs w:val="15"/>
              </w:rPr>
              <w:t>号）第八条：公路建设应当按照国家规定的建设程序和有关规定进行。政府投资公路建设项目实行审批制，企业投资公路建设项目实行核准制。县级以上人民政府交通主管部门应当按职责权限审批或核准公路建设项目，不得越权审批、核准项目或擅自简化建设程序。政府投资公路建设项目的实施，应当按照下列程序进行：（一）根据规划，编制项目建议书；（二）根据批准的项目建议书，进行工程可行性研究，编制可行性研究报告；（三）根据批准的可行性研究报告，编制初步设计文件；（四）根据批准的初步设计文件，编制施工图设计文件；（五）根据批准的施工图</w:t>
            </w:r>
            <w:r>
              <w:rPr>
                <w:rFonts w:hint="eastAsia" w:ascii="仿宋" w:hAnsi="仿宋" w:eastAsia="仿宋"/>
                <w:color w:val="000000" w:themeColor="text1"/>
                <w:sz w:val="15"/>
                <w:szCs w:val="15"/>
              </w:rPr>
              <w:t>设计文件，组织项目招标；（六）根据国家有关规定，进行征地拆迁等施工前准备工作，并向交通主管部门申报施工许可；（七）根据批准的项目施工许可，组织项目实施；（八）项目完工后，编制竣工图表、工程决算和竣工财务决算，办理项目交、竣工验收和财产移交手续；（九）竣工验收合格后，组织项目后评价。国务院对政府投资公路建设项目建设程序另有简化规定的，依照其规定执行。</w:t>
            </w:r>
          </w:p>
          <w:p w14:paraId="59AA977B">
            <w:pPr>
              <w:snapToGrid w:val="0"/>
              <w:spacing w:line="240" w:lineRule="atLeast"/>
              <w:rPr>
                <w:rFonts w:ascii="仿宋" w:hAnsi="仿宋" w:eastAsia="仿宋"/>
                <w:color w:val="000000" w:themeColor="text1"/>
                <w:sz w:val="15"/>
                <w:szCs w:val="15"/>
              </w:rPr>
            </w:pPr>
            <w:r>
              <w:rPr>
                <w:rFonts w:ascii="仿宋" w:hAnsi="仿宋" w:eastAsia="仿宋"/>
                <w:color w:val="000000" w:themeColor="text1"/>
                <w:sz w:val="15"/>
                <w:szCs w:val="15"/>
              </w:rPr>
              <w:t>5.</w:t>
            </w:r>
            <w:r>
              <w:rPr>
                <w:rFonts w:hint="eastAsia" w:ascii="仿宋" w:hAnsi="仿宋" w:eastAsia="仿宋"/>
                <w:color w:val="000000" w:themeColor="text1"/>
                <w:sz w:val="15"/>
                <w:szCs w:val="15"/>
              </w:rPr>
              <w:t>《农村公路建设管理办法》</w:t>
            </w:r>
            <w:r>
              <w:rPr>
                <w:rFonts w:hint="eastAsia" w:ascii="仿宋" w:hAnsi="仿宋" w:eastAsia="仿宋"/>
                <w:color w:val="000000" w:themeColor="text1"/>
                <w:sz w:val="15"/>
                <w:szCs w:val="15"/>
              </w:rPr>
              <w:t>（</w:t>
            </w:r>
            <w:r>
              <w:rPr>
                <w:rFonts w:hint="eastAsia" w:ascii="仿宋_GB2312" w:eastAsia="仿宋_GB2312" w:cs="仿宋_GB2312"/>
                <w:color w:val="000000" w:themeColor="text1"/>
                <w:kern w:val="0"/>
                <w:sz w:val="15"/>
                <w:szCs w:val="15"/>
                <w:lang w:eastAsia="zh-CN"/>
              </w:rPr>
              <w:t>中华人民共和国</w:t>
            </w:r>
            <w:r>
              <w:rPr>
                <w:rFonts w:hint="eastAsia" w:ascii="仿宋" w:hAnsi="仿宋" w:eastAsia="仿宋"/>
                <w:color w:val="000000" w:themeColor="text1"/>
                <w:sz w:val="15"/>
                <w:szCs w:val="15"/>
              </w:rPr>
              <w:t>交通运输部令</w:t>
            </w:r>
            <w:r>
              <w:rPr>
                <w:rFonts w:ascii="仿宋" w:hAnsi="仿宋" w:eastAsia="仿宋"/>
                <w:color w:val="000000" w:themeColor="text1"/>
                <w:sz w:val="15"/>
                <w:szCs w:val="15"/>
              </w:rPr>
              <w:t>2018</w:t>
            </w:r>
            <w:r>
              <w:rPr>
                <w:rFonts w:hint="eastAsia" w:ascii="仿宋" w:hAnsi="仿宋" w:eastAsia="仿宋"/>
                <w:color w:val="000000" w:themeColor="text1"/>
                <w:sz w:val="15"/>
                <w:szCs w:val="15"/>
              </w:rPr>
              <w:t>年第</w:t>
            </w:r>
            <w:r>
              <w:rPr>
                <w:rFonts w:ascii="仿宋" w:hAnsi="仿宋" w:eastAsia="仿宋"/>
                <w:color w:val="000000" w:themeColor="text1"/>
                <w:sz w:val="15"/>
                <w:szCs w:val="15"/>
              </w:rPr>
              <w:t>4</w:t>
            </w:r>
            <w:r>
              <w:rPr>
                <w:rFonts w:hint="eastAsia" w:ascii="仿宋" w:hAnsi="仿宋" w:eastAsia="仿宋"/>
                <w:color w:val="000000" w:themeColor="text1"/>
                <w:sz w:val="15"/>
                <w:szCs w:val="15"/>
              </w:rPr>
              <w:t>号）第</w:t>
            </w:r>
            <w:r>
              <w:rPr>
                <w:rFonts w:hint="eastAsia" w:ascii="仿宋" w:hAnsi="仿宋" w:eastAsia="仿宋"/>
                <w:color w:val="000000" w:themeColor="text1"/>
                <w:sz w:val="15"/>
                <w:szCs w:val="15"/>
              </w:rPr>
              <w:t>十四条：农村公路建设的工程设计，应当按照有关规定报县级以上人民政府交通主管部门审批。</w:t>
            </w:r>
          </w:p>
          <w:p w14:paraId="1F36CD7A">
            <w:pPr>
              <w:snapToGrid w:val="0"/>
              <w:spacing w:line="240" w:lineRule="atLeast"/>
              <w:rPr>
                <w:rFonts w:ascii="仿宋" w:hAnsi="仿宋" w:eastAsia="仿宋"/>
                <w:color w:val="000000" w:themeColor="text1"/>
                <w:sz w:val="15"/>
                <w:szCs w:val="15"/>
              </w:rPr>
            </w:pPr>
            <w:r>
              <w:rPr>
                <w:rFonts w:ascii="仿宋" w:hAnsi="仿宋" w:eastAsia="仿宋"/>
                <w:color w:val="000000" w:themeColor="text1"/>
                <w:sz w:val="15"/>
                <w:szCs w:val="15"/>
              </w:rPr>
              <w:t>6.</w:t>
            </w:r>
            <w:r>
              <w:rPr>
                <w:rFonts w:hint="eastAsia" w:ascii="仿宋" w:hAnsi="仿宋" w:eastAsia="仿宋"/>
                <w:color w:val="000000" w:themeColor="text1"/>
                <w:sz w:val="15"/>
                <w:szCs w:val="15"/>
              </w:rPr>
              <w:t>《建设工程勘察设计管理条例》（国务院令第</w:t>
            </w:r>
            <w:r>
              <w:rPr>
                <w:rFonts w:ascii="仿宋" w:hAnsi="仿宋" w:eastAsia="仿宋"/>
                <w:color w:val="000000" w:themeColor="text1"/>
                <w:sz w:val="15"/>
                <w:szCs w:val="15"/>
              </w:rPr>
              <w:t>662</w:t>
            </w:r>
            <w:r>
              <w:rPr>
                <w:rFonts w:hint="eastAsia" w:ascii="仿宋" w:hAnsi="仿宋" w:eastAsia="仿宋"/>
                <w:color w:val="000000" w:themeColor="text1"/>
                <w:sz w:val="15"/>
                <w:szCs w:val="15"/>
              </w:rPr>
              <w:t>号）第三十三条：县级以上人民政府建设行政主管部门或者交通、水利等有关部门应当对施工图设计文件中涉及公共利益、公众安全、工程建设强制性标准的内容进行审查。</w:t>
            </w:r>
          </w:p>
          <w:p w14:paraId="6ECC4BE9">
            <w:pPr>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5"/>
                <w:szCs w:val="15"/>
              </w:rPr>
              <w:t>【三定规定】抚办字【</w:t>
            </w:r>
            <w:r>
              <w:rPr>
                <w:rFonts w:ascii="仿宋" w:hAnsi="仿宋" w:eastAsia="仿宋" w:cs="仿宋_GB2312"/>
                <w:color w:val="000000" w:themeColor="text1"/>
                <w:kern w:val="0"/>
                <w:sz w:val="15"/>
                <w:szCs w:val="15"/>
              </w:rPr>
              <w:t>2019</w:t>
            </w:r>
            <w:r>
              <w:rPr>
                <w:rFonts w:hint="eastAsia" w:ascii="仿宋" w:hAnsi="仿宋" w:eastAsia="仿宋" w:cs="仿宋_GB2312"/>
                <w:color w:val="000000" w:themeColor="text1"/>
                <w:kern w:val="0"/>
                <w:sz w:val="15"/>
                <w:szCs w:val="15"/>
              </w:rPr>
              <w:t>】</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号第三条第八款承担全区公路建设市场监管责任</w:t>
            </w:r>
            <w:r>
              <w:rPr>
                <w:rFonts w:ascii="仿宋" w:hAnsi="仿宋" w:eastAsia="仿宋" w:cs="仿宋_GB2312"/>
                <w:color w:val="000000" w:themeColor="text1"/>
                <w:kern w:val="0"/>
                <w:sz w:val="15"/>
                <w:szCs w:val="15"/>
              </w:rPr>
              <w:t>.</w:t>
            </w:r>
            <w:r>
              <w:rPr>
                <w:rFonts w:hint="eastAsia" w:ascii="仿宋" w:hAnsi="仿宋" w:eastAsia="仿宋" w:cs="仿宋_GB2312"/>
                <w:color w:val="000000" w:themeColor="text1"/>
                <w:kern w:val="0"/>
                <w:sz w:val="15"/>
                <w:szCs w:val="15"/>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7974D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07" w:type="dxa"/>
            <w:vMerge w:val="restart"/>
            <w:vAlign w:val="center"/>
          </w:tcPr>
          <w:p w14:paraId="79004A5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406" w:type="dxa"/>
            <w:vAlign w:val="center"/>
          </w:tcPr>
          <w:p w14:paraId="3BBF01D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A1275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31BD41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637C386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2283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05" w:hRule="atLeast"/>
          <w:jc w:val="center"/>
        </w:trPr>
        <w:tc>
          <w:tcPr>
            <w:tcW w:w="1107" w:type="dxa"/>
            <w:vMerge w:val="continue"/>
            <w:vAlign w:val="center"/>
          </w:tcPr>
          <w:p w14:paraId="22FC5491">
            <w:pPr>
              <w:rPr>
                <w:color w:val="000000" w:themeColor="text1"/>
              </w:rPr>
            </w:pPr>
          </w:p>
        </w:tc>
        <w:tc>
          <w:tcPr>
            <w:tcW w:w="1406" w:type="dxa"/>
            <w:vAlign w:val="center"/>
          </w:tcPr>
          <w:p w14:paraId="16D6670B">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受理</w:t>
            </w:r>
          </w:p>
        </w:tc>
        <w:tc>
          <w:tcPr>
            <w:tcW w:w="5287" w:type="dxa"/>
            <w:gridSpan w:val="5"/>
            <w:vAlign w:val="center"/>
          </w:tcPr>
          <w:p w14:paraId="012C7F33">
            <w:pPr>
              <w:spacing w:line="240" w:lineRule="exact"/>
              <w:ind w:firstLine="360" w:firstLineChars="200"/>
              <w:jc w:val="center"/>
              <w:rPr>
                <w:rFonts w:ascii="仿宋" w:hAnsi="仿宋" w:eastAsia="仿宋" w:cs="仿宋_GB2312"/>
                <w:color w:val="000000" w:themeColor="text1"/>
                <w:kern w:val="0"/>
                <w:sz w:val="18"/>
                <w:szCs w:val="18"/>
              </w:rPr>
            </w:pPr>
            <w:r>
              <w:rPr>
                <w:rStyle w:val="25"/>
                <w:rFonts w:hint="eastAsia" w:ascii="仿宋" w:hAns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1092" w:type="dxa"/>
            <w:gridSpan w:val="2"/>
            <w:vAlign w:val="center"/>
          </w:tcPr>
          <w:p w14:paraId="2240B20E">
            <w:pPr>
              <w:jc w:val="center"/>
              <w:rPr>
                <w:rFonts w:ascii="仿宋" w:hAnsi="仿宋" w:eastAsia="仿宋" w:cs="黑体"/>
                <w:color w:val="000000" w:themeColor="text1"/>
                <w:sz w:val="18"/>
                <w:szCs w:val="18"/>
              </w:rPr>
            </w:pPr>
            <w:r>
              <w:rPr>
                <w:rFonts w:ascii="仿宋" w:hAnsi="仿宋" w:eastAsia="仿宋" w:cs="黑体"/>
                <w:color w:val="000000" w:themeColor="text1"/>
                <w:sz w:val="18"/>
                <w:szCs w:val="18"/>
              </w:rPr>
              <w:t>1</w:t>
            </w:r>
            <w:r>
              <w:rPr>
                <w:rFonts w:hint="eastAsia" w:ascii="仿宋" w:hAnsi="仿宋" w:eastAsia="仿宋" w:cs="黑体"/>
                <w:color w:val="000000" w:themeColor="text1"/>
                <w:sz w:val="18"/>
                <w:szCs w:val="18"/>
              </w:rPr>
              <w:t>个工作日</w:t>
            </w:r>
          </w:p>
        </w:tc>
        <w:tc>
          <w:tcPr>
            <w:tcW w:w="1406" w:type="dxa"/>
            <w:vAlign w:val="center"/>
          </w:tcPr>
          <w:p w14:paraId="470F75A3">
            <w:pPr>
              <w:spacing w:line="560" w:lineRule="exact"/>
              <w:jc w:val="center"/>
              <w:rPr>
                <w:rFonts w:ascii="仿宋" w:hAnsi="仿宋" w:eastAsia="仿宋" w:cs="微软雅黑"/>
                <w:color w:val="000000" w:themeColor="text1"/>
                <w:sz w:val="18"/>
                <w:szCs w:val="18"/>
                <w:shd w:val="clear" w:color="auto" w:fill="FFFFFF"/>
              </w:rPr>
            </w:pPr>
            <w:r>
              <w:rPr>
                <w:rFonts w:hint="eastAsia" w:ascii="仿宋_GB2312" w:eastAsia="仿宋_GB2312" w:cs="黑体"/>
                <w:color w:val="000000" w:themeColor="text1"/>
                <w:sz w:val="18"/>
                <w:szCs w:val="18"/>
              </w:rPr>
              <w:t>政务服务中心交通窗口</w:t>
            </w:r>
          </w:p>
        </w:tc>
      </w:tr>
      <w:tr w14:paraId="788FF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1" w:hRule="atLeast"/>
          <w:jc w:val="center"/>
        </w:trPr>
        <w:tc>
          <w:tcPr>
            <w:tcW w:w="1107" w:type="dxa"/>
            <w:vMerge w:val="continue"/>
            <w:vAlign w:val="center"/>
          </w:tcPr>
          <w:p w14:paraId="6C01B83E">
            <w:pPr>
              <w:rPr>
                <w:color w:val="000000" w:themeColor="text1"/>
              </w:rPr>
            </w:pPr>
          </w:p>
        </w:tc>
        <w:tc>
          <w:tcPr>
            <w:tcW w:w="1406" w:type="dxa"/>
            <w:vAlign w:val="center"/>
          </w:tcPr>
          <w:p w14:paraId="17B55B48">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5"/>
            <w:vAlign w:val="center"/>
          </w:tcPr>
          <w:p w14:paraId="673769E9">
            <w:pPr>
              <w:spacing w:line="240" w:lineRule="exact"/>
              <w:ind w:firstLine="360" w:firstLineChars="200"/>
              <w:rPr>
                <w:rFonts w:ascii="仿宋" w:hAnsi="仿宋" w:eastAsia="仿宋" w:cs="仿宋_GB2312"/>
                <w:color w:val="000000" w:themeColor="text1"/>
                <w:kern w:val="0"/>
                <w:sz w:val="18"/>
                <w:szCs w:val="18"/>
              </w:rPr>
            </w:pPr>
            <w:r>
              <w:rPr>
                <w:rFonts w:hint="eastAsia" w:ascii="仿宋" w:hAnsi="仿宋" w:eastAsia="仿宋" w:cs="仿宋_GB2312"/>
                <w:color w:val="000000" w:themeColor="text1"/>
                <w:sz w:val="18"/>
                <w:szCs w:val="18"/>
              </w:rPr>
              <w:t>按照《公路建设市场管理办法》组织专家现场查看并审查施工图文件形成专家意见，按照专家意见完善修改设计文件，形成审查意见报局领导审定。</w:t>
            </w:r>
          </w:p>
        </w:tc>
        <w:tc>
          <w:tcPr>
            <w:tcW w:w="1092" w:type="dxa"/>
            <w:gridSpan w:val="2"/>
            <w:vAlign w:val="center"/>
          </w:tcPr>
          <w:p w14:paraId="37A7DAE4">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lang w:val="en-US" w:eastAsia="zh-CN"/>
              </w:rPr>
              <w:t>18</w:t>
            </w:r>
            <w:r>
              <w:rPr>
                <w:rFonts w:hint="eastAsia" w:ascii="仿宋" w:hAnsi="仿宋" w:eastAsia="仿宋" w:cs="黑体"/>
                <w:color w:val="000000" w:themeColor="text1"/>
                <w:sz w:val="18"/>
                <w:szCs w:val="18"/>
              </w:rPr>
              <w:t>个工作日</w:t>
            </w:r>
          </w:p>
        </w:tc>
        <w:tc>
          <w:tcPr>
            <w:tcW w:w="1406" w:type="dxa"/>
            <w:vAlign w:val="center"/>
          </w:tcPr>
          <w:p w14:paraId="1EE14F9B">
            <w:pPr>
              <w:jc w:val="center"/>
              <w:rPr>
                <w:rFonts w:ascii="仿宋" w:hAnsi="仿宋" w:eastAsia="仿宋" w:cs="微软雅黑"/>
                <w:color w:val="000000" w:themeColor="text1"/>
                <w:sz w:val="18"/>
                <w:szCs w:val="18"/>
                <w:shd w:val="clear" w:color="auto" w:fill="FFFFFF"/>
              </w:rPr>
            </w:pPr>
            <w:r>
              <w:rPr>
                <w:rFonts w:hint="eastAsia" w:ascii="仿宋" w:hAnsi="仿宋" w:eastAsia="仿宋" w:cs="微软雅黑"/>
                <w:color w:val="000000" w:themeColor="text1"/>
                <w:sz w:val="18"/>
                <w:szCs w:val="18"/>
                <w:shd w:val="clear" w:color="auto" w:fill="FFFFFF"/>
              </w:rPr>
              <w:t>区交通运输局</w:t>
            </w:r>
          </w:p>
          <w:p w14:paraId="67DF1DA0">
            <w:pPr>
              <w:jc w:val="center"/>
              <w:rPr>
                <w:rFonts w:ascii="仿宋" w:hAnsi="仿宋" w:eastAsia="仿宋" w:cs="黑体"/>
                <w:color w:val="000000" w:themeColor="text1"/>
                <w:sz w:val="18"/>
                <w:szCs w:val="18"/>
              </w:rPr>
            </w:pPr>
            <w:r>
              <w:rPr>
                <w:rFonts w:hint="eastAsia" w:ascii="仿宋" w:hAnsi="仿宋" w:eastAsia="仿宋" w:cs="微软雅黑"/>
                <w:color w:val="000000" w:themeColor="text1"/>
                <w:sz w:val="18"/>
                <w:szCs w:val="18"/>
                <w:shd w:val="clear" w:color="auto" w:fill="FFFFFF"/>
              </w:rPr>
              <w:t>公路管理股</w:t>
            </w:r>
          </w:p>
        </w:tc>
      </w:tr>
      <w:tr w14:paraId="3E0EB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01" w:hRule="atLeast"/>
          <w:jc w:val="center"/>
        </w:trPr>
        <w:tc>
          <w:tcPr>
            <w:tcW w:w="1107" w:type="dxa"/>
            <w:vMerge w:val="continue"/>
            <w:vAlign w:val="center"/>
          </w:tcPr>
          <w:p w14:paraId="3F492BFD">
            <w:pPr>
              <w:rPr>
                <w:color w:val="000000" w:themeColor="text1"/>
              </w:rPr>
            </w:pPr>
          </w:p>
        </w:tc>
        <w:tc>
          <w:tcPr>
            <w:tcW w:w="1406" w:type="dxa"/>
            <w:vAlign w:val="center"/>
          </w:tcPr>
          <w:p w14:paraId="010B38F6">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w:t>
            </w:r>
          </w:p>
        </w:tc>
        <w:tc>
          <w:tcPr>
            <w:tcW w:w="5287" w:type="dxa"/>
            <w:gridSpan w:val="5"/>
            <w:vAlign w:val="center"/>
          </w:tcPr>
          <w:p w14:paraId="6172CC4E">
            <w:pPr>
              <w:spacing w:line="240" w:lineRule="exact"/>
              <w:ind w:firstLine="360" w:firstLineChars="200"/>
              <w:rPr>
                <w:rFonts w:ascii="仿宋" w:hAnsi="仿宋" w:eastAsia="仿宋" w:cs="仿宋_GB2312"/>
                <w:color w:val="000000" w:themeColor="text1"/>
                <w:kern w:val="0"/>
                <w:sz w:val="18"/>
                <w:szCs w:val="18"/>
              </w:rPr>
            </w:pPr>
            <w:r>
              <w:rPr>
                <w:rFonts w:hint="eastAsia" w:ascii="仿宋" w:hAnsi="仿宋" w:eastAsia="仿宋" w:cs="仿宋_GB2312"/>
                <w:color w:val="000000" w:themeColor="text1"/>
                <w:sz w:val="18"/>
                <w:szCs w:val="18"/>
                <w:lang w:eastAsia="zh-CN"/>
              </w:rPr>
              <w:t>依法作出许可决定，并</w:t>
            </w:r>
            <w:r>
              <w:rPr>
                <w:rFonts w:hint="eastAsia" w:ascii="仿宋" w:hAnsi="仿宋" w:eastAsia="仿宋" w:cs="仿宋_GB2312"/>
                <w:color w:val="000000" w:themeColor="text1"/>
                <w:kern w:val="0"/>
                <w:sz w:val="18"/>
                <w:szCs w:val="18"/>
              </w:rPr>
              <w:t>送达相关文书。</w:t>
            </w:r>
          </w:p>
        </w:tc>
        <w:tc>
          <w:tcPr>
            <w:tcW w:w="1092" w:type="dxa"/>
            <w:gridSpan w:val="2"/>
            <w:vAlign w:val="center"/>
          </w:tcPr>
          <w:p w14:paraId="466B41FB">
            <w:pPr>
              <w:jc w:val="center"/>
              <w:rPr>
                <w:rFonts w:ascii="仿宋" w:hAnsi="仿宋" w:eastAsia="仿宋" w:cs="黑体"/>
                <w:color w:val="000000" w:themeColor="text1"/>
                <w:sz w:val="18"/>
                <w:szCs w:val="18"/>
              </w:rPr>
            </w:pPr>
            <w:r>
              <w:rPr>
                <w:rFonts w:ascii="仿宋" w:hAnsi="仿宋" w:eastAsia="仿宋" w:cs="黑体"/>
                <w:color w:val="000000" w:themeColor="text1"/>
                <w:sz w:val="18"/>
                <w:szCs w:val="18"/>
              </w:rPr>
              <w:t>1</w:t>
            </w:r>
            <w:r>
              <w:rPr>
                <w:rFonts w:hint="eastAsia" w:ascii="仿宋" w:hAnsi="仿宋" w:eastAsia="仿宋" w:cs="黑体"/>
                <w:color w:val="000000" w:themeColor="text1"/>
                <w:sz w:val="18"/>
                <w:szCs w:val="18"/>
              </w:rPr>
              <w:t>个工作日</w:t>
            </w:r>
          </w:p>
        </w:tc>
        <w:tc>
          <w:tcPr>
            <w:tcW w:w="1406" w:type="dxa"/>
            <w:vAlign w:val="center"/>
          </w:tcPr>
          <w:p w14:paraId="05C1538C">
            <w:pPr>
              <w:jc w:val="center"/>
              <w:rPr>
                <w:rFonts w:ascii="仿宋" w:hAns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2CCE0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5" w:hRule="atLeast"/>
          <w:jc w:val="center"/>
        </w:trPr>
        <w:tc>
          <w:tcPr>
            <w:tcW w:w="1107" w:type="dxa"/>
            <w:shd w:val="clear" w:color="auto" w:fill="auto"/>
            <w:vAlign w:val="center"/>
          </w:tcPr>
          <w:p w14:paraId="4FD7935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152" w:type="dxa"/>
            <w:gridSpan w:val="4"/>
            <w:tcBorders>
              <w:right w:val="single" w:color="auto" w:sz="4" w:space="0"/>
            </w:tcBorders>
            <w:shd w:val="clear" w:color="auto" w:fill="auto"/>
            <w:vAlign w:val="center"/>
          </w:tcPr>
          <w:p w14:paraId="7F494351">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41" w:type="dxa"/>
            <w:gridSpan w:val="2"/>
            <w:tcBorders>
              <w:left w:val="single" w:color="auto" w:sz="4" w:space="0"/>
            </w:tcBorders>
            <w:shd w:val="clear" w:color="auto" w:fill="auto"/>
            <w:vAlign w:val="center"/>
          </w:tcPr>
          <w:p w14:paraId="0B7121D1">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78CDAE8D">
            <w:pPr>
              <w:jc w:val="center"/>
              <w:rPr>
                <w:rFonts w:hint="eastAsia" w:ascii="仿宋" w:hAnsi="仿宋" w:eastAsia="仿宋" w:cs="微软雅黑"/>
                <w:color w:val="000000" w:themeColor="text1"/>
                <w:sz w:val="18"/>
                <w:szCs w:val="18"/>
                <w:shd w:val="clear" w:color="auto" w:fill="FFFFFF"/>
              </w:rPr>
            </w:pPr>
            <w:r>
              <w:rPr>
                <w:rFonts w:hint="eastAsia" w:ascii="仿宋_GB2312" w:eastAsia="仿宋_GB2312" w:cs="黑体"/>
                <w:color w:val="000000" w:themeColor="text1"/>
                <w:sz w:val="18"/>
                <w:szCs w:val="18"/>
                <w:lang w:eastAsia="zh-CN"/>
              </w:rPr>
              <w:t>否</w:t>
            </w:r>
          </w:p>
        </w:tc>
      </w:tr>
      <w:tr w14:paraId="6FD37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0" w:hRule="atLeast"/>
          <w:jc w:val="center"/>
        </w:trPr>
        <w:tc>
          <w:tcPr>
            <w:tcW w:w="1107" w:type="dxa"/>
            <w:shd w:val="clear" w:color="auto" w:fill="auto"/>
            <w:vAlign w:val="center"/>
          </w:tcPr>
          <w:p w14:paraId="1F3D25FC">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9191" w:type="dxa"/>
            <w:gridSpan w:val="9"/>
            <w:shd w:val="clear" w:color="auto" w:fill="auto"/>
            <w:vAlign w:val="center"/>
          </w:tcPr>
          <w:p w14:paraId="7895224F">
            <w:pPr>
              <w:jc w:val="left"/>
              <w:rPr>
                <w:rFonts w:hint="eastAsia" w:ascii="仿宋" w:hAnsi="仿宋" w:eastAsia="仿宋" w:cs="微软雅黑"/>
                <w:color w:val="000000" w:themeColor="text1"/>
                <w:sz w:val="18"/>
                <w:szCs w:val="18"/>
                <w:shd w:val="clear" w:color="auto" w:fill="FFFFFF"/>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工程施工图设计的请示</w:t>
            </w:r>
          </w:p>
        </w:tc>
      </w:tr>
      <w:tr w14:paraId="4BE86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107" w:type="dxa"/>
            <w:vAlign w:val="center"/>
          </w:tcPr>
          <w:p w14:paraId="790646E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91" w:type="dxa"/>
            <w:gridSpan w:val="9"/>
            <w:vAlign w:val="center"/>
          </w:tcPr>
          <w:p w14:paraId="6C83828D">
            <w:pPr>
              <w:spacing w:line="240" w:lineRule="exact"/>
              <w:ind w:firstLine="300" w:firstLineChars="200"/>
              <w:rPr>
                <w:rFonts w:ascii="仿宋_GB2312" w:eastAsia="仿宋_GB2312" w:cs="仿宋_GB2312"/>
                <w:color w:val="000000" w:themeColor="text1"/>
                <w:kern w:val="0"/>
                <w:sz w:val="15"/>
                <w:szCs w:val="15"/>
              </w:rPr>
            </w:pPr>
            <w:r>
              <w:rPr>
                <w:rFonts w:ascii="仿宋_GB2312" w:eastAsia="仿宋_GB2312" w:cs="仿宋_GB2312"/>
                <w:color w:val="000000" w:themeColor="text1"/>
                <w:kern w:val="0"/>
                <w:sz w:val="15"/>
                <w:szCs w:val="15"/>
              </w:rPr>
              <w:t>1</w:t>
            </w:r>
            <w:r>
              <w:rPr>
                <w:rFonts w:hint="eastAsia"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lang w:eastAsia="zh-CN"/>
              </w:rPr>
              <w:t>中华人民共和国行政许可法</w:t>
            </w:r>
            <w:r>
              <w:rPr>
                <w:rFonts w:hint="eastAsia" w:ascii="仿宋_GB2312" w:eastAsia="仿宋_GB2312" w:cs="仿宋_GB2312"/>
                <w:color w:val="000000" w:themeColor="text1"/>
                <w:kern w:val="0"/>
                <w:sz w:val="15"/>
                <w:szCs w:val="15"/>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14:paraId="4497DF1A">
            <w:pPr>
              <w:spacing w:line="240" w:lineRule="exact"/>
              <w:ind w:firstLine="300" w:firstLineChars="200"/>
              <w:rPr>
                <w:rFonts w:ascii="黑体" w:eastAsia="黑体" w:cs="黑体"/>
                <w:color w:val="000000" w:themeColor="text1"/>
                <w:szCs w:val="21"/>
              </w:rPr>
            </w:pP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lang w:eastAsia="zh-CN"/>
              </w:rPr>
              <w:t>中华人民共和国</w:t>
            </w:r>
            <w:r>
              <w:rPr>
                <w:rFonts w:hint="eastAsia" w:ascii="仿宋_GB2312" w:eastAsia="仿宋_GB2312" w:cs="仿宋_GB2312"/>
                <w:color w:val="000000" w:themeColor="text1"/>
                <w:kern w:val="0"/>
                <w:sz w:val="15"/>
                <w:szCs w:val="15"/>
              </w:rPr>
              <w:t>行政许可法》第七十四条：行政机关实施行政许可</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有下列情形之一的</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由其上级行政机关或者监察机关责令改正</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对直接负责的主管人员和其他直接责任人员依法给予行政处分；构成犯罪的</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未经招标、拍卖或者考试</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或者不根据招标、拍卖结果或者考试成绩择优作出准予行政许可决定的。</w:t>
            </w:r>
          </w:p>
        </w:tc>
      </w:tr>
      <w:tr w14:paraId="561B8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0" w:hRule="atLeast"/>
          <w:jc w:val="center"/>
        </w:trPr>
        <w:tc>
          <w:tcPr>
            <w:tcW w:w="1107" w:type="dxa"/>
            <w:vAlign w:val="center"/>
          </w:tcPr>
          <w:p w14:paraId="04C126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91" w:type="dxa"/>
            <w:gridSpan w:val="9"/>
            <w:vAlign w:val="center"/>
          </w:tcPr>
          <w:p w14:paraId="7B6B2678">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hint="eastAsia" w:ascii="仿宋_GB2312" w:hAnsi="黑体" w:eastAsia="仿宋_GB2312" w:cs="黑体"/>
                <w:color w:val="000000" w:themeColor="text1"/>
                <w:kern w:val="0"/>
                <w:sz w:val="18"/>
                <w:szCs w:val="18"/>
                <w:lang w:val="en-US" w:eastAsia="zh-CN"/>
              </w:rPr>
              <w:t>7828572</w:t>
            </w:r>
            <w:r>
              <w:rPr>
                <w:rFonts w:ascii="仿宋_GB2312" w:hAnsi="黑体" w:eastAsia="仿宋_GB2312" w:cs="黑体"/>
                <w:color w:val="000000" w:themeColor="text1"/>
                <w:kern w:val="0"/>
                <w:sz w:val="18"/>
                <w:szCs w:val="18"/>
              </w:rPr>
              <w:t xml:space="preserve">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7937144D">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53D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07" w:type="dxa"/>
            <w:vAlign w:val="center"/>
          </w:tcPr>
          <w:p w14:paraId="4ACCE5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91" w:type="dxa"/>
            <w:gridSpan w:val="9"/>
            <w:vAlign w:val="center"/>
          </w:tcPr>
          <w:p w14:paraId="73F196C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．不服许可决定自知道该具体行政行为之日起六十日内向抚宁区人民政府申请行政复议。</w:t>
            </w:r>
          </w:p>
          <w:p w14:paraId="64E30BD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．不服许可决定应当自知道或者应当知道作出行政行为之日起六个月内提出向抚宁区人民法院提起行政诉讼。</w:t>
            </w:r>
          </w:p>
        </w:tc>
      </w:tr>
      <w:tr w14:paraId="56D0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07" w:type="dxa"/>
            <w:vAlign w:val="center"/>
          </w:tcPr>
          <w:p w14:paraId="0B01E3F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91" w:type="dxa"/>
            <w:gridSpan w:val="9"/>
            <w:vAlign w:val="center"/>
          </w:tcPr>
          <w:p w14:paraId="773CA727">
            <w:pPr>
              <w:widowControl/>
              <w:jc w:val="left"/>
              <w:textAlignment w:val="center"/>
              <w:rPr>
                <w:rFonts w:ascii="黑体" w:eastAsia="黑体" w:cs="黑体"/>
                <w:color w:val="000000" w:themeColor="text1"/>
                <w:kern w:val="0"/>
                <w:sz w:val="18"/>
                <w:szCs w:val="18"/>
              </w:rPr>
            </w:pPr>
          </w:p>
        </w:tc>
      </w:tr>
    </w:tbl>
    <w:p w14:paraId="377234BC">
      <w:pPr>
        <w:rPr>
          <w:color w:val="000000" w:themeColor="text1"/>
        </w:rPr>
      </w:pPr>
    </w:p>
    <w:p w14:paraId="2E0C9CA1">
      <w:pPr>
        <w:snapToGrid w:val="0"/>
        <w:spacing w:line="240" w:lineRule="atLeast"/>
        <w:rPr>
          <w:color w:val="000000" w:themeColor="text1"/>
          <w:sz w:val="18"/>
          <w:szCs w:val="18"/>
        </w:rPr>
      </w:pPr>
    </w:p>
    <w:p w14:paraId="31D2CD96">
      <w:pPr>
        <w:snapToGrid w:val="0"/>
        <w:spacing w:line="240" w:lineRule="atLeast"/>
        <w:rPr>
          <w:color w:val="000000" w:themeColor="text1"/>
          <w:sz w:val="18"/>
          <w:szCs w:val="18"/>
        </w:rPr>
      </w:pPr>
    </w:p>
    <w:p w14:paraId="703FDA3F">
      <w:pPr>
        <w:snapToGrid w:val="0"/>
        <w:spacing w:line="240" w:lineRule="atLeast"/>
        <w:rPr>
          <w:color w:val="000000" w:themeColor="text1"/>
          <w:sz w:val="18"/>
          <w:szCs w:val="18"/>
        </w:rPr>
      </w:pPr>
    </w:p>
    <w:p w14:paraId="0D801CD4">
      <w:pPr>
        <w:snapToGrid w:val="0"/>
        <w:spacing w:line="240" w:lineRule="atLeast"/>
        <w:rPr>
          <w:color w:val="000000" w:themeColor="text1"/>
          <w:sz w:val="18"/>
          <w:szCs w:val="18"/>
        </w:rPr>
      </w:pPr>
    </w:p>
    <w:p w14:paraId="6F36A9D0">
      <w:pPr>
        <w:snapToGrid w:val="0"/>
        <w:spacing w:line="240" w:lineRule="atLeast"/>
        <w:rPr>
          <w:color w:val="000000" w:themeColor="text1"/>
          <w:sz w:val="18"/>
          <w:szCs w:val="18"/>
        </w:rPr>
      </w:pPr>
    </w:p>
    <w:p w14:paraId="5FA71CE1">
      <w:pPr>
        <w:snapToGrid w:val="0"/>
        <w:spacing w:line="240" w:lineRule="atLeast"/>
        <w:rPr>
          <w:color w:val="000000" w:themeColor="text1"/>
          <w:sz w:val="18"/>
          <w:szCs w:val="18"/>
        </w:rPr>
      </w:pPr>
    </w:p>
    <w:p w14:paraId="499DF03D">
      <w:pPr>
        <w:widowControl/>
        <w:jc w:val="center"/>
        <w:textAlignment w:val="center"/>
        <w:rPr>
          <w:rFonts w:ascii="方正小标宋简体" w:eastAsia="方正小标宋简体" w:cs="方正小标宋简体"/>
          <w:color w:val="000000" w:themeColor="text1"/>
          <w:kern w:val="0"/>
          <w:sz w:val="44"/>
          <w:szCs w:val="44"/>
        </w:rPr>
      </w:pPr>
    </w:p>
    <w:p w14:paraId="4062947B">
      <w:pPr>
        <w:widowControl/>
        <w:jc w:val="center"/>
        <w:textAlignment w:val="center"/>
        <w:rPr>
          <w:rFonts w:ascii="方正小标宋简体" w:eastAsia="方正小标宋简体" w:cs="方正小标宋简体"/>
          <w:color w:val="000000" w:themeColor="text1"/>
          <w:kern w:val="0"/>
          <w:sz w:val="44"/>
          <w:szCs w:val="44"/>
        </w:rPr>
      </w:pPr>
    </w:p>
    <w:p w14:paraId="28793ABE">
      <w:pPr>
        <w:widowControl/>
        <w:jc w:val="center"/>
        <w:textAlignment w:val="center"/>
        <w:rPr>
          <w:rFonts w:ascii="方正小标宋简体" w:eastAsia="方正小标宋简体" w:cs="方正小标宋简体"/>
          <w:color w:val="000000" w:themeColor="text1"/>
          <w:kern w:val="0"/>
          <w:sz w:val="44"/>
          <w:szCs w:val="44"/>
        </w:rPr>
      </w:pPr>
    </w:p>
    <w:p w14:paraId="482B92EB">
      <w:pPr>
        <w:widowControl/>
        <w:jc w:val="center"/>
        <w:textAlignment w:val="center"/>
        <w:rPr>
          <w:rFonts w:ascii="方正小标宋简体" w:eastAsia="方正小标宋简体" w:cs="方正小标宋简体"/>
          <w:color w:val="000000" w:themeColor="text1"/>
          <w:kern w:val="0"/>
          <w:sz w:val="44"/>
          <w:szCs w:val="44"/>
        </w:rPr>
      </w:pPr>
    </w:p>
    <w:p w14:paraId="00FF4D10">
      <w:pPr>
        <w:widowControl/>
        <w:jc w:val="center"/>
        <w:textAlignment w:val="center"/>
        <w:rPr>
          <w:rFonts w:ascii="方正小标宋简体" w:eastAsia="方正小标宋简体" w:cs="方正小标宋简体"/>
          <w:color w:val="000000" w:themeColor="text1"/>
          <w:kern w:val="0"/>
          <w:sz w:val="44"/>
          <w:szCs w:val="44"/>
        </w:rPr>
      </w:pPr>
    </w:p>
    <w:p w14:paraId="4DFDC10D">
      <w:pPr>
        <w:widowControl/>
        <w:jc w:val="center"/>
        <w:textAlignment w:val="center"/>
        <w:rPr>
          <w:rFonts w:ascii="方正小标宋简体" w:eastAsia="方正小标宋简体" w:cs="方正小标宋简体"/>
          <w:color w:val="000000" w:themeColor="text1"/>
          <w:kern w:val="0"/>
          <w:sz w:val="44"/>
          <w:szCs w:val="44"/>
        </w:rPr>
      </w:pPr>
    </w:p>
    <w:p w14:paraId="5715E8A1">
      <w:pPr>
        <w:widowControl/>
        <w:jc w:val="center"/>
        <w:textAlignment w:val="center"/>
        <w:rPr>
          <w:rFonts w:ascii="方正小标宋简体" w:eastAsia="方正小标宋简体" w:cs="方正小标宋简体"/>
          <w:color w:val="000000" w:themeColor="text1"/>
          <w:kern w:val="0"/>
          <w:sz w:val="44"/>
          <w:szCs w:val="44"/>
        </w:rPr>
      </w:pPr>
    </w:p>
    <w:p w14:paraId="0FF9DB01">
      <w:pPr>
        <w:widowControl/>
        <w:jc w:val="center"/>
        <w:textAlignment w:val="center"/>
        <w:rPr>
          <w:rFonts w:ascii="方正小标宋简体" w:eastAsia="方正小标宋简体" w:cs="方正小标宋简体"/>
          <w:color w:val="000000" w:themeColor="text1"/>
          <w:kern w:val="0"/>
          <w:sz w:val="44"/>
          <w:szCs w:val="44"/>
        </w:rPr>
      </w:pPr>
    </w:p>
    <w:p w14:paraId="2F7ADF53">
      <w:pPr>
        <w:widowControl/>
        <w:jc w:val="center"/>
        <w:textAlignment w:val="center"/>
        <w:rPr>
          <w:rFonts w:ascii="方正小标宋简体" w:eastAsia="方正小标宋简体" w:cs="方正小标宋简体"/>
          <w:color w:val="000000" w:themeColor="text1"/>
          <w:kern w:val="0"/>
          <w:sz w:val="44"/>
          <w:szCs w:val="44"/>
        </w:rPr>
      </w:pPr>
    </w:p>
    <w:p w14:paraId="59746E69">
      <w:pPr>
        <w:widowControl/>
        <w:jc w:val="center"/>
        <w:textAlignment w:val="center"/>
        <w:rPr>
          <w:rFonts w:ascii="方正小标宋简体" w:eastAsia="方正小标宋简体" w:cs="方正小标宋简体"/>
          <w:color w:val="000000" w:themeColor="text1"/>
          <w:kern w:val="0"/>
          <w:sz w:val="44"/>
          <w:szCs w:val="44"/>
        </w:rPr>
      </w:pPr>
    </w:p>
    <w:p w14:paraId="25D399EA">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履职行权规程（行政许可）</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107"/>
        <w:gridCol w:w="1406"/>
        <w:gridCol w:w="641"/>
        <w:gridCol w:w="1691"/>
        <w:gridCol w:w="1564"/>
        <w:gridCol w:w="399"/>
        <w:gridCol w:w="992"/>
        <w:gridCol w:w="567"/>
        <w:gridCol w:w="525"/>
        <w:gridCol w:w="1406"/>
      </w:tblGrid>
      <w:tr w14:paraId="3A6EF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107" w:type="dxa"/>
            <w:vAlign w:val="center"/>
          </w:tcPr>
          <w:p w14:paraId="5148632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047" w:type="dxa"/>
            <w:gridSpan w:val="2"/>
            <w:vAlign w:val="center"/>
          </w:tcPr>
          <w:p w14:paraId="25539DD2">
            <w:pPr>
              <w:jc w:val="center"/>
              <w:rPr>
                <w:rFonts w:ascii="黑体" w:eastAsia="黑体" w:cs="黑体"/>
                <w:b/>
                <w:bCs/>
                <w:color w:val="000000" w:themeColor="text1"/>
                <w:szCs w:val="21"/>
              </w:rPr>
            </w:pPr>
            <w:r>
              <w:rPr>
                <w:rFonts w:ascii="黑体" w:eastAsia="黑体" w:cs="黑体"/>
                <w:b/>
                <w:bCs/>
                <w:color w:val="000000" w:themeColor="text1"/>
                <w:szCs w:val="21"/>
              </w:rPr>
              <w:t>217</w:t>
            </w:r>
          </w:p>
        </w:tc>
        <w:tc>
          <w:tcPr>
            <w:tcW w:w="1691" w:type="dxa"/>
            <w:vAlign w:val="center"/>
          </w:tcPr>
          <w:p w14:paraId="6213B31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73ECDED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行政许可</w:t>
            </w:r>
          </w:p>
        </w:tc>
        <w:tc>
          <w:tcPr>
            <w:tcW w:w="1559" w:type="dxa"/>
            <w:gridSpan w:val="2"/>
            <w:vAlign w:val="center"/>
          </w:tcPr>
          <w:p w14:paraId="28337F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25791A4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FB4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107" w:type="dxa"/>
            <w:vAlign w:val="center"/>
          </w:tcPr>
          <w:p w14:paraId="541A5A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191" w:type="dxa"/>
            <w:gridSpan w:val="9"/>
            <w:vAlign w:val="center"/>
          </w:tcPr>
          <w:p w14:paraId="076A20D3">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kern w:val="0"/>
                <w:sz w:val="18"/>
                <w:szCs w:val="18"/>
              </w:rPr>
              <w:t>公路建设项目施工许可</w:t>
            </w:r>
          </w:p>
        </w:tc>
      </w:tr>
      <w:tr w14:paraId="76755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132" w:hRule="atLeast"/>
          <w:jc w:val="center"/>
        </w:trPr>
        <w:tc>
          <w:tcPr>
            <w:tcW w:w="1107" w:type="dxa"/>
            <w:vAlign w:val="center"/>
          </w:tcPr>
          <w:p w14:paraId="61357CC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191" w:type="dxa"/>
            <w:gridSpan w:val="9"/>
            <w:vAlign w:val="center"/>
          </w:tcPr>
          <w:p w14:paraId="02FEECED">
            <w:pPr>
              <w:tabs>
                <w:tab w:val="left" w:pos="2260"/>
              </w:tabs>
              <w:spacing w:line="240" w:lineRule="exact"/>
              <w:jc w:val="lef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p>
          <w:p w14:paraId="47C58BC1">
            <w:pPr>
              <w:tabs>
                <w:tab w:val="left" w:pos="2260"/>
              </w:tabs>
              <w:spacing w:line="240" w:lineRule="exact"/>
              <w:jc w:val="left"/>
              <w:rPr>
                <w:rFonts w:ascii="仿宋" w:hAnsi="仿宋" w:eastAsia="仿宋" w:cs="仿宋"/>
                <w:color w:val="000000" w:themeColor="text1"/>
                <w:sz w:val="18"/>
                <w:szCs w:val="18"/>
              </w:rPr>
            </w:pPr>
            <w:r>
              <w:rPr>
                <w:rFonts w:ascii="仿宋" w:hAnsi="仿宋" w:eastAsia="仿宋" w:cs="仿宋"/>
                <w:color w:val="000000" w:themeColor="text1"/>
                <w:sz w:val="18"/>
                <w:szCs w:val="18"/>
              </w:rPr>
              <w:t>1</w:t>
            </w:r>
            <w:r>
              <w:rPr>
                <w:rFonts w:hint="eastAsia" w:ascii="仿宋" w:hAnsi="仿宋" w:eastAsia="仿宋" w:cs="仿宋"/>
                <w:color w:val="000000" w:themeColor="text1"/>
                <w:sz w:val="18"/>
                <w:szCs w:val="18"/>
              </w:rPr>
              <w:t>、《中华人民共和国公路法》</w:t>
            </w:r>
            <w:r>
              <w:rPr>
                <w:rFonts w:hint="eastAsia" w:ascii="仿宋" w:hAnsi="仿宋" w:eastAsia="仿宋"/>
                <w:color w:val="000000" w:themeColor="text1"/>
                <w:sz w:val="18"/>
                <w:szCs w:val="18"/>
              </w:rPr>
              <w:t>（</w:t>
            </w:r>
            <w:r>
              <w:rPr>
                <w:rFonts w:ascii="仿宋" w:hAnsi="仿宋" w:eastAsia="仿宋"/>
                <w:color w:val="000000" w:themeColor="text1"/>
                <w:sz w:val="18"/>
                <w:szCs w:val="18"/>
              </w:rPr>
              <w:t>1997</w:t>
            </w:r>
            <w:r>
              <w:rPr>
                <w:rFonts w:hint="eastAsia" w:ascii="仿宋" w:hAnsi="仿宋" w:eastAsia="仿宋"/>
                <w:color w:val="000000" w:themeColor="text1"/>
                <w:sz w:val="18"/>
                <w:szCs w:val="18"/>
              </w:rPr>
              <w:t>年</w:t>
            </w:r>
            <w:r>
              <w:rPr>
                <w:rFonts w:ascii="仿宋" w:hAnsi="仿宋" w:eastAsia="仿宋"/>
                <w:color w:val="000000" w:themeColor="text1"/>
                <w:sz w:val="18"/>
                <w:szCs w:val="18"/>
              </w:rPr>
              <w:t>7</w:t>
            </w:r>
            <w:r>
              <w:rPr>
                <w:rFonts w:hint="eastAsia" w:ascii="仿宋" w:hAnsi="仿宋" w:eastAsia="仿宋"/>
                <w:color w:val="000000" w:themeColor="text1"/>
                <w:sz w:val="18"/>
                <w:szCs w:val="18"/>
              </w:rPr>
              <w:t>月</w:t>
            </w:r>
            <w:r>
              <w:rPr>
                <w:rFonts w:ascii="仿宋" w:hAnsi="仿宋" w:eastAsia="仿宋"/>
                <w:color w:val="000000" w:themeColor="text1"/>
                <w:sz w:val="18"/>
                <w:szCs w:val="18"/>
              </w:rPr>
              <w:t>3</w:t>
            </w:r>
            <w:r>
              <w:rPr>
                <w:rFonts w:hint="eastAsia" w:ascii="仿宋" w:hAnsi="仿宋" w:eastAsia="仿宋"/>
                <w:color w:val="000000" w:themeColor="text1"/>
                <w:sz w:val="18"/>
                <w:szCs w:val="18"/>
              </w:rPr>
              <w:t>日通过，</w:t>
            </w:r>
            <w:r>
              <w:rPr>
                <w:rFonts w:ascii="仿宋" w:hAnsi="仿宋" w:eastAsia="仿宋"/>
                <w:color w:val="000000" w:themeColor="text1"/>
                <w:sz w:val="18"/>
                <w:szCs w:val="18"/>
              </w:rPr>
              <w:t>2017</w:t>
            </w:r>
            <w:r>
              <w:rPr>
                <w:rFonts w:hint="eastAsia" w:ascii="仿宋" w:hAnsi="仿宋" w:eastAsia="仿宋"/>
                <w:color w:val="000000" w:themeColor="text1"/>
                <w:sz w:val="18"/>
                <w:szCs w:val="18"/>
              </w:rPr>
              <w:t>年</w:t>
            </w:r>
            <w:r>
              <w:rPr>
                <w:rFonts w:ascii="仿宋" w:hAnsi="仿宋" w:eastAsia="仿宋"/>
                <w:color w:val="000000" w:themeColor="text1"/>
                <w:sz w:val="18"/>
                <w:szCs w:val="18"/>
              </w:rPr>
              <w:t>11</w:t>
            </w:r>
            <w:r>
              <w:rPr>
                <w:rFonts w:hint="eastAsia" w:ascii="仿宋" w:hAnsi="仿宋" w:eastAsia="仿宋"/>
                <w:color w:val="000000" w:themeColor="text1"/>
                <w:sz w:val="18"/>
                <w:szCs w:val="18"/>
              </w:rPr>
              <w:t>月</w:t>
            </w:r>
            <w:r>
              <w:rPr>
                <w:rFonts w:ascii="仿宋" w:hAnsi="仿宋" w:eastAsia="仿宋"/>
                <w:color w:val="000000" w:themeColor="text1"/>
                <w:sz w:val="18"/>
                <w:szCs w:val="18"/>
              </w:rPr>
              <w:t>4</w:t>
            </w:r>
            <w:r>
              <w:rPr>
                <w:rFonts w:hint="eastAsia" w:ascii="仿宋" w:hAnsi="仿宋" w:eastAsia="仿宋"/>
                <w:color w:val="000000" w:themeColor="text1"/>
                <w:sz w:val="18"/>
                <w:szCs w:val="18"/>
              </w:rPr>
              <w:t>日主席令第</w:t>
            </w:r>
            <w:r>
              <w:rPr>
                <w:rFonts w:ascii="仿宋" w:hAnsi="仿宋" w:eastAsia="仿宋"/>
                <w:color w:val="000000" w:themeColor="text1"/>
                <w:sz w:val="18"/>
                <w:szCs w:val="18"/>
              </w:rPr>
              <w:t>81</w:t>
            </w:r>
            <w:r>
              <w:rPr>
                <w:rFonts w:hint="eastAsia" w:ascii="仿宋" w:hAnsi="仿宋" w:eastAsia="仿宋"/>
                <w:color w:val="000000" w:themeColor="text1"/>
                <w:sz w:val="18"/>
                <w:szCs w:val="18"/>
              </w:rPr>
              <w:t>号修正）第</w:t>
            </w:r>
            <w:r>
              <w:rPr>
                <w:rFonts w:hint="eastAsia" w:ascii="仿宋" w:hAnsi="仿宋" w:eastAsia="仿宋" w:cs="仿宋"/>
                <w:color w:val="000000" w:themeColor="text1"/>
                <w:sz w:val="18"/>
                <w:szCs w:val="18"/>
              </w:rPr>
              <w:t>二十五条公路建设项目的施工，须按国务院交通主管部门的规定报请县级以上地方人民政府交通主管部门批准。</w:t>
            </w:r>
          </w:p>
          <w:p w14:paraId="08C97446">
            <w:pPr>
              <w:tabs>
                <w:tab w:val="left" w:pos="2260"/>
              </w:tabs>
              <w:spacing w:line="240" w:lineRule="exact"/>
              <w:jc w:val="left"/>
              <w:rPr>
                <w:rFonts w:ascii="仿宋" w:hAnsi="仿宋" w:eastAsia="仿宋" w:cs="仿宋"/>
                <w:color w:val="000000" w:themeColor="text1"/>
                <w:sz w:val="18"/>
                <w:szCs w:val="18"/>
              </w:rPr>
            </w:pPr>
            <w:r>
              <w:rPr>
                <w:rFonts w:ascii="仿宋" w:hAnsi="仿宋" w:eastAsia="仿宋" w:cs="仿宋"/>
                <w:color w:val="000000" w:themeColor="text1"/>
                <w:sz w:val="18"/>
                <w:szCs w:val="18"/>
              </w:rPr>
              <w:t>2</w:t>
            </w:r>
            <w:r>
              <w:rPr>
                <w:rFonts w:hint="eastAsia" w:ascii="仿宋" w:hAnsi="仿宋" w:eastAsia="仿宋" w:cs="仿宋"/>
                <w:color w:val="000000" w:themeColor="text1"/>
                <w:sz w:val="18"/>
                <w:szCs w:val="18"/>
              </w:rPr>
              <w:t>、《公路建设市场管理办法》</w:t>
            </w:r>
            <w:r>
              <w:rPr>
                <w:rFonts w:hint="eastAsia" w:ascii="仿宋" w:hAnsi="仿宋" w:eastAsia="仿宋"/>
                <w:color w:val="000000" w:themeColor="text1"/>
                <w:sz w:val="18"/>
                <w:szCs w:val="18"/>
              </w:rPr>
              <w:t>（</w:t>
            </w:r>
            <w:r>
              <w:rPr>
                <w:rFonts w:hint="eastAsia" w:ascii="仿宋_GB2312" w:eastAsia="仿宋_GB2312" w:cs="仿宋_GB2312"/>
                <w:color w:val="000000" w:themeColor="text1"/>
                <w:kern w:val="0"/>
                <w:sz w:val="18"/>
                <w:szCs w:val="18"/>
                <w:lang w:eastAsia="zh-CN"/>
              </w:rPr>
              <w:t>中华人民共和国</w:t>
            </w:r>
            <w:r>
              <w:rPr>
                <w:rFonts w:hint="eastAsia" w:ascii="仿宋" w:hAnsi="仿宋" w:eastAsia="仿宋"/>
                <w:color w:val="000000" w:themeColor="text1"/>
                <w:sz w:val="18"/>
                <w:szCs w:val="18"/>
              </w:rPr>
              <w:t>交通运输部令</w:t>
            </w:r>
            <w:r>
              <w:rPr>
                <w:rFonts w:ascii="仿宋" w:hAnsi="仿宋" w:eastAsia="仿宋"/>
                <w:color w:val="000000" w:themeColor="text1"/>
                <w:sz w:val="18"/>
                <w:szCs w:val="18"/>
              </w:rPr>
              <w:t>2018</w:t>
            </w:r>
            <w:r>
              <w:rPr>
                <w:rFonts w:hint="eastAsia" w:ascii="仿宋" w:hAnsi="仿宋" w:eastAsia="仿宋"/>
                <w:color w:val="000000" w:themeColor="text1"/>
                <w:sz w:val="18"/>
                <w:szCs w:val="18"/>
              </w:rPr>
              <w:t>年第</w:t>
            </w:r>
            <w:r>
              <w:rPr>
                <w:rFonts w:ascii="仿宋" w:hAnsi="仿宋" w:eastAsia="仿宋"/>
                <w:color w:val="000000" w:themeColor="text1"/>
                <w:sz w:val="18"/>
                <w:szCs w:val="18"/>
              </w:rPr>
              <w:t>4</w:t>
            </w:r>
            <w:r>
              <w:rPr>
                <w:rFonts w:hint="eastAsia" w:ascii="仿宋" w:hAnsi="仿宋" w:eastAsia="仿宋"/>
                <w:color w:val="000000" w:themeColor="text1"/>
                <w:sz w:val="18"/>
                <w:szCs w:val="18"/>
              </w:rPr>
              <w:t>号）</w:t>
            </w:r>
            <w:r>
              <w:rPr>
                <w:rFonts w:hint="eastAsia" w:ascii="仿宋" w:hAnsi="仿宋" w:eastAsia="仿宋" w:cs="仿宋"/>
                <w:color w:val="000000" w:themeColor="text1"/>
                <w:sz w:val="18"/>
                <w:szCs w:val="18"/>
              </w:rPr>
              <w:t>第二十四条公路建设项目依法实行施工许可制度。国家和国务院交通运输主管部门确定的重点公路建设项目的施工许可由国务院交通运输主管部门实施，其他公路建设项目的施工许可按照项目管理权限由县级以上地方人民政府交通运输主管部门实施。</w:t>
            </w:r>
          </w:p>
          <w:p w14:paraId="78BB104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9A0E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107" w:type="dxa"/>
            <w:vMerge w:val="restart"/>
            <w:vAlign w:val="center"/>
          </w:tcPr>
          <w:p w14:paraId="39B59F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406" w:type="dxa"/>
            <w:vAlign w:val="center"/>
          </w:tcPr>
          <w:p w14:paraId="4DB32B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53D7EF5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15B11D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F93395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CB52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0" w:hRule="atLeast"/>
          <w:jc w:val="center"/>
        </w:trPr>
        <w:tc>
          <w:tcPr>
            <w:tcW w:w="1107" w:type="dxa"/>
            <w:vMerge w:val="continue"/>
            <w:vAlign w:val="center"/>
          </w:tcPr>
          <w:p w14:paraId="5A2AE127">
            <w:pPr>
              <w:rPr>
                <w:color w:val="000000" w:themeColor="text1"/>
              </w:rPr>
            </w:pPr>
          </w:p>
        </w:tc>
        <w:tc>
          <w:tcPr>
            <w:tcW w:w="1406" w:type="dxa"/>
            <w:vAlign w:val="center"/>
          </w:tcPr>
          <w:p w14:paraId="1A818BA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受理</w:t>
            </w:r>
          </w:p>
        </w:tc>
        <w:tc>
          <w:tcPr>
            <w:tcW w:w="5287" w:type="dxa"/>
            <w:gridSpan w:val="5"/>
            <w:vAlign w:val="center"/>
          </w:tcPr>
          <w:p w14:paraId="12408C42">
            <w:pPr>
              <w:spacing w:line="240" w:lineRule="exact"/>
              <w:jc w:val="center"/>
              <w:rPr>
                <w:rFonts w:ascii="仿宋" w:hAnsi="仿宋" w:eastAsia="仿宋" w:cs="仿宋_GB2312"/>
                <w:color w:val="000000" w:themeColor="text1"/>
                <w:sz w:val="18"/>
                <w:szCs w:val="18"/>
              </w:rPr>
            </w:pPr>
            <w:r>
              <w:rPr>
                <w:rStyle w:val="25"/>
                <w:rFonts w:hint="eastAsia" w:ascii="仿宋" w:hAns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1092" w:type="dxa"/>
            <w:gridSpan w:val="2"/>
            <w:vAlign w:val="center"/>
          </w:tcPr>
          <w:p w14:paraId="1E626931">
            <w:pPr>
              <w:jc w:val="center"/>
              <w:rPr>
                <w:rFonts w:ascii="仿宋" w:hAnsi="仿宋" w:eastAsia="仿宋" w:cs="黑体"/>
                <w:color w:val="000000" w:themeColor="text1"/>
                <w:sz w:val="18"/>
                <w:szCs w:val="18"/>
              </w:rPr>
            </w:pPr>
            <w:r>
              <w:rPr>
                <w:rFonts w:ascii="仿宋" w:hAnsi="仿宋" w:eastAsia="仿宋" w:cs="黑体"/>
                <w:color w:val="000000" w:themeColor="text1"/>
                <w:sz w:val="18"/>
                <w:szCs w:val="18"/>
              </w:rPr>
              <w:t>1</w:t>
            </w:r>
            <w:r>
              <w:rPr>
                <w:rFonts w:hint="eastAsia" w:ascii="仿宋" w:hAnsi="仿宋" w:eastAsia="仿宋" w:cs="黑体"/>
                <w:color w:val="000000" w:themeColor="text1"/>
                <w:sz w:val="18"/>
                <w:szCs w:val="18"/>
              </w:rPr>
              <w:t>个工作日</w:t>
            </w:r>
          </w:p>
        </w:tc>
        <w:tc>
          <w:tcPr>
            <w:tcW w:w="1406" w:type="dxa"/>
            <w:vAlign w:val="center"/>
          </w:tcPr>
          <w:p w14:paraId="41251572">
            <w:pPr>
              <w:spacing w:line="560" w:lineRule="exact"/>
              <w:jc w:val="center"/>
              <w:rPr>
                <w:rFonts w:ascii="仿宋" w:hAnsi="仿宋" w:eastAsia="仿宋" w:cs="微软雅黑"/>
                <w:color w:val="000000" w:themeColor="text1"/>
                <w:sz w:val="18"/>
                <w:szCs w:val="18"/>
                <w:shd w:val="clear" w:color="auto" w:fill="FFFFFF"/>
              </w:rPr>
            </w:pPr>
            <w:r>
              <w:rPr>
                <w:rFonts w:hint="eastAsia" w:ascii="仿宋_GB2312" w:eastAsia="仿宋_GB2312" w:cs="黑体"/>
                <w:color w:val="000000" w:themeColor="text1"/>
                <w:sz w:val="18"/>
                <w:szCs w:val="18"/>
              </w:rPr>
              <w:t>政务服务中心交通窗口</w:t>
            </w:r>
          </w:p>
        </w:tc>
      </w:tr>
      <w:tr w14:paraId="033BF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41" w:hRule="atLeast"/>
          <w:jc w:val="center"/>
        </w:trPr>
        <w:tc>
          <w:tcPr>
            <w:tcW w:w="1107" w:type="dxa"/>
            <w:vMerge w:val="continue"/>
            <w:vAlign w:val="center"/>
          </w:tcPr>
          <w:p w14:paraId="4DE54673">
            <w:pPr>
              <w:rPr>
                <w:color w:val="000000" w:themeColor="text1"/>
              </w:rPr>
            </w:pPr>
          </w:p>
        </w:tc>
        <w:tc>
          <w:tcPr>
            <w:tcW w:w="1406" w:type="dxa"/>
            <w:vAlign w:val="center"/>
          </w:tcPr>
          <w:p w14:paraId="1A00C189">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审查</w:t>
            </w:r>
          </w:p>
        </w:tc>
        <w:tc>
          <w:tcPr>
            <w:tcW w:w="5287" w:type="dxa"/>
            <w:gridSpan w:val="5"/>
            <w:vAlign w:val="center"/>
          </w:tcPr>
          <w:p w14:paraId="0AFCC4C1">
            <w:pPr>
              <w:spacing w:line="240" w:lineRule="exact"/>
              <w:ind w:firstLine="360" w:firstLineChars="200"/>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按照《公路建设市场管理办法》对书面材料进行审查。</w:t>
            </w:r>
          </w:p>
        </w:tc>
        <w:tc>
          <w:tcPr>
            <w:tcW w:w="1092" w:type="dxa"/>
            <w:gridSpan w:val="2"/>
            <w:vAlign w:val="center"/>
          </w:tcPr>
          <w:p w14:paraId="44AED3F1">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lang w:val="en-US" w:eastAsia="zh-CN"/>
              </w:rPr>
              <w:t>3</w:t>
            </w:r>
            <w:r>
              <w:rPr>
                <w:rFonts w:hint="eastAsia" w:ascii="仿宋" w:hAnsi="仿宋" w:eastAsia="仿宋" w:cs="黑体"/>
                <w:color w:val="000000" w:themeColor="text1"/>
                <w:sz w:val="18"/>
                <w:szCs w:val="18"/>
              </w:rPr>
              <w:t>个工作日</w:t>
            </w:r>
          </w:p>
        </w:tc>
        <w:tc>
          <w:tcPr>
            <w:tcW w:w="1406" w:type="dxa"/>
            <w:vAlign w:val="center"/>
          </w:tcPr>
          <w:p w14:paraId="3A225198">
            <w:pPr>
              <w:jc w:val="center"/>
              <w:rPr>
                <w:rFonts w:ascii="仿宋" w:hAnsi="仿宋" w:eastAsia="仿宋" w:cs="微软雅黑"/>
                <w:color w:val="000000" w:themeColor="text1"/>
                <w:sz w:val="18"/>
                <w:szCs w:val="18"/>
                <w:shd w:val="clear" w:color="auto" w:fill="FFFFFF"/>
              </w:rPr>
            </w:pPr>
            <w:r>
              <w:rPr>
                <w:rFonts w:hint="eastAsia" w:ascii="仿宋" w:hAnsi="仿宋" w:eastAsia="仿宋" w:cs="微软雅黑"/>
                <w:color w:val="000000" w:themeColor="text1"/>
                <w:sz w:val="18"/>
                <w:szCs w:val="18"/>
                <w:shd w:val="clear" w:color="auto" w:fill="FFFFFF"/>
              </w:rPr>
              <w:t>区交通运输局</w:t>
            </w:r>
          </w:p>
          <w:p w14:paraId="7DF60133">
            <w:pPr>
              <w:jc w:val="center"/>
              <w:rPr>
                <w:rFonts w:ascii="仿宋" w:hAnsi="仿宋" w:eastAsia="仿宋" w:cs="黑体"/>
                <w:color w:val="000000" w:themeColor="text1"/>
                <w:sz w:val="18"/>
                <w:szCs w:val="18"/>
              </w:rPr>
            </w:pPr>
            <w:r>
              <w:rPr>
                <w:rFonts w:hint="eastAsia" w:ascii="仿宋" w:hAnsi="仿宋" w:eastAsia="仿宋" w:cs="微软雅黑"/>
                <w:color w:val="000000" w:themeColor="text1"/>
                <w:sz w:val="18"/>
                <w:szCs w:val="18"/>
                <w:shd w:val="clear" w:color="auto" w:fill="FFFFFF"/>
              </w:rPr>
              <w:t>公路管理股</w:t>
            </w:r>
          </w:p>
        </w:tc>
      </w:tr>
      <w:tr w14:paraId="797CD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01" w:hRule="atLeast"/>
          <w:jc w:val="center"/>
        </w:trPr>
        <w:tc>
          <w:tcPr>
            <w:tcW w:w="1107" w:type="dxa"/>
            <w:vMerge w:val="continue"/>
            <w:vAlign w:val="center"/>
          </w:tcPr>
          <w:p w14:paraId="07C42E19">
            <w:pPr>
              <w:rPr>
                <w:color w:val="000000" w:themeColor="text1"/>
              </w:rPr>
            </w:pPr>
          </w:p>
        </w:tc>
        <w:tc>
          <w:tcPr>
            <w:tcW w:w="1406" w:type="dxa"/>
            <w:vAlign w:val="center"/>
          </w:tcPr>
          <w:p w14:paraId="7C7FE2F2">
            <w:pPr>
              <w:jc w:val="center"/>
              <w:rPr>
                <w:rFonts w:ascii="仿宋" w:hAnsi="仿宋" w:eastAsia="仿宋" w:cs="黑体"/>
                <w:color w:val="000000" w:themeColor="text1"/>
                <w:sz w:val="18"/>
                <w:szCs w:val="18"/>
              </w:rPr>
            </w:pPr>
            <w:r>
              <w:rPr>
                <w:rFonts w:hint="eastAsia" w:ascii="仿宋" w:hAnsi="仿宋" w:eastAsia="仿宋" w:cs="黑体"/>
                <w:color w:val="000000" w:themeColor="text1"/>
                <w:sz w:val="18"/>
                <w:szCs w:val="18"/>
              </w:rPr>
              <w:t>决定</w:t>
            </w:r>
          </w:p>
        </w:tc>
        <w:tc>
          <w:tcPr>
            <w:tcW w:w="5287" w:type="dxa"/>
            <w:gridSpan w:val="5"/>
            <w:vAlign w:val="center"/>
          </w:tcPr>
          <w:p w14:paraId="510B39CB">
            <w:pPr>
              <w:spacing w:line="240" w:lineRule="exact"/>
              <w:ind w:firstLine="360" w:firstLineChars="200"/>
              <w:rPr>
                <w:rFonts w:ascii="仿宋" w:hAnsi="仿宋" w:eastAsia="仿宋" w:cs="仿宋_GB2312"/>
                <w:color w:val="000000" w:themeColor="text1"/>
                <w:kern w:val="0"/>
                <w:sz w:val="18"/>
                <w:szCs w:val="18"/>
              </w:rPr>
            </w:pPr>
            <w:r>
              <w:rPr>
                <w:rFonts w:hint="eastAsia" w:ascii="仿宋" w:hAnsi="仿宋" w:eastAsia="仿宋" w:cs="仿宋_GB2312"/>
                <w:color w:val="000000" w:themeColor="text1"/>
                <w:sz w:val="18"/>
                <w:szCs w:val="18"/>
                <w:lang w:eastAsia="zh-CN"/>
              </w:rPr>
              <w:t>依法作出许可决定，并</w:t>
            </w:r>
            <w:r>
              <w:rPr>
                <w:rFonts w:hint="eastAsia" w:ascii="仿宋" w:hAnsi="仿宋" w:eastAsia="仿宋" w:cs="仿宋_GB2312"/>
                <w:color w:val="000000" w:themeColor="text1"/>
                <w:kern w:val="0"/>
                <w:sz w:val="18"/>
                <w:szCs w:val="18"/>
              </w:rPr>
              <w:t>送达相关文书。</w:t>
            </w:r>
          </w:p>
        </w:tc>
        <w:tc>
          <w:tcPr>
            <w:tcW w:w="1092" w:type="dxa"/>
            <w:gridSpan w:val="2"/>
            <w:vAlign w:val="center"/>
          </w:tcPr>
          <w:p w14:paraId="31F50197">
            <w:pPr>
              <w:jc w:val="center"/>
              <w:rPr>
                <w:rFonts w:ascii="仿宋" w:hAnsi="仿宋" w:eastAsia="仿宋" w:cs="黑体"/>
                <w:color w:val="000000" w:themeColor="text1"/>
                <w:sz w:val="18"/>
                <w:szCs w:val="18"/>
              </w:rPr>
            </w:pPr>
            <w:r>
              <w:rPr>
                <w:rFonts w:ascii="仿宋" w:hAnsi="仿宋" w:eastAsia="仿宋" w:cs="黑体"/>
                <w:color w:val="000000" w:themeColor="text1"/>
                <w:sz w:val="18"/>
                <w:szCs w:val="18"/>
              </w:rPr>
              <w:t>1</w:t>
            </w:r>
            <w:r>
              <w:rPr>
                <w:rFonts w:hint="eastAsia" w:ascii="仿宋" w:hAnsi="仿宋" w:eastAsia="仿宋" w:cs="黑体"/>
                <w:color w:val="000000" w:themeColor="text1"/>
                <w:sz w:val="18"/>
                <w:szCs w:val="18"/>
              </w:rPr>
              <w:t>个工作日</w:t>
            </w:r>
          </w:p>
        </w:tc>
        <w:tc>
          <w:tcPr>
            <w:tcW w:w="1406" w:type="dxa"/>
            <w:vAlign w:val="center"/>
          </w:tcPr>
          <w:p w14:paraId="6DB618F7">
            <w:pPr>
              <w:jc w:val="center"/>
              <w:rPr>
                <w:rFonts w:ascii="仿宋" w:hAns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5C5BB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5" w:hRule="atLeast"/>
          <w:jc w:val="center"/>
        </w:trPr>
        <w:tc>
          <w:tcPr>
            <w:tcW w:w="1107" w:type="dxa"/>
            <w:shd w:val="clear" w:color="auto" w:fill="auto"/>
            <w:vAlign w:val="center"/>
          </w:tcPr>
          <w:p w14:paraId="29FFC8AB">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302" w:type="dxa"/>
            <w:gridSpan w:val="4"/>
            <w:tcBorders>
              <w:right w:val="single" w:color="auto" w:sz="4" w:space="0"/>
            </w:tcBorders>
            <w:shd w:val="clear" w:color="auto" w:fill="auto"/>
            <w:vAlign w:val="center"/>
          </w:tcPr>
          <w:p w14:paraId="009D8816">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391" w:type="dxa"/>
            <w:gridSpan w:val="2"/>
            <w:tcBorders>
              <w:left w:val="single" w:color="auto" w:sz="4" w:space="0"/>
            </w:tcBorders>
            <w:shd w:val="clear" w:color="auto" w:fill="auto"/>
            <w:vAlign w:val="center"/>
          </w:tcPr>
          <w:p w14:paraId="5F19674F">
            <w:pPr>
              <w:jc w:val="center"/>
              <w:rPr>
                <w:rFonts w:hint="eastAsia" w:ascii="仿宋_GB2312" w:eastAsia="仿宋_GB2312" w:cs="黑体"/>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4282EF91">
            <w:pPr>
              <w:jc w:val="center"/>
              <w:rPr>
                <w:rFonts w:hint="eastAsia" w:ascii="仿宋" w:hAnsi="仿宋" w:eastAsia="仿宋" w:cs="微软雅黑"/>
                <w:color w:val="000000" w:themeColor="text1"/>
                <w:sz w:val="18"/>
                <w:szCs w:val="18"/>
                <w:shd w:val="clear" w:color="auto" w:fill="FFFFFF"/>
              </w:rPr>
            </w:pPr>
            <w:r>
              <w:rPr>
                <w:rFonts w:hint="eastAsia" w:ascii="仿宋_GB2312" w:eastAsia="仿宋_GB2312" w:cs="黑体"/>
                <w:color w:val="000000" w:themeColor="text1"/>
                <w:sz w:val="18"/>
                <w:szCs w:val="18"/>
                <w:lang w:eastAsia="zh-CN"/>
              </w:rPr>
              <w:t>否</w:t>
            </w:r>
          </w:p>
        </w:tc>
      </w:tr>
      <w:tr w14:paraId="1F01F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5" w:hRule="atLeast"/>
          <w:jc w:val="center"/>
        </w:trPr>
        <w:tc>
          <w:tcPr>
            <w:tcW w:w="1107" w:type="dxa"/>
            <w:shd w:val="clear" w:color="auto" w:fill="auto"/>
            <w:vAlign w:val="center"/>
          </w:tcPr>
          <w:p w14:paraId="2F7B54D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9191" w:type="dxa"/>
            <w:gridSpan w:val="9"/>
            <w:shd w:val="clear" w:color="auto" w:fill="auto"/>
            <w:vAlign w:val="center"/>
          </w:tcPr>
          <w:p w14:paraId="21095ED8">
            <w:pPr>
              <w:jc w:val="center"/>
              <w:rPr>
                <w:rFonts w:hint="eastAsia" w:ascii="仿宋" w:hAnsi="仿宋" w:eastAsia="仿宋" w:cs="微软雅黑"/>
                <w:color w:val="000000" w:themeColor="text1"/>
                <w:sz w:val="18"/>
                <w:szCs w:val="18"/>
                <w:shd w:val="clear" w:color="auto" w:fill="FFFFFF"/>
              </w:rPr>
            </w:pPr>
            <w:r>
              <w:rPr>
                <w:rFonts w:hint="eastAsia" w:ascii="仿宋" w:hAnsi="仿宋" w:eastAsia="仿宋" w:cs="仿宋"/>
                <w:color w:val="000000" w:themeColor="text1"/>
                <w:sz w:val="18"/>
                <w:szCs w:val="18"/>
                <w:lang w:val="en-US" w:eastAsia="zh-CN"/>
              </w:rPr>
              <w:t>1、</w:t>
            </w:r>
            <w:r>
              <w:rPr>
                <w:rFonts w:hint="eastAsia" w:ascii="仿宋" w:hAnsi="仿宋" w:eastAsia="仿宋" w:cs="仿宋"/>
                <w:i w:val="0"/>
                <w:iCs w:val="0"/>
                <w:caps w:val="0"/>
                <w:color w:val="000000" w:themeColor="text1"/>
                <w:spacing w:val="0"/>
                <w:sz w:val="18"/>
                <w:szCs w:val="18"/>
              </w:rPr>
              <w:t>公路建设项目施工许可交通行政许可申请书</w:t>
            </w:r>
          </w:p>
        </w:tc>
      </w:tr>
      <w:tr w14:paraId="1299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107" w:type="dxa"/>
            <w:vAlign w:val="center"/>
          </w:tcPr>
          <w:p w14:paraId="2905607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191" w:type="dxa"/>
            <w:gridSpan w:val="9"/>
            <w:vAlign w:val="center"/>
          </w:tcPr>
          <w:p w14:paraId="6C9B4811">
            <w:pPr>
              <w:spacing w:line="240" w:lineRule="exact"/>
              <w:ind w:firstLine="360" w:firstLineChars="200"/>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中华人民共和国行政许可法</w:t>
            </w:r>
            <w:r>
              <w:rPr>
                <w:rFonts w:hint="eastAsia" w:ascii="仿宋_GB2312" w:eastAsia="仿宋_GB2312" w:cs="仿宋_GB2312"/>
                <w:color w:val="000000" w:themeColor="text1"/>
                <w:kern w:val="0"/>
                <w:sz w:val="18"/>
                <w:szCs w:val="18"/>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14:paraId="1E5C05D7">
            <w:pPr>
              <w:spacing w:line="240" w:lineRule="exact"/>
              <w:ind w:firstLine="360" w:firstLineChars="200"/>
              <w:rPr>
                <w:rFonts w:ascii="黑体" w:eastAsia="黑体" w:cs="黑体"/>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lang w:eastAsia="zh-CN"/>
              </w:rPr>
              <w:t>中华人民共和国行政许可法</w:t>
            </w:r>
            <w:r>
              <w:rPr>
                <w:rFonts w:hint="eastAsia" w:ascii="仿宋_GB2312" w:eastAsia="仿宋_GB2312" w:cs="仿宋_GB2312"/>
                <w:color w:val="000000" w:themeColor="text1"/>
                <w:kern w:val="0"/>
                <w:sz w:val="18"/>
                <w:szCs w:val="18"/>
              </w:rPr>
              <w:t>》第七十四条：行政机关实施行政许可</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有下列情形之一的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由其上级行政机关或者监察机关责令改正</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对直接负责的主管人员和其他直接责任人员依法给予行政处分；构成犯罪的</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未经招标、拍卖或者考试</w:t>
            </w:r>
            <w:r>
              <w:rPr>
                <w:rFonts w:ascii="仿宋_GB2312" w:eastAsia="仿宋_GB2312" w:cs="仿宋_GB2312"/>
                <w:color w:val="000000" w:themeColor="text1"/>
                <w:kern w:val="0"/>
                <w:sz w:val="18"/>
                <w:szCs w:val="18"/>
              </w:rPr>
              <w:t>,</w:t>
            </w:r>
            <w:r>
              <w:rPr>
                <w:rFonts w:hint="eastAsia" w:ascii="仿宋_GB2312" w:eastAsia="仿宋_GB2312" w:cs="仿宋_GB2312"/>
                <w:color w:val="000000" w:themeColor="text1"/>
                <w:kern w:val="0"/>
                <w:sz w:val="18"/>
                <w:szCs w:val="18"/>
              </w:rPr>
              <w:t>或者不根据招标、拍卖结果或者考试成绩择优作出准予行政许可决定的。</w:t>
            </w:r>
          </w:p>
        </w:tc>
      </w:tr>
      <w:tr w14:paraId="143F2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107" w:type="dxa"/>
            <w:vAlign w:val="center"/>
          </w:tcPr>
          <w:p w14:paraId="659619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191" w:type="dxa"/>
            <w:gridSpan w:val="9"/>
            <w:vAlign w:val="center"/>
          </w:tcPr>
          <w:p w14:paraId="2CC2B094">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hint="eastAsia" w:ascii="仿宋_GB2312" w:hAnsi="黑体" w:eastAsia="仿宋_GB2312" w:cs="黑体"/>
                <w:color w:val="000000" w:themeColor="text1"/>
                <w:kern w:val="0"/>
                <w:sz w:val="18"/>
                <w:szCs w:val="18"/>
                <w:lang w:val="en-US" w:eastAsia="zh-CN"/>
              </w:rPr>
              <w:t>7828572</w:t>
            </w:r>
            <w:r>
              <w:rPr>
                <w:rFonts w:ascii="仿宋_GB2312" w:hAnsi="黑体" w:eastAsia="仿宋_GB2312" w:cs="黑体"/>
                <w:color w:val="000000" w:themeColor="text1"/>
                <w:kern w:val="0"/>
                <w:sz w:val="18"/>
                <w:szCs w:val="18"/>
              </w:rPr>
              <w:t xml:space="preserve">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280F3024">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451CE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107" w:type="dxa"/>
            <w:vAlign w:val="center"/>
          </w:tcPr>
          <w:p w14:paraId="6CE5F5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191" w:type="dxa"/>
            <w:gridSpan w:val="9"/>
            <w:vAlign w:val="center"/>
          </w:tcPr>
          <w:p w14:paraId="4D006CD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．不服许可决定自知道该具体行政行为之日起六十日内向抚宁区人民政府申请行政复议。</w:t>
            </w:r>
          </w:p>
          <w:p w14:paraId="214BB5E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．不服许可决定应当自知道或者应当知道作出行政行为之日起六个月内提出向抚宁区人民法院提起行政诉讼。</w:t>
            </w:r>
          </w:p>
        </w:tc>
      </w:tr>
      <w:tr w14:paraId="429BD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107" w:type="dxa"/>
            <w:vAlign w:val="center"/>
          </w:tcPr>
          <w:p w14:paraId="3FC5F1A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191" w:type="dxa"/>
            <w:gridSpan w:val="9"/>
            <w:vAlign w:val="center"/>
          </w:tcPr>
          <w:p w14:paraId="750C5119">
            <w:pPr>
              <w:widowControl/>
              <w:jc w:val="left"/>
              <w:textAlignment w:val="center"/>
              <w:rPr>
                <w:rFonts w:ascii="黑体" w:eastAsia="黑体" w:cs="黑体"/>
                <w:color w:val="000000" w:themeColor="text1"/>
                <w:kern w:val="0"/>
                <w:sz w:val="18"/>
                <w:szCs w:val="18"/>
              </w:rPr>
            </w:pPr>
          </w:p>
        </w:tc>
      </w:tr>
    </w:tbl>
    <w:p w14:paraId="2B29CF29">
      <w:pPr>
        <w:rPr>
          <w:color w:val="000000" w:themeColor="text1"/>
        </w:rPr>
      </w:pPr>
    </w:p>
    <w:p w14:paraId="11EB8B1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履职行权规程（行政许可）</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092"/>
        <w:gridCol w:w="1095"/>
        <w:gridCol w:w="967"/>
        <w:gridCol w:w="1691"/>
        <w:gridCol w:w="1519"/>
        <w:gridCol w:w="444"/>
        <w:gridCol w:w="992"/>
        <w:gridCol w:w="567"/>
        <w:gridCol w:w="525"/>
        <w:gridCol w:w="1406"/>
      </w:tblGrid>
      <w:tr w14:paraId="55464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092" w:type="dxa"/>
            <w:vAlign w:val="center"/>
          </w:tcPr>
          <w:p w14:paraId="7603BCC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062" w:type="dxa"/>
            <w:gridSpan w:val="2"/>
            <w:vAlign w:val="center"/>
          </w:tcPr>
          <w:p w14:paraId="0382DA48">
            <w:pPr>
              <w:jc w:val="center"/>
              <w:rPr>
                <w:rFonts w:ascii="黑体" w:eastAsia="黑体" w:cs="黑体"/>
                <w:b/>
                <w:bCs/>
                <w:color w:val="000000" w:themeColor="text1"/>
                <w:szCs w:val="21"/>
              </w:rPr>
            </w:pPr>
            <w:r>
              <w:rPr>
                <w:rFonts w:ascii="黑体" w:eastAsia="黑体" w:cs="黑体"/>
                <w:b/>
                <w:bCs/>
                <w:color w:val="000000" w:themeColor="text1"/>
                <w:szCs w:val="21"/>
              </w:rPr>
              <w:t>218</w:t>
            </w:r>
          </w:p>
        </w:tc>
        <w:tc>
          <w:tcPr>
            <w:tcW w:w="1691" w:type="dxa"/>
            <w:vAlign w:val="center"/>
          </w:tcPr>
          <w:p w14:paraId="47F67906">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7624BCB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行政许可</w:t>
            </w:r>
          </w:p>
        </w:tc>
        <w:tc>
          <w:tcPr>
            <w:tcW w:w="1559" w:type="dxa"/>
            <w:gridSpan w:val="2"/>
            <w:vAlign w:val="center"/>
          </w:tcPr>
          <w:p w14:paraId="2568BC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36F751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66E6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092" w:type="dxa"/>
            <w:vAlign w:val="center"/>
          </w:tcPr>
          <w:p w14:paraId="27A255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206" w:type="dxa"/>
            <w:gridSpan w:val="9"/>
            <w:vAlign w:val="center"/>
          </w:tcPr>
          <w:p w14:paraId="2DE0C47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公路建设项目竣工验收</w:t>
            </w:r>
          </w:p>
        </w:tc>
      </w:tr>
      <w:tr w14:paraId="2A3AE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982" w:hRule="atLeast"/>
          <w:jc w:val="center"/>
        </w:trPr>
        <w:tc>
          <w:tcPr>
            <w:tcW w:w="1092" w:type="dxa"/>
            <w:vAlign w:val="center"/>
          </w:tcPr>
          <w:p w14:paraId="72414A8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206" w:type="dxa"/>
            <w:gridSpan w:val="9"/>
            <w:vAlign w:val="center"/>
          </w:tcPr>
          <w:p w14:paraId="7219748D">
            <w:pPr>
              <w:spacing w:line="240" w:lineRule="exact"/>
              <w:rPr>
                <w:rFonts w:ascii="仿宋" w:hAnsi="仿宋" w:eastAsia="仿宋" w:cs="仿宋_GB2312"/>
                <w:color w:val="000000" w:themeColor="text1"/>
                <w:kern w:val="0"/>
                <w:sz w:val="18"/>
                <w:szCs w:val="18"/>
              </w:rPr>
            </w:pPr>
            <w:r>
              <w:rPr>
                <w:rFonts w:hint="eastAsia" w:ascii="仿宋" w:hAnsi="仿宋" w:eastAsia="仿宋" w:cs="仿宋_GB2312"/>
                <w:color w:val="000000" w:themeColor="text1"/>
                <w:kern w:val="0"/>
                <w:sz w:val="18"/>
                <w:szCs w:val="18"/>
              </w:rPr>
              <w:t>【法律法规】</w:t>
            </w:r>
          </w:p>
          <w:p w14:paraId="06AD56B5">
            <w:pPr>
              <w:spacing w:line="240" w:lineRule="exact"/>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8"/>
                <w:szCs w:val="18"/>
              </w:rPr>
              <w:t>1</w:t>
            </w:r>
            <w:r>
              <w:rPr>
                <w:rFonts w:hint="eastAsia" w:ascii="仿宋" w:hAnsi="仿宋" w:eastAsia="仿宋" w:cs="仿宋_GB2312"/>
                <w:color w:val="000000" w:themeColor="text1"/>
                <w:kern w:val="0"/>
                <w:sz w:val="15"/>
                <w:szCs w:val="15"/>
              </w:rPr>
              <w:t>、《中华人民共和国公路法》</w:t>
            </w:r>
            <w:r>
              <w:rPr>
                <w:rFonts w:hint="eastAsia" w:ascii="仿宋" w:hAnsi="仿宋" w:eastAsia="仿宋"/>
                <w:color w:val="000000" w:themeColor="text1"/>
                <w:sz w:val="15"/>
                <w:szCs w:val="15"/>
              </w:rPr>
              <w:t>（</w:t>
            </w:r>
            <w:r>
              <w:rPr>
                <w:rFonts w:ascii="仿宋" w:hAnsi="仿宋" w:eastAsia="仿宋"/>
                <w:color w:val="000000" w:themeColor="text1"/>
                <w:sz w:val="15"/>
                <w:szCs w:val="15"/>
              </w:rPr>
              <w:t>1997</w:t>
            </w:r>
            <w:r>
              <w:rPr>
                <w:rFonts w:hint="eastAsia" w:ascii="仿宋" w:hAnsi="仿宋" w:eastAsia="仿宋"/>
                <w:color w:val="000000" w:themeColor="text1"/>
                <w:sz w:val="15"/>
                <w:szCs w:val="15"/>
              </w:rPr>
              <w:t>年</w:t>
            </w:r>
            <w:r>
              <w:rPr>
                <w:rFonts w:ascii="仿宋" w:hAnsi="仿宋" w:eastAsia="仿宋"/>
                <w:color w:val="000000" w:themeColor="text1"/>
                <w:sz w:val="15"/>
                <w:szCs w:val="15"/>
              </w:rPr>
              <w:t>7</w:t>
            </w:r>
            <w:r>
              <w:rPr>
                <w:rFonts w:hint="eastAsia" w:ascii="仿宋" w:hAnsi="仿宋" w:eastAsia="仿宋"/>
                <w:color w:val="000000" w:themeColor="text1"/>
                <w:sz w:val="15"/>
                <w:szCs w:val="15"/>
              </w:rPr>
              <w:t>月</w:t>
            </w:r>
            <w:r>
              <w:rPr>
                <w:rFonts w:ascii="仿宋" w:hAnsi="仿宋" w:eastAsia="仿宋"/>
                <w:color w:val="000000" w:themeColor="text1"/>
                <w:sz w:val="15"/>
                <w:szCs w:val="15"/>
              </w:rPr>
              <w:t>3</w:t>
            </w:r>
            <w:r>
              <w:rPr>
                <w:rFonts w:hint="eastAsia" w:ascii="仿宋" w:hAnsi="仿宋" w:eastAsia="仿宋"/>
                <w:color w:val="000000" w:themeColor="text1"/>
                <w:sz w:val="15"/>
                <w:szCs w:val="15"/>
              </w:rPr>
              <w:t>日通过，</w:t>
            </w:r>
            <w:r>
              <w:rPr>
                <w:rFonts w:ascii="仿宋" w:hAnsi="仿宋" w:eastAsia="仿宋"/>
                <w:color w:val="000000" w:themeColor="text1"/>
                <w:sz w:val="15"/>
                <w:szCs w:val="15"/>
              </w:rPr>
              <w:t>2017</w:t>
            </w:r>
            <w:r>
              <w:rPr>
                <w:rFonts w:hint="eastAsia" w:ascii="仿宋" w:hAnsi="仿宋" w:eastAsia="仿宋"/>
                <w:color w:val="000000" w:themeColor="text1"/>
                <w:sz w:val="15"/>
                <w:szCs w:val="15"/>
              </w:rPr>
              <w:t>年</w:t>
            </w:r>
            <w:r>
              <w:rPr>
                <w:rFonts w:ascii="仿宋" w:hAnsi="仿宋" w:eastAsia="仿宋"/>
                <w:color w:val="000000" w:themeColor="text1"/>
                <w:sz w:val="15"/>
                <w:szCs w:val="15"/>
              </w:rPr>
              <w:t>11</w:t>
            </w:r>
            <w:r>
              <w:rPr>
                <w:rFonts w:hint="eastAsia" w:ascii="仿宋" w:hAnsi="仿宋" w:eastAsia="仿宋"/>
                <w:color w:val="000000" w:themeColor="text1"/>
                <w:sz w:val="15"/>
                <w:szCs w:val="15"/>
              </w:rPr>
              <w:t>月</w:t>
            </w:r>
            <w:r>
              <w:rPr>
                <w:rFonts w:ascii="仿宋" w:hAnsi="仿宋" w:eastAsia="仿宋"/>
                <w:color w:val="000000" w:themeColor="text1"/>
                <w:sz w:val="15"/>
                <w:szCs w:val="15"/>
              </w:rPr>
              <w:t>4</w:t>
            </w:r>
            <w:r>
              <w:rPr>
                <w:rFonts w:hint="eastAsia" w:ascii="仿宋" w:hAnsi="仿宋" w:eastAsia="仿宋"/>
                <w:color w:val="000000" w:themeColor="text1"/>
                <w:sz w:val="15"/>
                <w:szCs w:val="15"/>
              </w:rPr>
              <w:t>日主席令第</w:t>
            </w:r>
            <w:r>
              <w:rPr>
                <w:rFonts w:ascii="仿宋" w:hAnsi="仿宋" w:eastAsia="仿宋"/>
                <w:color w:val="000000" w:themeColor="text1"/>
                <w:sz w:val="15"/>
                <w:szCs w:val="15"/>
              </w:rPr>
              <w:t>86</w:t>
            </w:r>
            <w:r>
              <w:rPr>
                <w:rFonts w:hint="eastAsia" w:ascii="仿宋" w:hAnsi="仿宋" w:eastAsia="仿宋"/>
                <w:color w:val="000000" w:themeColor="text1"/>
                <w:sz w:val="15"/>
                <w:szCs w:val="15"/>
              </w:rPr>
              <w:t>号修正）</w:t>
            </w:r>
            <w:r>
              <w:rPr>
                <w:rFonts w:hint="eastAsia" w:ascii="仿宋" w:hAnsi="仿宋" w:eastAsia="仿宋" w:cs="仿宋_GB2312"/>
                <w:color w:val="000000" w:themeColor="text1"/>
                <w:kern w:val="0"/>
                <w:sz w:val="15"/>
                <w:szCs w:val="15"/>
              </w:rPr>
              <w:t>第三十三条：公路建设项目和公路修复项目竣工后，应当按照国家有关规定进行验收；未经验收或者验收不合格的，不得交付使用。</w:t>
            </w:r>
          </w:p>
          <w:p w14:paraId="7CBC792A">
            <w:pPr>
              <w:widowControl/>
              <w:spacing w:line="240" w:lineRule="exact"/>
              <w:textAlignment w:val="center"/>
              <w:rPr>
                <w:rFonts w:ascii="仿宋" w:hAnsi="仿宋" w:eastAsia="仿宋" w:cs="仿宋"/>
                <w:color w:val="000000" w:themeColor="text1"/>
                <w:kern w:val="0"/>
                <w:sz w:val="15"/>
                <w:szCs w:val="15"/>
              </w:rPr>
            </w:pPr>
            <w:r>
              <w:rPr>
                <w:rFonts w:ascii="仿宋" w:hAnsi="仿宋" w:eastAsia="仿宋" w:cs="仿宋_GB2312"/>
                <w:color w:val="000000" w:themeColor="text1"/>
                <w:sz w:val="15"/>
                <w:szCs w:val="15"/>
              </w:rPr>
              <w:t>2</w:t>
            </w:r>
            <w:r>
              <w:rPr>
                <w:rFonts w:hint="eastAsia" w:ascii="仿宋" w:hAnsi="仿宋" w:eastAsia="仿宋" w:cs="仿宋_GB2312"/>
                <w:color w:val="000000" w:themeColor="text1"/>
                <w:sz w:val="15"/>
                <w:szCs w:val="15"/>
              </w:rPr>
              <w:t>、《收费公路管理条例》</w:t>
            </w:r>
            <w:r>
              <w:rPr>
                <w:rFonts w:hint="eastAsia" w:ascii="仿宋" w:hAnsi="仿宋" w:eastAsia="仿宋" w:cs="仿宋"/>
                <w:color w:val="000000" w:themeColor="text1"/>
                <w:kern w:val="0"/>
                <w:sz w:val="15"/>
                <w:szCs w:val="15"/>
              </w:rPr>
              <w:t>第二十五条收费公路建成后，应当按国家有关规定进行验收；验收合格的，方可收取车辆通行费。</w:t>
            </w:r>
          </w:p>
          <w:p w14:paraId="5C92251A">
            <w:pPr>
              <w:widowControl/>
              <w:spacing w:line="240" w:lineRule="exact"/>
              <w:textAlignment w:val="center"/>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、《公路工程竣（交）工验收办法》（中华人民共和国</w:t>
            </w:r>
            <w:r>
              <w:rPr>
                <w:rFonts w:hint="eastAsia" w:ascii="仿宋" w:hAnsi="仿宋" w:eastAsia="仿宋" w:cs="仿宋_GB2312"/>
                <w:color w:val="000000" w:themeColor="text1"/>
                <w:kern w:val="0"/>
                <w:sz w:val="15"/>
                <w:szCs w:val="15"/>
                <w:lang w:eastAsia="zh-CN"/>
              </w:rPr>
              <w:t>交通运输部令</w:t>
            </w:r>
            <w:r>
              <w:rPr>
                <w:rFonts w:ascii="仿宋" w:hAnsi="仿宋" w:eastAsia="仿宋" w:cs="仿宋_GB2312"/>
                <w:color w:val="000000" w:themeColor="text1"/>
                <w:kern w:val="0"/>
                <w:sz w:val="15"/>
                <w:szCs w:val="15"/>
              </w:rPr>
              <w:t>2004</w:t>
            </w:r>
            <w:r>
              <w:rPr>
                <w:rFonts w:hint="eastAsia" w:ascii="仿宋" w:hAnsi="仿宋" w:eastAsia="仿宋" w:cs="仿宋_GB2312"/>
                <w:color w:val="000000" w:themeColor="text1"/>
                <w:kern w:val="0"/>
                <w:sz w:val="15"/>
                <w:szCs w:val="15"/>
              </w:rPr>
              <w:t>年第</w:t>
            </w:r>
            <w:r>
              <w:rPr>
                <w:rFonts w:ascii="仿宋" w:hAnsi="仿宋" w:eastAsia="仿宋" w:cs="仿宋_GB2312"/>
                <w:color w:val="000000" w:themeColor="text1"/>
                <w:kern w:val="0"/>
                <w:sz w:val="15"/>
                <w:szCs w:val="15"/>
              </w:rPr>
              <w:t>3</w:t>
            </w:r>
            <w:r>
              <w:rPr>
                <w:rFonts w:hint="eastAsia" w:ascii="仿宋" w:hAnsi="仿宋" w:eastAsia="仿宋" w:cs="仿宋_GB2312"/>
                <w:color w:val="000000" w:themeColor="text1"/>
                <w:kern w:val="0"/>
                <w:sz w:val="15"/>
                <w:szCs w:val="15"/>
              </w:rPr>
              <w:t>号）第六条：竣工验收由交通主管部门按项目管理权限负责。交通部负责国家、部重点公路工程项目中</w:t>
            </w:r>
            <w:r>
              <w:rPr>
                <w:rFonts w:ascii="仿宋" w:hAnsi="仿宋" w:eastAsia="仿宋" w:cs="仿宋_GB2312"/>
                <w:color w:val="000000" w:themeColor="text1"/>
                <w:kern w:val="0"/>
                <w:sz w:val="15"/>
                <w:szCs w:val="15"/>
              </w:rPr>
              <w:t>100</w:t>
            </w:r>
            <w:r>
              <w:rPr>
                <w:rFonts w:hint="eastAsia" w:ascii="仿宋" w:hAnsi="仿宋" w:eastAsia="仿宋" w:cs="仿宋_GB2312"/>
                <w:color w:val="000000" w:themeColor="text1"/>
                <w:kern w:val="0"/>
                <w:sz w:val="15"/>
                <w:szCs w:val="15"/>
              </w:rPr>
              <w:t>公里以上的高速公路、独立特大型桥梁和特长隧道工程的竣工验收工作；其它公路工程建设项目，由省级人民政府交通主管部门确定的相应交通主管部门负责竣工验收工作。</w:t>
            </w:r>
          </w:p>
          <w:p w14:paraId="2679544E">
            <w:pPr>
              <w:widowControl/>
              <w:spacing w:line="240" w:lineRule="exact"/>
              <w:textAlignment w:val="center"/>
              <w:rPr>
                <w:rFonts w:ascii="仿宋" w:hAnsi="仿宋" w:eastAsia="仿宋" w:cs="仿宋_GB2312"/>
                <w:color w:val="000000" w:themeColor="text1"/>
                <w:sz w:val="15"/>
                <w:szCs w:val="15"/>
              </w:rPr>
            </w:pPr>
            <w:r>
              <w:rPr>
                <w:rFonts w:ascii="仿宋" w:hAnsi="仿宋" w:eastAsia="仿宋" w:cs="仿宋_GB2312"/>
                <w:color w:val="000000" w:themeColor="text1"/>
                <w:kern w:val="0"/>
                <w:sz w:val="15"/>
                <w:szCs w:val="15"/>
              </w:rPr>
              <w:t>4.</w:t>
            </w:r>
            <w:r>
              <w:rPr>
                <w:rFonts w:hint="eastAsia" w:ascii="仿宋" w:hAnsi="仿宋" w:eastAsia="仿宋" w:cs="仿宋_GB2312"/>
                <w:color w:val="000000" w:themeColor="text1"/>
                <w:kern w:val="0"/>
                <w:sz w:val="15"/>
                <w:szCs w:val="15"/>
              </w:rPr>
              <w:t>《河北省农村公路建设管理办法》（冀交公〔</w:t>
            </w:r>
            <w:r>
              <w:rPr>
                <w:rFonts w:ascii="仿宋" w:hAnsi="仿宋" w:eastAsia="仿宋" w:cs="仿宋_GB2312"/>
                <w:color w:val="000000" w:themeColor="text1"/>
                <w:kern w:val="0"/>
                <w:sz w:val="15"/>
                <w:szCs w:val="15"/>
              </w:rPr>
              <w:t>2010</w:t>
            </w:r>
            <w:r>
              <w:rPr>
                <w:rFonts w:hint="eastAsia" w:ascii="仿宋" w:hAnsi="仿宋" w:eastAsia="仿宋" w:cs="仿宋_GB2312"/>
                <w:color w:val="000000" w:themeColor="text1"/>
                <w:kern w:val="0"/>
                <w:sz w:val="15"/>
                <w:szCs w:val="15"/>
              </w:rPr>
              <w:t>〕</w:t>
            </w:r>
            <w:r>
              <w:rPr>
                <w:rFonts w:ascii="仿宋" w:hAnsi="仿宋" w:eastAsia="仿宋" w:cs="仿宋_GB2312"/>
                <w:color w:val="000000" w:themeColor="text1"/>
                <w:kern w:val="0"/>
                <w:sz w:val="15"/>
                <w:szCs w:val="15"/>
              </w:rPr>
              <w:t>317</w:t>
            </w:r>
            <w:r>
              <w:rPr>
                <w:rFonts w:hint="eastAsia" w:ascii="仿宋" w:hAnsi="仿宋" w:eastAsia="仿宋" w:cs="仿宋_GB2312"/>
                <w:color w:val="000000" w:themeColor="text1"/>
                <w:kern w:val="0"/>
                <w:sz w:val="15"/>
                <w:szCs w:val="15"/>
              </w:rPr>
              <w:t>号）第十五条</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农村公路项目交、竣工验收可合并进行。</w:t>
            </w:r>
            <w:r>
              <w:rPr>
                <w:rFonts w:ascii="仿宋" w:hAnsi="仿宋" w:eastAsia="仿宋" w:cs="仿宋_GB2312"/>
                <w:color w:val="000000" w:themeColor="text1"/>
                <w:kern w:val="0"/>
                <w:sz w:val="15"/>
                <w:szCs w:val="15"/>
              </w:rPr>
              <w:t xml:space="preserve"> </w:t>
            </w:r>
            <w:r>
              <w:rPr>
                <w:rFonts w:hint="eastAsia" w:ascii="仿宋" w:hAnsi="仿宋" w:eastAsia="仿宋" w:cs="仿宋_GB2312"/>
                <w:color w:val="000000" w:themeColor="text1"/>
                <w:kern w:val="0"/>
                <w:sz w:val="15"/>
                <w:szCs w:val="15"/>
              </w:rPr>
              <w:t>县道、重要乡道以及中型以上桥梁、隧道工程新改建项目，按照《河北省公路工程交竣工验收管理办法》执行，项目完工且具备验收条件后，县（市、区）交通运输行政主管部门向设区市交通运输行政主管部门上报竣工验收申请，由设区市交通运输行政主管部门牵头组织，并邀请有关部门参加进行交、竣工验收，验收报告报省交通运输行政主管部门备案。省交通运输行政主管部门对重点项目进行抽验。一般乡道、村道项目参照《河北省公路工程交竣工验收管理办法》，在工程完工后，由县（市、区）交通运输行政主管部门牵头组织，并邀请有关部门参加进行竣工验收，验收报告报设区市交通运输行政主管部门备案。设区市交通运输行政主管部门负责抽验。</w:t>
            </w:r>
          </w:p>
          <w:p w14:paraId="62D84C82">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5"/>
                <w:szCs w:val="15"/>
              </w:rPr>
              <w:t>【三定规定】抚办字【</w:t>
            </w:r>
            <w:r>
              <w:rPr>
                <w:rFonts w:ascii="仿宋" w:hAnsi="仿宋" w:eastAsia="仿宋" w:cs="仿宋_GB2312"/>
                <w:color w:val="000000" w:themeColor="text1"/>
                <w:kern w:val="0"/>
                <w:sz w:val="15"/>
                <w:szCs w:val="15"/>
              </w:rPr>
              <w:t>2019</w:t>
            </w:r>
            <w:r>
              <w:rPr>
                <w:rFonts w:hint="eastAsia" w:ascii="仿宋" w:hAnsi="仿宋" w:eastAsia="仿宋" w:cs="仿宋_GB2312"/>
                <w:color w:val="000000" w:themeColor="text1"/>
                <w:kern w:val="0"/>
                <w:sz w:val="15"/>
                <w:szCs w:val="15"/>
              </w:rPr>
              <w:t>】</w:t>
            </w:r>
            <w:r>
              <w:rPr>
                <w:rFonts w:ascii="仿宋" w:hAnsi="仿宋" w:eastAsia="仿宋" w:cs="仿宋_GB2312"/>
                <w:color w:val="000000" w:themeColor="text1"/>
                <w:kern w:val="0"/>
                <w:sz w:val="15"/>
                <w:szCs w:val="15"/>
              </w:rPr>
              <w:t>11</w:t>
            </w:r>
            <w:r>
              <w:rPr>
                <w:rFonts w:hint="eastAsia" w:ascii="仿宋" w:hAnsi="仿宋" w:eastAsia="仿宋" w:cs="仿宋_GB2312"/>
                <w:color w:val="000000" w:themeColor="text1"/>
                <w:kern w:val="0"/>
                <w:sz w:val="15"/>
                <w:szCs w:val="15"/>
              </w:rPr>
              <w:t>号第三条第八款承担全区公路建设市场监管责任</w:t>
            </w:r>
            <w:r>
              <w:rPr>
                <w:rFonts w:ascii="仿宋" w:hAnsi="仿宋" w:eastAsia="仿宋" w:cs="仿宋_GB2312"/>
                <w:color w:val="000000" w:themeColor="text1"/>
                <w:kern w:val="0"/>
                <w:sz w:val="15"/>
                <w:szCs w:val="15"/>
              </w:rPr>
              <w:t>.</w:t>
            </w:r>
            <w:r>
              <w:rPr>
                <w:rFonts w:hint="eastAsia" w:ascii="仿宋" w:hAnsi="仿宋" w:eastAsia="仿宋" w:cs="仿宋_GB2312"/>
                <w:color w:val="000000" w:themeColor="text1"/>
                <w:kern w:val="0"/>
                <w:sz w:val="15"/>
                <w:szCs w:val="15"/>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5AA4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092" w:type="dxa"/>
            <w:vMerge w:val="restart"/>
            <w:vAlign w:val="center"/>
          </w:tcPr>
          <w:p w14:paraId="5DA0F7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95" w:type="dxa"/>
            <w:vAlign w:val="center"/>
          </w:tcPr>
          <w:p w14:paraId="6107BDA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613" w:type="dxa"/>
            <w:gridSpan w:val="5"/>
            <w:vAlign w:val="center"/>
          </w:tcPr>
          <w:p w14:paraId="671232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34FAC9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197B2AE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33D4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9" w:hRule="atLeast"/>
          <w:jc w:val="center"/>
        </w:trPr>
        <w:tc>
          <w:tcPr>
            <w:tcW w:w="1092" w:type="dxa"/>
            <w:vMerge w:val="continue"/>
            <w:vAlign w:val="center"/>
          </w:tcPr>
          <w:p w14:paraId="5F0252BC">
            <w:pPr>
              <w:rPr>
                <w:color w:val="000000" w:themeColor="text1"/>
              </w:rPr>
            </w:pPr>
          </w:p>
        </w:tc>
        <w:tc>
          <w:tcPr>
            <w:tcW w:w="1095" w:type="dxa"/>
            <w:vAlign w:val="center"/>
          </w:tcPr>
          <w:p w14:paraId="69BE169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受理</w:t>
            </w:r>
          </w:p>
        </w:tc>
        <w:tc>
          <w:tcPr>
            <w:tcW w:w="5613" w:type="dxa"/>
            <w:gridSpan w:val="5"/>
            <w:vAlign w:val="center"/>
          </w:tcPr>
          <w:p w14:paraId="16A8D749">
            <w:pPr>
              <w:spacing w:line="240" w:lineRule="exact"/>
              <w:ind w:firstLine="360" w:firstLineChars="200"/>
              <w:jc w:val="center"/>
              <w:rPr>
                <w:rFonts w:ascii="仿宋_GB2312" w:eastAsia="仿宋_GB2312" w:cs="仿宋_GB2312"/>
                <w:color w:val="000000" w:themeColor="text1"/>
                <w:kern w:val="0"/>
                <w:sz w:val="18"/>
                <w:szCs w:val="18"/>
              </w:rPr>
            </w:pPr>
            <w:r>
              <w:rPr>
                <w:rStyle w:val="25"/>
                <w:rFonts w:hint="eastAsia" w:ascii="仿宋" w:hAns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r>
              <w:rPr>
                <w:rFonts w:hint="eastAsia" w:ascii="仿宋_GB2312" w:eastAsia="仿宋_GB2312" w:cs="仿宋_GB2312"/>
                <w:color w:val="000000" w:themeColor="text1"/>
                <w:kern w:val="0"/>
                <w:sz w:val="18"/>
                <w:szCs w:val="18"/>
              </w:rPr>
              <w:t>。</w:t>
            </w:r>
          </w:p>
        </w:tc>
        <w:tc>
          <w:tcPr>
            <w:tcW w:w="1092" w:type="dxa"/>
            <w:gridSpan w:val="2"/>
            <w:vAlign w:val="center"/>
          </w:tcPr>
          <w:p w14:paraId="214510EB">
            <w:pPr>
              <w:jc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个工作日</w:t>
            </w:r>
          </w:p>
        </w:tc>
        <w:tc>
          <w:tcPr>
            <w:tcW w:w="1406" w:type="dxa"/>
            <w:vAlign w:val="center"/>
          </w:tcPr>
          <w:p w14:paraId="619CFB51">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政务服务中心交通窗口</w:t>
            </w:r>
          </w:p>
        </w:tc>
      </w:tr>
      <w:tr w14:paraId="72F8A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4" w:hRule="atLeast"/>
          <w:jc w:val="center"/>
        </w:trPr>
        <w:tc>
          <w:tcPr>
            <w:tcW w:w="1092" w:type="dxa"/>
            <w:vMerge w:val="continue"/>
            <w:vAlign w:val="center"/>
          </w:tcPr>
          <w:p w14:paraId="00BF6843">
            <w:pPr>
              <w:rPr>
                <w:color w:val="000000" w:themeColor="text1"/>
              </w:rPr>
            </w:pPr>
          </w:p>
        </w:tc>
        <w:tc>
          <w:tcPr>
            <w:tcW w:w="1095" w:type="dxa"/>
            <w:vAlign w:val="center"/>
          </w:tcPr>
          <w:p w14:paraId="5EF13D26">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审查</w:t>
            </w:r>
          </w:p>
        </w:tc>
        <w:tc>
          <w:tcPr>
            <w:tcW w:w="5613" w:type="dxa"/>
            <w:gridSpan w:val="5"/>
            <w:vAlign w:val="center"/>
          </w:tcPr>
          <w:p w14:paraId="2B6D342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按照《公路工程竣（交）工验收办法实施细则》组织成立竣工验收委员会现场查看并审查文件形成鉴定意见报局领导审定。</w:t>
            </w:r>
          </w:p>
        </w:tc>
        <w:tc>
          <w:tcPr>
            <w:tcW w:w="1092" w:type="dxa"/>
            <w:gridSpan w:val="2"/>
            <w:vAlign w:val="center"/>
          </w:tcPr>
          <w:p w14:paraId="102FCCFE">
            <w:pPr>
              <w:jc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13</w:t>
            </w:r>
            <w:r>
              <w:rPr>
                <w:rFonts w:hint="eastAsia" w:ascii="仿宋_GB2312" w:hAnsi="黑体" w:eastAsia="仿宋_GB2312" w:cs="黑体"/>
                <w:color w:val="000000" w:themeColor="text1"/>
                <w:sz w:val="18"/>
                <w:szCs w:val="18"/>
              </w:rPr>
              <w:t>个工作日</w:t>
            </w:r>
          </w:p>
        </w:tc>
        <w:tc>
          <w:tcPr>
            <w:tcW w:w="1406" w:type="dxa"/>
            <w:vAlign w:val="center"/>
          </w:tcPr>
          <w:p w14:paraId="737DDAFE">
            <w:pPr>
              <w:jc w:val="center"/>
              <w:rPr>
                <w:rFonts w:ascii="仿宋" w:hAnsi="仿宋" w:eastAsia="仿宋" w:cs="微软雅黑"/>
                <w:color w:val="000000" w:themeColor="text1"/>
                <w:sz w:val="18"/>
                <w:szCs w:val="18"/>
                <w:shd w:val="clear" w:color="auto" w:fill="FFFFFF"/>
              </w:rPr>
            </w:pPr>
            <w:r>
              <w:rPr>
                <w:rFonts w:hint="eastAsia" w:ascii="仿宋" w:hAnsi="仿宋" w:eastAsia="仿宋" w:cs="微软雅黑"/>
                <w:color w:val="000000" w:themeColor="text1"/>
                <w:sz w:val="18"/>
                <w:szCs w:val="18"/>
                <w:shd w:val="clear" w:color="auto" w:fill="FFFFFF"/>
              </w:rPr>
              <w:t>区交通运输局</w:t>
            </w:r>
          </w:p>
          <w:p w14:paraId="0AC8B3EB">
            <w:pPr>
              <w:jc w:val="center"/>
              <w:rPr>
                <w:rFonts w:ascii="仿宋_GB2312" w:hAnsi="黑体" w:eastAsia="仿宋_GB2312" w:cs="黑体"/>
                <w:color w:val="000000" w:themeColor="text1"/>
                <w:sz w:val="18"/>
                <w:szCs w:val="18"/>
              </w:rPr>
            </w:pPr>
            <w:r>
              <w:rPr>
                <w:rFonts w:hint="eastAsia" w:ascii="仿宋" w:hAnsi="仿宋" w:eastAsia="仿宋" w:cs="微软雅黑"/>
                <w:color w:val="000000" w:themeColor="text1"/>
                <w:sz w:val="18"/>
                <w:szCs w:val="18"/>
                <w:shd w:val="clear" w:color="auto" w:fill="FFFFFF"/>
              </w:rPr>
              <w:t>公路管理股</w:t>
            </w:r>
          </w:p>
        </w:tc>
      </w:tr>
      <w:tr w14:paraId="2ABC1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1" w:hRule="atLeast"/>
          <w:jc w:val="center"/>
        </w:trPr>
        <w:tc>
          <w:tcPr>
            <w:tcW w:w="1092" w:type="dxa"/>
            <w:vMerge w:val="continue"/>
            <w:vAlign w:val="center"/>
          </w:tcPr>
          <w:p w14:paraId="01D30F71">
            <w:pPr>
              <w:rPr>
                <w:color w:val="000000" w:themeColor="text1"/>
              </w:rPr>
            </w:pPr>
          </w:p>
        </w:tc>
        <w:tc>
          <w:tcPr>
            <w:tcW w:w="1095" w:type="dxa"/>
            <w:vAlign w:val="center"/>
          </w:tcPr>
          <w:p w14:paraId="3C3A8319">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办结</w:t>
            </w:r>
          </w:p>
          <w:p w14:paraId="5CB713CD">
            <w:pPr>
              <w:jc w:val="center"/>
              <w:rPr>
                <w:rFonts w:ascii="仿宋_GB2312" w:hAnsi="黑体" w:eastAsia="仿宋_GB2312" w:cs="黑体"/>
                <w:color w:val="000000" w:themeColor="text1"/>
                <w:sz w:val="18"/>
                <w:szCs w:val="18"/>
              </w:rPr>
            </w:pPr>
          </w:p>
        </w:tc>
        <w:tc>
          <w:tcPr>
            <w:tcW w:w="5613" w:type="dxa"/>
            <w:gridSpan w:val="5"/>
            <w:vAlign w:val="center"/>
          </w:tcPr>
          <w:p w14:paraId="6E42AE9E">
            <w:pPr>
              <w:jc w:val="center"/>
              <w:rPr>
                <w:rFonts w:ascii="仿宋_GB2312" w:hAnsi="黑体" w:eastAsia="仿宋_GB2312" w:cs="黑体"/>
                <w:color w:val="000000" w:themeColor="text1"/>
                <w:sz w:val="18"/>
                <w:szCs w:val="18"/>
              </w:rPr>
            </w:pPr>
            <w:r>
              <w:rPr>
                <w:rFonts w:hint="eastAsia" w:ascii="仿宋" w:hAnsi="仿宋" w:eastAsia="仿宋" w:cs="仿宋"/>
                <w:color w:val="000000" w:themeColor="text1"/>
                <w:sz w:val="18"/>
                <w:szCs w:val="18"/>
                <w:lang w:eastAsia="zh-CN"/>
              </w:rPr>
              <w:t>制作并送达</w:t>
            </w:r>
            <w:r>
              <w:rPr>
                <w:rFonts w:hint="eastAsia" w:ascii="仿宋" w:hAnsi="仿宋" w:eastAsia="仿宋" w:cs="仿宋"/>
                <w:color w:val="000000" w:themeColor="text1"/>
                <w:sz w:val="18"/>
                <w:szCs w:val="18"/>
              </w:rPr>
              <w:t>《</w:t>
            </w:r>
            <w:r>
              <w:rPr>
                <w:rFonts w:hint="eastAsia" w:ascii="仿宋" w:hAnsi="仿宋" w:eastAsia="仿宋" w:cs="仿宋"/>
                <w:color w:val="000000" w:themeColor="text1"/>
                <w:sz w:val="18"/>
                <w:szCs w:val="18"/>
                <w:lang w:eastAsia="zh-CN"/>
              </w:rPr>
              <w:t>公路工程竣工验收鉴定书</w:t>
            </w:r>
            <w:r>
              <w:rPr>
                <w:rFonts w:hint="eastAsia" w:ascii="仿宋" w:hAnsi="仿宋" w:eastAsia="仿宋" w:cs="仿宋"/>
                <w:color w:val="000000" w:themeColor="text1"/>
                <w:sz w:val="18"/>
                <w:szCs w:val="18"/>
              </w:rPr>
              <w:t>》。</w:t>
            </w:r>
          </w:p>
        </w:tc>
        <w:tc>
          <w:tcPr>
            <w:tcW w:w="1092" w:type="dxa"/>
            <w:gridSpan w:val="2"/>
            <w:vAlign w:val="center"/>
          </w:tcPr>
          <w:p w14:paraId="2C9BE1F6">
            <w:pPr>
              <w:jc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个工作日</w:t>
            </w:r>
          </w:p>
        </w:tc>
        <w:tc>
          <w:tcPr>
            <w:tcW w:w="1406" w:type="dxa"/>
            <w:vAlign w:val="center"/>
          </w:tcPr>
          <w:p w14:paraId="22419461">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政务服务中心交通窗口</w:t>
            </w:r>
          </w:p>
        </w:tc>
      </w:tr>
      <w:tr w14:paraId="5D0F4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6" w:hRule="atLeast"/>
          <w:jc w:val="center"/>
        </w:trPr>
        <w:tc>
          <w:tcPr>
            <w:tcW w:w="1092" w:type="dxa"/>
            <w:shd w:val="clear" w:color="auto" w:fill="auto"/>
            <w:vAlign w:val="center"/>
          </w:tcPr>
          <w:p w14:paraId="7B605E2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272" w:type="dxa"/>
            <w:gridSpan w:val="4"/>
            <w:tcBorders>
              <w:right w:val="single" w:color="auto" w:sz="4" w:space="0"/>
            </w:tcBorders>
            <w:shd w:val="clear" w:color="auto" w:fill="auto"/>
            <w:vAlign w:val="center"/>
          </w:tcPr>
          <w:p w14:paraId="04CCD65A">
            <w:pPr>
              <w:jc w:val="center"/>
              <w:rPr>
                <w:rFonts w:hint="eastAsia" w:ascii="仿宋_GB2312" w:hAnsi="Calibri" w:eastAsia="仿宋_GB2312" w:cs="黑体"/>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36" w:type="dxa"/>
            <w:gridSpan w:val="2"/>
            <w:tcBorders>
              <w:left w:val="single" w:color="auto" w:sz="4" w:space="0"/>
            </w:tcBorders>
            <w:shd w:val="clear" w:color="auto" w:fill="auto"/>
            <w:vAlign w:val="center"/>
          </w:tcPr>
          <w:p w14:paraId="21A61F3B">
            <w:pPr>
              <w:jc w:val="center"/>
              <w:rPr>
                <w:rFonts w:hint="eastAsia" w:ascii="仿宋_GB2312" w:eastAsia="仿宋_GB2312" w:cs="黑体"/>
                <w:b/>
                <w:bCs/>
                <w:color w:val="000000" w:themeColor="text1"/>
                <w:sz w:val="18"/>
                <w:szCs w:val="18"/>
                <w:lang w:eastAsia="zh-CN"/>
              </w:rPr>
            </w:pPr>
            <w:r>
              <w:rPr>
                <w:rFonts w:hint="eastAsia" w:ascii="仿宋_GB2312" w:eastAsia="仿宋_GB2312" w:cs="黑体"/>
                <w:b/>
                <w:bCs/>
                <w:color w:val="000000" w:themeColor="text1"/>
                <w:sz w:val="18"/>
                <w:szCs w:val="18"/>
                <w:lang w:eastAsia="zh-CN"/>
              </w:rPr>
              <w:t>是否容缺办理</w:t>
            </w:r>
          </w:p>
        </w:tc>
        <w:tc>
          <w:tcPr>
            <w:tcW w:w="2498" w:type="dxa"/>
            <w:gridSpan w:val="3"/>
            <w:shd w:val="clear" w:color="auto" w:fill="auto"/>
            <w:vAlign w:val="center"/>
          </w:tcPr>
          <w:p w14:paraId="634A08C8">
            <w:pPr>
              <w:jc w:val="center"/>
              <w:rPr>
                <w:rFonts w:hint="eastAsia" w:ascii="仿宋" w:hAnsi="仿宋" w:eastAsia="仿宋" w:cs="微软雅黑"/>
                <w:color w:val="000000" w:themeColor="text1"/>
                <w:sz w:val="18"/>
                <w:szCs w:val="18"/>
                <w:shd w:val="clear" w:color="auto" w:fill="FFFFFF"/>
              </w:rPr>
            </w:pPr>
            <w:r>
              <w:rPr>
                <w:rFonts w:hint="eastAsia" w:ascii="仿宋_GB2312" w:eastAsia="仿宋_GB2312" w:cs="黑体"/>
                <w:color w:val="000000" w:themeColor="text1"/>
                <w:sz w:val="18"/>
                <w:szCs w:val="18"/>
                <w:lang w:eastAsia="zh-CN"/>
              </w:rPr>
              <w:t>否</w:t>
            </w:r>
          </w:p>
        </w:tc>
      </w:tr>
      <w:tr w14:paraId="02848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81" w:hRule="atLeast"/>
          <w:jc w:val="center"/>
        </w:trPr>
        <w:tc>
          <w:tcPr>
            <w:tcW w:w="1092" w:type="dxa"/>
            <w:shd w:val="clear" w:color="auto" w:fill="auto"/>
            <w:vAlign w:val="center"/>
          </w:tcPr>
          <w:p w14:paraId="4F4C2C9E">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9206" w:type="dxa"/>
            <w:gridSpan w:val="9"/>
            <w:shd w:val="clear" w:color="auto" w:fill="auto"/>
            <w:vAlign w:val="center"/>
          </w:tcPr>
          <w:p w14:paraId="69A86279">
            <w:pPr>
              <w:jc w:val="left"/>
              <w:rPr>
                <w:rFonts w:hint="eastAsia" w:ascii="仿宋" w:hAnsi="仿宋" w:eastAsia="微软雅黑" w:cs="微软雅黑"/>
                <w:color w:val="000000" w:themeColor="text1"/>
                <w:sz w:val="18"/>
                <w:szCs w:val="18"/>
                <w:shd w:val="clear" w:color="auto" w:fill="FFFFFF"/>
                <w:lang w:val="en-US" w:eastAsia="zh-CN"/>
              </w:rPr>
            </w:pPr>
            <w:r>
              <w:rPr>
                <w:rFonts w:hint="eastAsia" w:ascii="仿宋" w:hAnsi="仿宋" w:eastAsia="仿宋" w:cs="仿宋"/>
                <w:color w:val="000000" w:themeColor="text1"/>
                <w:sz w:val="18"/>
                <w:szCs w:val="18"/>
                <w:lang w:val="en-US" w:eastAsia="zh-CN"/>
              </w:rPr>
              <w:t>1</w:t>
            </w:r>
            <w:r>
              <w:rPr>
                <w:rFonts w:hint="eastAsia" w:ascii="仿宋" w:hAnsi="仿宋" w:eastAsia="仿宋" w:cs="仿宋"/>
                <w:color w:val="000000" w:themeColor="text1"/>
                <w:sz w:val="15"/>
                <w:szCs w:val="15"/>
                <w:lang w:val="en-US" w:eastAsia="zh-CN"/>
              </w:rPr>
              <w:t>、</w:t>
            </w:r>
            <w:r>
              <w:rPr>
                <w:rFonts w:hint="eastAsia" w:ascii="仿宋" w:hAnsi="仿宋" w:eastAsia="仿宋" w:cs="仿宋"/>
                <w:i w:val="0"/>
                <w:iCs w:val="0"/>
                <w:caps w:val="0"/>
                <w:color w:val="000000" w:themeColor="text1"/>
                <w:spacing w:val="0"/>
                <w:sz w:val="15"/>
                <w:szCs w:val="15"/>
              </w:rPr>
              <w:t>项目法人单位的请示</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2、</w:t>
            </w:r>
            <w:r>
              <w:rPr>
                <w:rFonts w:hint="eastAsia" w:ascii="仿宋" w:hAnsi="仿宋" w:eastAsia="仿宋" w:cs="仿宋"/>
                <w:i w:val="0"/>
                <w:iCs w:val="0"/>
                <w:caps w:val="0"/>
                <w:color w:val="000000" w:themeColor="text1"/>
                <w:spacing w:val="0"/>
                <w:sz w:val="15"/>
                <w:szCs w:val="15"/>
              </w:rPr>
              <w:t>交工验收报告</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3、</w:t>
            </w:r>
            <w:r>
              <w:rPr>
                <w:rFonts w:hint="eastAsia" w:ascii="仿宋" w:hAnsi="仿宋" w:eastAsia="仿宋" w:cs="仿宋"/>
                <w:i w:val="0"/>
                <w:iCs w:val="0"/>
                <w:caps w:val="0"/>
                <w:color w:val="000000" w:themeColor="text1"/>
                <w:spacing w:val="0"/>
                <w:sz w:val="15"/>
                <w:szCs w:val="15"/>
              </w:rPr>
              <w:t>项目执行报告及设计、施工、监理等工作报告</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4、</w:t>
            </w:r>
            <w:r>
              <w:rPr>
                <w:rFonts w:hint="eastAsia" w:ascii="仿宋" w:hAnsi="仿宋" w:eastAsia="仿宋" w:cs="仿宋"/>
                <w:i w:val="0"/>
                <w:iCs w:val="0"/>
                <w:caps w:val="0"/>
                <w:color w:val="000000" w:themeColor="text1"/>
                <w:spacing w:val="0"/>
                <w:sz w:val="15"/>
                <w:szCs w:val="15"/>
              </w:rPr>
              <w:t>质量监督及质量鉴定报告</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5、</w:t>
            </w:r>
            <w:r>
              <w:rPr>
                <w:rFonts w:hint="eastAsia" w:ascii="仿宋" w:hAnsi="仿宋" w:eastAsia="仿宋" w:cs="仿宋"/>
                <w:i w:val="0"/>
                <w:iCs w:val="0"/>
                <w:caps w:val="0"/>
                <w:color w:val="000000" w:themeColor="text1"/>
                <w:spacing w:val="0"/>
                <w:sz w:val="15"/>
                <w:szCs w:val="15"/>
              </w:rPr>
              <w:t>单项工程验收报告（环保、工程档案验收）</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6、</w:t>
            </w:r>
            <w:r>
              <w:rPr>
                <w:rFonts w:hint="eastAsia" w:ascii="仿宋" w:hAnsi="仿宋" w:eastAsia="仿宋" w:cs="仿宋"/>
                <w:i w:val="0"/>
                <w:iCs w:val="0"/>
                <w:caps w:val="0"/>
                <w:color w:val="000000" w:themeColor="text1"/>
                <w:spacing w:val="0"/>
                <w:sz w:val="15"/>
                <w:szCs w:val="15"/>
              </w:rPr>
              <w:t>建设依据批复文件</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7、</w:t>
            </w:r>
            <w:r>
              <w:rPr>
                <w:rFonts w:hint="eastAsia" w:ascii="仿宋" w:hAnsi="仿宋" w:eastAsia="仿宋" w:cs="仿宋"/>
                <w:i w:val="0"/>
                <w:iCs w:val="0"/>
                <w:caps w:val="0"/>
                <w:color w:val="000000" w:themeColor="text1"/>
                <w:spacing w:val="0"/>
                <w:sz w:val="15"/>
                <w:szCs w:val="15"/>
              </w:rPr>
              <w:t>经交通运输主管部门或其授权单位认定的竣工财务决算审计报告</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8、</w:t>
            </w:r>
            <w:r>
              <w:rPr>
                <w:rFonts w:hint="eastAsia" w:ascii="仿宋" w:hAnsi="仿宋" w:eastAsia="仿宋" w:cs="仿宋"/>
                <w:i w:val="0"/>
                <w:iCs w:val="0"/>
                <w:caps w:val="0"/>
                <w:color w:val="000000" w:themeColor="text1"/>
                <w:spacing w:val="0"/>
                <w:sz w:val="15"/>
                <w:szCs w:val="15"/>
              </w:rPr>
              <w:t>受委托人的身份证</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9、</w:t>
            </w:r>
            <w:r>
              <w:rPr>
                <w:rFonts w:hint="eastAsia" w:ascii="仿宋" w:hAnsi="仿宋" w:eastAsia="仿宋" w:cs="仿宋"/>
                <w:i w:val="0"/>
                <w:iCs w:val="0"/>
                <w:caps w:val="0"/>
                <w:color w:val="000000" w:themeColor="text1"/>
                <w:spacing w:val="0"/>
                <w:sz w:val="15"/>
                <w:szCs w:val="15"/>
              </w:rPr>
              <w:t>办理行政许可事项授权委托书（普通囯省干线公路竣工验收）</w:t>
            </w:r>
            <w:r>
              <w:rPr>
                <w:rFonts w:hint="eastAsia" w:ascii="仿宋" w:hAnsi="仿宋" w:eastAsia="仿宋" w:cs="仿宋"/>
                <w:i w:val="0"/>
                <w:iCs w:val="0"/>
                <w:caps w:val="0"/>
                <w:color w:val="000000" w:themeColor="text1"/>
                <w:spacing w:val="0"/>
                <w:sz w:val="15"/>
                <w:szCs w:val="15"/>
                <w:lang w:eastAsia="zh-CN"/>
              </w:rPr>
              <w:t>；</w:t>
            </w:r>
            <w:r>
              <w:rPr>
                <w:rFonts w:hint="eastAsia" w:ascii="仿宋" w:hAnsi="仿宋" w:eastAsia="仿宋" w:cs="仿宋"/>
                <w:i w:val="0"/>
                <w:iCs w:val="0"/>
                <w:caps w:val="0"/>
                <w:color w:val="000000" w:themeColor="text1"/>
                <w:spacing w:val="0"/>
                <w:sz w:val="15"/>
                <w:szCs w:val="15"/>
                <w:lang w:val="en-US" w:eastAsia="zh-CN"/>
              </w:rPr>
              <w:t>10、</w:t>
            </w:r>
            <w:r>
              <w:rPr>
                <w:rFonts w:hint="eastAsia" w:ascii="仿宋" w:hAnsi="仿宋" w:eastAsia="仿宋" w:cs="仿宋"/>
                <w:i w:val="0"/>
                <w:iCs w:val="0"/>
                <w:caps w:val="0"/>
                <w:color w:val="000000" w:themeColor="text1"/>
                <w:spacing w:val="0"/>
                <w:sz w:val="15"/>
                <w:szCs w:val="15"/>
              </w:rPr>
              <w:t>省交通运输厅申请材料清单</w:t>
            </w:r>
            <w:r>
              <w:rPr>
                <w:rFonts w:hint="eastAsia" w:ascii="仿宋" w:hAnsi="仿宋" w:eastAsia="仿宋" w:cs="仿宋"/>
                <w:i w:val="0"/>
                <w:iCs w:val="0"/>
                <w:caps w:val="0"/>
                <w:color w:val="000000" w:themeColor="text1"/>
                <w:spacing w:val="0"/>
                <w:sz w:val="15"/>
                <w:szCs w:val="15"/>
                <w:lang w:eastAsia="zh-CN"/>
              </w:rPr>
              <w:t>。</w:t>
            </w:r>
          </w:p>
        </w:tc>
      </w:tr>
      <w:tr w14:paraId="60691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52" w:hRule="atLeast"/>
          <w:jc w:val="center"/>
        </w:trPr>
        <w:tc>
          <w:tcPr>
            <w:tcW w:w="1092" w:type="dxa"/>
            <w:vAlign w:val="center"/>
          </w:tcPr>
          <w:p w14:paraId="1C99C37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206" w:type="dxa"/>
            <w:gridSpan w:val="9"/>
            <w:vAlign w:val="center"/>
          </w:tcPr>
          <w:p w14:paraId="57960893">
            <w:pPr>
              <w:spacing w:line="240" w:lineRule="exact"/>
              <w:ind w:firstLine="220" w:firstLineChars="200"/>
              <w:rPr>
                <w:rFonts w:ascii="仿宋_GB2312" w:eastAsia="仿宋_GB2312" w:cs="仿宋_GB2312"/>
                <w:color w:val="000000" w:themeColor="text1"/>
                <w:kern w:val="0"/>
                <w:sz w:val="11"/>
                <w:szCs w:val="11"/>
              </w:rPr>
            </w:pPr>
            <w:r>
              <w:rPr>
                <w:rFonts w:hint="eastAsia"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lang w:eastAsia="zh-CN"/>
              </w:rPr>
              <w:t>中华人民共和国行政许可法</w:t>
            </w:r>
            <w:r>
              <w:rPr>
                <w:rFonts w:hint="eastAsia" w:ascii="仿宋_GB2312" w:eastAsia="仿宋_GB2312" w:cs="仿宋_GB2312"/>
                <w:color w:val="000000" w:themeColor="text1"/>
                <w:kern w:val="0"/>
                <w:sz w:val="11"/>
                <w:szCs w:val="11"/>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14:paraId="43385985">
            <w:pPr>
              <w:spacing w:line="240" w:lineRule="exact"/>
              <w:ind w:firstLine="220" w:firstLineChars="200"/>
              <w:rPr>
                <w:rFonts w:ascii="黑体" w:eastAsia="黑体" w:cs="黑体"/>
                <w:color w:val="000000" w:themeColor="text1"/>
                <w:szCs w:val="21"/>
              </w:rPr>
            </w:pPr>
            <w:r>
              <w:rPr>
                <w:rFonts w:ascii="仿宋_GB2312" w:eastAsia="仿宋_GB2312" w:cs="仿宋_GB2312"/>
                <w:color w:val="000000" w:themeColor="text1"/>
                <w:kern w:val="0"/>
                <w:sz w:val="11"/>
                <w:szCs w:val="11"/>
              </w:rPr>
              <w:t>2</w:t>
            </w:r>
            <w:r>
              <w:rPr>
                <w:rFonts w:hint="eastAsia"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lang w:eastAsia="zh-CN"/>
              </w:rPr>
              <w:t>中华人民共和国行政许可法</w:t>
            </w:r>
            <w:r>
              <w:rPr>
                <w:rFonts w:hint="eastAsia" w:ascii="仿宋_GB2312" w:eastAsia="仿宋_GB2312" w:cs="仿宋_GB2312"/>
                <w:color w:val="000000" w:themeColor="text1"/>
                <w:kern w:val="0"/>
                <w:sz w:val="11"/>
                <w:szCs w:val="11"/>
              </w:rPr>
              <w:t>》第七十四条：行政机关实施行政许可</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有下列情形之一的</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由其上级行政机关或者监察机关责令改正</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对直接负责的主管人员和其他直接责任人员依法给予行政处分；构成犯罪的</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未经招标、拍卖或者考试</w:t>
            </w:r>
            <w:r>
              <w:rPr>
                <w:rFonts w:ascii="仿宋_GB2312" w:eastAsia="仿宋_GB2312" w:cs="仿宋_GB2312"/>
                <w:color w:val="000000" w:themeColor="text1"/>
                <w:kern w:val="0"/>
                <w:sz w:val="11"/>
                <w:szCs w:val="11"/>
              </w:rPr>
              <w:t>,</w:t>
            </w:r>
            <w:r>
              <w:rPr>
                <w:rFonts w:hint="eastAsia" w:ascii="仿宋_GB2312" w:eastAsia="仿宋_GB2312" w:cs="仿宋_GB2312"/>
                <w:color w:val="000000" w:themeColor="text1"/>
                <w:kern w:val="0"/>
                <w:sz w:val="11"/>
                <w:szCs w:val="11"/>
              </w:rPr>
              <w:t>或者不根据招标、拍卖结果或者考试成绩择优作出准予行政许可决定的。</w:t>
            </w:r>
          </w:p>
        </w:tc>
      </w:tr>
      <w:tr w14:paraId="1DAE9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092" w:type="dxa"/>
            <w:vAlign w:val="center"/>
          </w:tcPr>
          <w:p w14:paraId="6F6E25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206" w:type="dxa"/>
            <w:gridSpan w:val="9"/>
            <w:vAlign w:val="center"/>
          </w:tcPr>
          <w:p w14:paraId="308A1307">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hint="eastAsia" w:ascii="仿宋_GB2312" w:hAnsi="黑体" w:eastAsia="仿宋_GB2312" w:cs="黑体"/>
                <w:color w:val="000000" w:themeColor="text1"/>
                <w:kern w:val="0"/>
                <w:sz w:val="18"/>
                <w:szCs w:val="18"/>
                <w:lang w:val="en-US" w:eastAsia="zh-CN"/>
              </w:rPr>
              <w:t>7828572</w:t>
            </w:r>
            <w:r>
              <w:rPr>
                <w:rFonts w:ascii="仿宋_GB2312" w:hAnsi="黑体" w:eastAsia="仿宋_GB2312" w:cs="黑体"/>
                <w:color w:val="000000" w:themeColor="text1"/>
                <w:kern w:val="0"/>
                <w:sz w:val="18"/>
                <w:szCs w:val="18"/>
              </w:rPr>
              <w:t xml:space="preserve">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1B173938">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5A24E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092" w:type="dxa"/>
            <w:vAlign w:val="center"/>
          </w:tcPr>
          <w:p w14:paraId="193B6AE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206" w:type="dxa"/>
            <w:gridSpan w:val="9"/>
            <w:vAlign w:val="center"/>
          </w:tcPr>
          <w:p w14:paraId="1CF77CE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．不服许可决定自知道该具体行政行为之日起六十日内向抚宁区政府申请行政复议。</w:t>
            </w:r>
          </w:p>
          <w:p w14:paraId="3E91E6AC">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．不服许可决定应当自知道或者应当知道作出行政行为之日起六个月内提出向抚宁区人民法院提起行政诉讼。</w:t>
            </w:r>
          </w:p>
        </w:tc>
      </w:tr>
      <w:tr w14:paraId="07B5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092" w:type="dxa"/>
            <w:vAlign w:val="center"/>
          </w:tcPr>
          <w:p w14:paraId="61C0566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206" w:type="dxa"/>
            <w:gridSpan w:val="9"/>
            <w:vAlign w:val="center"/>
          </w:tcPr>
          <w:p w14:paraId="22FF31D9">
            <w:pPr>
              <w:widowControl/>
              <w:jc w:val="left"/>
              <w:textAlignment w:val="center"/>
              <w:rPr>
                <w:rFonts w:ascii="黑体" w:eastAsia="黑体" w:cs="黑体"/>
                <w:color w:val="000000" w:themeColor="text1"/>
                <w:kern w:val="0"/>
                <w:sz w:val="18"/>
                <w:szCs w:val="18"/>
              </w:rPr>
            </w:pPr>
          </w:p>
        </w:tc>
      </w:tr>
    </w:tbl>
    <w:p w14:paraId="1CBACA06">
      <w:pPr>
        <w:snapToGrid w:val="0"/>
        <w:spacing w:line="240" w:lineRule="atLeast"/>
        <w:rPr>
          <w:color w:val="000000" w:themeColor="text1"/>
          <w:sz w:val="18"/>
          <w:szCs w:val="18"/>
        </w:rPr>
      </w:pPr>
    </w:p>
    <w:p w14:paraId="2931CF2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w:t>
      </w:r>
      <w:r>
        <w:rPr>
          <w:rFonts w:hint="eastAsia" w:ascii="方正小标宋简体" w:eastAsia="方正小标宋简体" w:cs="方正小标宋简体"/>
          <w:color w:val="000000" w:themeColor="text1"/>
          <w:kern w:val="0"/>
          <w:sz w:val="44"/>
          <w:szCs w:val="44"/>
          <w:lang w:eastAsia="zh-CN"/>
        </w:rPr>
        <w:t>许可</w:t>
      </w:r>
      <w:r>
        <w:rPr>
          <w:rFonts w:hint="eastAsia" w:ascii="方正小标宋简体" w:eastAsia="方正小标宋简体" w:cs="方正小标宋简体"/>
          <w:color w:val="000000" w:themeColor="text1"/>
          <w:kern w:val="0"/>
          <w:sz w:val="44"/>
          <w:szCs w:val="44"/>
        </w:rPr>
        <w:t>）</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092"/>
        <w:gridCol w:w="1095"/>
        <w:gridCol w:w="967"/>
        <w:gridCol w:w="1691"/>
        <w:gridCol w:w="1534"/>
        <w:gridCol w:w="429"/>
        <w:gridCol w:w="992"/>
        <w:gridCol w:w="567"/>
        <w:gridCol w:w="525"/>
        <w:gridCol w:w="1406"/>
      </w:tblGrid>
      <w:tr w14:paraId="7307A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092" w:type="dxa"/>
            <w:vAlign w:val="center"/>
          </w:tcPr>
          <w:p w14:paraId="1B746B6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2062" w:type="dxa"/>
            <w:gridSpan w:val="2"/>
            <w:vAlign w:val="center"/>
          </w:tcPr>
          <w:p w14:paraId="719551C6">
            <w:pPr>
              <w:jc w:val="center"/>
              <w:rPr>
                <w:rFonts w:ascii="黑体" w:eastAsia="黑体" w:cs="黑体"/>
                <w:b/>
                <w:bCs/>
                <w:color w:val="000000" w:themeColor="text1"/>
                <w:szCs w:val="21"/>
              </w:rPr>
            </w:pPr>
            <w:r>
              <w:rPr>
                <w:rFonts w:ascii="黑体" w:eastAsia="黑体" w:cs="黑体"/>
                <w:b/>
                <w:bCs/>
                <w:color w:val="000000" w:themeColor="text1"/>
                <w:szCs w:val="21"/>
              </w:rPr>
              <w:t>219</w:t>
            </w:r>
          </w:p>
        </w:tc>
        <w:tc>
          <w:tcPr>
            <w:tcW w:w="1691" w:type="dxa"/>
            <w:vAlign w:val="center"/>
          </w:tcPr>
          <w:p w14:paraId="0E9EF7F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817770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行政许可</w:t>
            </w:r>
          </w:p>
        </w:tc>
        <w:tc>
          <w:tcPr>
            <w:tcW w:w="1559" w:type="dxa"/>
            <w:gridSpan w:val="2"/>
            <w:vAlign w:val="center"/>
          </w:tcPr>
          <w:p w14:paraId="799D794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A407E7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C23D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092" w:type="dxa"/>
            <w:vAlign w:val="center"/>
          </w:tcPr>
          <w:p w14:paraId="06F1511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9206" w:type="dxa"/>
            <w:gridSpan w:val="9"/>
            <w:vAlign w:val="center"/>
          </w:tcPr>
          <w:p w14:paraId="5771435E">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
                <w:color w:val="000000" w:themeColor="text1"/>
                <w:kern w:val="0"/>
                <w:sz w:val="18"/>
                <w:szCs w:val="18"/>
              </w:rPr>
              <w:t>占用国防交通控制范围土地审批</w:t>
            </w:r>
          </w:p>
        </w:tc>
      </w:tr>
      <w:tr w14:paraId="0496E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982" w:hRule="atLeast"/>
          <w:jc w:val="center"/>
        </w:trPr>
        <w:tc>
          <w:tcPr>
            <w:tcW w:w="1092" w:type="dxa"/>
            <w:vAlign w:val="center"/>
          </w:tcPr>
          <w:p w14:paraId="1693BFA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9206" w:type="dxa"/>
            <w:gridSpan w:val="9"/>
            <w:vAlign w:val="center"/>
          </w:tcPr>
          <w:p w14:paraId="1BC7299D">
            <w:pPr>
              <w:spacing w:line="240" w:lineRule="exact"/>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【法律法规】</w:t>
            </w:r>
          </w:p>
          <w:p w14:paraId="71259605">
            <w:pPr>
              <w:spacing w:line="240" w:lineRule="exact"/>
              <w:rPr>
                <w:rFonts w:ascii="仿宋" w:hAnsi="仿宋" w:eastAsia="仿宋" w:cs="仿宋_GB2312"/>
                <w:color w:val="000000" w:themeColor="text1"/>
                <w:kern w:val="0"/>
                <w:sz w:val="15"/>
                <w:szCs w:val="15"/>
              </w:rPr>
            </w:pPr>
            <w:r>
              <w:rPr>
                <w:rFonts w:ascii="仿宋" w:hAnsi="仿宋" w:eastAsia="仿宋" w:cs="仿宋_GB2312"/>
                <w:color w:val="000000" w:themeColor="text1"/>
                <w:kern w:val="0"/>
                <w:sz w:val="15"/>
                <w:szCs w:val="15"/>
              </w:rPr>
              <w:t>1</w:t>
            </w:r>
            <w:r>
              <w:rPr>
                <w:rFonts w:hint="eastAsia" w:ascii="仿宋" w:hAnsi="仿宋" w:eastAsia="仿宋" w:cs="仿宋_GB2312"/>
                <w:color w:val="000000" w:themeColor="text1"/>
                <w:kern w:val="0"/>
                <w:sz w:val="15"/>
                <w:szCs w:val="15"/>
              </w:rPr>
              <w:t>、</w:t>
            </w:r>
            <w:r>
              <w:rPr>
                <w:rFonts w:hint="eastAsia" w:ascii="仿宋" w:hAnsi="仿宋" w:eastAsia="仿宋"/>
                <w:color w:val="000000" w:themeColor="text1"/>
                <w:sz w:val="15"/>
                <w:szCs w:val="15"/>
              </w:rPr>
              <w:t>《中华人民共和国国防交通法》（</w:t>
            </w:r>
            <w:r>
              <w:rPr>
                <w:rFonts w:ascii="仿宋" w:hAnsi="仿宋" w:eastAsia="仿宋"/>
                <w:color w:val="000000" w:themeColor="text1"/>
                <w:sz w:val="15"/>
                <w:szCs w:val="15"/>
              </w:rPr>
              <w:t>2016</w:t>
            </w:r>
            <w:r>
              <w:rPr>
                <w:rFonts w:hint="eastAsia" w:ascii="仿宋" w:hAnsi="仿宋" w:eastAsia="仿宋"/>
                <w:color w:val="000000" w:themeColor="text1"/>
                <w:sz w:val="15"/>
                <w:szCs w:val="15"/>
              </w:rPr>
              <w:t>年</w:t>
            </w:r>
            <w:r>
              <w:rPr>
                <w:rFonts w:ascii="仿宋" w:hAnsi="仿宋" w:eastAsia="仿宋"/>
                <w:color w:val="000000" w:themeColor="text1"/>
                <w:sz w:val="15"/>
                <w:szCs w:val="15"/>
              </w:rPr>
              <w:t>9</w:t>
            </w:r>
            <w:r>
              <w:rPr>
                <w:rFonts w:hint="eastAsia" w:ascii="仿宋" w:hAnsi="仿宋" w:eastAsia="仿宋"/>
                <w:color w:val="000000" w:themeColor="text1"/>
                <w:sz w:val="15"/>
                <w:szCs w:val="15"/>
              </w:rPr>
              <w:t>月</w:t>
            </w:r>
            <w:r>
              <w:rPr>
                <w:rFonts w:ascii="仿宋" w:hAnsi="仿宋" w:eastAsia="仿宋"/>
                <w:color w:val="000000" w:themeColor="text1"/>
                <w:sz w:val="15"/>
                <w:szCs w:val="15"/>
              </w:rPr>
              <w:t>3</w:t>
            </w:r>
            <w:r>
              <w:rPr>
                <w:rFonts w:hint="eastAsia" w:ascii="仿宋" w:hAnsi="仿宋" w:eastAsia="仿宋"/>
                <w:color w:val="000000" w:themeColor="text1"/>
                <w:sz w:val="15"/>
                <w:szCs w:val="15"/>
              </w:rPr>
              <w:t>日第十二届全国人民代表大会常务委员会第二十二次会议通过）第四十五条县级以上人民政府国防交通主管机构会同本级人民政府国土资源、城乡规划等主管部门确定预定抢建重要国防交通工程设施的土地，作为国防交通控制范围，纳入土地利用总体规划和城乡规划。未经县级以上人民政府国土资源主管部门、城乡规划主管部门和国防交通主管机构批准，任何组织和个人不得占用作为国防交通控制范围的土地。</w:t>
            </w:r>
          </w:p>
          <w:p w14:paraId="12AB1FAF">
            <w:pPr>
              <w:snapToGrid w:val="0"/>
              <w:spacing w:line="240" w:lineRule="atLeast"/>
              <w:rPr>
                <w:rFonts w:ascii="仿宋" w:hAnsi="仿宋" w:eastAsia="仿宋" w:cs="微软雅黑"/>
                <w:color w:val="000000" w:themeColor="text1"/>
                <w:sz w:val="15"/>
                <w:szCs w:val="15"/>
              </w:rPr>
            </w:pPr>
            <w:r>
              <w:rPr>
                <w:rFonts w:ascii="仿宋" w:hAnsi="仿宋" w:eastAsia="仿宋" w:cs="微软雅黑"/>
                <w:color w:val="000000" w:themeColor="text1"/>
                <w:sz w:val="15"/>
                <w:szCs w:val="15"/>
              </w:rPr>
              <w:t>2</w:t>
            </w:r>
            <w:r>
              <w:rPr>
                <w:rFonts w:hint="eastAsia" w:ascii="仿宋" w:hAnsi="仿宋" w:eastAsia="仿宋" w:cs="微软雅黑"/>
                <w:color w:val="000000" w:themeColor="text1"/>
                <w:sz w:val="15"/>
                <w:szCs w:val="15"/>
              </w:rPr>
              <w:t>、《国防交通条例》（</w:t>
            </w:r>
            <w:r>
              <w:rPr>
                <w:rFonts w:ascii="仿宋" w:hAnsi="仿宋" w:eastAsia="仿宋" w:cs="微软雅黑"/>
                <w:color w:val="000000" w:themeColor="text1"/>
                <w:sz w:val="15"/>
                <w:szCs w:val="15"/>
              </w:rPr>
              <w:t>2011</w:t>
            </w:r>
            <w:r>
              <w:rPr>
                <w:rFonts w:hint="eastAsia" w:ascii="仿宋" w:hAnsi="仿宋" w:eastAsia="仿宋" w:cs="微软雅黑"/>
                <w:color w:val="000000" w:themeColor="text1"/>
                <w:sz w:val="15"/>
                <w:szCs w:val="15"/>
              </w:rPr>
              <w:t>年</w:t>
            </w:r>
            <w:r>
              <w:rPr>
                <w:rFonts w:ascii="仿宋" w:hAnsi="仿宋" w:eastAsia="仿宋" w:cs="微软雅黑"/>
                <w:color w:val="000000" w:themeColor="text1"/>
                <w:sz w:val="15"/>
                <w:szCs w:val="15"/>
              </w:rPr>
              <w:t>1</w:t>
            </w:r>
            <w:r>
              <w:rPr>
                <w:rFonts w:hint="eastAsia" w:ascii="仿宋" w:hAnsi="仿宋" w:eastAsia="仿宋" w:cs="微软雅黑"/>
                <w:color w:val="000000" w:themeColor="text1"/>
                <w:sz w:val="15"/>
                <w:szCs w:val="15"/>
              </w:rPr>
              <w:t>月</w:t>
            </w:r>
            <w:r>
              <w:rPr>
                <w:rFonts w:ascii="仿宋" w:hAnsi="仿宋" w:eastAsia="仿宋" w:cs="微软雅黑"/>
                <w:color w:val="000000" w:themeColor="text1"/>
                <w:sz w:val="15"/>
                <w:szCs w:val="15"/>
              </w:rPr>
              <w:t>8</w:t>
            </w:r>
            <w:r>
              <w:rPr>
                <w:rFonts w:hint="eastAsia" w:ascii="仿宋" w:hAnsi="仿宋" w:eastAsia="仿宋" w:cs="微软雅黑"/>
                <w:color w:val="000000" w:themeColor="text1"/>
                <w:sz w:val="15"/>
                <w:szCs w:val="15"/>
              </w:rPr>
              <w:t>日修订）第二十三条</w:t>
            </w:r>
            <w:r>
              <w:rPr>
                <w:rFonts w:hint="eastAsia" w:ascii="仿宋" w:hAnsi="仿宋" w:eastAsia="仿宋"/>
                <w:color w:val="000000" w:themeColor="text1"/>
                <w:sz w:val="15"/>
                <w:szCs w:val="15"/>
                <w:shd w:val="clear" w:color="auto" w:fill="FFFFFF"/>
              </w:rPr>
              <w:t>土地管理部门和城市规划主管部门，应当将经批准的预定抢建重要国防交通工程设施的土地作为国防交通控制用地，纳入土地利用总体规划和城市规划。未经土地管理部门、城市规划主管部门和国防交通主管机构批准，任何单位或者个人不得占用国防交通控制用地。</w:t>
            </w:r>
          </w:p>
          <w:p w14:paraId="5BCCA084">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号第三条第八款承担全区公路建设市场监管责任</w:t>
            </w:r>
            <w:r>
              <w:rPr>
                <w:rFonts w:ascii="仿宋" w:hAnsi="仿宋" w:eastAsia="仿宋" w:cs="仿宋_GB2312"/>
                <w:color w:val="000000" w:themeColor="text1"/>
                <w:kern w:val="0"/>
                <w:sz w:val="18"/>
                <w:szCs w:val="18"/>
              </w:rPr>
              <w:t>.</w:t>
            </w:r>
            <w:r>
              <w:rPr>
                <w:rFonts w:hint="eastAsia" w:ascii="仿宋" w:hAns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第三条第九款指导全区公路、道路运输行业安全生产和应急管理。按规定组织协调国家、省、市、区重点物资和紧急客货运输。按照上级行业部门要求负责区域内国、省重点干线公路网运行监测和应急处置协调工作。负责区国防动员委员会交通战备办公室日常工作</w:t>
            </w:r>
          </w:p>
        </w:tc>
      </w:tr>
      <w:tr w14:paraId="493F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092" w:type="dxa"/>
            <w:vMerge w:val="restart"/>
            <w:vAlign w:val="center"/>
          </w:tcPr>
          <w:p w14:paraId="3353B7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95" w:type="dxa"/>
            <w:vAlign w:val="center"/>
          </w:tcPr>
          <w:p w14:paraId="47E245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613" w:type="dxa"/>
            <w:gridSpan w:val="5"/>
            <w:vAlign w:val="center"/>
          </w:tcPr>
          <w:p w14:paraId="321114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92" w:type="dxa"/>
            <w:gridSpan w:val="2"/>
            <w:vAlign w:val="center"/>
          </w:tcPr>
          <w:p w14:paraId="570206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406" w:type="dxa"/>
            <w:vAlign w:val="center"/>
          </w:tcPr>
          <w:p w14:paraId="0B5EBDB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FC9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9" w:hRule="atLeast"/>
          <w:jc w:val="center"/>
        </w:trPr>
        <w:tc>
          <w:tcPr>
            <w:tcW w:w="1092" w:type="dxa"/>
            <w:vMerge w:val="continue"/>
            <w:vAlign w:val="center"/>
          </w:tcPr>
          <w:p w14:paraId="5DBD9A3C">
            <w:pPr>
              <w:rPr>
                <w:color w:val="000000" w:themeColor="text1"/>
              </w:rPr>
            </w:pPr>
          </w:p>
        </w:tc>
        <w:tc>
          <w:tcPr>
            <w:tcW w:w="1095" w:type="dxa"/>
            <w:vAlign w:val="center"/>
          </w:tcPr>
          <w:p w14:paraId="1977FACD">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受理</w:t>
            </w:r>
          </w:p>
        </w:tc>
        <w:tc>
          <w:tcPr>
            <w:tcW w:w="5613" w:type="dxa"/>
            <w:gridSpan w:val="5"/>
            <w:vAlign w:val="center"/>
          </w:tcPr>
          <w:p w14:paraId="3B2B9D08">
            <w:pPr>
              <w:spacing w:line="240" w:lineRule="exact"/>
              <w:ind w:firstLine="360" w:firstLineChars="200"/>
              <w:jc w:val="center"/>
              <w:rPr>
                <w:rFonts w:ascii="仿宋_GB2312" w:eastAsia="仿宋_GB2312" w:cs="仿宋_GB2312"/>
                <w:color w:val="000000" w:themeColor="text1"/>
                <w:kern w:val="0"/>
                <w:sz w:val="18"/>
                <w:szCs w:val="18"/>
              </w:rPr>
            </w:pPr>
            <w:r>
              <w:rPr>
                <w:rStyle w:val="25"/>
                <w:rFonts w:hint="eastAsia" w:ascii="仿宋" w:hAns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1092" w:type="dxa"/>
            <w:gridSpan w:val="2"/>
            <w:vAlign w:val="center"/>
          </w:tcPr>
          <w:p w14:paraId="16BCFD56">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lang w:val="en-US" w:eastAsia="zh-CN"/>
              </w:rPr>
              <w:t>0</w:t>
            </w:r>
            <w:r>
              <w:rPr>
                <w:rFonts w:hint="eastAsia" w:ascii="仿宋_GB2312" w:hAnsi="黑体" w:eastAsia="仿宋_GB2312" w:cs="黑体"/>
                <w:color w:val="000000" w:themeColor="text1"/>
                <w:sz w:val="18"/>
                <w:szCs w:val="18"/>
              </w:rPr>
              <w:t>个工作日</w:t>
            </w:r>
          </w:p>
        </w:tc>
        <w:tc>
          <w:tcPr>
            <w:tcW w:w="1406" w:type="dxa"/>
            <w:vAlign w:val="center"/>
          </w:tcPr>
          <w:p w14:paraId="5FC4952C">
            <w:pPr>
              <w:jc w:val="center"/>
              <w:rPr>
                <w:rFonts w:hint="eastAsia" w:ascii="仿宋" w:hAnsi="仿宋" w:eastAsia="仿宋" w:cs="微软雅黑"/>
                <w:color w:val="000000" w:themeColor="text1"/>
                <w:sz w:val="18"/>
                <w:szCs w:val="18"/>
                <w:shd w:val="clear" w:color="auto" w:fill="FFFFFF"/>
                <w:lang w:eastAsia="zh-CN"/>
              </w:rPr>
            </w:pPr>
            <w:r>
              <w:rPr>
                <w:rFonts w:hint="eastAsia" w:ascii="仿宋" w:hAnsi="仿宋" w:eastAsia="仿宋" w:cs="微软雅黑"/>
                <w:color w:val="000000" w:themeColor="text1"/>
                <w:sz w:val="18"/>
                <w:szCs w:val="18"/>
                <w:shd w:val="clear" w:color="auto" w:fill="FFFFFF"/>
                <w:lang w:eastAsia="zh-CN"/>
              </w:rPr>
              <w:t>政务服务中心交通窗口</w:t>
            </w:r>
          </w:p>
        </w:tc>
      </w:tr>
      <w:tr w14:paraId="077F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69" w:hRule="atLeast"/>
          <w:jc w:val="center"/>
        </w:trPr>
        <w:tc>
          <w:tcPr>
            <w:tcW w:w="1092" w:type="dxa"/>
            <w:vMerge w:val="continue"/>
            <w:vAlign w:val="center"/>
          </w:tcPr>
          <w:p w14:paraId="56689512">
            <w:pPr>
              <w:rPr>
                <w:color w:val="000000" w:themeColor="text1"/>
              </w:rPr>
            </w:pPr>
          </w:p>
        </w:tc>
        <w:tc>
          <w:tcPr>
            <w:tcW w:w="1095" w:type="dxa"/>
            <w:vAlign w:val="center"/>
          </w:tcPr>
          <w:p w14:paraId="4607F820">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审查勘验</w:t>
            </w:r>
          </w:p>
        </w:tc>
        <w:tc>
          <w:tcPr>
            <w:tcW w:w="5613" w:type="dxa"/>
            <w:gridSpan w:val="5"/>
            <w:vAlign w:val="center"/>
          </w:tcPr>
          <w:p w14:paraId="19592F6D">
            <w:pPr>
              <w:ind w:firstLine="180" w:firstLineChars="100"/>
              <w:jc w:val="both"/>
              <w:rPr>
                <w:rFonts w:ascii="仿宋_GB2312" w:hAnsi="黑体" w:eastAsia="仿宋_GB2312" w:cs="黑体"/>
                <w:color w:val="000000" w:themeColor="text1"/>
                <w:sz w:val="18"/>
                <w:szCs w:val="18"/>
              </w:rPr>
            </w:pPr>
            <w:r>
              <w:rPr>
                <w:rStyle w:val="25"/>
                <w:rFonts w:hint="eastAsia" w:ascii="仿宋" w:hAnsi="仿宋" w:eastAsia="仿宋" w:cs="仿宋_GB2312"/>
                <w:color w:val="000000" w:themeColor="text1"/>
                <w:sz w:val="18"/>
                <w:szCs w:val="18"/>
                <w:lang w:eastAsia="zh-CN"/>
              </w:rPr>
              <w:t>依据申请材料对占用国防交通控制范围土地进行现场审查勘验，形成审查意见，签发审查意见决定书。</w:t>
            </w:r>
          </w:p>
        </w:tc>
        <w:tc>
          <w:tcPr>
            <w:tcW w:w="1092" w:type="dxa"/>
            <w:gridSpan w:val="2"/>
            <w:vAlign w:val="center"/>
          </w:tcPr>
          <w:p w14:paraId="17FC9784">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lang w:val="en-US" w:eastAsia="zh-CN"/>
              </w:rPr>
              <w:t>6</w:t>
            </w:r>
            <w:r>
              <w:rPr>
                <w:rFonts w:hint="eastAsia" w:ascii="仿宋_GB2312" w:hAnsi="黑体" w:eastAsia="仿宋_GB2312" w:cs="黑体"/>
                <w:color w:val="000000" w:themeColor="text1"/>
                <w:sz w:val="18"/>
                <w:szCs w:val="18"/>
              </w:rPr>
              <w:t>个工作日</w:t>
            </w:r>
          </w:p>
        </w:tc>
        <w:tc>
          <w:tcPr>
            <w:tcW w:w="1406" w:type="dxa"/>
            <w:vAlign w:val="center"/>
          </w:tcPr>
          <w:p w14:paraId="4C03F0A4">
            <w:pPr>
              <w:jc w:val="center"/>
              <w:rPr>
                <w:rFonts w:ascii="仿宋" w:hAnsi="仿宋" w:eastAsia="仿宋" w:cs="微软雅黑"/>
                <w:color w:val="000000" w:themeColor="text1"/>
                <w:sz w:val="18"/>
                <w:szCs w:val="18"/>
                <w:shd w:val="clear" w:color="auto" w:fill="FFFFFF"/>
              </w:rPr>
            </w:pPr>
            <w:r>
              <w:rPr>
                <w:rFonts w:hint="eastAsia" w:ascii="仿宋" w:hAnsi="仿宋" w:eastAsia="仿宋" w:cs="微软雅黑"/>
                <w:color w:val="000000" w:themeColor="text1"/>
                <w:sz w:val="18"/>
                <w:szCs w:val="18"/>
                <w:shd w:val="clear" w:color="auto" w:fill="FFFFFF"/>
              </w:rPr>
              <w:t>区交通运输局</w:t>
            </w:r>
          </w:p>
          <w:p w14:paraId="7CB903DC">
            <w:pPr>
              <w:jc w:val="center"/>
              <w:rPr>
                <w:rFonts w:ascii="仿宋_GB2312" w:hAnsi="黑体" w:eastAsia="仿宋_GB2312" w:cs="黑体"/>
                <w:color w:val="000000" w:themeColor="text1"/>
                <w:sz w:val="18"/>
                <w:szCs w:val="18"/>
              </w:rPr>
            </w:pPr>
            <w:r>
              <w:rPr>
                <w:rFonts w:hint="eastAsia" w:ascii="仿宋" w:hAnsi="仿宋" w:eastAsia="仿宋" w:cs="微软雅黑"/>
                <w:color w:val="000000" w:themeColor="text1"/>
                <w:sz w:val="18"/>
                <w:szCs w:val="18"/>
                <w:shd w:val="clear" w:color="auto" w:fill="FFFFFF"/>
              </w:rPr>
              <w:t>公路管理股</w:t>
            </w:r>
          </w:p>
        </w:tc>
      </w:tr>
      <w:tr w14:paraId="585D7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4" w:hRule="atLeast"/>
          <w:jc w:val="center"/>
        </w:trPr>
        <w:tc>
          <w:tcPr>
            <w:tcW w:w="1092" w:type="dxa"/>
            <w:vMerge w:val="continue"/>
            <w:vAlign w:val="center"/>
          </w:tcPr>
          <w:p w14:paraId="6D192410">
            <w:pPr>
              <w:rPr>
                <w:color w:val="000000" w:themeColor="text1"/>
              </w:rPr>
            </w:pPr>
          </w:p>
        </w:tc>
        <w:tc>
          <w:tcPr>
            <w:tcW w:w="1095" w:type="dxa"/>
            <w:vAlign w:val="center"/>
          </w:tcPr>
          <w:p w14:paraId="719DA951">
            <w:pPr>
              <w:jc w:val="center"/>
              <w:rPr>
                <w:rFonts w:ascii="仿宋_GB2312" w:hAnsi="黑体" w:eastAsia="仿宋_GB2312" w:cs="黑体"/>
                <w:color w:val="000000" w:themeColor="text1"/>
                <w:sz w:val="18"/>
                <w:szCs w:val="18"/>
              </w:rPr>
            </w:pPr>
            <w:r>
              <w:rPr>
                <w:rFonts w:hint="eastAsia" w:ascii="仿宋_GB2312" w:hAnsi="黑体" w:eastAsia="仿宋_GB2312" w:cs="黑体"/>
                <w:color w:val="000000" w:themeColor="text1"/>
                <w:sz w:val="18"/>
                <w:szCs w:val="18"/>
              </w:rPr>
              <w:t>决定</w:t>
            </w:r>
          </w:p>
          <w:p w14:paraId="41EE8285">
            <w:pPr>
              <w:jc w:val="center"/>
              <w:rPr>
                <w:rFonts w:ascii="仿宋_GB2312" w:hAnsi="黑体" w:eastAsia="仿宋_GB2312" w:cs="黑体"/>
                <w:color w:val="000000" w:themeColor="text1"/>
                <w:sz w:val="18"/>
                <w:szCs w:val="18"/>
              </w:rPr>
            </w:pPr>
          </w:p>
        </w:tc>
        <w:tc>
          <w:tcPr>
            <w:tcW w:w="5613" w:type="dxa"/>
            <w:gridSpan w:val="5"/>
            <w:vAlign w:val="center"/>
          </w:tcPr>
          <w:p w14:paraId="7F42EADF">
            <w:pPr>
              <w:jc w:val="center"/>
              <w:rPr>
                <w:rFonts w:ascii="仿宋_GB2312" w:hAnsi="黑体" w:eastAsia="仿宋_GB2312" w:cs="黑体"/>
                <w:color w:val="000000" w:themeColor="text1"/>
                <w:sz w:val="18"/>
                <w:szCs w:val="18"/>
              </w:rPr>
            </w:pPr>
            <w:r>
              <w:rPr>
                <w:rFonts w:hint="eastAsia" w:ascii="仿宋" w:hAnsi="仿宋" w:eastAsia="仿宋" w:cs="仿宋_GB2312"/>
                <w:color w:val="000000" w:themeColor="text1"/>
                <w:sz w:val="18"/>
                <w:szCs w:val="18"/>
                <w:lang w:eastAsia="zh-CN"/>
              </w:rPr>
              <w:t>依法作出许可决定，并</w:t>
            </w:r>
            <w:r>
              <w:rPr>
                <w:rFonts w:hint="eastAsia" w:ascii="仿宋" w:hAnsi="仿宋" w:eastAsia="仿宋" w:cs="仿宋_GB2312"/>
                <w:color w:val="000000" w:themeColor="text1"/>
                <w:kern w:val="0"/>
                <w:sz w:val="18"/>
                <w:szCs w:val="18"/>
              </w:rPr>
              <w:t>送达相关文书</w:t>
            </w:r>
          </w:p>
        </w:tc>
        <w:tc>
          <w:tcPr>
            <w:tcW w:w="1092" w:type="dxa"/>
            <w:gridSpan w:val="2"/>
            <w:vAlign w:val="center"/>
          </w:tcPr>
          <w:p w14:paraId="5BC58F90">
            <w:pPr>
              <w:jc w:val="center"/>
              <w:rPr>
                <w:rFonts w:ascii="仿宋_GB2312" w:hAnsi="黑体" w:eastAsia="仿宋_GB2312" w:cs="黑体"/>
                <w:color w:val="000000" w:themeColor="text1"/>
                <w:sz w:val="18"/>
                <w:szCs w:val="18"/>
              </w:rPr>
            </w:pPr>
            <w:r>
              <w:rPr>
                <w:rFonts w:ascii="仿宋_GB2312" w:hAnsi="黑体" w:eastAsia="仿宋_GB2312" w:cs="黑体"/>
                <w:color w:val="000000" w:themeColor="text1"/>
                <w:sz w:val="18"/>
                <w:szCs w:val="18"/>
              </w:rPr>
              <w:t>1</w:t>
            </w:r>
            <w:r>
              <w:rPr>
                <w:rFonts w:hint="eastAsia" w:ascii="仿宋_GB2312" w:hAnsi="黑体" w:eastAsia="仿宋_GB2312" w:cs="黑体"/>
                <w:color w:val="000000" w:themeColor="text1"/>
                <w:sz w:val="18"/>
                <w:szCs w:val="18"/>
              </w:rPr>
              <w:t>个工作日</w:t>
            </w:r>
          </w:p>
        </w:tc>
        <w:tc>
          <w:tcPr>
            <w:tcW w:w="1406" w:type="dxa"/>
            <w:vAlign w:val="center"/>
          </w:tcPr>
          <w:p w14:paraId="7649E476">
            <w:pPr>
              <w:jc w:val="center"/>
              <w:rPr>
                <w:rFonts w:hint="eastAsia" w:ascii="仿宋_GB2312" w:hAnsi="黑体" w:eastAsia="仿宋_GB2312" w:cs="黑体"/>
                <w:color w:val="000000" w:themeColor="text1"/>
                <w:sz w:val="18"/>
                <w:szCs w:val="18"/>
                <w:lang w:eastAsia="zh-CN"/>
              </w:rPr>
            </w:pPr>
            <w:r>
              <w:rPr>
                <w:rFonts w:hint="eastAsia" w:ascii="仿宋_GB2312" w:hAnsi="黑体" w:eastAsia="仿宋_GB2312" w:cs="黑体"/>
                <w:color w:val="000000" w:themeColor="text1"/>
                <w:sz w:val="18"/>
                <w:szCs w:val="18"/>
                <w:lang w:eastAsia="zh-CN"/>
              </w:rPr>
              <w:t>政务服务中心交通窗口</w:t>
            </w:r>
          </w:p>
        </w:tc>
      </w:tr>
      <w:tr w14:paraId="51CB9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41" w:hRule="atLeast"/>
          <w:jc w:val="center"/>
        </w:trPr>
        <w:tc>
          <w:tcPr>
            <w:tcW w:w="1092" w:type="dxa"/>
            <w:shd w:val="clear" w:color="auto" w:fill="auto"/>
            <w:vAlign w:val="center"/>
          </w:tcPr>
          <w:p w14:paraId="3705B95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287" w:type="dxa"/>
            <w:gridSpan w:val="4"/>
            <w:tcBorders>
              <w:right w:val="single" w:color="auto" w:sz="4" w:space="0"/>
            </w:tcBorders>
            <w:shd w:val="clear" w:color="auto" w:fill="auto"/>
            <w:vAlign w:val="center"/>
          </w:tcPr>
          <w:p w14:paraId="753F5892">
            <w:pPr>
              <w:jc w:val="center"/>
              <w:rPr>
                <w:rFonts w:hint="eastAsia" w:ascii="仿宋_GB2312" w:hAnsi="Calibri" w:eastAsia="仿宋_GB2312" w:cs="黑体"/>
                <w:b/>
                <w:bCs/>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21" w:type="dxa"/>
            <w:gridSpan w:val="2"/>
            <w:tcBorders>
              <w:left w:val="single" w:color="auto" w:sz="4" w:space="0"/>
            </w:tcBorders>
            <w:shd w:val="clear" w:color="auto" w:fill="auto"/>
            <w:vAlign w:val="center"/>
          </w:tcPr>
          <w:p w14:paraId="331CCAA6">
            <w:pPr>
              <w:jc w:val="center"/>
              <w:rPr>
                <w:rFonts w:hint="eastAsia" w:ascii="仿宋_GB2312" w:eastAsia="仿宋_GB2312" w:cs="黑体"/>
                <w:b/>
                <w:bCs/>
                <w:color w:val="000000" w:themeColor="text1"/>
                <w:sz w:val="18"/>
                <w:szCs w:val="18"/>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5CAF719A">
            <w:pPr>
              <w:jc w:val="center"/>
              <w:rPr>
                <w:rFonts w:hint="eastAsia" w:ascii="仿宋_GB2312" w:hAnsi="黑体"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否</w:t>
            </w:r>
          </w:p>
        </w:tc>
      </w:tr>
      <w:tr w14:paraId="60B11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1" w:hRule="atLeast"/>
          <w:jc w:val="center"/>
        </w:trPr>
        <w:tc>
          <w:tcPr>
            <w:tcW w:w="1092" w:type="dxa"/>
            <w:shd w:val="clear" w:color="auto" w:fill="auto"/>
            <w:vAlign w:val="center"/>
          </w:tcPr>
          <w:p w14:paraId="0F80DAD1">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9206" w:type="dxa"/>
            <w:gridSpan w:val="9"/>
            <w:shd w:val="clear" w:color="auto" w:fill="auto"/>
            <w:vAlign w:val="center"/>
          </w:tcPr>
          <w:p w14:paraId="7C73F107">
            <w:pPr>
              <w:jc w:val="left"/>
              <w:rPr>
                <w:rFonts w:hint="eastAsia" w:ascii="仿宋_GB2312" w:hAnsi="黑体" w:eastAsia="仿宋_GB2312" w:cs="黑体"/>
                <w:color w:val="000000" w:themeColor="text1"/>
                <w:sz w:val="18"/>
                <w:szCs w:val="18"/>
                <w:lang w:eastAsia="zh-CN"/>
              </w:rPr>
            </w:pPr>
            <w:r>
              <w:rPr>
                <w:rFonts w:hint="eastAsia" w:ascii="仿宋" w:hAnsi="仿宋" w:eastAsia="仿宋" w:cs="仿宋"/>
                <w:color w:val="000000" w:themeColor="text1"/>
                <w:sz w:val="18"/>
                <w:szCs w:val="18"/>
                <w:lang w:val="en-US" w:eastAsia="zh-CN"/>
              </w:rPr>
              <w:t>1</w:t>
            </w:r>
            <w:r>
              <w:rPr>
                <w:rFonts w:hint="eastAsia" w:ascii="仿宋" w:hAnsi="仿宋" w:eastAsia="仿宋" w:cs="仿宋"/>
                <w:color w:val="000000" w:themeColor="text1"/>
                <w:sz w:val="15"/>
                <w:szCs w:val="15"/>
                <w:lang w:val="en-US" w:eastAsia="zh-CN"/>
              </w:rPr>
              <w:t>、</w:t>
            </w:r>
            <w:r>
              <w:rPr>
                <w:rFonts w:hint="eastAsia" w:ascii="仿宋" w:hAnsi="仿宋" w:eastAsia="仿宋" w:cs="仿宋"/>
                <w:i w:val="0"/>
                <w:iCs w:val="0"/>
                <w:caps w:val="0"/>
                <w:color w:val="000000" w:themeColor="text1"/>
                <w:spacing w:val="0"/>
                <w:sz w:val="18"/>
                <w:szCs w:val="18"/>
                <w:shd w:val="clear" w:color="auto" w:fill="auto"/>
              </w:rPr>
              <w:t>用国防交通控制范围土地申请书</w:t>
            </w:r>
          </w:p>
        </w:tc>
      </w:tr>
      <w:tr w14:paraId="65AD8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48" w:hRule="atLeast"/>
          <w:jc w:val="center"/>
        </w:trPr>
        <w:tc>
          <w:tcPr>
            <w:tcW w:w="1092" w:type="dxa"/>
            <w:vAlign w:val="center"/>
          </w:tcPr>
          <w:p w14:paraId="06F65ED4">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9206" w:type="dxa"/>
            <w:gridSpan w:val="9"/>
            <w:vAlign w:val="center"/>
          </w:tcPr>
          <w:p w14:paraId="56460A1D">
            <w:pPr>
              <w:spacing w:line="240" w:lineRule="exact"/>
              <w:ind w:firstLine="300" w:firstLineChars="200"/>
              <w:rPr>
                <w:rFonts w:ascii="仿宋_GB2312" w:eastAsia="仿宋_GB2312" w:cs="仿宋_GB2312"/>
                <w:color w:val="000000" w:themeColor="text1"/>
                <w:kern w:val="0"/>
                <w:sz w:val="15"/>
                <w:szCs w:val="15"/>
              </w:rPr>
            </w:pPr>
            <w:r>
              <w:rPr>
                <w:rFonts w:hint="eastAsia"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lang w:eastAsia="zh-CN"/>
              </w:rPr>
              <w:t>中华人民共和国行政许可法</w:t>
            </w:r>
            <w:r>
              <w:rPr>
                <w:rFonts w:hint="eastAsia" w:ascii="仿宋_GB2312" w:eastAsia="仿宋_GB2312" w:cs="仿宋_GB2312"/>
                <w:color w:val="000000" w:themeColor="text1"/>
                <w:kern w:val="0"/>
                <w:sz w:val="15"/>
                <w:szCs w:val="15"/>
              </w:rPr>
              <w:t>》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14:paraId="26C7996C">
            <w:pPr>
              <w:spacing w:line="240" w:lineRule="exact"/>
              <w:ind w:firstLine="300" w:firstLineChars="200"/>
              <w:rPr>
                <w:rFonts w:ascii="黑体" w:eastAsia="黑体" w:cs="黑体"/>
                <w:color w:val="000000" w:themeColor="text1"/>
                <w:szCs w:val="21"/>
              </w:rPr>
            </w:pPr>
            <w:r>
              <w:rPr>
                <w:rFonts w:ascii="仿宋_GB2312" w:eastAsia="仿宋_GB2312" w:cs="仿宋_GB2312"/>
                <w:color w:val="000000" w:themeColor="text1"/>
                <w:kern w:val="0"/>
                <w:sz w:val="15"/>
                <w:szCs w:val="15"/>
              </w:rPr>
              <w:t>2</w:t>
            </w:r>
            <w:r>
              <w:rPr>
                <w:rFonts w:hint="eastAsia"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lang w:eastAsia="zh-CN"/>
              </w:rPr>
              <w:t>中华人民共和国行政许可法</w:t>
            </w:r>
            <w:r>
              <w:rPr>
                <w:rFonts w:hint="eastAsia" w:ascii="仿宋_GB2312" w:eastAsia="仿宋_GB2312" w:cs="仿宋_GB2312"/>
                <w:color w:val="000000" w:themeColor="text1"/>
                <w:kern w:val="0"/>
                <w:sz w:val="15"/>
                <w:szCs w:val="15"/>
              </w:rPr>
              <w:t>》第七十四条：行政机关实施行政许可</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有下列情形之一的</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由其上级行政机关或者监察机关责令改正</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对直接负责的主管人员和其他直接责任人员依法给予行政处分；构成犯罪的</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未经招标、拍卖或者考试</w:t>
            </w:r>
            <w:r>
              <w:rPr>
                <w:rFonts w:ascii="仿宋_GB2312" w:eastAsia="仿宋_GB2312" w:cs="仿宋_GB2312"/>
                <w:color w:val="000000" w:themeColor="text1"/>
                <w:kern w:val="0"/>
                <w:sz w:val="15"/>
                <w:szCs w:val="15"/>
              </w:rPr>
              <w:t>,</w:t>
            </w:r>
            <w:r>
              <w:rPr>
                <w:rFonts w:hint="eastAsia" w:ascii="仿宋_GB2312" w:eastAsia="仿宋_GB2312" w:cs="仿宋_GB2312"/>
                <w:color w:val="000000" w:themeColor="text1"/>
                <w:kern w:val="0"/>
                <w:sz w:val="15"/>
                <w:szCs w:val="15"/>
              </w:rPr>
              <w:t>或者不根据招标、拍卖结果或者考试成绩择优作出准予行政许可决定的。</w:t>
            </w:r>
          </w:p>
        </w:tc>
      </w:tr>
      <w:tr w14:paraId="4D9C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092" w:type="dxa"/>
            <w:vAlign w:val="center"/>
          </w:tcPr>
          <w:p w14:paraId="12FE3D7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9206" w:type="dxa"/>
            <w:gridSpan w:val="9"/>
            <w:vAlign w:val="center"/>
          </w:tcPr>
          <w:p w14:paraId="71903F76">
            <w:pPr>
              <w:widowControl/>
              <w:spacing w:line="240" w:lineRule="exact"/>
              <w:ind w:left="31680" w:hanging="180" w:hangingChars="100"/>
              <w:jc w:val="left"/>
              <w:textAlignment w:val="center"/>
              <w:rPr>
                <w:rFonts w:ascii="仿宋_GB2312" w:hAnsi="黑体" w:eastAsia="仿宋_GB2312" w:cs="黑体"/>
                <w:color w:val="000000" w:themeColor="text1"/>
                <w:kern w:val="0"/>
                <w:sz w:val="18"/>
                <w:szCs w:val="18"/>
              </w:rPr>
            </w:pPr>
            <w:r>
              <w:rPr>
                <w:rFonts w:ascii="仿宋_GB2312" w:hAnsi="黑体" w:eastAsia="仿宋_GB2312" w:cs="黑体"/>
                <w:color w:val="000000" w:themeColor="text1"/>
                <w:kern w:val="0"/>
                <w:sz w:val="18"/>
                <w:szCs w:val="18"/>
              </w:rPr>
              <w:t>1.</w:t>
            </w:r>
            <w:r>
              <w:rPr>
                <w:rFonts w:hint="eastAsia" w:ascii="仿宋_GB2312" w:hAnsi="黑体" w:eastAsia="仿宋_GB2312" w:cs="黑体"/>
                <w:color w:val="000000" w:themeColor="text1"/>
                <w:kern w:val="0"/>
                <w:sz w:val="18"/>
                <w:szCs w:val="18"/>
              </w:rPr>
              <w:t>业务咨询：</w:t>
            </w:r>
            <w:r>
              <w:rPr>
                <w:rFonts w:hint="eastAsia" w:ascii="仿宋_GB2312" w:hAnsi="黑体" w:eastAsia="仿宋_GB2312" w:cs="黑体"/>
                <w:color w:val="000000" w:themeColor="text1"/>
                <w:kern w:val="0"/>
                <w:sz w:val="18"/>
                <w:szCs w:val="18"/>
                <w:lang w:val="en-US" w:eastAsia="zh-CN"/>
              </w:rPr>
              <w:t>7828572</w:t>
            </w:r>
            <w:r>
              <w:rPr>
                <w:rFonts w:ascii="仿宋_GB2312" w:hAnsi="黑体" w:eastAsia="仿宋_GB2312" w:cs="黑体"/>
                <w:color w:val="000000" w:themeColor="text1"/>
                <w:kern w:val="0"/>
                <w:sz w:val="18"/>
                <w:szCs w:val="18"/>
              </w:rPr>
              <w:t xml:space="preserve">        2.</w:t>
            </w:r>
            <w:r>
              <w:rPr>
                <w:rFonts w:hint="eastAsia" w:ascii="仿宋_GB2312" w:hAnsi="黑体" w:eastAsia="仿宋_GB2312" w:cs="黑体"/>
                <w:color w:val="000000" w:themeColor="text1"/>
                <w:kern w:val="0"/>
                <w:sz w:val="18"/>
                <w:szCs w:val="18"/>
              </w:rPr>
              <w:t>投诉举报电话：</w:t>
            </w:r>
            <w:r>
              <w:rPr>
                <w:rFonts w:ascii="仿宋_GB2312" w:hAnsi="黑体" w:eastAsia="仿宋_GB2312" w:cs="黑体"/>
                <w:color w:val="000000" w:themeColor="text1"/>
                <w:kern w:val="0"/>
                <w:sz w:val="18"/>
                <w:szCs w:val="18"/>
              </w:rPr>
              <w:t>6681263</w:t>
            </w:r>
          </w:p>
          <w:p w14:paraId="10E7BE97">
            <w:pPr>
              <w:widowControl/>
              <w:spacing w:line="240" w:lineRule="exact"/>
              <w:jc w:val="left"/>
              <w:textAlignment w:val="center"/>
              <w:rPr>
                <w:rFonts w:ascii="黑体" w:eastAsia="仿宋_GB2312" w:cs="黑体"/>
                <w:color w:val="000000" w:themeColor="text1"/>
                <w:sz w:val="24"/>
              </w:rPr>
            </w:pPr>
            <w:r>
              <w:rPr>
                <w:rFonts w:ascii="仿宋_GB2312" w:hAnsi="黑体" w:eastAsia="仿宋_GB2312" w:cs="黑体"/>
                <w:color w:val="000000" w:themeColor="text1"/>
                <w:kern w:val="0"/>
                <w:sz w:val="18"/>
                <w:szCs w:val="18"/>
              </w:rPr>
              <w:t>3.</w:t>
            </w:r>
            <w:r>
              <w:rPr>
                <w:rFonts w:hint="eastAsia" w:ascii="仿宋_GB2312" w:hAnsi="黑体" w:eastAsia="仿宋_GB2312" w:cs="黑体"/>
                <w:color w:val="000000" w:themeColor="text1"/>
                <w:kern w:val="0"/>
                <w:sz w:val="18"/>
                <w:szCs w:val="18"/>
              </w:rPr>
              <w:t>纪检监察投诉：抚宁区交通运输局纪检监察办公室，电话：</w:t>
            </w:r>
            <w:r>
              <w:rPr>
                <w:rFonts w:ascii="仿宋_GB2312" w:hAnsi="黑体" w:eastAsia="仿宋_GB2312" w:cs="黑体"/>
                <w:color w:val="000000" w:themeColor="text1"/>
                <w:kern w:val="0"/>
                <w:sz w:val="18"/>
                <w:szCs w:val="18"/>
              </w:rPr>
              <w:t>6681263</w:t>
            </w:r>
          </w:p>
        </w:tc>
      </w:tr>
      <w:tr w14:paraId="30C1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51" w:hRule="atLeast"/>
          <w:jc w:val="center"/>
        </w:trPr>
        <w:tc>
          <w:tcPr>
            <w:tcW w:w="1092" w:type="dxa"/>
            <w:vAlign w:val="center"/>
          </w:tcPr>
          <w:p w14:paraId="09A753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9206" w:type="dxa"/>
            <w:gridSpan w:val="9"/>
            <w:vAlign w:val="center"/>
          </w:tcPr>
          <w:p w14:paraId="2AF2EBF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．不服许可决定自知道该具体行政行为之日起六十日内向抚宁区政府申请行政复议。</w:t>
            </w:r>
          </w:p>
          <w:p w14:paraId="4574DA05">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．不服许可决定应当自知道或者应当知道作出行政行为之日起六个月内提出向抚宁区人民法院提起行政诉讼。</w:t>
            </w:r>
          </w:p>
        </w:tc>
      </w:tr>
      <w:tr w14:paraId="5AEA6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28" w:hRule="atLeast"/>
          <w:jc w:val="center"/>
        </w:trPr>
        <w:tc>
          <w:tcPr>
            <w:tcW w:w="1092" w:type="dxa"/>
            <w:vAlign w:val="center"/>
          </w:tcPr>
          <w:p w14:paraId="5A58656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9206" w:type="dxa"/>
            <w:gridSpan w:val="9"/>
            <w:vAlign w:val="center"/>
          </w:tcPr>
          <w:p w14:paraId="1E605369">
            <w:pPr>
              <w:widowControl/>
              <w:jc w:val="left"/>
              <w:textAlignment w:val="center"/>
              <w:rPr>
                <w:rFonts w:ascii="黑体" w:eastAsia="黑体" w:cs="黑体"/>
                <w:color w:val="000000" w:themeColor="text1"/>
                <w:kern w:val="0"/>
                <w:sz w:val="18"/>
                <w:szCs w:val="18"/>
              </w:rPr>
            </w:pPr>
          </w:p>
        </w:tc>
      </w:tr>
    </w:tbl>
    <w:p w14:paraId="5867C176">
      <w:pPr>
        <w:rPr>
          <w:color w:val="000000" w:themeColor="text1"/>
        </w:rPr>
      </w:pPr>
    </w:p>
    <w:p w14:paraId="328B33B5">
      <w:pPr>
        <w:widowControl/>
        <w:textAlignment w:val="center"/>
        <w:rPr>
          <w:color w:val="000000" w:themeColor="text1"/>
        </w:rPr>
      </w:pPr>
    </w:p>
    <w:p w14:paraId="108C36A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294"/>
        <w:gridCol w:w="669"/>
        <w:gridCol w:w="992"/>
        <w:gridCol w:w="567"/>
        <w:gridCol w:w="429"/>
        <w:gridCol w:w="1502"/>
      </w:tblGrid>
      <w:tr w14:paraId="6631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3A7DFE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6F741298">
            <w:pPr>
              <w:jc w:val="center"/>
              <w:rPr>
                <w:rFonts w:ascii="黑体" w:eastAsia="黑体" w:cs="黑体"/>
                <w:b/>
                <w:bCs/>
                <w:color w:val="000000" w:themeColor="text1"/>
                <w:szCs w:val="21"/>
              </w:rPr>
            </w:pPr>
            <w:r>
              <w:rPr>
                <w:rFonts w:ascii="黑体" w:eastAsia="黑体" w:cs="黑体"/>
                <w:b/>
                <w:bCs/>
                <w:color w:val="000000" w:themeColor="text1"/>
                <w:szCs w:val="21"/>
              </w:rPr>
              <w:t>220</w:t>
            </w:r>
          </w:p>
        </w:tc>
        <w:tc>
          <w:tcPr>
            <w:tcW w:w="1691" w:type="dxa"/>
            <w:vAlign w:val="center"/>
          </w:tcPr>
          <w:p w14:paraId="489C48C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443C03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18FD4D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472F82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467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2F66C5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746D0C9E">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公路工程工地试验室备案</w:t>
            </w:r>
          </w:p>
        </w:tc>
      </w:tr>
      <w:tr w14:paraId="3C8E7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693D77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18C6CB21">
            <w:pPr>
              <w:spacing w:line="240" w:lineRule="exact"/>
              <w:jc w:val="left"/>
              <w:rPr>
                <w:rFonts w:ascii="仿宋" w:eastAsia="仿宋" w:cs="黑体"/>
                <w:color w:val="000000" w:themeColor="text1"/>
                <w:sz w:val="18"/>
                <w:szCs w:val="18"/>
              </w:rPr>
            </w:pPr>
            <w:r>
              <w:rPr>
                <w:rFonts w:hint="eastAsia" w:ascii="仿宋" w:eastAsia="仿宋" w:cs="黑体"/>
                <w:color w:val="000000" w:themeColor="text1"/>
                <w:sz w:val="18"/>
                <w:szCs w:val="18"/>
              </w:rPr>
              <w:t>【法律法规】</w:t>
            </w:r>
          </w:p>
          <w:p w14:paraId="5CE40F1E">
            <w:pPr>
              <w:spacing w:line="240" w:lineRule="exact"/>
              <w:jc w:val="left"/>
              <w:rPr>
                <w:rFonts w:ascii="仿宋" w:eastAsia="仿宋" w:cs="仿宋_GB2312"/>
                <w:color w:val="000000" w:themeColor="text1"/>
                <w:sz w:val="18"/>
                <w:szCs w:val="18"/>
              </w:rPr>
            </w:pPr>
            <w:r>
              <w:rPr>
                <w:rFonts w:ascii="仿宋" w:eastAsia="仿宋" w:cs="仿宋_GB2312"/>
                <w:color w:val="000000" w:themeColor="text1"/>
                <w:sz w:val="18"/>
                <w:szCs w:val="18"/>
              </w:rPr>
              <w:t>1.</w:t>
            </w:r>
            <w:r>
              <w:rPr>
                <w:rFonts w:hint="eastAsia" w:ascii="仿宋" w:eastAsia="仿宋" w:cs="仿宋_GB2312"/>
                <w:color w:val="000000" w:themeColor="text1"/>
                <w:sz w:val="18"/>
                <w:szCs w:val="18"/>
              </w:rPr>
              <w:t>《公路水运工程试验检测管理办法》（</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_GB2312"/>
                <w:color w:val="000000" w:themeColor="text1"/>
                <w:sz w:val="18"/>
                <w:szCs w:val="18"/>
              </w:rPr>
              <w:t>交通运输部令第</w:t>
            </w:r>
            <w:r>
              <w:rPr>
                <w:rFonts w:ascii="仿宋" w:eastAsia="仿宋" w:cs="仿宋_GB2312"/>
                <w:color w:val="000000" w:themeColor="text1"/>
                <w:sz w:val="18"/>
                <w:szCs w:val="18"/>
              </w:rPr>
              <w:t>38</w:t>
            </w:r>
            <w:r>
              <w:rPr>
                <w:rFonts w:hint="eastAsia" w:ascii="仿宋" w:eastAsia="仿宋" w:cs="仿宋_GB2312"/>
                <w:color w:val="000000" w:themeColor="text1"/>
                <w:sz w:val="18"/>
                <w:szCs w:val="18"/>
              </w:rPr>
              <w:t>号）第二十九条；</w:t>
            </w:r>
            <w:r>
              <w:rPr>
                <w:rFonts w:hint="eastAsia" w:ascii="仿宋" w:eastAsia="仿宋"/>
                <w:color w:val="000000" w:themeColor="text1"/>
                <w:sz w:val="18"/>
                <w:szCs w:val="18"/>
              </w:rPr>
              <w:t>取得《等级证书》的检测机构，可设立工地临时试验室，承担</w:t>
            </w:r>
            <w:r>
              <w:rPr>
                <w:rFonts w:ascii="仿宋" w:eastAsia="仿宋"/>
                <w:color w:val="000000" w:themeColor="text1"/>
                <w:sz w:val="18"/>
                <w:szCs w:val="18"/>
              </w:rPr>
              <w:t xml:space="preserve"> </w:t>
            </w:r>
            <w:r>
              <w:rPr>
                <w:rFonts w:hint="eastAsia" w:ascii="仿宋" w:eastAsia="仿宋"/>
                <w:color w:val="000000" w:themeColor="text1"/>
                <w:sz w:val="18"/>
                <w:szCs w:val="18"/>
              </w:rPr>
              <w:t>相应公路水运工程的试验检测业务，并对其试验检测结果承担责任。</w:t>
            </w:r>
            <w:r>
              <w:rPr>
                <w:rFonts w:ascii="仿宋" w:eastAsia="仿宋"/>
                <w:color w:val="000000" w:themeColor="text1"/>
                <w:sz w:val="18"/>
                <w:szCs w:val="18"/>
              </w:rPr>
              <w:t xml:space="preserve"> </w:t>
            </w:r>
            <w:r>
              <w:rPr>
                <w:rFonts w:hint="eastAsia" w:ascii="仿宋" w:eastAsia="仿宋"/>
                <w:color w:val="000000" w:themeColor="text1"/>
                <w:sz w:val="18"/>
                <w:szCs w:val="18"/>
              </w:rPr>
              <w:t>工程所在地省级交通质监机构应当对工地临时试验室进行监督。</w:t>
            </w:r>
          </w:p>
          <w:p w14:paraId="5386A4D3">
            <w:pPr>
              <w:snapToGrid w:val="0"/>
              <w:spacing w:line="240" w:lineRule="atLeast"/>
              <w:rPr>
                <w:rFonts w:ascii="仿宋" w:eastAsia="仿宋"/>
                <w:color w:val="000000" w:themeColor="text1"/>
                <w:sz w:val="18"/>
                <w:szCs w:val="18"/>
              </w:rPr>
            </w:pPr>
            <w:r>
              <w:rPr>
                <w:rFonts w:ascii="仿宋" w:eastAsia="仿宋" w:cs="仿宋_GB2312"/>
                <w:color w:val="000000" w:themeColor="text1"/>
                <w:sz w:val="18"/>
                <w:szCs w:val="18"/>
              </w:rPr>
              <w:t>2.</w:t>
            </w:r>
            <w:r>
              <w:rPr>
                <w:rFonts w:hint="eastAsia" w:ascii="仿宋" w:eastAsia="仿宋" w:cs="仿宋_GB2312"/>
                <w:color w:val="000000" w:themeColor="text1"/>
                <w:sz w:val="18"/>
                <w:szCs w:val="18"/>
              </w:rPr>
              <w:t>《关于进一步加强公路水运工程工地试验室管理工作的意见》（厅质监字〔</w:t>
            </w:r>
            <w:r>
              <w:rPr>
                <w:rFonts w:ascii="仿宋" w:eastAsia="仿宋" w:cs="仿宋_GB2312"/>
                <w:color w:val="000000" w:themeColor="text1"/>
                <w:sz w:val="18"/>
                <w:szCs w:val="18"/>
              </w:rPr>
              <w:t>2009</w:t>
            </w:r>
            <w:r>
              <w:rPr>
                <w:rFonts w:hint="eastAsia" w:ascii="仿宋" w:eastAsia="仿宋" w:cs="仿宋_GB2312"/>
                <w:color w:val="000000" w:themeColor="text1"/>
                <w:sz w:val="18"/>
                <w:szCs w:val="18"/>
              </w:rPr>
              <w:t>〕</w:t>
            </w:r>
            <w:r>
              <w:rPr>
                <w:rFonts w:ascii="仿宋" w:eastAsia="仿宋" w:cs="仿宋_GB2312"/>
                <w:color w:val="000000" w:themeColor="text1"/>
                <w:sz w:val="18"/>
                <w:szCs w:val="18"/>
              </w:rPr>
              <w:t>183</w:t>
            </w:r>
            <w:r>
              <w:rPr>
                <w:rFonts w:hint="eastAsia" w:ascii="仿宋" w:eastAsia="仿宋" w:cs="仿宋_GB2312"/>
                <w:color w:val="000000" w:themeColor="text1"/>
                <w:sz w:val="18"/>
                <w:szCs w:val="18"/>
              </w:rPr>
              <w:t>号）第五条</w:t>
            </w:r>
            <w:r>
              <w:rPr>
                <w:rFonts w:ascii="仿宋" w:eastAsia="仿宋" w:cs="仿宋_GB2312"/>
                <w:color w:val="000000" w:themeColor="text1"/>
                <w:sz w:val="18"/>
                <w:szCs w:val="18"/>
              </w:rPr>
              <w:t xml:space="preserve"> </w:t>
            </w:r>
            <w:r>
              <w:rPr>
                <w:rFonts w:hint="eastAsia" w:ascii="仿宋" w:eastAsia="仿宋"/>
                <w:color w:val="000000" w:themeColor="text1"/>
                <w:sz w:val="18"/>
                <w:szCs w:val="18"/>
              </w:rPr>
              <w:t>工地试验室设立实行登记备案制。经试验检测机构授权设立的工地试验室，应当填写“公路水运工程工地试验室备案登记表”（见附件</w:t>
            </w:r>
            <w:r>
              <w:rPr>
                <w:rFonts w:ascii="仿宋" w:eastAsia="仿宋"/>
                <w:color w:val="000000" w:themeColor="text1"/>
                <w:sz w:val="18"/>
                <w:szCs w:val="18"/>
              </w:rPr>
              <w:t>2</w:t>
            </w:r>
            <w:r>
              <w:rPr>
                <w:rFonts w:hint="eastAsia" w:ascii="仿宋" w:eastAsia="仿宋"/>
                <w:color w:val="000000" w:themeColor="text1"/>
                <w:sz w:val="18"/>
                <w:szCs w:val="18"/>
              </w:rPr>
              <w:t>），经建设单位初审后报送项目质监机构登记备案，质监机构对通过备案的工地试验室出具“公路水运工程工地试验室备案通知书”（见附件</w:t>
            </w:r>
            <w:r>
              <w:rPr>
                <w:rFonts w:ascii="仿宋" w:eastAsia="仿宋"/>
                <w:color w:val="000000" w:themeColor="text1"/>
                <w:sz w:val="18"/>
                <w:szCs w:val="18"/>
              </w:rPr>
              <w:t>3</w:t>
            </w:r>
            <w:r>
              <w:rPr>
                <w:rFonts w:hint="eastAsia" w:ascii="仿宋" w:eastAsia="仿宋"/>
                <w:color w:val="000000" w:themeColor="text1"/>
                <w:sz w:val="18"/>
                <w:szCs w:val="18"/>
              </w:rPr>
              <w:t>）。工地试验室被授权的试验检测项目及参数或试验检测持证人员进行变更的，应当由母体试验检测机构报经建设单位同意后，向项目质监机构备案。</w:t>
            </w:r>
          </w:p>
          <w:p w14:paraId="76FD9DE7">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号第三条第八款承担全区公路建设市场监管责任</w:t>
            </w:r>
            <w:r>
              <w:rPr>
                <w:rFonts w:ascii="仿宋" w:eastAsia="仿宋" w:cs="仿宋_GB2312"/>
                <w:color w:val="000000" w:themeColor="text1"/>
                <w:kern w:val="0"/>
                <w:sz w:val="18"/>
                <w:szCs w:val="18"/>
              </w:rPr>
              <w:t>.</w:t>
            </w:r>
            <w:r>
              <w:rPr>
                <w:rFonts w:hint="eastAsia" w:ascii="仿宋" w:eastAsia="仿宋" w:cs="仿宋_GB2312"/>
                <w:color w:val="000000" w:themeColor="text1"/>
                <w:kern w:val="0"/>
                <w:sz w:val="18"/>
                <w:szCs w:val="18"/>
              </w:rPr>
              <w:t>执行公路建设相关政策、制度和技术标准并监督实施。组织协调公路等有关重点工程建设、工程质量和安全生产监督管理工作，指导交通运输基础设施管理和维护。按权限负责全区交通基本建设项目招投标活动的监督管理。</w:t>
            </w:r>
          </w:p>
        </w:tc>
      </w:tr>
      <w:tr w14:paraId="3BA94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574A61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51C506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0754CDF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0482DE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75B13EC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EA86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284F556E">
            <w:pPr>
              <w:rPr>
                <w:color w:val="000000" w:themeColor="text1"/>
              </w:rPr>
            </w:pPr>
          </w:p>
        </w:tc>
        <w:tc>
          <w:tcPr>
            <w:tcW w:w="1189" w:type="dxa"/>
            <w:vAlign w:val="center"/>
          </w:tcPr>
          <w:p w14:paraId="3DF6AC0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3B432308">
            <w:pPr>
              <w:spacing w:line="240" w:lineRule="exact"/>
              <w:jc w:val="left"/>
              <w:rPr>
                <w:rFonts w:ascii="仿宋" w:eastAsia="仿宋" w:cs="仿宋_GB2312"/>
                <w:color w:val="000000" w:themeColor="text1"/>
                <w:sz w:val="18"/>
                <w:szCs w:val="18"/>
              </w:rPr>
            </w:pPr>
            <w:r>
              <w:rPr>
                <w:rFonts w:hint="eastAsia" w:ascii="仿宋" w:eastAsia="仿宋" w:cs="仿宋_GB2312"/>
                <w:color w:val="000000" w:themeColor="text1"/>
                <w:sz w:val="18"/>
                <w:szCs w:val="18"/>
              </w:rPr>
              <w:t>工地试验室设立实行登记备案制。经试验检测机构授权设立的工地试验室（授权书），应当填写“公路水运工程工地试验室备案登记表”，经建设单位初审后报送项目质监机构登记备案。</w:t>
            </w:r>
          </w:p>
        </w:tc>
        <w:tc>
          <w:tcPr>
            <w:tcW w:w="996" w:type="dxa"/>
            <w:gridSpan w:val="2"/>
            <w:vAlign w:val="center"/>
          </w:tcPr>
          <w:p w14:paraId="2D4CEB2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0D96D7E9">
            <w:pPr>
              <w:jc w:val="center"/>
              <w:rPr>
                <w:rFonts w:hint="eastAsia" w:ascii="仿宋_GB2312" w:eastAsia="仿宋_GB2312" w:cs="黑体"/>
                <w:color w:val="000000" w:themeColor="text1"/>
                <w:sz w:val="13"/>
                <w:szCs w:val="13"/>
                <w:lang w:eastAsia="zh-CN"/>
              </w:rPr>
            </w:pPr>
            <w:r>
              <w:rPr>
                <w:rFonts w:hint="eastAsia" w:ascii="仿宋_GB2312" w:eastAsia="仿宋_GB2312" w:cs="黑体"/>
                <w:color w:val="000000" w:themeColor="text1"/>
                <w:sz w:val="13"/>
                <w:szCs w:val="13"/>
                <w:lang w:eastAsia="zh-CN"/>
              </w:rPr>
              <w:t>区交通运输综合行政执法大队质量监督中队</w:t>
            </w:r>
          </w:p>
        </w:tc>
      </w:tr>
      <w:tr w14:paraId="622BD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8" w:hRule="atLeast"/>
          <w:jc w:val="center"/>
        </w:trPr>
        <w:tc>
          <w:tcPr>
            <w:tcW w:w="1324" w:type="dxa"/>
            <w:vMerge w:val="continue"/>
            <w:vAlign w:val="center"/>
          </w:tcPr>
          <w:p w14:paraId="2D4897D8">
            <w:pPr>
              <w:rPr>
                <w:color w:val="000000" w:themeColor="text1"/>
              </w:rPr>
            </w:pPr>
          </w:p>
        </w:tc>
        <w:tc>
          <w:tcPr>
            <w:tcW w:w="1189" w:type="dxa"/>
            <w:vAlign w:val="center"/>
          </w:tcPr>
          <w:p w14:paraId="7C7D503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50D6FA96">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审核建设单位对工地试验室的初审结果。</w:t>
            </w:r>
          </w:p>
        </w:tc>
        <w:tc>
          <w:tcPr>
            <w:tcW w:w="996" w:type="dxa"/>
            <w:gridSpan w:val="2"/>
            <w:vAlign w:val="center"/>
          </w:tcPr>
          <w:p w14:paraId="26135A24">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个工作日</w:t>
            </w:r>
          </w:p>
        </w:tc>
        <w:tc>
          <w:tcPr>
            <w:tcW w:w="1502" w:type="dxa"/>
            <w:vAlign w:val="center"/>
          </w:tcPr>
          <w:p w14:paraId="0347E6F2">
            <w:pPr>
              <w:jc w:val="center"/>
              <w:rPr>
                <w:rFonts w:ascii="仿宋_GB2312" w:eastAsia="仿宋_GB2312" w:cs="黑体"/>
                <w:color w:val="000000" w:themeColor="text1"/>
                <w:sz w:val="13"/>
                <w:szCs w:val="13"/>
              </w:rPr>
            </w:pPr>
            <w:r>
              <w:rPr>
                <w:rFonts w:hint="eastAsia" w:ascii="仿宋_GB2312" w:eastAsia="仿宋_GB2312" w:cs="黑体"/>
                <w:color w:val="000000" w:themeColor="text1"/>
                <w:sz w:val="13"/>
                <w:szCs w:val="13"/>
                <w:lang w:eastAsia="zh-CN"/>
              </w:rPr>
              <w:t>区交通运输综合行政执法大队质量监督中队</w:t>
            </w:r>
          </w:p>
        </w:tc>
      </w:tr>
      <w:tr w14:paraId="280C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52ADF9B5">
            <w:pPr>
              <w:rPr>
                <w:color w:val="000000" w:themeColor="text1"/>
              </w:rPr>
            </w:pPr>
          </w:p>
        </w:tc>
        <w:tc>
          <w:tcPr>
            <w:tcW w:w="1189" w:type="dxa"/>
            <w:vAlign w:val="center"/>
          </w:tcPr>
          <w:p w14:paraId="1A1C8AA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78887EB6">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做出申请单位是否通过审核，不符合要求的</w:t>
            </w:r>
            <w:r>
              <w:rPr>
                <w:rFonts w:ascii="仿宋" w:eastAsia="仿宋" w:cs="仿宋_GB2312"/>
                <w:color w:val="000000" w:themeColor="text1"/>
                <w:sz w:val="18"/>
                <w:szCs w:val="18"/>
              </w:rPr>
              <w:t>,</w:t>
            </w:r>
            <w:r>
              <w:rPr>
                <w:rFonts w:hint="eastAsia" w:ascii="仿宋" w:eastAsia="仿宋" w:cs="仿宋_GB2312"/>
                <w:color w:val="000000" w:themeColor="text1"/>
                <w:sz w:val="18"/>
                <w:szCs w:val="18"/>
              </w:rPr>
              <w:t>书面通知建设单位并要求申请单位进行整改。</w:t>
            </w:r>
          </w:p>
        </w:tc>
        <w:tc>
          <w:tcPr>
            <w:tcW w:w="996" w:type="dxa"/>
            <w:gridSpan w:val="2"/>
            <w:vAlign w:val="center"/>
          </w:tcPr>
          <w:p w14:paraId="29C4050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29F5069B">
            <w:pPr>
              <w:jc w:val="center"/>
              <w:rPr>
                <w:rFonts w:ascii="仿宋_GB2312" w:eastAsia="仿宋_GB2312" w:cs="黑体"/>
                <w:color w:val="000000" w:themeColor="text1"/>
                <w:sz w:val="13"/>
                <w:szCs w:val="13"/>
              </w:rPr>
            </w:pPr>
            <w:r>
              <w:rPr>
                <w:rFonts w:hint="eastAsia" w:ascii="仿宋_GB2312" w:eastAsia="仿宋_GB2312" w:cs="黑体"/>
                <w:color w:val="000000" w:themeColor="text1"/>
                <w:sz w:val="13"/>
                <w:szCs w:val="13"/>
                <w:lang w:eastAsia="zh-CN"/>
              </w:rPr>
              <w:t>区交通运输综合行政执法大队质量监督中队</w:t>
            </w:r>
          </w:p>
        </w:tc>
      </w:tr>
      <w:tr w14:paraId="59CA9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5B02275F">
            <w:pPr>
              <w:rPr>
                <w:color w:val="000000" w:themeColor="text1"/>
              </w:rPr>
            </w:pPr>
          </w:p>
        </w:tc>
        <w:tc>
          <w:tcPr>
            <w:tcW w:w="1189" w:type="dxa"/>
            <w:vAlign w:val="center"/>
          </w:tcPr>
          <w:p w14:paraId="7077053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送达</w:t>
            </w:r>
          </w:p>
        </w:tc>
        <w:tc>
          <w:tcPr>
            <w:tcW w:w="5287" w:type="dxa"/>
            <w:gridSpan w:val="5"/>
            <w:vAlign w:val="center"/>
          </w:tcPr>
          <w:p w14:paraId="14581AA3">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质监机构对通过备案的工地试验室出具“公路水运工程工地试验室备案通知书</w:t>
            </w:r>
          </w:p>
        </w:tc>
        <w:tc>
          <w:tcPr>
            <w:tcW w:w="996" w:type="dxa"/>
            <w:gridSpan w:val="2"/>
            <w:vAlign w:val="center"/>
          </w:tcPr>
          <w:p w14:paraId="43A45785">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4071740">
            <w:pPr>
              <w:jc w:val="center"/>
              <w:rPr>
                <w:rFonts w:ascii="仿宋_GB2312" w:eastAsia="仿宋_GB2312" w:cs="黑体"/>
                <w:color w:val="000000" w:themeColor="text1"/>
                <w:sz w:val="13"/>
                <w:szCs w:val="13"/>
              </w:rPr>
            </w:pPr>
            <w:r>
              <w:rPr>
                <w:rFonts w:hint="eastAsia" w:ascii="仿宋_GB2312" w:eastAsia="仿宋_GB2312" w:cs="黑体"/>
                <w:color w:val="000000" w:themeColor="text1"/>
                <w:sz w:val="13"/>
                <w:szCs w:val="13"/>
                <w:lang w:eastAsia="zh-CN"/>
              </w:rPr>
              <w:t>区交通运输综合行政执法大队质量监督中队</w:t>
            </w:r>
          </w:p>
        </w:tc>
      </w:tr>
      <w:tr w14:paraId="1A1BE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5" w:hRule="atLeast"/>
          <w:jc w:val="center"/>
        </w:trPr>
        <w:tc>
          <w:tcPr>
            <w:tcW w:w="1324" w:type="dxa"/>
            <w:shd w:val="clear" w:color="auto" w:fill="auto"/>
            <w:vAlign w:val="center"/>
          </w:tcPr>
          <w:p w14:paraId="01520BFF">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15" w:type="dxa"/>
            <w:gridSpan w:val="4"/>
            <w:tcBorders>
              <w:right w:val="single" w:color="auto" w:sz="4" w:space="0"/>
            </w:tcBorders>
            <w:shd w:val="clear" w:color="auto" w:fill="auto"/>
            <w:vAlign w:val="center"/>
          </w:tcPr>
          <w:p w14:paraId="5B85D4D1">
            <w:pPr>
              <w:jc w:val="center"/>
              <w:rPr>
                <w:rFonts w:hint="eastAsia" w:ascii="仿宋_GB2312" w:hAnsi="Calibri" w:eastAsia="仿宋_GB2312" w:cs="黑体"/>
                <w:b/>
                <w:bCs/>
                <w:color w:val="000000" w:themeColor="text1"/>
                <w:kern w:val="2"/>
                <w:sz w:val="18"/>
                <w:szCs w:val="18"/>
                <w:lang w:val="en-US" w:eastAsia="zh-CN" w:bidi="ar-SA"/>
              </w:rPr>
            </w:pPr>
            <w:r>
              <w:rPr>
                <w:rFonts w:hint="default" w:ascii="Times New Roman" w:hAnsi="Times New Roman" w:eastAsia="方正仿宋_GBK" w:cs="Times New Roman"/>
                <w:color w:val="000000" w:themeColor="text1"/>
                <w:sz w:val="18"/>
                <w:szCs w:val="18"/>
              </w:rPr>
              <w:t>现场办理</w:t>
            </w:r>
          </w:p>
        </w:tc>
        <w:tc>
          <w:tcPr>
            <w:tcW w:w="1661" w:type="dxa"/>
            <w:gridSpan w:val="2"/>
            <w:tcBorders>
              <w:left w:val="single" w:color="auto" w:sz="4" w:space="0"/>
            </w:tcBorders>
            <w:shd w:val="clear" w:color="auto" w:fill="auto"/>
            <w:vAlign w:val="center"/>
          </w:tcPr>
          <w:p w14:paraId="2C4FE830">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7EC03974">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7B2C0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5" w:hRule="atLeast"/>
          <w:jc w:val="center"/>
        </w:trPr>
        <w:tc>
          <w:tcPr>
            <w:tcW w:w="1324" w:type="dxa"/>
            <w:shd w:val="clear" w:color="auto" w:fill="auto"/>
            <w:vAlign w:val="center"/>
          </w:tcPr>
          <w:p w14:paraId="39E9ACED">
            <w:pPr>
              <w:jc w:val="center"/>
              <w:rPr>
                <w:rFonts w:hint="eastAsia" w:ascii="黑体" w:hAnsi="黑体" w:eastAsia="黑体" w:cs="黑体"/>
                <w:b/>
                <w:bCs/>
                <w:color w:val="000000" w:themeColor="text1"/>
                <w:lang w:val="en-US" w:eastAsia="zh-CN"/>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6D931C4F">
            <w:pPr>
              <w:jc w:val="left"/>
              <w:rPr>
                <w:rFonts w:hint="default"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lang w:val="en-US" w:eastAsia="zh-CN"/>
              </w:rPr>
              <w:t>1、公路水运工程工地试验室备案登记表</w:t>
            </w:r>
          </w:p>
        </w:tc>
      </w:tr>
      <w:tr w14:paraId="19CCA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79" w:hRule="atLeast"/>
          <w:jc w:val="center"/>
        </w:trPr>
        <w:tc>
          <w:tcPr>
            <w:tcW w:w="1324" w:type="dxa"/>
            <w:vAlign w:val="center"/>
          </w:tcPr>
          <w:p w14:paraId="1EBF159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278097EA">
            <w:pPr>
              <w:rPr>
                <w:rFonts w:ascii="仿宋_GB2312" w:eastAsia="仿宋_GB2312" w:cs="黑体"/>
                <w:color w:val="000000" w:themeColor="text1"/>
                <w:sz w:val="15"/>
                <w:szCs w:val="15"/>
              </w:rPr>
            </w:pPr>
            <w:r>
              <w:rPr>
                <w:rFonts w:hint="eastAsia" w:ascii="仿宋_GB2312" w:eastAsia="仿宋_GB2312" w:cs="黑体"/>
                <w:color w:val="000000" w:themeColor="text1"/>
                <w:sz w:val="13"/>
                <w:szCs w:val="13"/>
              </w:rPr>
              <w:t>因不</w:t>
            </w:r>
            <w:r>
              <w:rPr>
                <w:rFonts w:hint="eastAsia" w:ascii="仿宋_GB2312" w:eastAsia="仿宋_GB2312" w:cs="黑体"/>
                <w:color w:val="000000" w:themeColor="text1"/>
                <w:sz w:val="15"/>
                <w:szCs w:val="15"/>
              </w:rPr>
              <w:t>履行或不正确履行行政职责，有下列情形的，行政机关及相关工作人员应承担相应责任：</w:t>
            </w:r>
          </w:p>
          <w:p w14:paraId="35178840">
            <w:pPr>
              <w:rPr>
                <w:rFonts w:ascii="仿宋_GB2312" w:eastAsia="仿宋_GB2312" w:cs="黑体"/>
                <w:color w:val="000000" w:themeColor="text1"/>
                <w:sz w:val="15"/>
                <w:szCs w:val="15"/>
              </w:rPr>
            </w:pPr>
            <w:r>
              <w:rPr>
                <w:rFonts w:ascii="仿宋_GB2312" w:eastAsia="仿宋_GB2312" w:cs="黑体"/>
                <w:color w:val="000000" w:themeColor="text1"/>
                <w:sz w:val="15"/>
                <w:szCs w:val="15"/>
              </w:rPr>
              <w:t>1.</w:t>
            </w:r>
            <w:r>
              <w:rPr>
                <w:rFonts w:hint="eastAsia" w:ascii="仿宋_GB2312" w:eastAsia="仿宋_GB2312" w:cs="黑体"/>
                <w:color w:val="000000" w:themeColor="text1"/>
                <w:sz w:val="15"/>
                <w:szCs w:val="15"/>
              </w:rPr>
              <w:t>对符合受理条件的行政确认申请不予受理；</w:t>
            </w:r>
          </w:p>
          <w:p w14:paraId="5FE34B97">
            <w:pPr>
              <w:rPr>
                <w:rFonts w:ascii="仿宋_GB2312" w:eastAsia="仿宋_GB2312" w:cs="黑体"/>
                <w:color w:val="000000" w:themeColor="text1"/>
                <w:sz w:val="15"/>
                <w:szCs w:val="15"/>
              </w:rPr>
            </w:pPr>
            <w:r>
              <w:rPr>
                <w:rFonts w:ascii="仿宋_GB2312" w:eastAsia="仿宋_GB2312" w:cs="黑体"/>
                <w:color w:val="000000" w:themeColor="text1"/>
                <w:sz w:val="15"/>
                <w:szCs w:val="15"/>
              </w:rPr>
              <w:t>2.</w:t>
            </w:r>
            <w:r>
              <w:rPr>
                <w:rFonts w:hint="eastAsia" w:ascii="仿宋_GB2312" w:eastAsia="仿宋_GB2312" w:cs="黑体"/>
                <w:color w:val="000000" w:themeColor="text1"/>
                <w:sz w:val="15"/>
                <w:szCs w:val="15"/>
              </w:rPr>
              <w:t>对不符合条件的受理、办理的情形；</w:t>
            </w:r>
          </w:p>
          <w:p w14:paraId="00252675">
            <w:pPr>
              <w:rPr>
                <w:rFonts w:ascii="仿宋_GB2312" w:eastAsia="仿宋_GB2312" w:cs="黑体"/>
                <w:color w:val="000000" w:themeColor="text1"/>
                <w:sz w:val="15"/>
                <w:szCs w:val="15"/>
              </w:rPr>
            </w:pPr>
            <w:r>
              <w:rPr>
                <w:rFonts w:ascii="仿宋_GB2312" w:eastAsia="仿宋_GB2312" w:cs="黑体"/>
                <w:color w:val="000000" w:themeColor="text1"/>
                <w:sz w:val="15"/>
                <w:szCs w:val="15"/>
              </w:rPr>
              <w:t>3.</w:t>
            </w:r>
            <w:r>
              <w:rPr>
                <w:rFonts w:hint="eastAsia" w:ascii="仿宋_GB2312" w:eastAsia="仿宋_GB2312" w:cs="黑体"/>
                <w:color w:val="000000" w:themeColor="text1"/>
                <w:sz w:val="15"/>
                <w:szCs w:val="15"/>
              </w:rPr>
              <w:t>未严格按照相关政策、法律、法规履行审查义务，对应当予以确认的不予确认，或者对不应确认的予以确认；</w:t>
            </w:r>
          </w:p>
          <w:p w14:paraId="3C39E792">
            <w:pPr>
              <w:rPr>
                <w:rFonts w:ascii="仿宋_GB2312" w:eastAsia="仿宋_GB2312" w:cs="黑体"/>
                <w:color w:val="000000" w:themeColor="text1"/>
                <w:sz w:val="15"/>
                <w:szCs w:val="15"/>
              </w:rPr>
            </w:pPr>
            <w:r>
              <w:rPr>
                <w:rFonts w:ascii="仿宋_GB2312" w:eastAsia="仿宋_GB2312" w:cs="黑体"/>
                <w:color w:val="000000" w:themeColor="text1"/>
                <w:sz w:val="15"/>
                <w:szCs w:val="15"/>
              </w:rPr>
              <w:t>4.</w:t>
            </w:r>
            <w:r>
              <w:rPr>
                <w:rFonts w:hint="eastAsia" w:ascii="仿宋_GB2312" w:eastAsia="仿宋_GB2312" w:cs="黑体"/>
                <w:color w:val="000000" w:themeColor="text1"/>
                <w:sz w:val="15"/>
                <w:szCs w:val="15"/>
              </w:rPr>
              <w:t>在审查过程中玩忽职守、滥用职权的；</w:t>
            </w:r>
          </w:p>
          <w:p w14:paraId="7BBE525C">
            <w:pPr>
              <w:rPr>
                <w:rFonts w:ascii="仿宋_GB2312" w:eastAsia="仿宋_GB2312" w:cs="黑体"/>
                <w:color w:val="000000" w:themeColor="text1"/>
                <w:sz w:val="15"/>
                <w:szCs w:val="15"/>
              </w:rPr>
            </w:pPr>
            <w:r>
              <w:rPr>
                <w:rFonts w:ascii="仿宋_GB2312" w:eastAsia="仿宋_GB2312" w:cs="黑体"/>
                <w:color w:val="000000" w:themeColor="text1"/>
                <w:sz w:val="15"/>
                <w:szCs w:val="15"/>
              </w:rPr>
              <w:t>5.</w:t>
            </w:r>
            <w:r>
              <w:rPr>
                <w:rFonts w:hint="eastAsia" w:ascii="仿宋_GB2312" w:eastAsia="仿宋_GB2312" w:cs="黑体"/>
                <w:color w:val="000000" w:themeColor="text1"/>
                <w:sz w:val="15"/>
                <w:szCs w:val="15"/>
              </w:rPr>
              <w:t>在行使行政权力过程中发生腐败行为的；</w:t>
            </w:r>
          </w:p>
          <w:p w14:paraId="29F5CBBC">
            <w:pPr>
              <w:rPr>
                <w:rFonts w:ascii="黑体" w:eastAsia="黑体" w:cs="黑体"/>
                <w:color w:val="000000" w:themeColor="text1"/>
                <w:szCs w:val="21"/>
              </w:rPr>
            </w:pPr>
            <w:r>
              <w:rPr>
                <w:rFonts w:ascii="仿宋_GB2312" w:eastAsia="仿宋_GB2312" w:cs="黑体"/>
                <w:color w:val="000000" w:themeColor="text1"/>
                <w:sz w:val="15"/>
                <w:szCs w:val="15"/>
              </w:rPr>
              <w:t>6.</w:t>
            </w:r>
            <w:r>
              <w:rPr>
                <w:rFonts w:hint="eastAsia" w:ascii="仿宋_GB2312" w:eastAsia="仿宋_GB2312" w:cs="黑体"/>
                <w:color w:val="000000" w:themeColor="text1"/>
                <w:sz w:val="15"/>
                <w:szCs w:val="15"/>
              </w:rPr>
              <w:t>其他违反法律法规规章文件规定的行为。</w:t>
            </w:r>
          </w:p>
        </w:tc>
      </w:tr>
      <w:tr w14:paraId="1A634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1" w:hRule="atLeast"/>
          <w:jc w:val="center"/>
        </w:trPr>
        <w:tc>
          <w:tcPr>
            <w:tcW w:w="1324" w:type="dxa"/>
            <w:vAlign w:val="center"/>
          </w:tcPr>
          <w:p w14:paraId="01E347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5D006154">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6181130       2.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3FF8D66">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0073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6" w:hRule="atLeast"/>
          <w:jc w:val="center"/>
        </w:trPr>
        <w:tc>
          <w:tcPr>
            <w:tcW w:w="1324" w:type="dxa"/>
            <w:vAlign w:val="center"/>
          </w:tcPr>
          <w:p w14:paraId="798401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67073084">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054A9EE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5BC23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3" w:hRule="atLeast"/>
          <w:jc w:val="center"/>
        </w:trPr>
        <w:tc>
          <w:tcPr>
            <w:tcW w:w="1324" w:type="dxa"/>
            <w:vAlign w:val="center"/>
          </w:tcPr>
          <w:p w14:paraId="17B3938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739F5304">
            <w:pPr>
              <w:widowControl/>
              <w:jc w:val="left"/>
              <w:textAlignment w:val="center"/>
              <w:rPr>
                <w:rFonts w:ascii="黑体" w:eastAsia="黑体" w:cs="黑体"/>
                <w:color w:val="000000" w:themeColor="text1"/>
                <w:kern w:val="0"/>
                <w:sz w:val="18"/>
                <w:szCs w:val="18"/>
              </w:rPr>
            </w:pPr>
          </w:p>
        </w:tc>
      </w:tr>
    </w:tbl>
    <w:p w14:paraId="1AD2E16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474"/>
        <w:gridCol w:w="489"/>
        <w:gridCol w:w="992"/>
        <w:gridCol w:w="567"/>
        <w:gridCol w:w="429"/>
        <w:gridCol w:w="1502"/>
      </w:tblGrid>
      <w:tr w14:paraId="631B7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27DECB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1B6A9A96">
            <w:pPr>
              <w:jc w:val="center"/>
              <w:rPr>
                <w:rFonts w:ascii="黑体" w:eastAsia="黑体" w:cs="黑体"/>
                <w:b/>
                <w:bCs/>
                <w:color w:val="000000" w:themeColor="text1"/>
                <w:szCs w:val="21"/>
              </w:rPr>
            </w:pPr>
            <w:r>
              <w:rPr>
                <w:rFonts w:ascii="黑体" w:eastAsia="黑体" w:cs="黑体"/>
                <w:b/>
                <w:bCs/>
                <w:color w:val="000000" w:themeColor="text1"/>
                <w:szCs w:val="21"/>
              </w:rPr>
              <w:t>221</w:t>
            </w:r>
          </w:p>
        </w:tc>
        <w:tc>
          <w:tcPr>
            <w:tcW w:w="1691" w:type="dxa"/>
            <w:vAlign w:val="center"/>
          </w:tcPr>
          <w:p w14:paraId="52464EC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613D528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21B0D0A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07B9E85">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3200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6F7BC7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07CDE656">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机动车维修经营备案</w:t>
            </w:r>
          </w:p>
        </w:tc>
      </w:tr>
      <w:tr w14:paraId="2A0A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005C5E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698A603D">
            <w:pPr>
              <w:spacing w:line="240" w:lineRule="exact"/>
              <w:jc w:val="left"/>
              <w:rPr>
                <w:rFonts w:ascii="仿宋" w:eastAsia="仿宋" w:cs="黑体"/>
                <w:color w:val="000000" w:themeColor="text1"/>
                <w:sz w:val="18"/>
                <w:szCs w:val="18"/>
              </w:rPr>
            </w:pPr>
            <w:r>
              <w:rPr>
                <w:rFonts w:hint="eastAsia" w:ascii="仿宋" w:eastAsia="仿宋" w:cs="黑体"/>
                <w:color w:val="000000" w:themeColor="text1"/>
                <w:sz w:val="18"/>
                <w:szCs w:val="18"/>
              </w:rPr>
              <w:t>【法律法规】</w:t>
            </w:r>
          </w:p>
          <w:p w14:paraId="3F4A3757">
            <w:pPr>
              <w:spacing w:line="240" w:lineRule="exact"/>
              <w:jc w:val="left"/>
              <w:rPr>
                <w:rFonts w:ascii="仿宋" w:eastAsia="仿宋" w:cs="仿宋_GB2312"/>
                <w:color w:val="000000" w:themeColor="text1"/>
                <w:sz w:val="18"/>
                <w:szCs w:val="18"/>
              </w:rPr>
            </w:pPr>
            <w:r>
              <w:rPr>
                <w:rFonts w:ascii="仿宋" w:eastAsia="仿宋" w:cs="仿宋_GB2312"/>
                <w:color w:val="000000" w:themeColor="text1"/>
                <w:sz w:val="18"/>
                <w:szCs w:val="18"/>
              </w:rPr>
              <w:t>1.</w:t>
            </w:r>
            <w:r>
              <w:rPr>
                <w:rFonts w:hint="eastAsia" w:ascii="仿宋" w:eastAsia="仿宋" w:cs="仿宋_GB2312"/>
                <w:color w:val="000000" w:themeColor="text1"/>
                <w:sz w:val="18"/>
                <w:szCs w:val="18"/>
              </w:rPr>
              <w:t>《交通运输部关于修改＜机动车维修管理规定＞的决定》（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_GB2312"/>
                <w:color w:val="000000" w:themeColor="text1"/>
                <w:sz w:val="18"/>
                <w:szCs w:val="18"/>
              </w:rPr>
              <w:t>交通运输部令第</w:t>
            </w:r>
            <w:r>
              <w:rPr>
                <w:rFonts w:ascii="仿宋" w:eastAsia="仿宋" w:cs="仿宋_GB2312"/>
                <w:color w:val="000000" w:themeColor="text1"/>
                <w:sz w:val="18"/>
                <w:szCs w:val="18"/>
              </w:rPr>
              <w:t>20</w:t>
            </w:r>
            <w:r>
              <w:rPr>
                <w:rFonts w:hint="eastAsia" w:ascii="仿宋" w:eastAsia="仿宋" w:cs="仿宋_GB2312"/>
                <w:color w:val="000000" w:themeColor="text1"/>
                <w:sz w:val="18"/>
                <w:szCs w:val="18"/>
              </w:rPr>
              <w:t>号）；</w:t>
            </w:r>
          </w:p>
          <w:p w14:paraId="0015C01E">
            <w:pPr>
              <w:spacing w:line="240" w:lineRule="exact"/>
              <w:jc w:val="left"/>
              <w:rPr>
                <w:rFonts w:ascii="仿宋" w:eastAsia="仿宋" w:cs="仿宋_GB2312"/>
                <w:color w:val="000000" w:themeColor="text1"/>
                <w:sz w:val="18"/>
                <w:szCs w:val="18"/>
              </w:rPr>
            </w:pPr>
            <w:r>
              <w:rPr>
                <w:rFonts w:ascii="仿宋" w:eastAsia="仿宋" w:cs="仿宋_GB2312"/>
                <w:color w:val="000000" w:themeColor="text1"/>
                <w:sz w:val="18"/>
                <w:szCs w:val="18"/>
              </w:rPr>
              <w:t>2.</w:t>
            </w:r>
            <w:r>
              <w:rPr>
                <w:rFonts w:hint="eastAsia" w:ascii="仿宋" w:eastAsia="仿宋" w:cs="仿宋_GB2312"/>
                <w:color w:val="000000" w:themeColor="text1"/>
                <w:sz w:val="18"/>
                <w:szCs w:val="18"/>
              </w:rPr>
              <w:t>《机动车维修管理规定》（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_GB2312"/>
                <w:color w:val="000000" w:themeColor="text1"/>
                <w:sz w:val="18"/>
                <w:szCs w:val="18"/>
              </w:rPr>
              <w:t>交通运输部令第</w:t>
            </w:r>
            <w:r>
              <w:rPr>
                <w:rFonts w:ascii="仿宋" w:eastAsia="仿宋" w:cs="仿宋_GB2312"/>
                <w:color w:val="000000" w:themeColor="text1"/>
                <w:sz w:val="18"/>
                <w:szCs w:val="18"/>
              </w:rPr>
              <w:t>18</w:t>
            </w:r>
            <w:r>
              <w:rPr>
                <w:rFonts w:hint="eastAsia" w:ascii="仿宋" w:eastAsia="仿宋" w:cs="仿宋_GB2312"/>
                <w:color w:val="000000" w:themeColor="text1"/>
                <w:sz w:val="18"/>
                <w:szCs w:val="18"/>
              </w:rPr>
              <w:t>号）第七条；从</w:t>
            </w:r>
            <w:r>
              <w:rPr>
                <w:rFonts w:hint="eastAsia" w:ascii="仿宋" w:eastAsia="仿宋" w:cs="Helvetica"/>
                <w:color w:val="000000" w:themeColor="text1"/>
                <w:sz w:val="18"/>
                <w:szCs w:val="18"/>
                <w:shd w:val="clear" w:color="auto" w:fill="FFFFFF"/>
              </w:rPr>
              <w:t>事机动车维修经营业务的，应当在依法向市场监督管理机构办理有关登记手续后，向所在地县级道路运输管理机构进行备案。</w:t>
            </w:r>
          </w:p>
          <w:p w14:paraId="567F55FC">
            <w:pPr>
              <w:spacing w:line="240" w:lineRule="exact"/>
              <w:rPr>
                <w:rFonts w:ascii="仿宋" w:eastAsia="仿宋"/>
                <w:color w:val="000000" w:themeColor="text1"/>
                <w:sz w:val="18"/>
                <w:szCs w:val="18"/>
                <w:shd w:val="clear" w:color="auto" w:fill="FFFFFF"/>
              </w:rPr>
            </w:pPr>
            <w:r>
              <w:rPr>
                <w:rFonts w:ascii="仿宋" w:eastAsia="仿宋" w:cs="仿宋_GB2312"/>
                <w:color w:val="000000" w:themeColor="text1"/>
                <w:sz w:val="18"/>
                <w:szCs w:val="18"/>
              </w:rPr>
              <w:t>3.</w:t>
            </w:r>
            <w:r>
              <w:rPr>
                <w:rFonts w:hint="eastAsia" w:ascii="仿宋" w:eastAsia="仿宋" w:cs="仿宋_GB2312"/>
                <w:color w:val="000000" w:themeColor="text1"/>
                <w:sz w:val="18"/>
                <w:szCs w:val="18"/>
              </w:rPr>
              <w:t>《中华人民共和国道路运输条例》（国务院令第</w:t>
            </w:r>
            <w:r>
              <w:rPr>
                <w:rFonts w:ascii="仿宋" w:eastAsia="仿宋" w:cs="仿宋_GB2312"/>
                <w:color w:val="000000" w:themeColor="text1"/>
                <w:sz w:val="18"/>
                <w:szCs w:val="18"/>
              </w:rPr>
              <w:t>406</w:t>
            </w:r>
            <w:r>
              <w:rPr>
                <w:rFonts w:hint="eastAsia" w:ascii="仿宋" w:eastAsia="仿宋" w:cs="仿宋_GB2312"/>
                <w:color w:val="000000" w:themeColor="text1"/>
                <w:sz w:val="18"/>
                <w:szCs w:val="18"/>
              </w:rPr>
              <w:t>号）第三十九条</w:t>
            </w:r>
            <w:r>
              <w:rPr>
                <w:rFonts w:hint="eastAsia" w:ascii="仿宋" w:eastAsia="仿宋"/>
                <w:color w:val="000000" w:themeColor="text1"/>
                <w:sz w:val="18"/>
                <w:szCs w:val="18"/>
                <w:shd w:val="clear" w:color="auto" w:fill="FFFFFF"/>
              </w:rPr>
              <w:t>申请从事机动车驾驶员培训的，应当具备下列条件：</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一</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有健全的培训机构和管理制度；</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二</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有与培训业务相适应的教学人员、管理人员；</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三</w:t>
            </w:r>
            <w:r>
              <w:rPr>
                <w:rFonts w:ascii="仿宋" w:eastAsia="仿宋"/>
                <w:color w:val="000000" w:themeColor="text1"/>
                <w:sz w:val="18"/>
                <w:szCs w:val="18"/>
                <w:shd w:val="clear" w:color="auto" w:fill="FFFFFF"/>
              </w:rPr>
              <w:t>)</w:t>
            </w:r>
            <w:r>
              <w:rPr>
                <w:rFonts w:hint="eastAsia" w:ascii="仿宋" w:eastAsia="仿宋"/>
                <w:color w:val="000000" w:themeColor="text1"/>
                <w:sz w:val="18"/>
                <w:szCs w:val="18"/>
                <w:shd w:val="clear" w:color="auto" w:fill="FFFFFF"/>
              </w:rPr>
              <w:t>有必要的教学车辆和其他教学设施、设备、场地。</w:t>
            </w:r>
          </w:p>
          <w:p w14:paraId="331F77D7">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7465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4C038D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CAB44F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F68EF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45AC3F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45FAF1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372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3857216C">
            <w:pPr>
              <w:rPr>
                <w:color w:val="000000" w:themeColor="text1"/>
              </w:rPr>
            </w:pPr>
          </w:p>
        </w:tc>
        <w:tc>
          <w:tcPr>
            <w:tcW w:w="1189" w:type="dxa"/>
            <w:vAlign w:val="center"/>
          </w:tcPr>
          <w:p w14:paraId="77C6751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42A5947B">
            <w:pPr>
              <w:autoSpaceDN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5814F68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E22AF5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098CD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5DB67D7B">
            <w:pPr>
              <w:rPr>
                <w:color w:val="000000" w:themeColor="text1"/>
              </w:rPr>
            </w:pPr>
          </w:p>
        </w:tc>
        <w:tc>
          <w:tcPr>
            <w:tcW w:w="1189" w:type="dxa"/>
            <w:vAlign w:val="center"/>
          </w:tcPr>
          <w:p w14:paraId="38B9803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50C25F9E">
            <w:pPr>
              <w:tabs>
                <w:tab w:val="left" w:pos="312"/>
              </w:tabs>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对申请人提交的申请材料进行审查。</w:t>
            </w:r>
          </w:p>
        </w:tc>
        <w:tc>
          <w:tcPr>
            <w:tcW w:w="996" w:type="dxa"/>
            <w:gridSpan w:val="2"/>
            <w:vAlign w:val="center"/>
          </w:tcPr>
          <w:p w14:paraId="562BF7F7">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1FA9CA1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7CE0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7608EE74">
            <w:pPr>
              <w:rPr>
                <w:color w:val="000000" w:themeColor="text1"/>
              </w:rPr>
            </w:pPr>
          </w:p>
        </w:tc>
        <w:tc>
          <w:tcPr>
            <w:tcW w:w="1189" w:type="dxa"/>
            <w:vAlign w:val="center"/>
          </w:tcPr>
          <w:p w14:paraId="5C6C762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2BCB5A5D">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p>
        </w:tc>
        <w:tc>
          <w:tcPr>
            <w:tcW w:w="996" w:type="dxa"/>
            <w:gridSpan w:val="2"/>
            <w:vAlign w:val="center"/>
          </w:tcPr>
          <w:p w14:paraId="65A4027F">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4EE6249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4E79D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763F92BC">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995" w:type="dxa"/>
            <w:gridSpan w:val="4"/>
            <w:tcBorders>
              <w:right w:val="single" w:color="auto" w:sz="4" w:space="0"/>
            </w:tcBorders>
            <w:shd w:val="clear" w:color="auto" w:fill="auto"/>
            <w:vAlign w:val="center"/>
          </w:tcPr>
          <w:p w14:paraId="3DEB5D5E">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81" w:type="dxa"/>
            <w:gridSpan w:val="2"/>
            <w:tcBorders>
              <w:left w:val="single" w:color="auto" w:sz="4" w:space="0"/>
            </w:tcBorders>
            <w:shd w:val="clear" w:color="auto" w:fill="auto"/>
            <w:vAlign w:val="center"/>
          </w:tcPr>
          <w:p w14:paraId="6569D571">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511AB834">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554F4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56BD8E76">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114C9E52">
            <w:pPr>
              <w:jc w:val="left"/>
              <w:rPr>
                <w:rFonts w:hint="eastAsia" w:ascii="仿宋_GB2312" w:eastAsia="仿宋_GB2312" w:cs="黑体"/>
                <w:color w:val="000000" w:themeColor="text1"/>
                <w:sz w:val="18"/>
                <w:szCs w:val="18"/>
              </w:rPr>
            </w:pPr>
            <w:r>
              <w:rPr>
                <w:rFonts w:hint="eastAsia" w:ascii="仿宋" w:hAnsi="仿宋" w:eastAsia="仿宋" w:cs="仿宋"/>
                <w:color w:val="000000" w:themeColor="text1"/>
                <w:sz w:val="15"/>
                <w:szCs w:val="15"/>
                <w:lang w:val="en-US" w:eastAsia="zh-CN"/>
              </w:rPr>
              <w:t>1、</w:t>
            </w:r>
            <w:r>
              <w:rPr>
                <w:rFonts w:hint="eastAsia" w:ascii="仿宋" w:hAnsi="仿宋" w:eastAsia="仿宋" w:cs="仿宋"/>
                <w:color w:val="000000" w:themeColor="text1"/>
                <w:sz w:val="15"/>
                <w:szCs w:val="15"/>
              </w:rPr>
              <w:t>维修经营者的营业执照复印件；</w:t>
            </w:r>
            <w:r>
              <w:rPr>
                <w:rFonts w:hint="eastAsia" w:ascii="仿宋" w:hAnsi="仿宋" w:eastAsia="仿宋" w:cs="仿宋"/>
                <w:color w:val="000000" w:themeColor="text1"/>
                <w:sz w:val="15"/>
                <w:szCs w:val="15"/>
                <w:lang w:val="en-US" w:eastAsia="zh-CN"/>
              </w:rPr>
              <w:t>2、</w:t>
            </w:r>
            <w:r>
              <w:rPr>
                <w:rFonts w:hint="eastAsia" w:ascii="仿宋" w:hAnsi="仿宋" w:eastAsia="仿宋" w:cs="仿宋"/>
                <w:color w:val="000000" w:themeColor="text1"/>
                <w:sz w:val="15"/>
                <w:szCs w:val="15"/>
              </w:rPr>
              <w:t>经营场地（含生产厂房和业务接待室）、停车场面积材料、土地使用权及产权证明等相关材料；</w:t>
            </w:r>
            <w:r>
              <w:rPr>
                <w:rFonts w:hint="eastAsia" w:ascii="仿宋" w:hAnsi="仿宋" w:eastAsia="仿宋" w:cs="仿宋"/>
                <w:color w:val="000000" w:themeColor="text1"/>
                <w:sz w:val="15"/>
                <w:szCs w:val="15"/>
                <w:lang w:val="en-US" w:eastAsia="zh-CN"/>
              </w:rPr>
              <w:t>3、</w:t>
            </w:r>
            <w:r>
              <w:rPr>
                <w:rFonts w:hint="eastAsia" w:ascii="仿宋" w:hAnsi="仿宋" w:eastAsia="仿宋" w:cs="仿宋"/>
                <w:color w:val="000000" w:themeColor="text1"/>
                <w:sz w:val="15"/>
                <w:szCs w:val="15"/>
              </w:rPr>
              <w:t>技术人员汇总表，以及各相关人员的学历、技术职称或职业资格证明等相关材料；</w:t>
            </w:r>
            <w:r>
              <w:rPr>
                <w:rFonts w:hint="eastAsia" w:ascii="仿宋" w:hAnsi="仿宋" w:eastAsia="仿宋" w:cs="仿宋"/>
                <w:color w:val="000000" w:themeColor="text1"/>
                <w:sz w:val="15"/>
                <w:szCs w:val="15"/>
                <w:lang w:val="en-US" w:eastAsia="zh-CN"/>
              </w:rPr>
              <w:t>4、</w:t>
            </w:r>
            <w:r>
              <w:rPr>
                <w:rFonts w:hint="eastAsia" w:ascii="仿宋" w:hAnsi="仿宋" w:eastAsia="仿宋" w:cs="仿宋"/>
                <w:color w:val="000000" w:themeColor="text1"/>
                <w:sz w:val="15"/>
                <w:szCs w:val="15"/>
              </w:rPr>
              <w:t>维修设备设施汇总表，维修检测设备及计量设备检定合格证明等相关材料；</w:t>
            </w:r>
            <w:r>
              <w:rPr>
                <w:rFonts w:hint="eastAsia" w:ascii="仿宋" w:hAnsi="仿宋" w:eastAsia="仿宋" w:cs="仿宋"/>
                <w:color w:val="000000" w:themeColor="text1"/>
                <w:sz w:val="15"/>
                <w:szCs w:val="15"/>
                <w:lang w:val="en-US" w:eastAsia="zh-CN"/>
              </w:rPr>
              <w:t>5、</w:t>
            </w:r>
            <w:r>
              <w:rPr>
                <w:rFonts w:hint="eastAsia" w:ascii="仿宋" w:hAnsi="仿宋" w:eastAsia="仿宋" w:cs="仿宋"/>
                <w:color w:val="000000" w:themeColor="text1"/>
                <w:sz w:val="15"/>
                <w:szCs w:val="15"/>
              </w:rPr>
              <w:t>维修管理制度等相关材料；</w:t>
            </w:r>
            <w:r>
              <w:rPr>
                <w:rFonts w:hint="eastAsia" w:ascii="仿宋" w:hAnsi="仿宋" w:eastAsia="仿宋" w:cs="仿宋"/>
                <w:color w:val="000000" w:themeColor="text1"/>
                <w:sz w:val="15"/>
                <w:szCs w:val="15"/>
                <w:lang w:val="en-US" w:eastAsia="zh-CN"/>
              </w:rPr>
              <w:t>6、</w:t>
            </w:r>
            <w:r>
              <w:rPr>
                <w:rFonts w:hint="eastAsia" w:ascii="仿宋" w:hAnsi="仿宋" w:eastAsia="仿宋" w:cs="仿宋"/>
                <w:color w:val="000000" w:themeColor="text1"/>
                <w:sz w:val="15"/>
                <w:szCs w:val="15"/>
              </w:rPr>
              <w:t>环境保护措施等相关材料。</w:t>
            </w:r>
          </w:p>
        </w:tc>
      </w:tr>
      <w:tr w14:paraId="015EF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02229E07">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6B334BAA">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08665811">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1B7D68C7">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2D1BEFDB">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78A9AB57">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6D60B105">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09988F99">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63A36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5D604B3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04AF12C2">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58C361C9">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16EC0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5F305A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5DDAF1C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2EEA105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11D14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1" w:hRule="atLeast"/>
          <w:jc w:val="center"/>
        </w:trPr>
        <w:tc>
          <w:tcPr>
            <w:tcW w:w="1324" w:type="dxa"/>
            <w:vAlign w:val="center"/>
          </w:tcPr>
          <w:p w14:paraId="4E96438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5A633EF8">
            <w:pPr>
              <w:widowControl/>
              <w:jc w:val="left"/>
              <w:textAlignment w:val="center"/>
              <w:rPr>
                <w:rFonts w:ascii="黑体" w:eastAsia="黑体" w:cs="黑体"/>
                <w:color w:val="000000" w:themeColor="text1"/>
                <w:kern w:val="0"/>
                <w:sz w:val="18"/>
                <w:szCs w:val="18"/>
              </w:rPr>
            </w:pPr>
          </w:p>
        </w:tc>
      </w:tr>
    </w:tbl>
    <w:p w14:paraId="108B2E4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19"/>
        <w:gridCol w:w="444"/>
        <w:gridCol w:w="992"/>
        <w:gridCol w:w="567"/>
        <w:gridCol w:w="429"/>
        <w:gridCol w:w="1502"/>
      </w:tblGrid>
      <w:tr w14:paraId="3C1FC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2C93E0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7C47B3C7">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2</w:t>
            </w:r>
          </w:p>
        </w:tc>
        <w:tc>
          <w:tcPr>
            <w:tcW w:w="1691" w:type="dxa"/>
            <w:vAlign w:val="center"/>
          </w:tcPr>
          <w:p w14:paraId="2F6D5F8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644486A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48419B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CEB520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3B55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5DC42E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2AE1A7F6">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_GB2312"/>
                <w:color w:val="000000" w:themeColor="text1"/>
                <w:sz w:val="18"/>
                <w:szCs w:val="18"/>
                <w:lang w:eastAsia="zh-CN"/>
              </w:rPr>
              <w:t>机动车维修工时单价备案</w:t>
            </w:r>
          </w:p>
        </w:tc>
      </w:tr>
      <w:tr w14:paraId="4454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77DB173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13DF1F30">
            <w:pPr>
              <w:spacing w:line="240" w:lineRule="exact"/>
              <w:jc w:val="left"/>
              <w:rPr>
                <w:rFonts w:hint="eastAsia" w:ascii="仿宋" w:hAnsi="仿宋" w:eastAsia="仿宋" w:cs="仿宋_GB2312"/>
                <w:color w:val="000000" w:themeColor="text1"/>
                <w:sz w:val="18"/>
                <w:szCs w:val="18"/>
                <w:lang w:eastAsia="zh-CN"/>
              </w:rPr>
            </w:pPr>
            <w:r>
              <w:rPr>
                <w:rFonts w:hint="eastAsia" w:ascii="仿宋" w:eastAsia="仿宋" w:cs="黑体"/>
                <w:color w:val="000000" w:themeColor="text1"/>
                <w:sz w:val="18"/>
                <w:szCs w:val="18"/>
              </w:rPr>
              <w:t>【法律法规】</w:t>
            </w:r>
            <w:r>
              <w:rPr>
                <w:rFonts w:hint="eastAsia" w:ascii="仿宋" w:hAnsi="仿宋" w:eastAsia="仿宋" w:cs="仿宋_GB2312"/>
                <w:color w:val="000000" w:themeColor="text1"/>
                <w:sz w:val="18"/>
                <w:szCs w:val="18"/>
                <w:lang w:eastAsia="zh-CN"/>
              </w:rPr>
              <w:t>《机动车维修管理规定》第二十五条第三款</w:t>
            </w:r>
            <w:r>
              <w:rPr>
                <w:rFonts w:hint="eastAsia" w:ascii="仿宋" w:hAnsi="仿宋" w:eastAsia="仿宋" w:cs="仿宋_GB2312"/>
                <w:color w:val="000000" w:themeColor="text1"/>
                <w:sz w:val="18"/>
                <w:szCs w:val="18"/>
                <w:lang w:val="en-US" w:eastAsia="zh-CN"/>
              </w:rPr>
              <w:t xml:space="preserve">  </w:t>
            </w:r>
            <w:r>
              <w:rPr>
                <w:rFonts w:hint="eastAsia" w:ascii="仿宋" w:hAnsi="仿宋" w:eastAsia="仿宋" w:cs="仿宋_GB2312"/>
                <w:color w:val="000000" w:themeColor="text1"/>
                <w:sz w:val="18"/>
                <w:szCs w:val="18"/>
                <w:lang w:eastAsia="zh-CN"/>
              </w:rPr>
              <w:t>机动车维修经营者应当将其执行的机动车维修工时单价标准报所在地交通运输主管部门备案。</w:t>
            </w:r>
          </w:p>
          <w:p w14:paraId="71EA07A6">
            <w:pPr>
              <w:spacing w:line="240" w:lineRule="exact"/>
              <w:jc w:val="left"/>
              <w:rPr>
                <w:rFonts w:ascii="仿宋" w:eastAsia="仿宋" w:cs="黑体"/>
                <w:color w:val="000000" w:themeColor="text1"/>
                <w:sz w:val="18"/>
                <w:szCs w:val="18"/>
              </w:rPr>
            </w:pPr>
          </w:p>
          <w:p w14:paraId="571502B8">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F5F9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562537A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6A28A9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6081680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463FF68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730B30B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8492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4A3D22C0">
            <w:pPr>
              <w:rPr>
                <w:color w:val="000000" w:themeColor="text1"/>
              </w:rPr>
            </w:pPr>
          </w:p>
        </w:tc>
        <w:tc>
          <w:tcPr>
            <w:tcW w:w="1189" w:type="dxa"/>
            <w:vAlign w:val="center"/>
          </w:tcPr>
          <w:p w14:paraId="23692B9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02E7D20E">
            <w:pPr>
              <w:autoSpaceDN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7A64A85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6C9834C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59BCA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32FD5B68">
            <w:pPr>
              <w:rPr>
                <w:color w:val="000000" w:themeColor="text1"/>
              </w:rPr>
            </w:pPr>
          </w:p>
        </w:tc>
        <w:tc>
          <w:tcPr>
            <w:tcW w:w="1189" w:type="dxa"/>
            <w:vAlign w:val="center"/>
          </w:tcPr>
          <w:p w14:paraId="70F99FA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7B57E763">
            <w:pPr>
              <w:tabs>
                <w:tab w:val="left" w:pos="312"/>
              </w:tabs>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对申请人提交的申请材料进行审查。</w:t>
            </w:r>
          </w:p>
        </w:tc>
        <w:tc>
          <w:tcPr>
            <w:tcW w:w="996" w:type="dxa"/>
            <w:gridSpan w:val="2"/>
            <w:vAlign w:val="center"/>
          </w:tcPr>
          <w:p w14:paraId="2510E097">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6B41BBE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4F29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2A450B2C">
            <w:pPr>
              <w:rPr>
                <w:color w:val="000000" w:themeColor="text1"/>
              </w:rPr>
            </w:pPr>
          </w:p>
        </w:tc>
        <w:tc>
          <w:tcPr>
            <w:tcW w:w="1189" w:type="dxa"/>
            <w:vAlign w:val="center"/>
          </w:tcPr>
          <w:p w14:paraId="4386ECF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1C6F3737">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p>
        </w:tc>
        <w:tc>
          <w:tcPr>
            <w:tcW w:w="996" w:type="dxa"/>
            <w:gridSpan w:val="2"/>
            <w:vAlign w:val="center"/>
          </w:tcPr>
          <w:p w14:paraId="61330D54">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4D3EEFC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37ACF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20CD59A5">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40" w:type="dxa"/>
            <w:gridSpan w:val="4"/>
            <w:tcBorders>
              <w:right w:val="single" w:color="auto" w:sz="4" w:space="0"/>
            </w:tcBorders>
            <w:shd w:val="clear" w:color="auto" w:fill="auto"/>
            <w:vAlign w:val="center"/>
          </w:tcPr>
          <w:p w14:paraId="56D2119D">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36" w:type="dxa"/>
            <w:gridSpan w:val="2"/>
            <w:tcBorders>
              <w:left w:val="single" w:color="auto" w:sz="4" w:space="0"/>
            </w:tcBorders>
            <w:shd w:val="clear" w:color="auto" w:fill="auto"/>
            <w:vAlign w:val="center"/>
          </w:tcPr>
          <w:p w14:paraId="76AE1757">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44973296">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52A7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7647ECC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3AD87CC8">
            <w:pPr>
              <w:jc w:val="left"/>
              <w:rPr>
                <w:rFonts w:hint="default" w:ascii="仿宋_GB2312" w:eastAsia="微软雅黑" w:cs="黑体"/>
                <w:color w:val="000000" w:themeColor="text1"/>
                <w:sz w:val="18"/>
                <w:szCs w:val="18"/>
                <w:lang w:val="en-US" w:eastAsia="zh-CN"/>
              </w:rPr>
            </w:pPr>
            <w:r>
              <w:rPr>
                <w:rFonts w:hint="eastAsia" w:ascii="仿宋" w:hAnsi="仿宋" w:eastAsia="仿宋" w:cs="仿宋"/>
                <w:color w:val="000000" w:themeColor="text1"/>
                <w:sz w:val="15"/>
                <w:szCs w:val="15"/>
                <w:shd w:val="clear" w:color="auto" w:fill="auto"/>
                <w:lang w:val="en-US" w:eastAsia="zh-CN"/>
              </w:rPr>
              <w:t>1</w:t>
            </w:r>
            <w:r>
              <w:rPr>
                <w:rFonts w:hint="eastAsia" w:ascii="仿宋" w:hAnsi="仿宋" w:eastAsia="仿宋" w:cs="仿宋"/>
                <w:color w:val="000000" w:themeColor="text1"/>
                <w:sz w:val="18"/>
                <w:szCs w:val="18"/>
                <w:shd w:val="clear" w:color="auto" w:fill="auto"/>
                <w:lang w:val="en-US" w:eastAsia="zh-CN"/>
              </w:rPr>
              <w:t>、</w:t>
            </w:r>
            <w:r>
              <w:rPr>
                <w:rFonts w:hint="eastAsia" w:ascii="仿宋" w:hAnsi="仿宋" w:eastAsia="仿宋" w:cs="仿宋"/>
                <w:i w:val="0"/>
                <w:iCs w:val="0"/>
                <w:caps w:val="0"/>
                <w:color w:val="000000" w:themeColor="text1"/>
                <w:spacing w:val="0"/>
                <w:sz w:val="18"/>
                <w:szCs w:val="18"/>
                <w:shd w:val="clear" w:color="auto" w:fill="auto"/>
              </w:rPr>
              <w:t>机动车维修工时定额和工时单价备案表</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2、营业执照；3、委托书、被委托人身份证。</w:t>
            </w:r>
          </w:p>
        </w:tc>
      </w:tr>
      <w:tr w14:paraId="30D9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49104DA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2C905D5D">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4437078C">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7CE7918D">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3D15DC3C">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5E50AB63">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320A44D3">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1AA5558A">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5A77C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7154E4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0DF78105">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B33525B">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43D0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7B89E0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03D3F83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7C0CF2C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13309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1" w:hRule="atLeast"/>
          <w:jc w:val="center"/>
        </w:trPr>
        <w:tc>
          <w:tcPr>
            <w:tcW w:w="1324" w:type="dxa"/>
            <w:vAlign w:val="center"/>
          </w:tcPr>
          <w:p w14:paraId="5251453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522C7933">
            <w:pPr>
              <w:widowControl/>
              <w:jc w:val="left"/>
              <w:textAlignment w:val="center"/>
              <w:rPr>
                <w:rFonts w:ascii="黑体" w:eastAsia="黑体" w:cs="黑体"/>
                <w:color w:val="000000" w:themeColor="text1"/>
                <w:kern w:val="0"/>
                <w:sz w:val="18"/>
                <w:szCs w:val="18"/>
              </w:rPr>
            </w:pPr>
          </w:p>
        </w:tc>
      </w:tr>
    </w:tbl>
    <w:p w14:paraId="7CC6579C">
      <w:pPr>
        <w:widowControl/>
        <w:jc w:val="center"/>
        <w:textAlignment w:val="center"/>
        <w:rPr>
          <w:rFonts w:hint="eastAsia" w:ascii="方正小标宋简体" w:eastAsia="方正小标宋简体" w:cs="方正小标宋简体"/>
          <w:color w:val="000000" w:themeColor="text1"/>
          <w:kern w:val="0"/>
          <w:sz w:val="44"/>
          <w:szCs w:val="44"/>
        </w:rPr>
      </w:pPr>
    </w:p>
    <w:p w14:paraId="3243272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617"/>
        <w:gridCol w:w="346"/>
        <w:gridCol w:w="992"/>
        <w:gridCol w:w="567"/>
        <w:gridCol w:w="429"/>
        <w:gridCol w:w="1502"/>
      </w:tblGrid>
      <w:tr w14:paraId="664B7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47BA5D0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3C4526F3">
            <w:pPr>
              <w:jc w:val="center"/>
              <w:rPr>
                <w:rFonts w:hint="default" w:ascii="黑体" w:eastAsia="黑体" w:cs="黑体"/>
                <w:b/>
                <w:bCs/>
                <w:color w:val="000000" w:themeColor="text1"/>
                <w:szCs w:val="21"/>
                <w:lang w:val="en-US" w:eastAsia="zh-CN"/>
              </w:rPr>
            </w:pPr>
            <w:r>
              <w:rPr>
                <w:rFonts w:hint="eastAsia" w:ascii="黑体" w:eastAsia="黑体" w:cs="黑体"/>
                <w:b/>
                <w:bCs/>
                <w:color w:val="000000" w:themeColor="text1"/>
                <w:szCs w:val="21"/>
                <w:lang w:val="en-US" w:eastAsia="zh-CN"/>
              </w:rPr>
              <w:t>223</w:t>
            </w:r>
          </w:p>
        </w:tc>
        <w:tc>
          <w:tcPr>
            <w:tcW w:w="1691" w:type="dxa"/>
            <w:vAlign w:val="center"/>
          </w:tcPr>
          <w:p w14:paraId="51A4D62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1A4D9FD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07747CF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7316FC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0E0D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623592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721AA87F">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_GB2312"/>
                <w:color w:val="000000" w:themeColor="text1"/>
                <w:sz w:val="18"/>
                <w:szCs w:val="18"/>
                <w:lang w:eastAsia="zh-CN"/>
              </w:rPr>
              <w:t>机动车维修经营者备案事项变更备案</w:t>
            </w:r>
          </w:p>
        </w:tc>
      </w:tr>
      <w:tr w14:paraId="2127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398" w:hRule="atLeast"/>
          <w:jc w:val="center"/>
        </w:trPr>
        <w:tc>
          <w:tcPr>
            <w:tcW w:w="1324" w:type="dxa"/>
            <w:vAlign w:val="center"/>
          </w:tcPr>
          <w:p w14:paraId="3F1FF84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0400DD59">
            <w:pPr>
              <w:spacing w:line="240" w:lineRule="exact"/>
              <w:jc w:val="left"/>
              <w:rPr>
                <w:rFonts w:hint="eastAsia" w:ascii="仿宋" w:hAnsi="仿宋" w:eastAsia="仿宋" w:cs="仿宋_GB2312"/>
                <w:color w:val="000000" w:themeColor="text1"/>
                <w:sz w:val="18"/>
                <w:szCs w:val="18"/>
                <w:lang w:eastAsia="zh-CN"/>
              </w:rPr>
            </w:pPr>
            <w:r>
              <w:rPr>
                <w:rFonts w:hint="eastAsia" w:ascii="仿宋" w:eastAsia="仿宋" w:cs="黑体"/>
                <w:color w:val="000000" w:themeColor="text1"/>
                <w:sz w:val="18"/>
                <w:szCs w:val="18"/>
              </w:rPr>
              <w:t>【法律法规】</w:t>
            </w:r>
            <w:r>
              <w:rPr>
                <w:rFonts w:hint="eastAsia" w:ascii="仿宋" w:hAnsi="仿宋" w:eastAsia="仿宋" w:cs="仿宋_GB2312"/>
                <w:color w:val="000000" w:themeColor="text1"/>
                <w:sz w:val="18"/>
                <w:szCs w:val="18"/>
                <w:lang w:eastAsia="zh-CN"/>
              </w:rPr>
              <w:t>《机动车维修管理规定》第十八条  机动车维修经营者名称、法定代表人、经营范围、经营地址等备案事项发生变化的，应当向原办理备案的交通运输主管部门办理备案变更。</w:t>
            </w:r>
          </w:p>
          <w:p w14:paraId="5197C0A7">
            <w:pPr>
              <w:spacing w:line="240" w:lineRule="exact"/>
              <w:jc w:val="left"/>
              <w:rPr>
                <w:rFonts w:ascii="仿宋" w:eastAsia="仿宋" w:cs="黑体"/>
                <w:color w:val="000000" w:themeColor="text1"/>
                <w:sz w:val="18"/>
                <w:szCs w:val="18"/>
              </w:rPr>
            </w:pPr>
          </w:p>
          <w:p w14:paraId="35E8940E">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222CB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7F0F649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4C0D11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609BC6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19DC562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75FE091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203F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27A58702">
            <w:pPr>
              <w:rPr>
                <w:color w:val="000000" w:themeColor="text1"/>
              </w:rPr>
            </w:pPr>
          </w:p>
        </w:tc>
        <w:tc>
          <w:tcPr>
            <w:tcW w:w="1189" w:type="dxa"/>
            <w:vAlign w:val="center"/>
          </w:tcPr>
          <w:p w14:paraId="12E25AE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6D4E04FF">
            <w:pPr>
              <w:autoSpaceDN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3E78334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4F08DDF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1C76E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602281B2">
            <w:pPr>
              <w:rPr>
                <w:color w:val="000000" w:themeColor="text1"/>
              </w:rPr>
            </w:pPr>
          </w:p>
        </w:tc>
        <w:tc>
          <w:tcPr>
            <w:tcW w:w="1189" w:type="dxa"/>
            <w:vAlign w:val="center"/>
          </w:tcPr>
          <w:p w14:paraId="56F5694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5F3F8F5B">
            <w:pPr>
              <w:tabs>
                <w:tab w:val="left" w:pos="312"/>
              </w:tabs>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对申请人提交的申请材料进行审查。</w:t>
            </w:r>
          </w:p>
        </w:tc>
        <w:tc>
          <w:tcPr>
            <w:tcW w:w="996" w:type="dxa"/>
            <w:gridSpan w:val="2"/>
            <w:vAlign w:val="center"/>
          </w:tcPr>
          <w:p w14:paraId="47A71AA3">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59D3E8A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71C5F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7208F034">
            <w:pPr>
              <w:rPr>
                <w:color w:val="000000" w:themeColor="text1"/>
              </w:rPr>
            </w:pPr>
          </w:p>
        </w:tc>
        <w:tc>
          <w:tcPr>
            <w:tcW w:w="1189" w:type="dxa"/>
            <w:vAlign w:val="center"/>
          </w:tcPr>
          <w:p w14:paraId="03F2037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3D2F3421">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p>
        </w:tc>
        <w:tc>
          <w:tcPr>
            <w:tcW w:w="996" w:type="dxa"/>
            <w:gridSpan w:val="2"/>
            <w:vAlign w:val="center"/>
          </w:tcPr>
          <w:p w14:paraId="0C8327CB">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07D2A86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325D4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475AD03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138" w:type="dxa"/>
            <w:gridSpan w:val="4"/>
            <w:tcBorders>
              <w:right w:val="single" w:color="auto" w:sz="4" w:space="0"/>
            </w:tcBorders>
            <w:shd w:val="clear" w:color="auto" w:fill="auto"/>
            <w:vAlign w:val="center"/>
          </w:tcPr>
          <w:p w14:paraId="3420F0F7">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338" w:type="dxa"/>
            <w:gridSpan w:val="2"/>
            <w:tcBorders>
              <w:left w:val="single" w:color="auto" w:sz="4" w:space="0"/>
            </w:tcBorders>
            <w:shd w:val="clear" w:color="auto" w:fill="auto"/>
            <w:vAlign w:val="center"/>
          </w:tcPr>
          <w:p w14:paraId="27E06C07">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52AEF306">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0E2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06A71C5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33800341">
            <w:pPr>
              <w:jc w:val="both"/>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shd w:val="clear" w:color="auto" w:fill="auto"/>
                <w:lang w:val="en-US" w:eastAsia="zh-CN"/>
              </w:rPr>
              <w:t>1.机动车维修经营备案表；2.营业执照。</w:t>
            </w:r>
          </w:p>
        </w:tc>
      </w:tr>
      <w:tr w14:paraId="34B5B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5002ACB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22C50E1F">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05D9D1D6">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01157DAB">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3AB27209">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51FFBD29">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555BD017">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40528495">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18D0B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64DF5D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06F8D46">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16FDFDA">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2C6B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73340E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2210651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46B55945">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58AA5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11" w:hRule="atLeast"/>
          <w:jc w:val="center"/>
        </w:trPr>
        <w:tc>
          <w:tcPr>
            <w:tcW w:w="1324" w:type="dxa"/>
            <w:vAlign w:val="center"/>
          </w:tcPr>
          <w:p w14:paraId="0D44849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6AF749A2">
            <w:pPr>
              <w:widowControl/>
              <w:jc w:val="left"/>
              <w:textAlignment w:val="center"/>
              <w:rPr>
                <w:rFonts w:ascii="黑体" w:eastAsia="黑体" w:cs="黑体"/>
                <w:color w:val="000000" w:themeColor="text1"/>
                <w:kern w:val="0"/>
                <w:sz w:val="18"/>
                <w:szCs w:val="18"/>
              </w:rPr>
            </w:pPr>
          </w:p>
        </w:tc>
      </w:tr>
    </w:tbl>
    <w:p w14:paraId="33C7451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19"/>
        <w:gridCol w:w="444"/>
        <w:gridCol w:w="992"/>
        <w:gridCol w:w="567"/>
        <w:gridCol w:w="429"/>
        <w:gridCol w:w="1502"/>
      </w:tblGrid>
      <w:tr w14:paraId="424A7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2D0877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2C3C77EB">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4</w:t>
            </w:r>
          </w:p>
        </w:tc>
        <w:tc>
          <w:tcPr>
            <w:tcW w:w="1691" w:type="dxa"/>
            <w:vAlign w:val="center"/>
          </w:tcPr>
          <w:p w14:paraId="522121A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F5A862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09D2F9E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BA65F0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289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75" w:hRule="atLeast"/>
          <w:jc w:val="center"/>
        </w:trPr>
        <w:tc>
          <w:tcPr>
            <w:tcW w:w="1324" w:type="dxa"/>
            <w:vAlign w:val="center"/>
          </w:tcPr>
          <w:p w14:paraId="217A8A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5E5E10BA">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机动车驾驶员培训备案</w:t>
            </w:r>
          </w:p>
        </w:tc>
      </w:tr>
      <w:tr w14:paraId="6C90A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152149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5C5B772E">
            <w:pPr>
              <w:keepNext w:val="0"/>
              <w:keepLines w:val="0"/>
              <w:pageBreakBefore w:val="0"/>
              <w:widowControl w:val="0"/>
              <w:shd w:val="clear" w:color="auto" w:fill="FFFFFF"/>
              <w:kinsoku/>
              <w:wordWrap/>
              <w:overflowPunct/>
              <w:topLinePunct w:val="0"/>
              <w:autoSpaceDE/>
              <w:autoSpaceDN/>
              <w:bidi w:val="0"/>
              <w:adjustRightInd/>
              <w:snapToGrid w:val="0"/>
              <w:spacing w:line="240" w:lineRule="atLeast"/>
              <w:textAlignment w:val="auto"/>
              <w:rPr>
                <w:rFonts w:ascii="仿宋" w:hAnsi="仿宋" w:eastAsia="仿宋" w:cs="Helvetica"/>
                <w:color w:val="000000" w:themeColor="text1"/>
                <w:kern w:val="0"/>
                <w:sz w:val="13"/>
                <w:szCs w:val="13"/>
              </w:rPr>
            </w:pPr>
            <w:r>
              <w:rPr>
                <w:rFonts w:hint="eastAsia" w:ascii="仿宋" w:hAnsi="仿宋" w:eastAsia="仿宋" w:cs="黑体"/>
                <w:color w:val="000000" w:themeColor="text1"/>
                <w:sz w:val="18"/>
                <w:szCs w:val="18"/>
              </w:rPr>
              <w:t>【</w:t>
            </w:r>
            <w:r>
              <w:rPr>
                <w:rFonts w:hint="eastAsia" w:ascii="仿宋" w:hAnsi="仿宋" w:eastAsia="仿宋" w:cs="黑体"/>
                <w:color w:val="000000" w:themeColor="text1"/>
                <w:sz w:val="13"/>
                <w:szCs w:val="13"/>
              </w:rPr>
              <w:t>法律法规】</w:t>
            </w:r>
            <w:r>
              <w:rPr>
                <w:rFonts w:ascii="仿宋" w:hAnsi="仿宋" w:eastAsia="仿宋" w:cs="仿宋_GB2312"/>
                <w:color w:val="000000" w:themeColor="text1"/>
                <w:sz w:val="13"/>
                <w:szCs w:val="13"/>
              </w:rPr>
              <w:t>1.</w:t>
            </w:r>
            <w:r>
              <w:rPr>
                <w:rFonts w:hint="eastAsia" w:ascii="仿宋" w:hAnsi="仿宋" w:eastAsia="仿宋" w:cs="仿宋_GB2312"/>
                <w:color w:val="000000" w:themeColor="text1"/>
                <w:sz w:val="13"/>
                <w:szCs w:val="13"/>
              </w:rPr>
              <w:t>《中华人民共和国道路交通安全法》（主席令第</w:t>
            </w:r>
            <w:r>
              <w:rPr>
                <w:rFonts w:ascii="仿宋" w:hAnsi="仿宋" w:eastAsia="仿宋" w:cs="仿宋_GB2312"/>
                <w:color w:val="000000" w:themeColor="text1"/>
                <w:sz w:val="13"/>
                <w:szCs w:val="13"/>
              </w:rPr>
              <w:t>8</w:t>
            </w:r>
            <w:r>
              <w:rPr>
                <w:rFonts w:hint="eastAsia" w:ascii="仿宋" w:hAnsi="仿宋" w:eastAsia="仿宋" w:cs="仿宋_GB2312"/>
                <w:color w:val="000000" w:themeColor="text1"/>
                <w:sz w:val="13"/>
                <w:szCs w:val="13"/>
              </w:rPr>
              <w:t>号）第二十条；</w:t>
            </w:r>
            <w:r>
              <w:rPr>
                <w:rFonts w:hint="eastAsia" w:ascii="仿宋" w:hAnsi="仿宋" w:eastAsia="仿宋" w:cs="Helvetica"/>
                <w:color w:val="000000" w:themeColor="text1"/>
                <w:kern w:val="0"/>
                <w:sz w:val="13"/>
                <w:szCs w:val="13"/>
              </w:rPr>
              <w:t>机动车的驾驶培训实行社会化，由交通运输主管部门对驾驶培训学校、驾驶培训班实行备案管理，并对驾驶培训活动加强监督，其中专门的拖拉机驾驶培训学校、驾驶培训班由农业（农业机械）主管部门实行监督管理。驾驶培训学校、驾驶培训班应当严格按照国家有关规定，对学员进行道路交通安全法律、法规、驾驶技能的培训，确保培训质量。任何国家机关以及驾驶培训和考试主管部门不得举办或者参与举办驾驶培训学校、驾驶培训班。</w:t>
            </w:r>
          </w:p>
          <w:p w14:paraId="787E0528">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ascii="仿宋" w:hAnsi="仿宋" w:eastAsia="仿宋" w:cs="仿宋_GB2312"/>
                <w:color w:val="000000" w:themeColor="text1"/>
                <w:sz w:val="13"/>
                <w:szCs w:val="13"/>
              </w:rPr>
            </w:pPr>
            <w:r>
              <w:rPr>
                <w:rFonts w:ascii="仿宋" w:hAnsi="仿宋" w:eastAsia="仿宋" w:cs="仿宋_GB2312"/>
                <w:color w:val="000000" w:themeColor="text1"/>
                <w:sz w:val="13"/>
                <w:szCs w:val="13"/>
              </w:rPr>
              <w:t>2.</w:t>
            </w:r>
            <w:r>
              <w:rPr>
                <w:rFonts w:hint="eastAsia" w:ascii="仿宋" w:hAnsi="仿宋" w:eastAsia="仿宋" w:cs="仿宋_GB2312"/>
                <w:color w:val="000000" w:themeColor="text1"/>
                <w:sz w:val="13"/>
                <w:szCs w:val="13"/>
              </w:rPr>
              <w:t>《国务院关于深化“证照分离”改革进一步激发市场主体发展活力的通知》（国发〔</w:t>
            </w:r>
            <w:r>
              <w:rPr>
                <w:rFonts w:ascii="仿宋" w:hAnsi="仿宋" w:eastAsia="仿宋" w:cs="仿宋_GB2312"/>
                <w:color w:val="000000" w:themeColor="text1"/>
                <w:sz w:val="13"/>
                <w:szCs w:val="13"/>
              </w:rPr>
              <w:t>2021</w:t>
            </w:r>
            <w:r>
              <w:rPr>
                <w:rFonts w:hint="eastAsia" w:ascii="仿宋" w:hAnsi="仿宋" w:eastAsia="仿宋" w:cs="仿宋_GB2312"/>
                <w:color w:val="000000" w:themeColor="text1"/>
                <w:sz w:val="13"/>
                <w:szCs w:val="13"/>
              </w:rPr>
              <w:t>〕</w:t>
            </w:r>
            <w:r>
              <w:rPr>
                <w:rFonts w:ascii="仿宋" w:hAnsi="仿宋" w:eastAsia="仿宋" w:cs="仿宋_GB2312"/>
                <w:color w:val="000000" w:themeColor="text1"/>
                <w:sz w:val="13"/>
                <w:szCs w:val="13"/>
              </w:rPr>
              <w:t>7</w:t>
            </w:r>
            <w:r>
              <w:rPr>
                <w:rFonts w:hint="eastAsia" w:ascii="仿宋" w:hAnsi="仿宋" w:eastAsia="仿宋" w:cs="仿宋_GB2312"/>
                <w:color w:val="000000" w:themeColor="text1"/>
                <w:sz w:val="13"/>
                <w:szCs w:val="13"/>
              </w:rPr>
              <w:t>号）附件</w:t>
            </w:r>
            <w:r>
              <w:rPr>
                <w:rFonts w:ascii="仿宋" w:hAnsi="仿宋" w:eastAsia="仿宋" w:cs="仿宋_GB2312"/>
                <w:color w:val="000000" w:themeColor="text1"/>
                <w:sz w:val="13"/>
                <w:szCs w:val="13"/>
              </w:rPr>
              <w:t>1</w:t>
            </w:r>
            <w:r>
              <w:rPr>
                <w:rFonts w:hint="eastAsia" w:ascii="仿宋" w:hAnsi="仿宋" w:eastAsia="仿宋" w:cs="仿宋_GB2312"/>
                <w:color w:val="000000" w:themeColor="text1"/>
                <w:sz w:val="13"/>
                <w:szCs w:val="13"/>
              </w:rPr>
              <w:t>第</w:t>
            </w:r>
            <w:r>
              <w:rPr>
                <w:rFonts w:ascii="仿宋" w:hAnsi="仿宋" w:eastAsia="仿宋" w:cs="仿宋_GB2312"/>
                <w:color w:val="000000" w:themeColor="text1"/>
                <w:sz w:val="13"/>
                <w:szCs w:val="13"/>
              </w:rPr>
              <w:t>71</w:t>
            </w:r>
            <w:r>
              <w:rPr>
                <w:rFonts w:hint="eastAsia" w:ascii="仿宋" w:hAnsi="仿宋" w:eastAsia="仿宋" w:cs="仿宋_GB2312"/>
                <w:color w:val="000000" w:themeColor="text1"/>
                <w:sz w:val="13"/>
                <w:szCs w:val="13"/>
              </w:rPr>
              <w:t>项；取消机动车驾驶员培训许可，改为备案管理。</w:t>
            </w:r>
          </w:p>
          <w:p w14:paraId="49C94C46">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ascii="仿宋" w:hAnsi="仿宋" w:eastAsia="仿宋" w:cs="仿宋_GB2312"/>
                <w:color w:val="000000" w:themeColor="text1"/>
                <w:sz w:val="13"/>
                <w:szCs w:val="13"/>
              </w:rPr>
            </w:pPr>
            <w:r>
              <w:rPr>
                <w:rFonts w:ascii="仿宋" w:hAnsi="仿宋" w:eastAsia="仿宋" w:cs="仿宋_GB2312"/>
                <w:color w:val="000000" w:themeColor="text1"/>
                <w:sz w:val="13"/>
                <w:szCs w:val="13"/>
              </w:rPr>
              <w:t>3.</w:t>
            </w:r>
            <w:r>
              <w:rPr>
                <w:rFonts w:hint="eastAsia" w:ascii="仿宋" w:hAnsi="仿宋" w:eastAsia="仿宋" w:cs="仿宋_GB2312"/>
                <w:color w:val="000000" w:themeColor="text1"/>
                <w:sz w:val="13"/>
                <w:szCs w:val="13"/>
              </w:rPr>
              <w:t>《交通运输部关于做好机动车驾驶员培训经营备案有关工作的通知》（交运函〔</w:t>
            </w:r>
            <w:r>
              <w:rPr>
                <w:rFonts w:ascii="仿宋" w:hAnsi="仿宋" w:eastAsia="仿宋" w:cs="仿宋_GB2312"/>
                <w:color w:val="000000" w:themeColor="text1"/>
                <w:sz w:val="13"/>
                <w:szCs w:val="13"/>
              </w:rPr>
              <w:t>2021</w:t>
            </w:r>
            <w:r>
              <w:rPr>
                <w:rFonts w:hint="eastAsia" w:ascii="仿宋" w:hAnsi="仿宋" w:eastAsia="仿宋" w:cs="仿宋_GB2312"/>
                <w:color w:val="000000" w:themeColor="text1"/>
                <w:sz w:val="13"/>
                <w:szCs w:val="13"/>
              </w:rPr>
              <w:t>〕</w:t>
            </w:r>
            <w:r>
              <w:rPr>
                <w:rFonts w:ascii="仿宋" w:hAnsi="仿宋" w:eastAsia="仿宋" w:cs="仿宋_GB2312"/>
                <w:color w:val="000000" w:themeColor="text1"/>
                <w:sz w:val="13"/>
                <w:szCs w:val="13"/>
              </w:rPr>
              <w:t>248</w:t>
            </w:r>
            <w:r>
              <w:rPr>
                <w:rFonts w:hint="eastAsia" w:ascii="仿宋" w:hAnsi="仿宋" w:eastAsia="仿宋" w:cs="仿宋_GB2312"/>
                <w:color w:val="000000" w:themeColor="text1"/>
                <w:sz w:val="13"/>
                <w:szCs w:val="13"/>
              </w:rPr>
              <w:t>号）第一条；</w:t>
            </w:r>
            <w:r>
              <w:rPr>
                <w:rFonts w:hint="eastAsia" w:ascii="仿宋" w:hAnsi="仿宋" w:eastAsia="仿宋"/>
                <w:color w:val="000000" w:themeColor="text1"/>
                <w:sz w:val="13"/>
                <w:szCs w:val="13"/>
              </w:rPr>
              <w:t>拟从事机动车驾驶员培训业务的，应依法向市场监管部门登记，具备《机动车驾驶员培训管理规定》（</w:t>
            </w:r>
            <w:r>
              <w:rPr>
                <w:rFonts w:hint="eastAsia" w:ascii="仿宋_GB2312" w:eastAsia="仿宋_GB2312" w:cs="仿宋_GB2312"/>
                <w:color w:val="000000" w:themeColor="text1"/>
                <w:kern w:val="0"/>
                <w:sz w:val="13"/>
                <w:szCs w:val="13"/>
                <w:lang w:eastAsia="zh-CN"/>
              </w:rPr>
              <w:t>中华人民共和国</w:t>
            </w:r>
            <w:r>
              <w:rPr>
                <w:rFonts w:hint="eastAsia" w:ascii="仿宋" w:hAnsi="仿宋" w:eastAsia="仿宋"/>
                <w:color w:val="000000" w:themeColor="text1"/>
                <w:sz w:val="13"/>
                <w:szCs w:val="13"/>
              </w:rPr>
              <w:t>交通运输</w:t>
            </w:r>
            <w:r>
              <w:rPr>
                <w:rFonts w:hint="eastAsia" w:ascii="仿宋" w:hAnsi="仿宋" w:eastAsia="仿宋"/>
                <w:color w:val="000000" w:themeColor="text1"/>
                <w:sz w:val="13"/>
                <w:szCs w:val="13"/>
              </w:rPr>
              <w:t>部令</w:t>
            </w:r>
            <w:r>
              <w:rPr>
                <w:rFonts w:ascii="仿宋" w:hAnsi="仿宋" w:eastAsia="仿宋"/>
                <w:color w:val="000000" w:themeColor="text1"/>
                <w:sz w:val="13"/>
                <w:szCs w:val="13"/>
              </w:rPr>
              <w:t>2016</w:t>
            </w:r>
            <w:r>
              <w:rPr>
                <w:rFonts w:hint="eastAsia" w:ascii="仿宋" w:hAnsi="仿宋" w:eastAsia="仿宋"/>
                <w:color w:val="000000" w:themeColor="text1"/>
                <w:sz w:val="13"/>
                <w:szCs w:val="13"/>
              </w:rPr>
              <w:t>年第</w:t>
            </w:r>
            <w:r>
              <w:rPr>
                <w:rFonts w:ascii="仿宋" w:hAnsi="仿宋" w:eastAsia="仿宋"/>
                <w:color w:val="000000" w:themeColor="text1"/>
                <w:sz w:val="13"/>
                <w:szCs w:val="13"/>
              </w:rPr>
              <w:t>51</w:t>
            </w:r>
            <w:r>
              <w:rPr>
                <w:rFonts w:hint="eastAsia" w:ascii="仿宋" w:hAnsi="仿宋" w:eastAsia="仿宋"/>
                <w:color w:val="000000" w:themeColor="text1"/>
                <w:sz w:val="13"/>
                <w:szCs w:val="13"/>
              </w:rPr>
              <w:t>号）中规定的普通机动车驾驶员培训、道路运输驾驶员从业资格培训、机动车驾驶员培训教练场经营的相关培训业务条件，到所在地县级交通运输主管部门进行备案。机动车驾驶员培训机构应按照备案事项开展相应培训业务。机动车驾驶员培训许可证件仍在有效期内的机动车驾驶员培训机构，可继续按原许可事项开展培训业务。许可证件有效期届满后拟按原许可事项继续从事机动车驾驶员培训业务的，可在有效期届满前到原许可所在地县级交通运输主管部门备案。</w:t>
            </w:r>
            <w:r>
              <w:rPr>
                <w:rFonts w:hint="eastAsia" w:ascii="仿宋" w:hAnsi="仿宋" w:eastAsia="仿宋" w:cs="宋体"/>
                <w:color w:val="000000" w:themeColor="text1"/>
                <w:sz w:val="13"/>
                <w:szCs w:val="13"/>
              </w:rPr>
              <w:t>机动车驾驶员培训机构变更经营项目、培训能力、培训车型、机构名称、法定代表人、教练场地等备案事项的，应到原许可或备案所在地县级交通运输主管部门办理备案变更。机动车驾驶员培训机构需要终止经营的，应在终止经营前</w:t>
            </w:r>
            <w:r>
              <w:rPr>
                <w:rFonts w:ascii="仿宋" w:hAnsi="仿宋" w:eastAsia="仿宋" w:cs="宋体"/>
                <w:color w:val="000000" w:themeColor="text1"/>
                <w:sz w:val="13"/>
                <w:szCs w:val="13"/>
              </w:rPr>
              <w:t>30</w:t>
            </w:r>
            <w:r>
              <w:rPr>
                <w:rFonts w:hint="eastAsia" w:ascii="仿宋" w:hAnsi="仿宋" w:eastAsia="仿宋" w:cs="宋体"/>
                <w:color w:val="000000" w:themeColor="text1"/>
                <w:sz w:val="13"/>
                <w:szCs w:val="13"/>
              </w:rPr>
              <w:t>日内书面告知原许可或备案所在地县级交通运输主管部门。</w:t>
            </w:r>
          </w:p>
          <w:p w14:paraId="7A03AD28">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仿宋" w:hAnsi="仿宋" w:eastAsia="仿宋"/>
                <w:color w:val="000000" w:themeColor="text1"/>
                <w:sz w:val="13"/>
                <w:szCs w:val="13"/>
                <w:shd w:val="clear" w:color="auto" w:fill="FFFFFF"/>
              </w:rPr>
            </w:pPr>
            <w:r>
              <w:rPr>
                <w:rFonts w:ascii="仿宋" w:hAnsi="仿宋" w:eastAsia="仿宋" w:cs="仿宋_GB2312"/>
                <w:color w:val="000000" w:themeColor="text1"/>
                <w:sz w:val="13"/>
                <w:szCs w:val="13"/>
              </w:rPr>
              <w:t>4.</w:t>
            </w:r>
            <w:r>
              <w:rPr>
                <w:rFonts w:hint="eastAsia" w:ascii="仿宋" w:hAnsi="仿宋" w:eastAsia="仿宋" w:cs="仿宋_GB2312"/>
                <w:color w:val="000000" w:themeColor="text1"/>
                <w:sz w:val="13"/>
                <w:szCs w:val="13"/>
              </w:rPr>
              <w:t>《中华人民共和国道路运输条例》（国务院令第</w:t>
            </w:r>
            <w:r>
              <w:rPr>
                <w:rFonts w:ascii="仿宋" w:hAnsi="仿宋" w:eastAsia="仿宋" w:cs="仿宋_GB2312"/>
                <w:color w:val="000000" w:themeColor="text1"/>
                <w:sz w:val="13"/>
                <w:szCs w:val="13"/>
              </w:rPr>
              <w:t>406</w:t>
            </w:r>
            <w:r>
              <w:rPr>
                <w:rFonts w:hint="eastAsia" w:ascii="仿宋" w:hAnsi="仿宋" w:eastAsia="仿宋" w:cs="仿宋_GB2312"/>
                <w:color w:val="000000" w:themeColor="text1"/>
                <w:sz w:val="13"/>
                <w:szCs w:val="13"/>
              </w:rPr>
              <w:t>号）第三十九条。</w:t>
            </w:r>
            <w:r>
              <w:rPr>
                <w:rFonts w:hint="eastAsia" w:ascii="仿宋" w:hAnsi="仿宋" w:eastAsia="仿宋"/>
                <w:color w:val="000000" w:themeColor="text1"/>
                <w:sz w:val="13"/>
                <w:szCs w:val="13"/>
                <w:shd w:val="clear" w:color="auto" w:fill="FFFFFF"/>
              </w:rPr>
              <w:t>申请从事机动车驾驶员培训的，应当具备下列条件：</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一</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有健全的培训机构和管理制度；</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二</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有与培训业务相适应的教学人员、管理人员；　</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三</w:t>
            </w:r>
            <w:r>
              <w:rPr>
                <w:rFonts w:ascii="仿宋" w:hAnsi="仿宋" w:eastAsia="仿宋"/>
                <w:color w:val="000000" w:themeColor="text1"/>
                <w:sz w:val="13"/>
                <w:szCs w:val="13"/>
                <w:shd w:val="clear" w:color="auto" w:fill="FFFFFF"/>
              </w:rPr>
              <w:t>)</w:t>
            </w:r>
            <w:r>
              <w:rPr>
                <w:rFonts w:hint="eastAsia" w:ascii="仿宋" w:hAnsi="仿宋" w:eastAsia="仿宋"/>
                <w:color w:val="000000" w:themeColor="text1"/>
                <w:sz w:val="13"/>
                <w:szCs w:val="13"/>
                <w:shd w:val="clear" w:color="auto" w:fill="FFFFFF"/>
              </w:rPr>
              <w:t>有必要的教学车辆和其他教学设施、设备、场地。</w:t>
            </w:r>
          </w:p>
          <w:p w14:paraId="13691AC2">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仿宋" w:hAnsi="仿宋" w:eastAsia="仿宋"/>
                <w:color w:val="000000" w:themeColor="text1"/>
                <w:sz w:val="13"/>
                <w:szCs w:val="13"/>
                <w:shd w:val="clear" w:color="auto" w:fill="FFFFFF"/>
              </w:rPr>
            </w:pPr>
            <w:r>
              <w:rPr>
                <w:rFonts w:hint="eastAsia" w:ascii="仿宋" w:hAnsi="仿宋" w:eastAsia="仿宋"/>
                <w:color w:val="000000" w:themeColor="text1"/>
                <w:sz w:val="13"/>
                <w:szCs w:val="13"/>
                <w:shd w:val="clear" w:color="auto" w:fill="FFFFFF"/>
                <w:lang w:val="en-US" w:eastAsia="zh-CN"/>
              </w:rPr>
              <w:t>5.</w:t>
            </w:r>
            <w:r>
              <w:rPr>
                <w:rFonts w:hint="eastAsia" w:ascii="仿宋" w:hAnsi="仿宋" w:eastAsia="仿宋" w:cs="仿宋_GB2312"/>
                <w:color w:val="000000" w:themeColor="text1"/>
                <w:sz w:val="13"/>
                <w:szCs w:val="13"/>
                <w:lang w:eastAsia="zh-CN"/>
              </w:rPr>
              <w:t>《机动车驾驶员培训管理规定》第十三条 从事机动车驾驶员培训业务的，应当依法向市场监督管理部门办理有关登记手续后，最迟不晚于开始经营活动的15日内，向所在地县级交通运输主管部门办理备案，并提交以下材料，保证材料真实、完整、有效：（一）《机动车驾驶员培训备案表》（式样见附件1）；（二）企业法定代表人身份证明；（三）经营场所使用权证明或者产权证明；（四）教练场地使用权证明或者产权证明；（五）教练场地技术条件说明；（六）教学车辆技术条件、车型及数量证明（从事机动车驾驶员培训教练场经营的无需提交）；（七）教学车辆购置证明（从事机动车驾驶员培训教练场经营的无需提交）；（八）机构设置、岗位职责和管理制度材料；（九）各类设施、设备清单；（十）拟聘用人员名册、职称证明；（十一）营业执照；（十二）学时收费标准。</w:t>
            </w:r>
          </w:p>
          <w:p w14:paraId="268BC568">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3"/>
                <w:szCs w:val="13"/>
              </w:rPr>
              <w:t>【三定规定】抚办字【</w:t>
            </w:r>
            <w:r>
              <w:rPr>
                <w:rFonts w:ascii="仿宋" w:hAnsi="仿宋" w:eastAsia="仿宋" w:cs="仿宋_GB2312"/>
                <w:color w:val="000000" w:themeColor="text1"/>
                <w:kern w:val="0"/>
                <w:sz w:val="13"/>
                <w:szCs w:val="13"/>
              </w:rPr>
              <w:t>2019</w:t>
            </w:r>
            <w:r>
              <w:rPr>
                <w:rFonts w:hint="eastAsia" w:ascii="仿宋" w:hAnsi="仿宋" w:eastAsia="仿宋" w:cs="仿宋_GB2312"/>
                <w:color w:val="000000" w:themeColor="text1"/>
                <w:kern w:val="0"/>
                <w:sz w:val="13"/>
                <w:szCs w:val="13"/>
              </w:rPr>
              <w:t>】</w:t>
            </w:r>
            <w:r>
              <w:rPr>
                <w:rFonts w:ascii="仿宋" w:hAnsi="仿宋" w:eastAsia="仿宋" w:cs="仿宋_GB2312"/>
                <w:color w:val="000000" w:themeColor="text1"/>
                <w:kern w:val="0"/>
                <w:sz w:val="13"/>
                <w:szCs w:val="13"/>
              </w:rPr>
              <w:t>11</w:t>
            </w:r>
            <w:r>
              <w:rPr>
                <w:rFonts w:hint="eastAsia" w:ascii="仿宋" w:hAnsi="仿宋" w:eastAsia="仿宋" w:cs="仿宋_GB2312"/>
                <w:color w:val="000000" w:themeColor="text1"/>
                <w:kern w:val="0"/>
                <w:sz w:val="13"/>
                <w:szCs w:val="13"/>
              </w:rPr>
              <w:t>号第三条第五款承担全区道路运输市场监管责任。执行道路运输有关政策、技术标准和运营规范并监督实施。负责城乡客运及有关设施规划和管理，推动城乡客运一体化建</w:t>
            </w:r>
            <w:r>
              <w:rPr>
                <w:rFonts w:hint="eastAsia" w:ascii="仿宋" w:eastAsia="仿宋" w:cs="仿宋_GB2312"/>
                <w:color w:val="000000" w:themeColor="text1"/>
                <w:kern w:val="0"/>
                <w:sz w:val="13"/>
                <w:szCs w:val="13"/>
              </w:rPr>
              <w:t>设。</w:t>
            </w:r>
          </w:p>
        </w:tc>
      </w:tr>
      <w:tr w14:paraId="772F3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4357669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735E82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D31AA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3C7DB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50BC196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1505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74" w:hRule="atLeast"/>
          <w:jc w:val="center"/>
        </w:trPr>
        <w:tc>
          <w:tcPr>
            <w:tcW w:w="1324" w:type="dxa"/>
            <w:vMerge w:val="continue"/>
            <w:vAlign w:val="center"/>
          </w:tcPr>
          <w:p w14:paraId="6315E634">
            <w:pPr>
              <w:rPr>
                <w:color w:val="000000" w:themeColor="text1"/>
              </w:rPr>
            </w:pPr>
          </w:p>
        </w:tc>
        <w:tc>
          <w:tcPr>
            <w:tcW w:w="1189" w:type="dxa"/>
            <w:vAlign w:val="center"/>
          </w:tcPr>
          <w:p w14:paraId="6AD578B4">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受理</w:t>
            </w:r>
          </w:p>
        </w:tc>
        <w:tc>
          <w:tcPr>
            <w:tcW w:w="5287" w:type="dxa"/>
            <w:gridSpan w:val="5"/>
            <w:vAlign w:val="center"/>
          </w:tcPr>
          <w:p w14:paraId="03EA3288">
            <w:pPr>
              <w:spacing w:line="240" w:lineRule="exact"/>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公示应当提交的材料,</w:t>
            </w:r>
            <w:r>
              <w:rPr>
                <w:rStyle w:val="25"/>
                <w:rFonts w:hint="eastAsia" w:ascii="仿宋" w:hAnsi="仿宋" w:eastAsia="仿宋" w:cs="仿宋"/>
                <w:color w:val="000000" w:themeColor="text1"/>
                <w:sz w:val="13"/>
                <w:szCs w:val="13"/>
              </w:rPr>
              <w:t>对符合申请条件、材料齐全的予以受理，对材料不齐的，一次性告知补正的材料，对不符合申请条件的，不予受理并告知申请人不予受理的理由。</w:t>
            </w:r>
          </w:p>
        </w:tc>
        <w:tc>
          <w:tcPr>
            <w:tcW w:w="996" w:type="dxa"/>
            <w:gridSpan w:val="2"/>
            <w:vAlign w:val="center"/>
          </w:tcPr>
          <w:p w14:paraId="4F61F353">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0.5个工作日</w:t>
            </w:r>
          </w:p>
        </w:tc>
        <w:tc>
          <w:tcPr>
            <w:tcW w:w="1502" w:type="dxa"/>
            <w:vAlign w:val="center"/>
          </w:tcPr>
          <w:p w14:paraId="488D93FA">
            <w:pPr>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区交通运输综合服务中心</w:t>
            </w:r>
          </w:p>
        </w:tc>
      </w:tr>
      <w:tr w14:paraId="09838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4" w:hRule="atLeast"/>
          <w:jc w:val="center"/>
        </w:trPr>
        <w:tc>
          <w:tcPr>
            <w:tcW w:w="1324" w:type="dxa"/>
            <w:vMerge w:val="continue"/>
            <w:vAlign w:val="center"/>
          </w:tcPr>
          <w:p w14:paraId="5F36F6E3">
            <w:pPr>
              <w:rPr>
                <w:color w:val="000000" w:themeColor="text1"/>
              </w:rPr>
            </w:pPr>
          </w:p>
        </w:tc>
        <w:tc>
          <w:tcPr>
            <w:tcW w:w="1189" w:type="dxa"/>
            <w:vAlign w:val="center"/>
          </w:tcPr>
          <w:p w14:paraId="6E56331E">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审核</w:t>
            </w:r>
          </w:p>
        </w:tc>
        <w:tc>
          <w:tcPr>
            <w:tcW w:w="5287" w:type="dxa"/>
            <w:gridSpan w:val="5"/>
            <w:vAlign w:val="center"/>
          </w:tcPr>
          <w:p w14:paraId="15ACF1BF">
            <w:pPr>
              <w:tabs>
                <w:tab w:val="left" w:pos="312"/>
              </w:tabs>
              <w:spacing w:line="240" w:lineRule="exact"/>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对申请人提交的申请材料进行审查。</w:t>
            </w:r>
          </w:p>
        </w:tc>
        <w:tc>
          <w:tcPr>
            <w:tcW w:w="996" w:type="dxa"/>
            <w:gridSpan w:val="2"/>
            <w:vAlign w:val="center"/>
          </w:tcPr>
          <w:p w14:paraId="061CD5E9">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0个工作日</w:t>
            </w:r>
          </w:p>
        </w:tc>
        <w:tc>
          <w:tcPr>
            <w:tcW w:w="1502" w:type="dxa"/>
            <w:vAlign w:val="center"/>
          </w:tcPr>
          <w:p w14:paraId="42B6C961">
            <w:pPr>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区交通运输综合服务中心</w:t>
            </w:r>
          </w:p>
        </w:tc>
      </w:tr>
      <w:tr w14:paraId="07F3D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9" w:hRule="atLeast"/>
          <w:jc w:val="center"/>
        </w:trPr>
        <w:tc>
          <w:tcPr>
            <w:tcW w:w="1324" w:type="dxa"/>
            <w:vMerge w:val="continue"/>
            <w:vAlign w:val="center"/>
          </w:tcPr>
          <w:p w14:paraId="7A203015">
            <w:pPr>
              <w:rPr>
                <w:color w:val="000000" w:themeColor="text1"/>
              </w:rPr>
            </w:pPr>
          </w:p>
        </w:tc>
        <w:tc>
          <w:tcPr>
            <w:tcW w:w="1189" w:type="dxa"/>
            <w:vAlign w:val="center"/>
          </w:tcPr>
          <w:p w14:paraId="38EDF89B">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决定</w:t>
            </w:r>
          </w:p>
        </w:tc>
        <w:tc>
          <w:tcPr>
            <w:tcW w:w="5287" w:type="dxa"/>
            <w:gridSpan w:val="5"/>
            <w:vAlign w:val="center"/>
          </w:tcPr>
          <w:p w14:paraId="36BF60B5">
            <w:pPr>
              <w:spacing w:line="240" w:lineRule="exact"/>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依法予以备案。</w:t>
            </w:r>
          </w:p>
        </w:tc>
        <w:tc>
          <w:tcPr>
            <w:tcW w:w="996" w:type="dxa"/>
            <w:gridSpan w:val="2"/>
            <w:vAlign w:val="center"/>
          </w:tcPr>
          <w:p w14:paraId="40607F81">
            <w:pPr>
              <w:jc w:val="cente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0.5个工作日</w:t>
            </w:r>
          </w:p>
        </w:tc>
        <w:tc>
          <w:tcPr>
            <w:tcW w:w="1502" w:type="dxa"/>
            <w:vAlign w:val="center"/>
          </w:tcPr>
          <w:p w14:paraId="59EC1CE9">
            <w:pPr>
              <w:jc w:val="center"/>
              <w:rPr>
                <w:rFonts w:hint="eastAsia" w:ascii="仿宋" w:hAnsi="仿宋" w:eastAsia="仿宋" w:cs="仿宋"/>
                <w:color w:val="000000" w:themeColor="text1"/>
                <w:sz w:val="13"/>
                <w:szCs w:val="13"/>
              </w:rPr>
            </w:pPr>
            <w:r>
              <w:rPr>
                <w:rFonts w:hint="eastAsia" w:ascii="仿宋" w:hAnsi="仿宋" w:eastAsia="仿宋" w:cs="仿宋"/>
                <w:color w:val="000000" w:themeColor="text1"/>
                <w:sz w:val="13"/>
                <w:szCs w:val="13"/>
              </w:rPr>
              <w:t>区交通运输综合服务中心</w:t>
            </w:r>
          </w:p>
        </w:tc>
      </w:tr>
      <w:tr w14:paraId="7A24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4" w:hRule="atLeast"/>
          <w:jc w:val="center"/>
        </w:trPr>
        <w:tc>
          <w:tcPr>
            <w:tcW w:w="1324" w:type="dxa"/>
            <w:shd w:val="clear" w:color="auto" w:fill="auto"/>
            <w:vAlign w:val="center"/>
          </w:tcPr>
          <w:p w14:paraId="5CE2CE8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40" w:type="dxa"/>
            <w:gridSpan w:val="4"/>
            <w:tcBorders>
              <w:right w:val="single" w:color="auto" w:sz="4" w:space="0"/>
            </w:tcBorders>
            <w:shd w:val="clear" w:color="auto" w:fill="auto"/>
            <w:vAlign w:val="center"/>
          </w:tcPr>
          <w:p w14:paraId="5E3793FC">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36" w:type="dxa"/>
            <w:gridSpan w:val="2"/>
            <w:tcBorders>
              <w:left w:val="single" w:color="auto" w:sz="4" w:space="0"/>
            </w:tcBorders>
            <w:shd w:val="clear" w:color="auto" w:fill="auto"/>
            <w:vAlign w:val="center"/>
          </w:tcPr>
          <w:p w14:paraId="538C4A93">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3746CD7D">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7D10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4" w:hRule="atLeast"/>
          <w:jc w:val="center"/>
        </w:trPr>
        <w:tc>
          <w:tcPr>
            <w:tcW w:w="1324" w:type="dxa"/>
            <w:shd w:val="clear" w:color="auto" w:fill="auto"/>
            <w:vAlign w:val="center"/>
          </w:tcPr>
          <w:p w14:paraId="0C8F0DE6">
            <w:pPr>
              <w:jc w:val="center"/>
              <w:rPr>
                <w:rFonts w:hint="eastAsia" w:ascii="黑体" w:hAnsi="黑体" w:eastAsia="黑体" w:cs="黑体"/>
                <w:b/>
                <w:bCs/>
                <w:color w:val="000000" w:themeColor="text1"/>
                <w:lang w:val="en-US" w:eastAsia="zh-CN"/>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3843212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tLeast"/>
              <w:ind w:right="0"/>
              <w:textAlignment w:val="auto"/>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ab/>
            </w:r>
            <w:r>
              <w:rPr>
                <w:rFonts w:hint="eastAsia" w:ascii="仿宋" w:hAnsi="仿宋" w:eastAsia="仿宋" w:cs="仿宋"/>
                <w:i w:val="0"/>
                <w:iCs w:val="0"/>
                <w:caps w:val="0"/>
                <w:color w:val="000000" w:themeColor="text1"/>
                <w:spacing w:val="0"/>
                <w:sz w:val="13"/>
                <w:szCs w:val="13"/>
                <w:shd w:val="clear" w:fill="FFFFFF"/>
                <w:lang w:val="en-US" w:eastAsia="zh-CN"/>
              </w:rPr>
              <w:t>1、</w:t>
            </w:r>
            <w:r>
              <w:rPr>
                <w:rFonts w:hint="eastAsia" w:ascii="仿宋" w:hAnsi="仿宋" w:eastAsia="仿宋" w:cs="仿宋"/>
                <w:i w:val="0"/>
                <w:iCs w:val="0"/>
                <w:caps w:val="0"/>
                <w:color w:val="000000" w:themeColor="text1"/>
                <w:spacing w:val="0"/>
                <w:sz w:val="13"/>
                <w:szCs w:val="13"/>
                <w:shd w:val="clear" w:fill="FFFFFF"/>
              </w:rPr>
              <w:t>《机动车驾驶员培训备案表》（式样见附件1）；</w:t>
            </w:r>
            <w:r>
              <w:rPr>
                <w:rFonts w:hint="eastAsia" w:ascii="仿宋" w:hAnsi="仿宋" w:eastAsia="仿宋" w:cs="仿宋"/>
                <w:i w:val="0"/>
                <w:iCs w:val="0"/>
                <w:caps w:val="0"/>
                <w:color w:val="000000" w:themeColor="text1"/>
                <w:spacing w:val="0"/>
                <w:sz w:val="13"/>
                <w:szCs w:val="13"/>
                <w:shd w:val="clear" w:fill="FFFFFF"/>
                <w:lang w:val="en-US" w:eastAsia="zh-CN"/>
              </w:rPr>
              <w:t>2、</w:t>
            </w:r>
            <w:r>
              <w:rPr>
                <w:rFonts w:hint="eastAsia" w:ascii="仿宋" w:hAnsi="仿宋" w:eastAsia="仿宋" w:cs="仿宋"/>
                <w:i w:val="0"/>
                <w:iCs w:val="0"/>
                <w:caps w:val="0"/>
                <w:color w:val="000000" w:themeColor="text1"/>
                <w:spacing w:val="0"/>
                <w:sz w:val="13"/>
                <w:szCs w:val="13"/>
                <w:shd w:val="clear" w:fill="FFFFFF"/>
              </w:rPr>
              <w:t>企业法定代表人身份证明；</w:t>
            </w:r>
            <w:r>
              <w:rPr>
                <w:rFonts w:hint="eastAsia" w:ascii="仿宋" w:hAnsi="仿宋" w:eastAsia="仿宋" w:cs="仿宋"/>
                <w:i w:val="0"/>
                <w:iCs w:val="0"/>
                <w:caps w:val="0"/>
                <w:color w:val="000000" w:themeColor="text1"/>
                <w:spacing w:val="0"/>
                <w:sz w:val="13"/>
                <w:szCs w:val="13"/>
                <w:shd w:val="clear" w:fill="FFFFFF"/>
                <w:lang w:val="en-US" w:eastAsia="zh-CN"/>
              </w:rPr>
              <w:t>3、</w:t>
            </w:r>
            <w:r>
              <w:rPr>
                <w:rFonts w:hint="eastAsia" w:ascii="仿宋" w:hAnsi="仿宋" w:eastAsia="仿宋" w:cs="仿宋"/>
                <w:i w:val="0"/>
                <w:iCs w:val="0"/>
                <w:caps w:val="0"/>
                <w:color w:val="000000" w:themeColor="text1"/>
                <w:spacing w:val="0"/>
                <w:sz w:val="13"/>
                <w:szCs w:val="13"/>
                <w:shd w:val="clear" w:fill="FFFFFF"/>
              </w:rPr>
              <w:t>经营场所使用权证明或者产权证明；</w:t>
            </w:r>
            <w:r>
              <w:rPr>
                <w:rFonts w:hint="eastAsia" w:ascii="仿宋" w:hAnsi="仿宋" w:eastAsia="仿宋" w:cs="仿宋"/>
                <w:i w:val="0"/>
                <w:iCs w:val="0"/>
                <w:caps w:val="0"/>
                <w:color w:val="000000" w:themeColor="text1"/>
                <w:spacing w:val="0"/>
                <w:sz w:val="13"/>
                <w:szCs w:val="13"/>
                <w:shd w:val="clear" w:fill="FFFFFF"/>
                <w:lang w:val="en-US" w:eastAsia="zh-CN"/>
              </w:rPr>
              <w:t>4、</w:t>
            </w:r>
            <w:r>
              <w:rPr>
                <w:rFonts w:hint="eastAsia" w:ascii="仿宋" w:hAnsi="仿宋" w:eastAsia="仿宋" w:cs="仿宋"/>
                <w:i w:val="0"/>
                <w:iCs w:val="0"/>
                <w:caps w:val="0"/>
                <w:color w:val="000000" w:themeColor="text1"/>
                <w:spacing w:val="0"/>
                <w:sz w:val="13"/>
                <w:szCs w:val="13"/>
                <w:shd w:val="clear" w:fill="FFFFFF"/>
              </w:rPr>
              <w:t>教练场地使用权证明或者产权证明；</w:t>
            </w:r>
            <w:r>
              <w:rPr>
                <w:rFonts w:hint="eastAsia" w:ascii="仿宋" w:hAnsi="仿宋" w:eastAsia="仿宋" w:cs="仿宋"/>
                <w:i w:val="0"/>
                <w:iCs w:val="0"/>
                <w:caps w:val="0"/>
                <w:color w:val="000000" w:themeColor="text1"/>
                <w:spacing w:val="0"/>
                <w:sz w:val="13"/>
                <w:szCs w:val="13"/>
                <w:shd w:val="clear" w:fill="FFFFFF"/>
                <w:lang w:val="en-US" w:eastAsia="zh-CN"/>
              </w:rPr>
              <w:t>5、</w:t>
            </w:r>
            <w:r>
              <w:rPr>
                <w:rFonts w:hint="eastAsia" w:ascii="仿宋" w:hAnsi="仿宋" w:eastAsia="仿宋" w:cs="仿宋"/>
                <w:i w:val="0"/>
                <w:iCs w:val="0"/>
                <w:caps w:val="0"/>
                <w:color w:val="000000" w:themeColor="text1"/>
                <w:spacing w:val="0"/>
                <w:sz w:val="13"/>
                <w:szCs w:val="13"/>
                <w:shd w:val="clear" w:fill="FFFFFF"/>
              </w:rPr>
              <w:t>教练场地技术条件说明；</w:t>
            </w:r>
            <w:r>
              <w:rPr>
                <w:rFonts w:hint="eastAsia" w:ascii="仿宋" w:hAnsi="仿宋" w:eastAsia="仿宋" w:cs="仿宋"/>
                <w:i w:val="0"/>
                <w:iCs w:val="0"/>
                <w:caps w:val="0"/>
                <w:color w:val="000000" w:themeColor="text1"/>
                <w:spacing w:val="0"/>
                <w:sz w:val="13"/>
                <w:szCs w:val="13"/>
                <w:shd w:val="clear" w:fill="FFFFFF"/>
                <w:lang w:val="en-US" w:eastAsia="zh-CN"/>
              </w:rPr>
              <w:t>6、</w:t>
            </w:r>
            <w:r>
              <w:rPr>
                <w:rFonts w:hint="eastAsia" w:ascii="仿宋" w:hAnsi="仿宋" w:eastAsia="仿宋" w:cs="仿宋"/>
                <w:i w:val="0"/>
                <w:iCs w:val="0"/>
                <w:caps w:val="0"/>
                <w:color w:val="000000" w:themeColor="text1"/>
                <w:spacing w:val="0"/>
                <w:sz w:val="13"/>
                <w:szCs w:val="13"/>
                <w:shd w:val="clear" w:fill="FFFFFF"/>
              </w:rPr>
              <w:t>教学车辆技术条件、车型及数量证明（从事机动车驾驶员培训教练场经营的无需提交）；</w:t>
            </w:r>
            <w:r>
              <w:rPr>
                <w:rFonts w:hint="eastAsia" w:ascii="仿宋" w:hAnsi="仿宋" w:eastAsia="仿宋" w:cs="仿宋"/>
                <w:i w:val="0"/>
                <w:iCs w:val="0"/>
                <w:caps w:val="0"/>
                <w:color w:val="000000" w:themeColor="text1"/>
                <w:spacing w:val="0"/>
                <w:sz w:val="13"/>
                <w:szCs w:val="13"/>
                <w:shd w:val="clear" w:fill="FFFFFF"/>
                <w:lang w:val="en-US" w:eastAsia="zh-CN"/>
              </w:rPr>
              <w:t>7、</w:t>
            </w:r>
            <w:r>
              <w:rPr>
                <w:rFonts w:hint="eastAsia" w:ascii="仿宋" w:hAnsi="仿宋" w:eastAsia="仿宋" w:cs="仿宋"/>
                <w:i w:val="0"/>
                <w:iCs w:val="0"/>
                <w:caps w:val="0"/>
                <w:color w:val="000000" w:themeColor="text1"/>
                <w:spacing w:val="0"/>
                <w:sz w:val="13"/>
                <w:szCs w:val="13"/>
                <w:shd w:val="clear" w:fill="FFFFFF"/>
              </w:rPr>
              <w:t>教学车辆购置证明（从事机动车驾驶员培训教练场经营的无需提交）；</w:t>
            </w:r>
            <w:r>
              <w:rPr>
                <w:rFonts w:hint="eastAsia" w:ascii="仿宋" w:hAnsi="仿宋" w:eastAsia="仿宋" w:cs="仿宋"/>
                <w:i w:val="0"/>
                <w:iCs w:val="0"/>
                <w:caps w:val="0"/>
                <w:color w:val="000000" w:themeColor="text1"/>
                <w:spacing w:val="0"/>
                <w:sz w:val="13"/>
                <w:szCs w:val="13"/>
                <w:shd w:val="clear" w:fill="FFFFFF"/>
                <w:lang w:val="en-US" w:eastAsia="zh-CN"/>
              </w:rPr>
              <w:t>8、</w:t>
            </w:r>
            <w:r>
              <w:rPr>
                <w:rFonts w:hint="eastAsia" w:ascii="仿宋" w:hAnsi="仿宋" w:eastAsia="仿宋" w:cs="仿宋"/>
                <w:i w:val="0"/>
                <w:iCs w:val="0"/>
                <w:caps w:val="0"/>
                <w:color w:val="000000" w:themeColor="text1"/>
                <w:spacing w:val="0"/>
                <w:sz w:val="13"/>
                <w:szCs w:val="13"/>
                <w:shd w:val="clear" w:fill="FFFFFF"/>
              </w:rPr>
              <w:t>机构设置、岗位职责和管理制度材料；</w:t>
            </w:r>
            <w:r>
              <w:rPr>
                <w:rFonts w:hint="eastAsia" w:ascii="仿宋" w:hAnsi="仿宋" w:eastAsia="仿宋" w:cs="仿宋"/>
                <w:i w:val="0"/>
                <w:iCs w:val="0"/>
                <w:caps w:val="0"/>
                <w:color w:val="000000" w:themeColor="text1"/>
                <w:spacing w:val="0"/>
                <w:sz w:val="13"/>
                <w:szCs w:val="13"/>
                <w:shd w:val="clear" w:fill="FFFFFF"/>
                <w:lang w:val="en-US" w:eastAsia="zh-CN"/>
              </w:rPr>
              <w:t>9、</w:t>
            </w:r>
            <w:r>
              <w:rPr>
                <w:rFonts w:hint="eastAsia" w:ascii="仿宋" w:hAnsi="仿宋" w:eastAsia="仿宋" w:cs="仿宋"/>
                <w:i w:val="0"/>
                <w:iCs w:val="0"/>
                <w:caps w:val="0"/>
                <w:color w:val="000000" w:themeColor="text1"/>
                <w:spacing w:val="0"/>
                <w:sz w:val="13"/>
                <w:szCs w:val="13"/>
                <w:shd w:val="clear" w:fill="FFFFFF"/>
              </w:rPr>
              <w:t>各类设施、设备清单</w:t>
            </w:r>
            <w:r>
              <w:rPr>
                <w:rFonts w:hint="eastAsia" w:ascii="仿宋" w:hAnsi="仿宋" w:eastAsia="仿宋" w:cs="仿宋"/>
                <w:i w:val="0"/>
                <w:iCs w:val="0"/>
                <w:caps w:val="0"/>
                <w:color w:val="000000" w:themeColor="text1"/>
                <w:spacing w:val="0"/>
                <w:sz w:val="13"/>
                <w:szCs w:val="13"/>
                <w:shd w:val="clear" w:fill="FFFFFF"/>
                <w:lang w:eastAsia="zh-CN"/>
              </w:rPr>
              <w:t>；</w:t>
            </w:r>
            <w:r>
              <w:rPr>
                <w:rFonts w:hint="eastAsia" w:ascii="仿宋" w:hAnsi="仿宋" w:eastAsia="仿宋" w:cs="仿宋"/>
                <w:i w:val="0"/>
                <w:iCs w:val="0"/>
                <w:caps w:val="0"/>
                <w:color w:val="000000" w:themeColor="text1"/>
                <w:spacing w:val="0"/>
                <w:sz w:val="13"/>
                <w:szCs w:val="13"/>
                <w:shd w:val="clear" w:fill="FFFFFF"/>
                <w:lang w:val="en-US" w:eastAsia="zh-CN"/>
              </w:rPr>
              <w:t>10、</w:t>
            </w:r>
            <w:r>
              <w:rPr>
                <w:rFonts w:hint="eastAsia" w:ascii="仿宋" w:hAnsi="仿宋" w:eastAsia="仿宋" w:cs="仿宋"/>
                <w:i w:val="0"/>
                <w:iCs w:val="0"/>
                <w:caps w:val="0"/>
                <w:color w:val="000000" w:themeColor="text1"/>
                <w:spacing w:val="0"/>
                <w:sz w:val="13"/>
                <w:szCs w:val="13"/>
                <w:shd w:val="clear" w:fill="FFFFFF"/>
              </w:rPr>
              <w:t>拟聘用人员名册、职称证明；</w:t>
            </w:r>
            <w:r>
              <w:rPr>
                <w:rFonts w:hint="eastAsia" w:ascii="仿宋" w:hAnsi="仿宋" w:eastAsia="仿宋" w:cs="仿宋"/>
                <w:i w:val="0"/>
                <w:iCs w:val="0"/>
                <w:caps w:val="0"/>
                <w:color w:val="000000" w:themeColor="text1"/>
                <w:spacing w:val="0"/>
                <w:sz w:val="13"/>
                <w:szCs w:val="13"/>
                <w:shd w:val="clear" w:fill="FFFFFF"/>
                <w:lang w:val="en-US" w:eastAsia="zh-CN"/>
              </w:rPr>
              <w:t>11、</w:t>
            </w:r>
            <w:r>
              <w:rPr>
                <w:rFonts w:hint="eastAsia" w:ascii="仿宋" w:hAnsi="仿宋" w:eastAsia="仿宋" w:cs="仿宋"/>
                <w:i w:val="0"/>
                <w:iCs w:val="0"/>
                <w:caps w:val="0"/>
                <w:color w:val="000000" w:themeColor="text1"/>
                <w:spacing w:val="0"/>
                <w:sz w:val="13"/>
                <w:szCs w:val="13"/>
                <w:shd w:val="clear" w:fill="FFFFFF"/>
              </w:rPr>
              <w:t>营业执照；</w:t>
            </w:r>
            <w:r>
              <w:rPr>
                <w:rFonts w:hint="eastAsia" w:ascii="仿宋" w:hAnsi="仿宋" w:eastAsia="仿宋" w:cs="仿宋"/>
                <w:i w:val="0"/>
                <w:iCs w:val="0"/>
                <w:caps w:val="0"/>
                <w:color w:val="000000" w:themeColor="text1"/>
                <w:spacing w:val="0"/>
                <w:sz w:val="13"/>
                <w:szCs w:val="13"/>
                <w:shd w:val="clear" w:fill="FFFFFF"/>
                <w:lang w:val="en-US" w:eastAsia="zh-CN"/>
              </w:rPr>
              <w:t>12、</w:t>
            </w:r>
            <w:r>
              <w:rPr>
                <w:rFonts w:hint="eastAsia" w:ascii="仿宋" w:hAnsi="仿宋" w:eastAsia="仿宋" w:cs="仿宋"/>
                <w:i w:val="0"/>
                <w:iCs w:val="0"/>
                <w:caps w:val="0"/>
                <w:color w:val="000000" w:themeColor="text1"/>
                <w:spacing w:val="0"/>
                <w:sz w:val="13"/>
                <w:szCs w:val="13"/>
                <w:shd w:val="clear" w:fill="FFFFFF"/>
              </w:rPr>
              <w:t>学时收费标准。</w:t>
            </w:r>
          </w:p>
        </w:tc>
      </w:tr>
      <w:tr w14:paraId="12D67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324" w:type="dxa"/>
            <w:vAlign w:val="center"/>
          </w:tcPr>
          <w:p w14:paraId="42A8CB00">
            <w:pPr>
              <w:widowControl/>
              <w:spacing w:line="240" w:lineRule="exact"/>
              <w:jc w:val="center"/>
              <w:textAlignment w:val="center"/>
              <w:rPr>
                <w:rFonts w:hint="eastAsia" w:ascii="仿宋" w:hAnsi="仿宋" w:eastAsia="仿宋" w:cs="仿宋"/>
                <w:b/>
                <w:bCs/>
                <w:color w:val="000000" w:themeColor="text1"/>
                <w:szCs w:val="21"/>
              </w:rPr>
            </w:pPr>
            <w:r>
              <w:rPr>
                <w:rFonts w:hint="eastAsia" w:ascii="仿宋" w:hAnsi="仿宋" w:eastAsia="仿宋" w:cs="仿宋"/>
                <w:b/>
                <w:bCs/>
                <w:color w:val="000000" w:themeColor="text1"/>
                <w:kern w:val="0"/>
                <w:szCs w:val="21"/>
              </w:rPr>
              <w:t>追责情形</w:t>
            </w:r>
          </w:p>
        </w:tc>
        <w:tc>
          <w:tcPr>
            <w:tcW w:w="8974" w:type="dxa"/>
            <w:gridSpan w:val="9"/>
            <w:tcBorders>
              <w:top w:val="single" w:color="auto" w:sz="4" w:space="0"/>
            </w:tcBorders>
            <w:vAlign w:val="center"/>
          </w:tcPr>
          <w:p w14:paraId="2B8E49CC">
            <w:pPr>
              <w:rPr>
                <w:rFonts w:hint="eastAsia" w:ascii="仿宋" w:hAnsi="仿宋" w:eastAsia="仿宋" w:cs="仿宋"/>
                <w:color w:val="000000" w:themeColor="text1"/>
                <w:sz w:val="15"/>
                <w:szCs w:val="15"/>
              </w:rPr>
            </w:pPr>
            <w:r>
              <w:rPr>
                <w:rFonts w:hint="eastAsia" w:ascii="仿宋" w:hAnsi="仿宋" w:eastAsia="仿宋" w:cs="仿宋"/>
                <w:color w:val="000000" w:themeColor="text1"/>
                <w:sz w:val="15"/>
                <w:szCs w:val="15"/>
              </w:rPr>
              <w:t>因不履行或不正确履行行政职责，有下列情形的，行政机关及相关工作人员应承担相应责任：1.对符合受理条件的行政确认申请不予受理；</w:t>
            </w:r>
          </w:p>
          <w:p w14:paraId="34A82D94">
            <w:pPr>
              <w:rPr>
                <w:rFonts w:hint="eastAsia" w:ascii="仿宋" w:hAnsi="仿宋" w:eastAsia="仿宋" w:cs="仿宋"/>
                <w:color w:val="000000" w:themeColor="text1"/>
                <w:szCs w:val="21"/>
              </w:rPr>
            </w:pPr>
            <w:r>
              <w:rPr>
                <w:rFonts w:hint="eastAsia" w:ascii="仿宋" w:hAnsi="仿宋" w:eastAsia="仿宋" w:cs="仿宋"/>
                <w:color w:val="000000" w:themeColor="text1"/>
                <w:sz w:val="15"/>
                <w:szCs w:val="15"/>
              </w:rPr>
              <w:t>2.对不符合条件的受理、办理的情形；3.未严格按照相关政策、法律、法规履行审查义务，对应当予以确认的不予确认，或者对不应确认的予以确认；4.在审查过程中玩忽职守、滥用职权的；5.在行使行政权力过程中发生腐败行为的；6.其他违反法律法规规章文件规定的行为。</w:t>
            </w:r>
          </w:p>
        </w:tc>
      </w:tr>
      <w:tr w14:paraId="0A4BA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6" w:hRule="atLeast"/>
          <w:jc w:val="center"/>
        </w:trPr>
        <w:tc>
          <w:tcPr>
            <w:tcW w:w="1324" w:type="dxa"/>
            <w:vAlign w:val="center"/>
          </w:tcPr>
          <w:p w14:paraId="6BA2DDED">
            <w:pPr>
              <w:widowControl/>
              <w:jc w:val="center"/>
              <w:textAlignment w:val="center"/>
              <w:rPr>
                <w:rFonts w:hint="eastAsia" w:ascii="仿宋" w:hAnsi="仿宋" w:eastAsia="仿宋" w:cs="仿宋"/>
                <w:b/>
                <w:bCs/>
                <w:color w:val="000000" w:themeColor="text1"/>
                <w:szCs w:val="21"/>
              </w:rPr>
            </w:pPr>
            <w:r>
              <w:rPr>
                <w:rFonts w:hint="eastAsia" w:ascii="仿宋" w:hAnsi="仿宋" w:eastAsia="仿宋" w:cs="仿宋"/>
                <w:b/>
                <w:bCs/>
                <w:color w:val="000000" w:themeColor="text1"/>
                <w:kern w:val="0"/>
                <w:szCs w:val="21"/>
              </w:rPr>
              <w:t>监督方式</w:t>
            </w:r>
          </w:p>
        </w:tc>
        <w:tc>
          <w:tcPr>
            <w:tcW w:w="8974" w:type="dxa"/>
            <w:gridSpan w:val="9"/>
            <w:vAlign w:val="center"/>
          </w:tcPr>
          <w:p w14:paraId="50C57DCF">
            <w:pPr>
              <w:widowControl/>
              <w:spacing w:line="240" w:lineRule="exact"/>
              <w:ind w:left="31680" w:hanging="180" w:hangingChars="100"/>
              <w:jc w:val="left"/>
              <w:textAlignment w:val="center"/>
              <w:rPr>
                <w:rFonts w:hint="eastAsia" w:ascii="仿宋" w:hAnsi="仿宋" w:eastAsia="仿宋" w:cs="仿宋"/>
                <w:color w:val="000000" w:themeColor="text1"/>
                <w:kern w:val="0"/>
                <w:sz w:val="18"/>
                <w:szCs w:val="18"/>
              </w:rPr>
            </w:pPr>
            <w:r>
              <w:rPr>
                <w:rFonts w:hint="eastAsia" w:ascii="仿宋" w:hAnsi="仿宋" w:eastAsia="仿宋" w:cs="仿宋"/>
                <w:color w:val="000000" w:themeColor="text1"/>
                <w:kern w:val="0"/>
                <w:sz w:val="18"/>
                <w:szCs w:val="18"/>
              </w:rPr>
              <w:t>1.业务咨询：6680061       2.投诉举报电话：6681263</w:t>
            </w:r>
          </w:p>
          <w:p w14:paraId="6F4CE7C3">
            <w:pPr>
              <w:widowControl/>
              <w:spacing w:line="240" w:lineRule="exact"/>
              <w:jc w:val="left"/>
              <w:textAlignment w:val="center"/>
              <w:rPr>
                <w:rFonts w:hint="eastAsia" w:ascii="仿宋" w:hAnsi="仿宋" w:eastAsia="仿宋" w:cs="仿宋"/>
                <w:color w:val="000000" w:themeColor="text1"/>
                <w:sz w:val="24"/>
              </w:rPr>
            </w:pPr>
            <w:r>
              <w:rPr>
                <w:rFonts w:hint="eastAsia" w:ascii="仿宋" w:hAnsi="仿宋" w:eastAsia="仿宋" w:cs="仿宋"/>
                <w:color w:val="000000" w:themeColor="text1"/>
                <w:kern w:val="0"/>
                <w:sz w:val="18"/>
                <w:szCs w:val="18"/>
              </w:rPr>
              <w:t>3.纪检监察投诉：抚宁区交通运输局纪检监察办公室，电话：6681263</w:t>
            </w:r>
          </w:p>
        </w:tc>
      </w:tr>
      <w:tr w14:paraId="62F3A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3" w:hRule="atLeast"/>
          <w:jc w:val="center"/>
        </w:trPr>
        <w:tc>
          <w:tcPr>
            <w:tcW w:w="1324" w:type="dxa"/>
            <w:vAlign w:val="center"/>
          </w:tcPr>
          <w:p w14:paraId="3615D523">
            <w:pPr>
              <w:widowControl/>
              <w:jc w:val="center"/>
              <w:textAlignment w:val="center"/>
              <w:rPr>
                <w:rFonts w:hint="eastAsia" w:ascii="仿宋" w:hAnsi="仿宋" w:eastAsia="仿宋" w:cs="仿宋"/>
                <w:b/>
                <w:bCs/>
                <w:color w:val="000000" w:themeColor="text1"/>
                <w:szCs w:val="21"/>
              </w:rPr>
            </w:pPr>
            <w:r>
              <w:rPr>
                <w:rFonts w:hint="eastAsia" w:ascii="仿宋" w:hAnsi="仿宋" w:eastAsia="仿宋" w:cs="仿宋"/>
                <w:b/>
                <w:bCs/>
                <w:color w:val="000000" w:themeColor="text1"/>
                <w:kern w:val="0"/>
                <w:szCs w:val="21"/>
              </w:rPr>
              <w:t>法定救济途径</w:t>
            </w:r>
          </w:p>
        </w:tc>
        <w:tc>
          <w:tcPr>
            <w:tcW w:w="8974" w:type="dxa"/>
            <w:gridSpan w:val="9"/>
            <w:vAlign w:val="center"/>
          </w:tcPr>
          <w:p w14:paraId="7EB0B502">
            <w:pPr>
              <w:widowControl/>
              <w:jc w:val="left"/>
              <w:textAlignment w:val="center"/>
              <w:rPr>
                <w:rFonts w:hint="eastAsia" w:ascii="仿宋" w:hAnsi="仿宋" w:eastAsia="仿宋" w:cs="仿宋"/>
                <w:color w:val="000000" w:themeColor="text1"/>
                <w:kern w:val="0"/>
                <w:sz w:val="13"/>
                <w:szCs w:val="13"/>
              </w:rPr>
            </w:pPr>
            <w:r>
              <w:rPr>
                <w:rFonts w:hint="eastAsia" w:ascii="仿宋" w:hAnsi="仿宋" w:eastAsia="仿宋" w:cs="仿宋"/>
                <w:color w:val="000000" w:themeColor="text1"/>
                <w:kern w:val="0"/>
                <w:sz w:val="18"/>
                <w:szCs w:val="18"/>
              </w:rPr>
              <w:t>1．</w:t>
            </w:r>
            <w:r>
              <w:rPr>
                <w:rFonts w:hint="eastAsia" w:ascii="仿宋" w:hAnsi="仿宋" w:eastAsia="仿宋" w:cs="仿宋"/>
                <w:color w:val="000000" w:themeColor="text1"/>
                <w:kern w:val="0"/>
                <w:sz w:val="13"/>
                <w:szCs w:val="13"/>
              </w:rPr>
              <w:t>不服备案决定自知道该具体行政行为之日起六十日内向抚宁区人民政府申请行政复议。</w:t>
            </w:r>
          </w:p>
          <w:p w14:paraId="0E0CBA86">
            <w:pPr>
              <w:widowControl/>
              <w:jc w:val="left"/>
              <w:textAlignment w:val="center"/>
              <w:rPr>
                <w:rFonts w:hint="eastAsia" w:ascii="仿宋" w:hAnsi="仿宋" w:eastAsia="仿宋" w:cs="仿宋"/>
                <w:color w:val="000000" w:themeColor="text1"/>
                <w:kern w:val="0"/>
                <w:sz w:val="18"/>
                <w:szCs w:val="18"/>
              </w:rPr>
            </w:pPr>
            <w:r>
              <w:rPr>
                <w:rFonts w:hint="eastAsia" w:ascii="仿宋" w:hAnsi="仿宋" w:eastAsia="仿宋" w:cs="仿宋"/>
                <w:color w:val="000000" w:themeColor="text1"/>
                <w:kern w:val="0"/>
                <w:sz w:val="13"/>
                <w:szCs w:val="13"/>
              </w:rPr>
              <w:t>2．不服备案决定应当自知道或者应当知道作出行政行为之日起六个月内提出向抚宁区人民法院提起行政诉讼。</w:t>
            </w:r>
          </w:p>
        </w:tc>
      </w:tr>
      <w:tr w14:paraId="3519E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3" w:hRule="atLeast"/>
          <w:jc w:val="center"/>
        </w:trPr>
        <w:tc>
          <w:tcPr>
            <w:tcW w:w="1324" w:type="dxa"/>
            <w:vAlign w:val="center"/>
          </w:tcPr>
          <w:p w14:paraId="35919D5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543CC2FF">
            <w:pPr>
              <w:widowControl/>
              <w:jc w:val="left"/>
              <w:textAlignment w:val="center"/>
              <w:rPr>
                <w:rFonts w:ascii="黑体" w:eastAsia="黑体" w:cs="黑体"/>
                <w:color w:val="000000" w:themeColor="text1"/>
                <w:kern w:val="0"/>
                <w:sz w:val="18"/>
                <w:szCs w:val="18"/>
              </w:rPr>
            </w:pPr>
          </w:p>
        </w:tc>
      </w:tr>
    </w:tbl>
    <w:p w14:paraId="011AA90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369"/>
        <w:gridCol w:w="594"/>
        <w:gridCol w:w="992"/>
        <w:gridCol w:w="567"/>
        <w:gridCol w:w="429"/>
        <w:gridCol w:w="1502"/>
      </w:tblGrid>
      <w:tr w14:paraId="39DC7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0BB67F4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2695558D">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5</w:t>
            </w:r>
          </w:p>
        </w:tc>
        <w:tc>
          <w:tcPr>
            <w:tcW w:w="1691" w:type="dxa"/>
            <w:vAlign w:val="center"/>
          </w:tcPr>
          <w:p w14:paraId="7D0EDF3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7224C6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041DEB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7631CE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1199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65BA38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398B4D57">
            <w:pPr>
              <w:widowControl/>
              <w:jc w:val="center"/>
              <w:textAlignment w:val="center"/>
              <w:rPr>
                <w:rFonts w:ascii="仿宋_GB2312" w:eastAsia="仿宋_GB2312" w:cs="仿宋_GB2312"/>
                <w:color w:val="000000" w:themeColor="text1"/>
                <w:kern w:val="0"/>
                <w:sz w:val="18"/>
                <w:szCs w:val="18"/>
              </w:rPr>
            </w:pPr>
            <w:r>
              <w:rPr>
                <w:rFonts w:hint="eastAsia" w:ascii="仿宋" w:hAnsi="仿宋" w:eastAsia="仿宋" w:cs="仿宋_GB2312"/>
                <w:color w:val="000000" w:themeColor="text1"/>
                <w:sz w:val="18"/>
                <w:szCs w:val="18"/>
                <w:lang w:eastAsia="zh-CN"/>
              </w:rPr>
              <w:t>机动车驾驶员培训学时收费标准备案</w:t>
            </w:r>
          </w:p>
        </w:tc>
      </w:tr>
      <w:tr w14:paraId="346AD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5F1B240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776F1B29">
            <w:pPr>
              <w:snapToGrid w:val="0"/>
              <w:spacing w:line="240" w:lineRule="atLeast"/>
              <w:rPr>
                <w:rFonts w:hint="eastAsia" w:ascii="仿宋" w:hAnsi="仿宋" w:eastAsia="仿宋" w:cs="仿宋_GB2312"/>
                <w:color w:val="000000" w:themeColor="text1"/>
                <w:sz w:val="18"/>
                <w:szCs w:val="18"/>
                <w:lang w:eastAsia="zh-CN"/>
              </w:rPr>
            </w:pPr>
            <w:r>
              <w:rPr>
                <w:rFonts w:hint="eastAsia" w:ascii="仿宋" w:eastAsia="仿宋" w:cs="黑体"/>
                <w:color w:val="000000" w:themeColor="text1"/>
                <w:sz w:val="18"/>
                <w:szCs w:val="18"/>
              </w:rPr>
              <w:t>【法律法规】</w:t>
            </w:r>
            <w:r>
              <w:rPr>
                <w:rFonts w:hint="eastAsia" w:ascii="仿宋" w:hAnsi="仿宋" w:eastAsia="仿宋" w:cs="仿宋_GB2312"/>
                <w:color w:val="000000" w:themeColor="text1"/>
                <w:sz w:val="18"/>
                <w:szCs w:val="18"/>
                <w:lang w:eastAsia="zh-CN"/>
              </w:rPr>
              <w:t>《机动车驾驶员培训管理规定》第十三条 从事机动车驾驶员培训业务的，应当依法向市场监督管理部门办理有关登记手续后，最迟不晚于开始经营活动的15日内，向所在地县级交通运输主管部门办理备案，并提交以下材料，保证材料真实、完整、有效：</w:t>
            </w:r>
          </w:p>
          <w:p w14:paraId="07E920BE">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（一）《机动车驾驶员培训备案表》（式样见附件1）；</w:t>
            </w:r>
          </w:p>
          <w:p w14:paraId="0A57AD57">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（二）企业法定代表人身份证明；</w:t>
            </w:r>
          </w:p>
          <w:p w14:paraId="3CC0DD5D">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（三）经营场所使用权证明或者产权证明；</w:t>
            </w:r>
          </w:p>
          <w:p w14:paraId="47888BE4">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（四）教练场地使用权证明或者产权证明；</w:t>
            </w:r>
          </w:p>
          <w:p w14:paraId="66CBD782">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（五）教练场地技术条件说明；</w:t>
            </w:r>
          </w:p>
          <w:p w14:paraId="340A3032">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（六）教学车辆技术条件、车型及数量证明（从事机动车驾驶员培训教练场经营的无需提交）；</w:t>
            </w:r>
          </w:p>
          <w:p w14:paraId="1ADF9105">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（七）教学车辆购置证明（从事机动车驾驶员培训教练场经营的无需提交）；</w:t>
            </w:r>
          </w:p>
          <w:p w14:paraId="78BE2EAB">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（八）机构设置、岗位职责和管理制度材料；</w:t>
            </w:r>
          </w:p>
          <w:p w14:paraId="0F9899BC">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（九）各类设施、设备清单；</w:t>
            </w:r>
          </w:p>
          <w:p w14:paraId="2F5D3E1B">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（十）拟聘用人员名册、职称证明；</w:t>
            </w:r>
          </w:p>
          <w:p w14:paraId="5FF15208">
            <w:pPr>
              <w:snapToGrid w:val="0"/>
              <w:spacing w:line="240" w:lineRule="atLeast"/>
              <w:rPr>
                <w:rFonts w:hint="eastAsia" w:ascii="仿宋" w:hAnsi="仿宋" w:eastAsia="仿宋" w:cs="仿宋_GB2312"/>
                <w:color w:val="000000" w:themeColor="text1"/>
                <w:sz w:val="18"/>
                <w:szCs w:val="18"/>
                <w:lang w:eastAsia="zh-CN"/>
              </w:rPr>
            </w:pPr>
            <w:r>
              <w:rPr>
                <w:rFonts w:hint="eastAsia" w:ascii="仿宋" w:hAnsi="仿宋" w:eastAsia="仿宋" w:cs="仿宋_GB2312"/>
                <w:color w:val="000000" w:themeColor="text1"/>
                <w:sz w:val="18"/>
                <w:szCs w:val="18"/>
                <w:lang w:eastAsia="zh-CN"/>
              </w:rPr>
              <w:t>（十一）营业执照；</w:t>
            </w:r>
          </w:p>
          <w:p w14:paraId="3B094D78">
            <w:pPr>
              <w:shd w:val="clear" w:color="auto" w:fill="FFFFFF"/>
              <w:spacing w:line="258" w:lineRule="atLeast"/>
              <w:rPr>
                <w:rFonts w:ascii="仿宋" w:eastAsia="仿宋" w:cs="Helvetica"/>
                <w:color w:val="000000" w:themeColor="text1"/>
                <w:kern w:val="0"/>
                <w:sz w:val="18"/>
                <w:szCs w:val="18"/>
              </w:rPr>
            </w:pPr>
            <w:r>
              <w:rPr>
                <w:rFonts w:hint="eastAsia" w:ascii="仿宋" w:hAnsi="仿宋" w:eastAsia="仿宋" w:cs="仿宋_GB2312"/>
                <w:color w:val="000000" w:themeColor="text1"/>
                <w:sz w:val="18"/>
                <w:szCs w:val="18"/>
                <w:lang w:eastAsia="zh-CN"/>
              </w:rPr>
              <w:t>（十二）学时收费标准。</w:t>
            </w:r>
          </w:p>
          <w:p w14:paraId="405BAE90">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3E98C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21518A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493B2D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541AFB7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79CCB5D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07AFA70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BF1C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26E5DD95">
            <w:pPr>
              <w:rPr>
                <w:color w:val="000000" w:themeColor="text1"/>
              </w:rPr>
            </w:pPr>
          </w:p>
        </w:tc>
        <w:tc>
          <w:tcPr>
            <w:tcW w:w="1189" w:type="dxa"/>
            <w:vAlign w:val="center"/>
          </w:tcPr>
          <w:p w14:paraId="0507B2B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157418D7">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3A90007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054C47D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0BB5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53FFC115">
            <w:pPr>
              <w:rPr>
                <w:color w:val="000000" w:themeColor="text1"/>
              </w:rPr>
            </w:pPr>
          </w:p>
        </w:tc>
        <w:tc>
          <w:tcPr>
            <w:tcW w:w="1189" w:type="dxa"/>
            <w:vAlign w:val="center"/>
          </w:tcPr>
          <w:p w14:paraId="7B0DAAC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207CD7D5">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对提交材料进行审核</w:t>
            </w:r>
            <w:r>
              <w:rPr>
                <w:rFonts w:ascii="仿宋" w:eastAsia="仿宋" w:cs="仿宋_GB2312"/>
                <w:color w:val="000000" w:themeColor="text1"/>
                <w:sz w:val="18"/>
                <w:szCs w:val="18"/>
              </w:rPr>
              <w:t>,</w:t>
            </w:r>
            <w:r>
              <w:rPr>
                <w:rFonts w:hint="eastAsia" w:ascii="仿宋" w:eastAsia="仿宋" w:cs="仿宋_GB2312"/>
                <w:color w:val="000000" w:themeColor="text1"/>
                <w:sz w:val="18"/>
                <w:szCs w:val="18"/>
              </w:rPr>
              <w:t>提出审查意见</w:t>
            </w:r>
            <w:r>
              <w:rPr>
                <w:rFonts w:ascii="仿宋" w:eastAsia="仿宋" w:cs="仿宋_GB2312"/>
                <w:color w:val="000000" w:themeColor="text1"/>
                <w:sz w:val="18"/>
                <w:szCs w:val="18"/>
              </w:rPr>
              <w:t>.</w:t>
            </w:r>
          </w:p>
        </w:tc>
        <w:tc>
          <w:tcPr>
            <w:tcW w:w="996" w:type="dxa"/>
            <w:gridSpan w:val="2"/>
            <w:vAlign w:val="center"/>
          </w:tcPr>
          <w:p w14:paraId="28D34B33">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589D073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24384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5D58912F">
            <w:pPr>
              <w:rPr>
                <w:color w:val="000000" w:themeColor="text1"/>
              </w:rPr>
            </w:pPr>
          </w:p>
        </w:tc>
        <w:tc>
          <w:tcPr>
            <w:tcW w:w="1189" w:type="dxa"/>
            <w:vAlign w:val="center"/>
          </w:tcPr>
          <w:p w14:paraId="48390D1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24C42C3D">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53321FE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6CB04E6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425E5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9" w:hRule="atLeast"/>
          <w:jc w:val="center"/>
        </w:trPr>
        <w:tc>
          <w:tcPr>
            <w:tcW w:w="1324" w:type="dxa"/>
            <w:shd w:val="clear" w:color="auto" w:fill="auto"/>
            <w:vAlign w:val="center"/>
          </w:tcPr>
          <w:p w14:paraId="0A4078E1">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90" w:type="dxa"/>
            <w:gridSpan w:val="4"/>
            <w:tcBorders>
              <w:right w:val="single" w:color="auto" w:sz="4" w:space="0"/>
            </w:tcBorders>
            <w:shd w:val="clear" w:color="auto" w:fill="auto"/>
            <w:vAlign w:val="center"/>
          </w:tcPr>
          <w:p w14:paraId="10B095BB">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86" w:type="dxa"/>
            <w:gridSpan w:val="2"/>
            <w:tcBorders>
              <w:left w:val="single" w:color="auto" w:sz="4" w:space="0"/>
            </w:tcBorders>
            <w:shd w:val="clear" w:color="auto" w:fill="auto"/>
            <w:vAlign w:val="center"/>
          </w:tcPr>
          <w:p w14:paraId="1457EAE1">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51DAC370">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178FB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84" w:hRule="atLeast"/>
          <w:jc w:val="center"/>
        </w:trPr>
        <w:tc>
          <w:tcPr>
            <w:tcW w:w="1324" w:type="dxa"/>
            <w:shd w:val="clear" w:color="auto" w:fill="auto"/>
            <w:vAlign w:val="center"/>
          </w:tcPr>
          <w:p w14:paraId="34B21B09">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4FF54D28">
            <w:pPr>
              <w:jc w:val="left"/>
              <w:rPr>
                <w:rFonts w:hint="eastAsia" w:ascii="仿宋_GB2312" w:eastAsia="仿宋_GB2312" w:cs="黑体"/>
                <w:color w:val="000000" w:themeColor="text1"/>
                <w:sz w:val="18"/>
                <w:szCs w:val="18"/>
              </w:rPr>
            </w:pPr>
            <w:r>
              <w:rPr>
                <w:rFonts w:hint="eastAsia" w:ascii="仿宋" w:hAnsi="仿宋" w:eastAsia="仿宋" w:cs="仿宋"/>
                <w:i w:val="0"/>
                <w:iCs w:val="0"/>
                <w:caps w:val="0"/>
                <w:color w:val="000000" w:themeColor="text1"/>
                <w:spacing w:val="0"/>
                <w:sz w:val="18"/>
                <w:szCs w:val="18"/>
                <w:shd w:val="clear" w:fill="FFFFFF"/>
                <w:lang w:val="en-US" w:eastAsia="zh-CN"/>
              </w:rPr>
              <w:t>1、</w:t>
            </w:r>
            <w:r>
              <w:rPr>
                <w:rFonts w:hint="eastAsia" w:ascii="仿宋" w:hAnsi="仿宋" w:eastAsia="仿宋" w:cs="仿宋"/>
                <w:i w:val="0"/>
                <w:iCs w:val="0"/>
                <w:caps w:val="0"/>
                <w:color w:val="000000" w:themeColor="text1"/>
                <w:spacing w:val="0"/>
                <w:sz w:val="18"/>
                <w:szCs w:val="18"/>
                <w:shd w:val="clear" w:fill="FFFFFF"/>
              </w:rPr>
              <w:t>学时收费标准</w:t>
            </w:r>
            <w:r>
              <w:rPr>
                <w:rFonts w:hint="eastAsia" w:ascii="仿宋" w:hAnsi="仿宋" w:eastAsia="仿宋" w:cs="仿宋"/>
                <w:i w:val="0"/>
                <w:iCs w:val="0"/>
                <w:caps w:val="0"/>
                <w:color w:val="000000" w:themeColor="text1"/>
                <w:spacing w:val="0"/>
                <w:sz w:val="18"/>
                <w:szCs w:val="18"/>
                <w:shd w:val="clear" w:fill="FFFFFF"/>
                <w:lang w:eastAsia="zh-CN"/>
              </w:rPr>
              <w:t>资料</w:t>
            </w:r>
            <w:r>
              <w:rPr>
                <w:rFonts w:hint="eastAsia" w:ascii="仿宋" w:hAnsi="仿宋" w:eastAsia="仿宋" w:cs="仿宋"/>
                <w:i w:val="0"/>
                <w:iCs w:val="0"/>
                <w:caps w:val="0"/>
                <w:color w:val="000000" w:themeColor="text1"/>
                <w:spacing w:val="0"/>
                <w:sz w:val="18"/>
                <w:szCs w:val="18"/>
                <w:shd w:val="clear" w:fill="FFFFFF"/>
              </w:rPr>
              <w:t>。</w:t>
            </w:r>
          </w:p>
        </w:tc>
      </w:tr>
      <w:tr w14:paraId="7AA4D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047E18A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509FF833">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756D424B">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79DAAE19">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71FC12BF">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46F795D8">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7C6374C4">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58B98985">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6E60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1" w:hRule="atLeast"/>
          <w:jc w:val="center"/>
        </w:trPr>
        <w:tc>
          <w:tcPr>
            <w:tcW w:w="1324" w:type="dxa"/>
            <w:vAlign w:val="center"/>
          </w:tcPr>
          <w:p w14:paraId="300B729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44D98E82">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38C9196">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1885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405B3E8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2315957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585DAB6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6669E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320C442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4426FEF4">
            <w:pPr>
              <w:widowControl/>
              <w:jc w:val="left"/>
              <w:textAlignment w:val="center"/>
              <w:rPr>
                <w:rFonts w:ascii="黑体" w:eastAsia="黑体" w:cs="黑体"/>
                <w:color w:val="000000" w:themeColor="text1"/>
                <w:kern w:val="0"/>
                <w:sz w:val="18"/>
                <w:szCs w:val="18"/>
              </w:rPr>
            </w:pPr>
          </w:p>
        </w:tc>
      </w:tr>
    </w:tbl>
    <w:p w14:paraId="208D855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489"/>
        <w:gridCol w:w="474"/>
        <w:gridCol w:w="992"/>
        <w:gridCol w:w="567"/>
        <w:gridCol w:w="429"/>
        <w:gridCol w:w="1502"/>
      </w:tblGrid>
      <w:tr w14:paraId="511C2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4ECA6C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3D3A3E19">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6</w:t>
            </w:r>
          </w:p>
        </w:tc>
        <w:tc>
          <w:tcPr>
            <w:tcW w:w="1691" w:type="dxa"/>
            <w:vAlign w:val="center"/>
          </w:tcPr>
          <w:p w14:paraId="74A6FE8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0EF2E32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2ED76C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85D575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DAD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10F408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5BB0CEE8">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道路货物运输站（场）经营备案</w:t>
            </w:r>
          </w:p>
        </w:tc>
      </w:tr>
      <w:tr w14:paraId="0123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83" w:hRule="atLeast"/>
          <w:jc w:val="center"/>
        </w:trPr>
        <w:tc>
          <w:tcPr>
            <w:tcW w:w="1324" w:type="dxa"/>
            <w:vAlign w:val="center"/>
          </w:tcPr>
          <w:p w14:paraId="121ECB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00D9B7A8">
            <w:pPr>
              <w:shd w:val="clear" w:color="auto" w:fill="FFFFFF"/>
              <w:spacing w:line="258" w:lineRule="atLeast"/>
              <w:rPr>
                <w:rFonts w:ascii="仿宋" w:eastAsia="仿宋" w:cs="Helvetica"/>
                <w:color w:val="000000" w:themeColor="text1"/>
                <w:kern w:val="0"/>
                <w:sz w:val="18"/>
                <w:szCs w:val="18"/>
              </w:rPr>
            </w:pPr>
            <w:r>
              <w:rPr>
                <w:rFonts w:hint="eastAsia" w:ascii="仿宋" w:eastAsia="仿宋" w:cs="黑体"/>
                <w:color w:val="000000" w:themeColor="text1"/>
                <w:sz w:val="18"/>
                <w:szCs w:val="18"/>
              </w:rPr>
              <w:t>【法律法规】</w:t>
            </w:r>
            <w:r>
              <w:rPr>
                <w:rFonts w:hint="eastAsia" w:ascii="仿宋" w:eastAsia="仿宋" w:cs="仿宋_GB2312"/>
                <w:color w:val="000000" w:themeColor="text1"/>
                <w:sz w:val="18"/>
                <w:szCs w:val="18"/>
              </w:rPr>
              <w:t>《中华人民共和国道路运输条例》（国务院令第</w:t>
            </w:r>
            <w:r>
              <w:rPr>
                <w:rFonts w:ascii="仿宋" w:eastAsia="仿宋" w:cs="仿宋_GB2312"/>
                <w:color w:val="000000" w:themeColor="text1"/>
                <w:sz w:val="18"/>
                <w:szCs w:val="18"/>
              </w:rPr>
              <w:t>406</w:t>
            </w:r>
            <w:r>
              <w:rPr>
                <w:rFonts w:hint="eastAsia" w:ascii="仿宋" w:eastAsia="仿宋" w:cs="仿宋_GB2312"/>
                <w:color w:val="000000" w:themeColor="text1"/>
                <w:sz w:val="18"/>
                <w:szCs w:val="18"/>
              </w:rPr>
              <w:t>号）第三十九条</w:t>
            </w:r>
            <w:r>
              <w:rPr>
                <w:rFonts w:ascii="仿宋" w:eastAsia="仿宋" w:cs="仿宋_GB2312"/>
                <w:color w:val="000000" w:themeColor="text1"/>
                <w:sz w:val="18"/>
                <w:szCs w:val="18"/>
              </w:rPr>
              <w:t xml:space="preserve"> </w:t>
            </w:r>
            <w:r>
              <w:rPr>
                <w:rFonts w:hint="eastAsia" w:ascii="仿宋" w:eastAsia="仿宋" w:cs="Helvetica"/>
                <w:color w:val="000000" w:themeColor="text1"/>
                <w:kern w:val="0"/>
                <w:sz w:val="18"/>
                <w:szCs w:val="18"/>
              </w:rPr>
              <w:t>申请从事道路旅客运输站（场）经营业务的，应当在依法向市场监督管理部门办理有关登记手续后，向所在地县级人民政府交通运输主管部门提出申请，并附送符合本条例第三十六条规定条件的相关材料。县级人民政府交通运输主管部门应当自受理申请之日起</w:t>
            </w:r>
            <w:r>
              <w:rPr>
                <w:rFonts w:ascii="仿宋" w:eastAsia="仿宋" w:cs="Helvetica"/>
                <w:color w:val="000000" w:themeColor="text1"/>
                <w:kern w:val="0"/>
                <w:sz w:val="18"/>
                <w:szCs w:val="18"/>
              </w:rPr>
              <w:t>15</w:t>
            </w:r>
            <w:r>
              <w:rPr>
                <w:rFonts w:hint="eastAsia" w:ascii="仿宋" w:eastAsia="仿宋" w:cs="Helvetica"/>
                <w:color w:val="000000" w:themeColor="text1"/>
                <w:kern w:val="0"/>
                <w:sz w:val="18"/>
                <w:szCs w:val="18"/>
              </w:rPr>
              <w:t>日内审查完毕，作出许可或者不予许可的决定，并书面通知申请人。从事道路货物运输站（场）经营、机动车维修经营和机动车驾驶员培训业务的，应当在依法向市场监督管理部门办理有关登记手续后，向所在地县级人民政府交通运输主管部门进行备案，并分别附送符合本条例第三十六条、第三十七条、第三十八条规定条件的相关材料。</w:t>
            </w:r>
          </w:p>
          <w:p w14:paraId="51C97974">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679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5EFAAC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27C8C4C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48C7F6A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119690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0EE8115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75F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4ED3DECD">
            <w:pPr>
              <w:rPr>
                <w:color w:val="000000" w:themeColor="text1"/>
              </w:rPr>
            </w:pPr>
          </w:p>
        </w:tc>
        <w:tc>
          <w:tcPr>
            <w:tcW w:w="1189" w:type="dxa"/>
            <w:vAlign w:val="center"/>
          </w:tcPr>
          <w:p w14:paraId="2F534B9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69FD4954">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4E978C95">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E8F577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4DC17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75" w:hRule="atLeast"/>
          <w:jc w:val="center"/>
        </w:trPr>
        <w:tc>
          <w:tcPr>
            <w:tcW w:w="1324" w:type="dxa"/>
            <w:vMerge w:val="continue"/>
            <w:vAlign w:val="center"/>
          </w:tcPr>
          <w:p w14:paraId="71DBE08C">
            <w:pPr>
              <w:rPr>
                <w:color w:val="000000" w:themeColor="text1"/>
              </w:rPr>
            </w:pPr>
          </w:p>
        </w:tc>
        <w:tc>
          <w:tcPr>
            <w:tcW w:w="1189" w:type="dxa"/>
            <w:vAlign w:val="center"/>
          </w:tcPr>
          <w:p w14:paraId="14A681A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15FAD549">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对提交材料进行审核</w:t>
            </w:r>
            <w:r>
              <w:rPr>
                <w:rFonts w:ascii="仿宋" w:eastAsia="仿宋" w:cs="仿宋_GB2312"/>
                <w:color w:val="000000" w:themeColor="text1"/>
                <w:sz w:val="18"/>
                <w:szCs w:val="18"/>
              </w:rPr>
              <w:t>,</w:t>
            </w:r>
            <w:r>
              <w:rPr>
                <w:rFonts w:hint="eastAsia" w:ascii="仿宋" w:eastAsia="仿宋" w:cs="仿宋_GB2312"/>
                <w:color w:val="000000" w:themeColor="text1"/>
                <w:sz w:val="18"/>
                <w:szCs w:val="18"/>
              </w:rPr>
              <w:t>提出审查意见</w:t>
            </w:r>
            <w:r>
              <w:rPr>
                <w:rFonts w:ascii="仿宋" w:eastAsia="仿宋" w:cs="仿宋_GB2312"/>
                <w:color w:val="000000" w:themeColor="text1"/>
                <w:sz w:val="18"/>
                <w:szCs w:val="18"/>
              </w:rPr>
              <w:t>.</w:t>
            </w:r>
          </w:p>
        </w:tc>
        <w:tc>
          <w:tcPr>
            <w:tcW w:w="996" w:type="dxa"/>
            <w:gridSpan w:val="2"/>
            <w:vAlign w:val="center"/>
          </w:tcPr>
          <w:p w14:paraId="29D10A1A">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1B95C4C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63298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9" w:hRule="atLeast"/>
          <w:jc w:val="center"/>
        </w:trPr>
        <w:tc>
          <w:tcPr>
            <w:tcW w:w="1324" w:type="dxa"/>
            <w:vMerge w:val="continue"/>
            <w:vAlign w:val="center"/>
          </w:tcPr>
          <w:p w14:paraId="74745BD3">
            <w:pPr>
              <w:rPr>
                <w:color w:val="000000" w:themeColor="text1"/>
              </w:rPr>
            </w:pPr>
          </w:p>
        </w:tc>
        <w:tc>
          <w:tcPr>
            <w:tcW w:w="1189" w:type="dxa"/>
            <w:vAlign w:val="center"/>
          </w:tcPr>
          <w:p w14:paraId="2E9AD9C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147B7F9F">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60CD33F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DFEE6D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12F67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1C441E61">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10" w:type="dxa"/>
            <w:gridSpan w:val="4"/>
            <w:tcBorders>
              <w:right w:val="single" w:color="auto" w:sz="4" w:space="0"/>
            </w:tcBorders>
            <w:shd w:val="clear" w:color="auto" w:fill="auto"/>
            <w:vAlign w:val="center"/>
          </w:tcPr>
          <w:p w14:paraId="40C9D669">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66" w:type="dxa"/>
            <w:gridSpan w:val="2"/>
            <w:tcBorders>
              <w:left w:val="single" w:color="auto" w:sz="4" w:space="0"/>
            </w:tcBorders>
            <w:shd w:val="clear" w:color="auto" w:fill="auto"/>
            <w:vAlign w:val="center"/>
          </w:tcPr>
          <w:p w14:paraId="7F58DFB2">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4982F692">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2177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61F00AAC">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1501EF08">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30" w:lineRule="atLeast"/>
              <w:ind w:right="0"/>
              <w:jc w:val="both"/>
              <w:textAlignment w:val="auto"/>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lang w:val="en-US" w:eastAsia="zh-CN"/>
              </w:rPr>
              <w:t>1、</w:t>
            </w:r>
            <w:r>
              <w:rPr>
                <w:rFonts w:hint="eastAsia" w:ascii="仿宋" w:hAnsi="仿宋" w:eastAsia="仿宋" w:cs="仿宋"/>
                <w:color w:val="000000" w:themeColor="text1"/>
                <w:sz w:val="18"/>
                <w:szCs w:val="18"/>
              </w:rPr>
              <w:t>《道路货物运输站（场）经营备案表》（见附件2）；</w:t>
            </w:r>
            <w:r>
              <w:rPr>
                <w:rFonts w:hint="eastAsia" w:ascii="仿宋" w:hAnsi="仿宋" w:eastAsia="仿宋" w:cs="仿宋"/>
                <w:color w:val="000000" w:themeColor="text1"/>
                <w:sz w:val="18"/>
                <w:szCs w:val="18"/>
                <w:lang w:val="en-US" w:eastAsia="zh-CN"/>
              </w:rPr>
              <w:t>2、</w:t>
            </w:r>
            <w:r>
              <w:rPr>
                <w:rFonts w:hint="eastAsia" w:ascii="仿宋" w:hAnsi="仿宋" w:eastAsia="仿宋" w:cs="仿宋"/>
                <w:color w:val="000000" w:themeColor="text1"/>
                <w:sz w:val="18"/>
                <w:szCs w:val="18"/>
              </w:rPr>
              <w:t>负责人身份证明，经办人的身份证明和委托书；</w:t>
            </w:r>
            <w:r>
              <w:rPr>
                <w:rFonts w:hint="eastAsia" w:ascii="仿宋" w:hAnsi="仿宋" w:eastAsia="仿宋" w:cs="仿宋"/>
                <w:color w:val="000000" w:themeColor="text1"/>
                <w:sz w:val="18"/>
                <w:szCs w:val="18"/>
                <w:lang w:val="en-US" w:eastAsia="zh-CN"/>
              </w:rPr>
              <w:t>3、</w:t>
            </w:r>
            <w:r>
              <w:rPr>
                <w:rFonts w:hint="eastAsia" w:ascii="仿宋" w:hAnsi="仿宋" w:eastAsia="仿宋" w:cs="仿宋"/>
                <w:color w:val="000000" w:themeColor="text1"/>
                <w:sz w:val="18"/>
                <w:szCs w:val="18"/>
              </w:rPr>
              <w:t>经营货运站的土地、房屋的合法证明；</w:t>
            </w:r>
            <w:r>
              <w:rPr>
                <w:rFonts w:hint="eastAsia" w:ascii="仿宋" w:hAnsi="仿宋" w:eastAsia="仿宋" w:cs="仿宋"/>
                <w:color w:val="000000" w:themeColor="text1"/>
                <w:sz w:val="18"/>
                <w:szCs w:val="18"/>
                <w:lang w:val="en-US" w:eastAsia="zh-CN"/>
              </w:rPr>
              <w:t>4、</w:t>
            </w:r>
            <w:r>
              <w:rPr>
                <w:rFonts w:hint="eastAsia" w:ascii="仿宋" w:hAnsi="仿宋" w:eastAsia="仿宋" w:cs="仿宋"/>
                <w:color w:val="000000" w:themeColor="text1"/>
                <w:sz w:val="18"/>
                <w:szCs w:val="18"/>
              </w:rPr>
              <w:t>货运站竣工验收证明；</w:t>
            </w:r>
            <w:r>
              <w:rPr>
                <w:rFonts w:hint="eastAsia" w:ascii="仿宋" w:hAnsi="仿宋" w:eastAsia="仿宋" w:cs="仿宋"/>
                <w:color w:val="000000" w:themeColor="text1"/>
                <w:sz w:val="18"/>
                <w:szCs w:val="18"/>
                <w:lang w:val="en-US" w:eastAsia="zh-CN"/>
              </w:rPr>
              <w:t>5、</w:t>
            </w:r>
            <w:r>
              <w:rPr>
                <w:rFonts w:hint="eastAsia" w:ascii="仿宋" w:hAnsi="仿宋" w:eastAsia="仿宋" w:cs="仿宋"/>
                <w:color w:val="000000" w:themeColor="text1"/>
                <w:sz w:val="18"/>
                <w:szCs w:val="18"/>
              </w:rPr>
              <w:t>与业务相适应的专业人员和管理人员的身份证明、专业证书；</w:t>
            </w:r>
            <w:r>
              <w:rPr>
                <w:rFonts w:hint="eastAsia" w:ascii="仿宋" w:hAnsi="仿宋" w:eastAsia="仿宋" w:cs="仿宋"/>
                <w:color w:val="000000" w:themeColor="text1"/>
                <w:sz w:val="18"/>
                <w:szCs w:val="18"/>
                <w:lang w:val="en-US" w:eastAsia="zh-CN"/>
              </w:rPr>
              <w:t>6、</w:t>
            </w:r>
            <w:r>
              <w:rPr>
                <w:rFonts w:hint="eastAsia" w:ascii="仿宋" w:hAnsi="仿宋" w:eastAsia="仿宋" w:cs="仿宋"/>
                <w:color w:val="000000" w:themeColor="text1"/>
                <w:sz w:val="18"/>
                <w:szCs w:val="18"/>
              </w:rPr>
              <w:t>业务操作规程和安全生产管理制度文本。</w:t>
            </w:r>
          </w:p>
        </w:tc>
      </w:tr>
      <w:tr w14:paraId="0C572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6CA3D01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3C883B7C">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5CD7199A">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05181523">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6E3229E1">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10C0EA68">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71660468">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47109F3C">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31821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5751835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1ED5EB79">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11E60EBE">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3843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69EAA84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5ED191E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62FFDC7C">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65F0D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37B9D06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6ACE822F">
            <w:pPr>
              <w:widowControl/>
              <w:jc w:val="left"/>
              <w:textAlignment w:val="center"/>
              <w:rPr>
                <w:rFonts w:ascii="黑体" w:eastAsia="黑体" w:cs="黑体"/>
                <w:color w:val="000000" w:themeColor="text1"/>
                <w:kern w:val="0"/>
                <w:sz w:val="18"/>
                <w:szCs w:val="18"/>
              </w:rPr>
            </w:pPr>
          </w:p>
        </w:tc>
      </w:tr>
    </w:tbl>
    <w:p w14:paraId="2307BDA3">
      <w:pPr>
        <w:rPr>
          <w:color w:val="000000" w:themeColor="text1"/>
        </w:rPr>
      </w:pPr>
    </w:p>
    <w:p w14:paraId="18EA3DBC">
      <w:pPr>
        <w:widowControl/>
        <w:jc w:val="center"/>
        <w:textAlignment w:val="center"/>
        <w:rPr>
          <w:rFonts w:hint="eastAsia" w:ascii="方正小标宋简体" w:eastAsia="方正小标宋简体" w:cs="方正小标宋简体"/>
          <w:color w:val="000000" w:themeColor="text1"/>
          <w:kern w:val="0"/>
          <w:sz w:val="44"/>
          <w:szCs w:val="44"/>
        </w:rPr>
      </w:pPr>
    </w:p>
    <w:p w14:paraId="3B9CB5C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489"/>
        <w:gridCol w:w="474"/>
        <w:gridCol w:w="899"/>
        <w:gridCol w:w="660"/>
        <w:gridCol w:w="429"/>
        <w:gridCol w:w="1502"/>
      </w:tblGrid>
      <w:tr w14:paraId="24C07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2496B0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256B0221">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7</w:t>
            </w:r>
          </w:p>
        </w:tc>
        <w:tc>
          <w:tcPr>
            <w:tcW w:w="1691" w:type="dxa"/>
            <w:vAlign w:val="center"/>
          </w:tcPr>
          <w:p w14:paraId="0505FFBE">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EB5DFA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55A704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0C6445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8C1A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1BE822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48471903">
            <w:pPr>
              <w:widowControl/>
              <w:jc w:val="center"/>
              <w:textAlignment w:val="center"/>
              <w:rPr>
                <w:rFonts w:asci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sz w:val="18"/>
                <w:szCs w:val="18"/>
                <w:lang w:eastAsia="zh-CN"/>
              </w:rPr>
              <w:t>道路货运经营者设立分公司备案</w:t>
            </w:r>
          </w:p>
        </w:tc>
      </w:tr>
      <w:tr w14:paraId="13F09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518" w:hRule="atLeast"/>
          <w:jc w:val="center"/>
        </w:trPr>
        <w:tc>
          <w:tcPr>
            <w:tcW w:w="1324" w:type="dxa"/>
            <w:vAlign w:val="center"/>
          </w:tcPr>
          <w:p w14:paraId="196A012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top"/>
          </w:tcPr>
          <w:p w14:paraId="0D3559B3">
            <w:pPr>
              <w:shd w:val="clear" w:color="auto" w:fill="FFFFFF"/>
              <w:spacing w:line="258" w:lineRule="atLeast"/>
              <w:jc w:val="both"/>
              <w:rPr>
                <w:rFonts w:hint="eastAsia" w:ascii="仿宋" w:eastAsia="仿宋" w:cs="黑体"/>
                <w:color w:val="000000" w:themeColor="text1"/>
                <w:sz w:val="18"/>
                <w:szCs w:val="18"/>
              </w:rPr>
            </w:pPr>
            <w:r>
              <w:rPr>
                <w:rFonts w:hint="eastAsia" w:ascii="仿宋" w:eastAsia="仿宋" w:cs="黑体"/>
                <w:color w:val="000000" w:themeColor="text1"/>
                <w:sz w:val="18"/>
                <w:szCs w:val="18"/>
              </w:rPr>
              <w:t>【法律法规】</w:t>
            </w:r>
          </w:p>
          <w:p w14:paraId="1F94F3DE">
            <w:pPr>
              <w:shd w:val="clear" w:color="auto" w:fill="FFFFFF"/>
              <w:spacing w:line="258" w:lineRule="atLeast"/>
              <w:jc w:val="both"/>
              <w:rPr>
                <w:rFonts w:hint="eastAsia" w:ascii="仿宋" w:eastAsia="仿宋" w:cs="黑体"/>
                <w:color w:val="000000" w:themeColor="text1"/>
                <w:sz w:val="18"/>
                <w:szCs w:val="18"/>
              </w:rPr>
            </w:pPr>
            <w:r>
              <w:rPr>
                <w:rFonts w:hint="eastAsia" w:ascii="仿宋" w:eastAsia="仿宋" w:cs="黑体"/>
                <w:color w:val="000000" w:themeColor="text1"/>
                <w:sz w:val="18"/>
                <w:szCs w:val="18"/>
              </w:rPr>
              <w:t xml:space="preserve">1、《道路危险货物运输管理规定》第十七条　道路危险货物运输企业设立子公司从事道路危险货物运输的，应当向子公司注册地设区的市级交通运输主管部门申请运输许可。设立分公司的，应当向分公司注册地设区的市级交通运输主管部门备案。      </w:t>
            </w:r>
          </w:p>
          <w:p w14:paraId="0D99395E">
            <w:pPr>
              <w:shd w:val="clear" w:color="auto" w:fill="FFFFFF"/>
              <w:spacing w:line="258" w:lineRule="atLeast"/>
              <w:jc w:val="both"/>
              <w:rPr>
                <w:rFonts w:ascii="仿宋" w:eastAsia="仿宋" w:cs="Helvetica"/>
                <w:color w:val="000000" w:themeColor="text1"/>
                <w:kern w:val="0"/>
                <w:sz w:val="18"/>
                <w:szCs w:val="18"/>
              </w:rPr>
            </w:pPr>
            <w:r>
              <w:rPr>
                <w:rFonts w:hint="eastAsia" w:ascii="仿宋" w:eastAsia="仿宋" w:cs="黑体"/>
                <w:color w:val="000000" w:themeColor="text1"/>
                <w:sz w:val="18"/>
                <w:szCs w:val="18"/>
              </w:rPr>
              <w:t>2、《道路货物运输及站场管理规定》第十六条　道路货物运输经营者设立子公司的，应当向设立地的交通运输主管部门申请经营许可；设立分公司的，应当向设立地的交通运输主管部门报备。</w:t>
            </w:r>
          </w:p>
          <w:p w14:paraId="342B7777">
            <w:pPr>
              <w:spacing w:line="240" w:lineRule="exact"/>
              <w:jc w:val="both"/>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05C3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6F95176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8C4D5D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194" w:type="dxa"/>
            <w:gridSpan w:val="5"/>
            <w:vAlign w:val="center"/>
          </w:tcPr>
          <w:p w14:paraId="1F8B50E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89" w:type="dxa"/>
            <w:gridSpan w:val="2"/>
            <w:vAlign w:val="center"/>
          </w:tcPr>
          <w:p w14:paraId="66CC84D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11A8A3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F52C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62F906E6">
            <w:pPr>
              <w:rPr>
                <w:color w:val="000000" w:themeColor="text1"/>
              </w:rPr>
            </w:pPr>
          </w:p>
        </w:tc>
        <w:tc>
          <w:tcPr>
            <w:tcW w:w="1189" w:type="dxa"/>
            <w:vAlign w:val="center"/>
          </w:tcPr>
          <w:p w14:paraId="530857F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194" w:type="dxa"/>
            <w:gridSpan w:val="5"/>
            <w:vAlign w:val="center"/>
          </w:tcPr>
          <w:p w14:paraId="03E09DBC">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1089" w:type="dxa"/>
            <w:gridSpan w:val="2"/>
            <w:vAlign w:val="center"/>
          </w:tcPr>
          <w:p w14:paraId="3E8096B9">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5618790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7ACA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5" w:hRule="atLeast"/>
          <w:jc w:val="center"/>
        </w:trPr>
        <w:tc>
          <w:tcPr>
            <w:tcW w:w="1324" w:type="dxa"/>
            <w:vMerge w:val="continue"/>
            <w:vAlign w:val="center"/>
          </w:tcPr>
          <w:p w14:paraId="5EFE7039">
            <w:pPr>
              <w:rPr>
                <w:color w:val="000000" w:themeColor="text1"/>
              </w:rPr>
            </w:pPr>
          </w:p>
        </w:tc>
        <w:tc>
          <w:tcPr>
            <w:tcW w:w="1189" w:type="dxa"/>
            <w:vAlign w:val="center"/>
          </w:tcPr>
          <w:p w14:paraId="0E3C0CF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194" w:type="dxa"/>
            <w:gridSpan w:val="5"/>
            <w:vAlign w:val="center"/>
          </w:tcPr>
          <w:p w14:paraId="75F3207A">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对提交材料进行审核</w:t>
            </w:r>
            <w:r>
              <w:rPr>
                <w:rFonts w:ascii="仿宋" w:eastAsia="仿宋" w:cs="仿宋_GB2312"/>
                <w:color w:val="000000" w:themeColor="text1"/>
                <w:sz w:val="18"/>
                <w:szCs w:val="18"/>
              </w:rPr>
              <w:t>,</w:t>
            </w:r>
            <w:r>
              <w:rPr>
                <w:rFonts w:hint="eastAsia" w:ascii="仿宋" w:eastAsia="仿宋" w:cs="仿宋_GB2312"/>
                <w:color w:val="000000" w:themeColor="text1"/>
                <w:sz w:val="18"/>
                <w:szCs w:val="18"/>
              </w:rPr>
              <w:t>提出审查意见</w:t>
            </w:r>
            <w:r>
              <w:rPr>
                <w:rFonts w:ascii="仿宋" w:eastAsia="仿宋" w:cs="仿宋_GB2312"/>
                <w:color w:val="000000" w:themeColor="text1"/>
                <w:sz w:val="18"/>
                <w:szCs w:val="18"/>
              </w:rPr>
              <w:t>.</w:t>
            </w:r>
          </w:p>
        </w:tc>
        <w:tc>
          <w:tcPr>
            <w:tcW w:w="1089" w:type="dxa"/>
            <w:gridSpan w:val="2"/>
            <w:vAlign w:val="center"/>
          </w:tcPr>
          <w:p w14:paraId="4F837DE5">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6658354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7ACE1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586838CF">
            <w:pPr>
              <w:rPr>
                <w:color w:val="000000" w:themeColor="text1"/>
              </w:rPr>
            </w:pPr>
          </w:p>
        </w:tc>
        <w:tc>
          <w:tcPr>
            <w:tcW w:w="1189" w:type="dxa"/>
            <w:vAlign w:val="center"/>
          </w:tcPr>
          <w:p w14:paraId="3A793DD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194" w:type="dxa"/>
            <w:gridSpan w:val="5"/>
            <w:vAlign w:val="center"/>
          </w:tcPr>
          <w:p w14:paraId="4F5B8C33">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1089" w:type="dxa"/>
            <w:gridSpan w:val="2"/>
            <w:vAlign w:val="center"/>
          </w:tcPr>
          <w:p w14:paraId="3F7056BB">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37E532F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区交通运输综合服务中心</w:t>
            </w:r>
          </w:p>
        </w:tc>
      </w:tr>
      <w:tr w14:paraId="5E13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6C274EAB">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10" w:type="dxa"/>
            <w:gridSpan w:val="4"/>
            <w:tcBorders>
              <w:right w:val="single" w:color="auto" w:sz="4" w:space="0"/>
            </w:tcBorders>
            <w:shd w:val="clear" w:color="auto" w:fill="auto"/>
            <w:vAlign w:val="center"/>
          </w:tcPr>
          <w:p w14:paraId="070688BF">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373" w:type="dxa"/>
            <w:gridSpan w:val="2"/>
            <w:tcBorders>
              <w:left w:val="single" w:color="auto" w:sz="4" w:space="0"/>
            </w:tcBorders>
            <w:shd w:val="clear" w:color="auto" w:fill="auto"/>
            <w:vAlign w:val="center"/>
          </w:tcPr>
          <w:p w14:paraId="209C57E9">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591" w:type="dxa"/>
            <w:gridSpan w:val="3"/>
            <w:shd w:val="clear" w:color="auto" w:fill="auto"/>
            <w:vAlign w:val="center"/>
          </w:tcPr>
          <w:p w14:paraId="5047AA92">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604B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4F2B2849">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0609E930">
            <w:pPr>
              <w:jc w:val="left"/>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lang w:val="en-US" w:eastAsia="zh-CN"/>
              </w:rPr>
              <w:t>1、道路运输企业设立分公司备案登记表；2、道路运输经营许可证；3、分公司安全生产管理制度；4、同意设立分公司的函；5、法人身份证；6、经办人身份证；7、授权委托书。</w:t>
            </w:r>
          </w:p>
        </w:tc>
      </w:tr>
      <w:tr w14:paraId="78592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2E10006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6625ECC2">
            <w:pP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因不履行或不正确履行行政职责，有下列情形的，行政机关及相关工作人员应承担相应责任：</w:t>
            </w:r>
          </w:p>
          <w:p w14:paraId="2FB81F84">
            <w:pP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对符合受理条件的行政确认申请不予受理；</w:t>
            </w:r>
          </w:p>
          <w:p w14:paraId="07DEE321">
            <w:pPr>
              <w:rPr>
                <w:rFonts w:ascii="仿宋_GB2312" w:eastAsia="仿宋_GB2312" w:cs="黑体"/>
                <w:color w:val="000000" w:themeColor="text1"/>
                <w:sz w:val="18"/>
                <w:szCs w:val="18"/>
              </w:rPr>
            </w:pPr>
            <w:r>
              <w:rPr>
                <w:rFonts w:ascii="仿宋_GB2312" w:eastAsia="仿宋_GB2312" w:cs="黑体"/>
                <w:color w:val="000000" w:themeColor="text1"/>
                <w:sz w:val="18"/>
                <w:szCs w:val="18"/>
              </w:rPr>
              <w:t>2.</w:t>
            </w:r>
            <w:r>
              <w:rPr>
                <w:rFonts w:hint="eastAsia" w:ascii="仿宋_GB2312" w:eastAsia="仿宋_GB2312" w:cs="黑体"/>
                <w:color w:val="000000" w:themeColor="text1"/>
                <w:sz w:val="18"/>
                <w:szCs w:val="18"/>
              </w:rPr>
              <w:t>对不符合条件的受理、办理的情形；</w:t>
            </w:r>
          </w:p>
          <w:p w14:paraId="5C126179">
            <w:pPr>
              <w:rPr>
                <w:rFonts w:ascii="仿宋_GB2312" w:eastAsia="仿宋_GB2312" w:cs="黑体"/>
                <w:color w:val="000000" w:themeColor="text1"/>
                <w:sz w:val="18"/>
                <w:szCs w:val="18"/>
              </w:rPr>
            </w:pPr>
            <w:r>
              <w:rPr>
                <w:rFonts w:ascii="仿宋_GB2312" w:eastAsia="仿宋_GB2312" w:cs="黑体"/>
                <w:color w:val="000000" w:themeColor="text1"/>
                <w:sz w:val="18"/>
                <w:szCs w:val="18"/>
              </w:rPr>
              <w:t>3.</w:t>
            </w:r>
            <w:r>
              <w:rPr>
                <w:rFonts w:hint="eastAsia" w:ascii="仿宋_GB2312" w:eastAsia="仿宋_GB2312" w:cs="黑体"/>
                <w:color w:val="000000" w:themeColor="text1"/>
                <w:sz w:val="18"/>
                <w:szCs w:val="18"/>
              </w:rPr>
              <w:t>未严格按照相关政策、法律、法规履行审查义务，对应当予以确认的不予确认，或者对不应确认的予以确认；</w:t>
            </w:r>
          </w:p>
          <w:p w14:paraId="7AE8A01D">
            <w:pPr>
              <w:rPr>
                <w:rFonts w:ascii="仿宋_GB2312" w:eastAsia="仿宋_GB2312" w:cs="黑体"/>
                <w:color w:val="000000" w:themeColor="text1"/>
                <w:sz w:val="18"/>
                <w:szCs w:val="18"/>
              </w:rPr>
            </w:pPr>
            <w:r>
              <w:rPr>
                <w:rFonts w:ascii="仿宋_GB2312" w:eastAsia="仿宋_GB2312" w:cs="黑体"/>
                <w:color w:val="000000" w:themeColor="text1"/>
                <w:sz w:val="18"/>
                <w:szCs w:val="18"/>
              </w:rPr>
              <w:t>4.</w:t>
            </w:r>
            <w:r>
              <w:rPr>
                <w:rFonts w:hint="eastAsia" w:ascii="仿宋_GB2312" w:eastAsia="仿宋_GB2312" w:cs="黑体"/>
                <w:color w:val="000000" w:themeColor="text1"/>
                <w:sz w:val="18"/>
                <w:szCs w:val="18"/>
              </w:rPr>
              <w:t>在审查过程中玩忽职守、滥用职权的；</w:t>
            </w:r>
          </w:p>
          <w:p w14:paraId="762B3AF7">
            <w:pP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在行使行政权力过程中发生腐败行为的；</w:t>
            </w:r>
          </w:p>
          <w:p w14:paraId="4033A7E2">
            <w:pPr>
              <w:rPr>
                <w:rFonts w:ascii="黑体" w:eastAsia="黑体" w:cs="黑体"/>
                <w:color w:val="000000" w:themeColor="text1"/>
                <w:szCs w:val="21"/>
              </w:rPr>
            </w:pPr>
            <w:r>
              <w:rPr>
                <w:rFonts w:ascii="仿宋_GB2312" w:eastAsia="仿宋_GB2312" w:cs="黑体"/>
                <w:color w:val="000000" w:themeColor="text1"/>
                <w:sz w:val="18"/>
                <w:szCs w:val="18"/>
              </w:rPr>
              <w:t>6.</w:t>
            </w:r>
            <w:r>
              <w:rPr>
                <w:rFonts w:hint="eastAsia" w:ascii="仿宋_GB2312" w:eastAsia="仿宋_GB2312" w:cs="黑体"/>
                <w:color w:val="000000" w:themeColor="text1"/>
                <w:sz w:val="18"/>
                <w:szCs w:val="18"/>
              </w:rPr>
              <w:t>其他违反法律法规规章文件规定的行为。</w:t>
            </w:r>
          </w:p>
        </w:tc>
      </w:tr>
      <w:tr w14:paraId="30E61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2ADC374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F7B495B">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6AE6B621">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193B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2A4274E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5F999CE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22CA9C9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695ED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5744972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1357580E">
            <w:pPr>
              <w:widowControl/>
              <w:jc w:val="left"/>
              <w:textAlignment w:val="center"/>
              <w:rPr>
                <w:rFonts w:ascii="黑体" w:eastAsia="黑体" w:cs="黑体"/>
                <w:color w:val="000000" w:themeColor="text1"/>
                <w:kern w:val="0"/>
                <w:sz w:val="18"/>
                <w:szCs w:val="18"/>
              </w:rPr>
            </w:pPr>
          </w:p>
        </w:tc>
      </w:tr>
    </w:tbl>
    <w:p w14:paraId="2BAC148B">
      <w:pPr>
        <w:rPr>
          <w:color w:val="000000" w:themeColor="text1"/>
        </w:rPr>
      </w:pPr>
    </w:p>
    <w:p w14:paraId="4235D6FF">
      <w:pPr>
        <w:rPr>
          <w:color w:val="000000" w:themeColor="text1"/>
        </w:rPr>
      </w:pPr>
    </w:p>
    <w:p w14:paraId="64CE53E2">
      <w:pPr>
        <w:rPr>
          <w:color w:val="000000" w:themeColor="text1"/>
        </w:rPr>
      </w:pPr>
    </w:p>
    <w:p w14:paraId="31D54393">
      <w:pPr>
        <w:rPr>
          <w:color w:val="000000" w:themeColor="text1"/>
        </w:rPr>
      </w:pPr>
    </w:p>
    <w:p w14:paraId="048E52B2">
      <w:pPr>
        <w:rPr>
          <w:color w:val="000000" w:themeColor="text1"/>
        </w:rPr>
      </w:pPr>
    </w:p>
    <w:p w14:paraId="0DCD0D0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04"/>
        <w:gridCol w:w="459"/>
        <w:gridCol w:w="992"/>
        <w:gridCol w:w="567"/>
        <w:gridCol w:w="429"/>
        <w:gridCol w:w="1502"/>
      </w:tblGrid>
      <w:tr w14:paraId="39B20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1FC4BE8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6E4EF841">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8</w:t>
            </w:r>
          </w:p>
        </w:tc>
        <w:tc>
          <w:tcPr>
            <w:tcW w:w="1691" w:type="dxa"/>
            <w:vAlign w:val="center"/>
          </w:tcPr>
          <w:p w14:paraId="7C85CF1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4B9ECC6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7E74C02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2CAA70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1AC02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7E7A8D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18CCC95D">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从事货运代理（代办）等货运相关服务备案</w:t>
            </w:r>
          </w:p>
        </w:tc>
      </w:tr>
      <w:tr w14:paraId="5F1BA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09B039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15EA34FB">
            <w:pPr>
              <w:spacing w:line="240" w:lineRule="exact"/>
              <w:rPr>
                <w:rFonts w:ascii="仿宋" w:eastAsia="仿宋"/>
                <w:color w:val="000000" w:themeColor="text1"/>
                <w:sz w:val="18"/>
                <w:szCs w:val="18"/>
                <w:shd w:val="clear" w:color="auto" w:fill="FFFFFF"/>
              </w:rPr>
            </w:pPr>
            <w:r>
              <w:rPr>
                <w:rFonts w:hint="eastAsia" w:ascii="仿宋" w:eastAsia="仿宋" w:cs="黑体"/>
                <w:color w:val="000000" w:themeColor="text1"/>
                <w:sz w:val="18"/>
                <w:szCs w:val="18"/>
              </w:rPr>
              <w:t>【法律法规】</w:t>
            </w:r>
            <w:r>
              <w:rPr>
                <w:rFonts w:hint="eastAsia" w:ascii="仿宋" w:eastAsia="仿宋" w:cs="仿宋_GB2312"/>
                <w:color w:val="000000" w:themeColor="text1"/>
                <w:sz w:val="18"/>
                <w:szCs w:val="18"/>
              </w:rPr>
              <w:t>《道路货物运输及站场管理规定》（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_GB2312"/>
                <w:color w:val="000000" w:themeColor="text1"/>
                <w:sz w:val="18"/>
                <w:szCs w:val="18"/>
              </w:rPr>
              <w:t>交通运输部令</w:t>
            </w:r>
            <w:r>
              <w:rPr>
                <w:rFonts w:ascii="仿宋" w:eastAsia="仿宋" w:cs="仿宋_GB2312"/>
                <w:color w:val="000000" w:themeColor="text1"/>
                <w:sz w:val="18"/>
                <w:szCs w:val="18"/>
              </w:rPr>
              <w:t>2023</w:t>
            </w:r>
            <w:r>
              <w:rPr>
                <w:rFonts w:hint="eastAsia" w:ascii="仿宋" w:eastAsia="仿宋" w:cs="仿宋_GB2312"/>
                <w:color w:val="000000" w:themeColor="text1"/>
                <w:sz w:val="18"/>
                <w:szCs w:val="18"/>
              </w:rPr>
              <w:t>第</w:t>
            </w:r>
            <w:r>
              <w:rPr>
                <w:rFonts w:ascii="仿宋" w:eastAsia="仿宋" w:cs="仿宋_GB2312"/>
                <w:color w:val="000000" w:themeColor="text1"/>
                <w:sz w:val="18"/>
                <w:szCs w:val="18"/>
              </w:rPr>
              <w:t>12</w:t>
            </w:r>
            <w:r>
              <w:rPr>
                <w:rFonts w:hint="eastAsia" w:ascii="仿宋" w:eastAsia="仿宋" w:cs="仿宋_GB2312"/>
                <w:color w:val="000000" w:themeColor="text1"/>
                <w:sz w:val="18"/>
                <w:szCs w:val="18"/>
              </w:rPr>
              <w:t>号）第十七条。</w:t>
            </w:r>
            <w:r>
              <w:rPr>
                <w:rFonts w:hint="eastAsia" w:ascii="仿宋" w:eastAsia="仿宋"/>
                <w:color w:val="000000" w:themeColor="text1"/>
                <w:sz w:val="18"/>
                <w:szCs w:val="18"/>
                <w:shd w:val="clear" w:color="auto" w:fill="FFFFFF"/>
              </w:rPr>
              <w:t>从事货运代理（代办）等货运相关服务的经营者，应当依法到市场监督管理部门办理有关登记手续，并持有关登记证件到设立地的交通运输主管部门备案。</w:t>
            </w:r>
          </w:p>
          <w:p w14:paraId="06371F4B">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0DE3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679D1EF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41351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53F854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2E9523B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13ECFEA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06FA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4255E4A6">
            <w:pPr>
              <w:rPr>
                <w:color w:val="000000" w:themeColor="text1"/>
              </w:rPr>
            </w:pPr>
          </w:p>
        </w:tc>
        <w:tc>
          <w:tcPr>
            <w:tcW w:w="1189" w:type="dxa"/>
            <w:vAlign w:val="center"/>
          </w:tcPr>
          <w:p w14:paraId="3937D34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273DE245">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5929D36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141028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0A56E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5F583DA8">
            <w:pPr>
              <w:rPr>
                <w:color w:val="000000" w:themeColor="text1"/>
              </w:rPr>
            </w:pPr>
          </w:p>
        </w:tc>
        <w:tc>
          <w:tcPr>
            <w:tcW w:w="1189" w:type="dxa"/>
            <w:vAlign w:val="center"/>
          </w:tcPr>
          <w:p w14:paraId="2CD999D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1B6BDC68">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0344D64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343F651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6281F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725A6DE0">
            <w:pPr>
              <w:rPr>
                <w:color w:val="000000" w:themeColor="text1"/>
              </w:rPr>
            </w:pPr>
          </w:p>
        </w:tc>
        <w:tc>
          <w:tcPr>
            <w:tcW w:w="1189" w:type="dxa"/>
            <w:vAlign w:val="center"/>
          </w:tcPr>
          <w:p w14:paraId="352FDCB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51E0145E">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4C5CB29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79E8956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21862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597B541D">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25" w:type="dxa"/>
            <w:gridSpan w:val="4"/>
            <w:tcBorders>
              <w:right w:val="single" w:color="auto" w:sz="4" w:space="0"/>
            </w:tcBorders>
            <w:shd w:val="clear" w:color="auto" w:fill="auto"/>
            <w:vAlign w:val="center"/>
          </w:tcPr>
          <w:p w14:paraId="5ACF5F3E">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51" w:type="dxa"/>
            <w:gridSpan w:val="2"/>
            <w:tcBorders>
              <w:left w:val="single" w:color="auto" w:sz="4" w:space="0"/>
            </w:tcBorders>
            <w:shd w:val="clear" w:color="auto" w:fill="auto"/>
            <w:vAlign w:val="center"/>
          </w:tcPr>
          <w:p w14:paraId="58EBE59D">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414AA71D">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4EBF4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5CFA44FD">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2E88945D">
            <w:pPr>
              <w:jc w:val="left"/>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rPr>
              <w:t>1</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rPr>
              <w:t>申请报告</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2、</w:t>
            </w:r>
            <w:r>
              <w:rPr>
                <w:rFonts w:hint="eastAsia" w:ascii="仿宋" w:hAnsi="仿宋" w:eastAsia="仿宋" w:cs="仿宋"/>
                <w:color w:val="000000" w:themeColor="text1"/>
                <w:sz w:val="18"/>
                <w:szCs w:val="18"/>
              </w:rPr>
              <w:t>《道路货运代理（代办）经营备案登记表》（见附件）</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3、</w:t>
            </w:r>
            <w:r>
              <w:rPr>
                <w:rFonts w:hint="eastAsia" w:ascii="仿宋" w:hAnsi="仿宋" w:eastAsia="仿宋" w:cs="仿宋"/>
                <w:color w:val="000000" w:themeColor="text1"/>
                <w:sz w:val="18"/>
                <w:szCs w:val="18"/>
              </w:rPr>
              <w:t>《企业法人营业执照》复印件及《章程》复印件</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4、</w:t>
            </w:r>
            <w:r>
              <w:rPr>
                <w:rFonts w:hint="eastAsia" w:ascii="仿宋" w:hAnsi="仿宋" w:eastAsia="仿宋" w:cs="仿宋"/>
                <w:color w:val="000000" w:themeColor="text1"/>
                <w:sz w:val="18"/>
                <w:szCs w:val="18"/>
              </w:rPr>
              <w:t>法人身份证原件及复印件，经办人身份证原件及复印件、授权委托书</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5、</w:t>
            </w:r>
            <w:r>
              <w:rPr>
                <w:rFonts w:hint="eastAsia" w:ascii="仿宋" w:hAnsi="仿宋" w:eastAsia="仿宋" w:cs="仿宋"/>
                <w:color w:val="000000" w:themeColor="text1"/>
                <w:sz w:val="18"/>
                <w:szCs w:val="18"/>
              </w:rPr>
              <w:t>业务操作规程、管理制度文本</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6、</w:t>
            </w:r>
            <w:r>
              <w:rPr>
                <w:rFonts w:hint="eastAsia" w:ascii="仿宋" w:hAnsi="仿宋" w:eastAsia="仿宋" w:cs="仿宋"/>
                <w:color w:val="000000" w:themeColor="text1"/>
                <w:sz w:val="18"/>
                <w:szCs w:val="18"/>
              </w:rPr>
              <w:t>经营场所证明（房屋产权证明或房屋租赁合同)、经营场所地理位置示意图，以及经营场所照片（1张）</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7、</w:t>
            </w:r>
            <w:r>
              <w:rPr>
                <w:rFonts w:hint="eastAsia" w:ascii="仿宋" w:hAnsi="仿宋" w:eastAsia="仿宋" w:cs="仿宋"/>
                <w:color w:val="000000" w:themeColor="text1"/>
                <w:sz w:val="18"/>
                <w:szCs w:val="18"/>
              </w:rPr>
              <w:t>已聘用的相关业务人员和管理人员名册</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8、</w:t>
            </w:r>
            <w:r>
              <w:rPr>
                <w:rFonts w:hint="eastAsia" w:ascii="仿宋" w:hAnsi="仿宋" w:eastAsia="仿宋" w:cs="仿宋"/>
                <w:color w:val="000000" w:themeColor="text1"/>
                <w:sz w:val="18"/>
                <w:szCs w:val="18"/>
              </w:rPr>
              <w:t>承诺书</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9、</w:t>
            </w:r>
            <w:r>
              <w:rPr>
                <w:rFonts w:hint="eastAsia" w:ascii="仿宋" w:hAnsi="仿宋" w:eastAsia="仿宋" w:cs="仿宋"/>
                <w:color w:val="000000" w:themeColor="text1"/>
                <w:sz w:val="18"/>
                <w:szCs w:val="18"/>
              </w:rPr>
              <w:t>依相关规定需要提交的其他的材料</w:t>
            </w:r>
            <w:r>
              <w:rPr>
                <w:rFonts w:hint="eastAsia" w:ascii="仿宋" w:hAnsi="仿宋" w:eastAsia="仿宋" w:cs="仿宋"/>
                <w:color w:val="000000" w:themeColor="text1"/>
                <w:sz w:val="18"/>
                <w:szCs w:val="18"/>
                <w:lang w:eastAsia="zh-CN"/>
              </w:rPr>
              <w:t>。</w:t>
            </w:r>
          </w:p>
        </w:tc>
      </w:tr>
      <w:tr w14:paraId="5E5E2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122AC6E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4622FC40">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48F1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6DDEBC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45D2A51">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20E67D08">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790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1636141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401C05F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4C3252F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187C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31189B2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5B57BB9B">
            <w:pPr>
              <w:widowControl/>
              <w:jc w:val="left"/>
              <w:textAlignment w:val="center"/>
              <w:rPr>
                <w:rFonts w:ascii="黑体" w:eastAsia="黑体" w:cs="黑体"/>
                <w:color w:val="000000" w:themeColor="text1"/>
                <w:kern w:val="0"/>
                <w:sz w:val="18"/>
                <w:szCs w:val="18"/>
              </w:rPr>
            </w:pPr>
          </w:p>
        </w:tc>
      </w:tr>
    </w:tbl>
    <w:p w14:paraId="14B5D1B7">
      <w:pPr>
        <w:rPr>
          <w:color w:val="000000" w:themeColor="text1"/>
        </w:rPr>
      </w:pPr>
    </w:p>
    <w:p w14:paraId="616638DB">
      <w:pPr>
        <w:rPr>
          <w:color w:val="000000" w:themeColor="text1"/>
        </w:rPr>
      </w:pPr>
    </w:p>
    <w:p w14:paraId="66A3933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309"/>
        <w:gridCol w:w="654"/>
        <w:gridCol w:w="992"/>
        <w:gridCol w:w="567"/>
        <w:gridCol w:w="429"/>
        <w:gridCol w:w="1502"/>
      </w:tblGrid>
      <w:tr w14:paraId="5AFA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3CCFE79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499B3BB4">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22</w:t>
            </w:r>
            <w:r>
              <w:rPr>
                <w:rFonts w:hint="eastAsia" w:ascii="黑体" w:eastAsia="黑体" w:cs="黑体"/>
                <w:b/>
                <w:bCs/>
                <w:color w:val="000000" w:themeColor="text1"/>
                <w:szCs w:val="21"/>
                <w:lang w:val="en-US" w:eastAsia="zh-CN"/>
              </w:rPr>
              <w:t>9</w:t>
            </w:r>
          </w:p>
        </w:tc>
        <w:tc>
          <w:tcPr>
            <w:tcW w:w="1691" w:type="dxa"/>
            <w:vAlign w:val="center"/>
          </w:tcPr>
          <w:p w14:paraId="279B8EC2">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551096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2BBFF5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03B301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EB27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430BFD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3E7758B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w w:val="104"/>
                <w:sz w:val="18"/>
                <w:szCs w:val="18"/>
              </w:rPr>
              <w:t>机动车维修连锁经营服务备案</w:t>
            </w:r>
          </w:p>
        </w:tc>
      </w:tr>
      <w:tr w14:paraId="758D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083B5A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5D347A83">
            <w:pPr>
              <w:pStyle w:val="2"/>
              <w:snapToGrid w:val="0"/>
              <w:spacing w:before="0" w:after="0" w:line="240" w:lineRule="atLeast"/>
              <w:rPr>
                <w:rFonts w:ascii="仿宋" w:eastAsia="仿宋"/>
                <w:b w:val="0"/>
                <w:bCs w:val="0"/>
                <w:color w:val="000000" w:themeColor="text1"/>
                <w:sz w:val="18"/>
                <w:szCs w:val="18"/>
              </w:rPr>
            </w:pPr>
            <w:r>
              <w:rPr>
                <w:rFonts w:hint="eastAsia" w:ascii="仿宋" w:eastAsia="仿宋" w:cs="黑体"/>
                <w:b w:val="0"/>
                <w:color w:val="000000" w:themeColor="text1"/>
                <w:sz w:val="18"/>
                <w:szCs w:val="18"/>
              </w:rPr>
              <w:t>【法律法规】</w:t>
            </w:r>
            <w:r>
              <w:rPr>
                <w:rFonts w:hint="eastAsia" w:ascii="仿宋" w:eastAsia="仿宋" w:cs="黑体"/>
                <w:b w:val="0"/>
                <w:color w:val="000000" w:themeColor="text1"/>
                <w:sz w:val="18"/>
                <w:szCs w:val="18"/>
                <w:lang w:eastAsia="zh-CN"/>
              </w:rPr>
              <w:t>《</w:t>
            </w:r>
            <w:r>
              <w:rPr>
                <w:rFonts w:hint="eastAsia" w:ascii="仿宋" w:eastAsia="仿宋"/>
                <w:b w:val="0"/>
                <w:color w:val="000000" w:themeColor="text1"/>
                <w:w w:val="104"/>
                <w:sz w:val="18"/>
                <w:szCs w:val="18"/>
              </w:rPr>
              <w:t>机动车维修管理规定》（</w:t>
            </w:r>
            <w:r>
              <w:rPr>
                <w:rFonts w:hint="eastAsia" w:ascii="仿宋" w:eastAsia="仿宋"/>
                <w:b w:val="0"/>
                <w:color w:val="000000" w:themeColor="text1"/>
                <w:sz w:val="18"/>
                <w:szCs w:val="18"/>
              </w:rPr>
              <w:t>中华人民共和国交通运输部令</w:t>
            </w:r>
            <w:r>
              <w:rPr>
                <w:rFonts w:ascii="仿宋" w:eastAsia="仿宋"/>
                <w:b w:val="0"/>
                <w:color w:val="000000" w:themeColor="text1"/>
                <w:sz w:val="18"/>
                <w:szCs w:val="18"/>
              </w:rPr>
              <w:t>2023</w:t>
            </w:r>
            <w:r>
              <w:rPr>
                <w:rFonts w:hint="eastAsia" w:ascii="仿宋" w:eastAsia="仿宋"/>
                <w:b w:val="0"/>
                <w:color w:val="000000" w:themeColor="text1"/>
                <w:sz w:val="18"/>
                <w:szCs w:val="18"/>
              </w:rPr>
              <w:t>年第</w:t>
            </w:r>
            <w:r>
              <w:rPr>
                <w:rFonts w:ascii="仿宋" w:eastAsia="仿宋"/>
                <w:b w:val="0"/>
                <w:color w:val="000000" w:themeColor="text1"/>
                <w:sz w:val="18"/>
                <w:szCs w:val="18"/>
              </w:rPr>
              <w:t>14</w:t>
            </w:r>
            <w:r>
              <w:rPr>
                <w:rFonts w:hint="eastAsia" w:ascii="仿宋" w:eastAsia="仿宋"/>
                <w:b w:val="0"/>
                <w:color w:val="000000" w:themeColor="text1"/>
                <w:sz w:val="18"/>
                <w:szCs w:val="18"/>
              </w:rPr>
              <w:t>号</w:t>
            </w:r>
            <w:r>
              <w:rPr>
                <w:rFonts w:hint="eastAsia" w:ascii="仿宋" w:eastAsia="仿宋"/>
                <w:b w:val="0"/>
                <w:color w:val="000000" w:themeColor="text1"/>
                <w:w w:val="104"/>
                <w:sz w:val="18"/>
                <w:szCs w:val="18"/>
              </w:rPr>
              <w:t>）第十六条</w:t>
            </w:r>
            <w:r>
              <w:rPr>
                <w:rFonts w:ascii="仿宋" w:eastAsia="仿宋"/>
                <w:b w:val="0"/>
                <w:color w:val="000000" w:themeColor="text1"/>
                <w:w w:val="104"/>
                <w:sz w:val="18"/>
                <w:szCs w:val="18"/>
              </w:rPr>
              <w:t xml:space="preserve"> </w:t>
            </w:r>
            <w:r>
              <w:rPr>
                <w:rFonts w:hint="eastAsia" w:ascii="仿宋" w:eastAsia="仿宋" w:cs="宋体"/>
                <w:b w:val="0"/>
                <w:color w:val="000000" w:themeColor="text1"/>
                <w:sz w:val="18"/>
                <w:szCs w:val="18"/>
              </w:rPr>
              <w:t>从事机动车维修连锁经营服务的，其机动车维修连锁经营企业总部应先完成备案。</w:t>
            </w:r>
            <w:r>
              <w:rPr>
                <w:rFonts w:hint="eastAsia" w:ascii="仿宋" w:eastAsia="仿宋" w:cs="宋体"/>
                <w:b w:val="0"/>
                <w:color w:val="000000" w:themeColor="text1"/>
                <w:kern w:val="0"/>
                <w:sz w:val="18"/>
                <w:szCs w:val="18"/>
              </w:rPr>
              <w:t>机动车维修连锁经营服务网点可由机动车维修连锁经营企业总部向连锁经营服务网点所在地县级交通运输主管部门进行备案，提交《机动车维修经营备案表》，附送下列材料，并对材料真实性承担相应的法律责任：（一）连锁经营协议书副本；（二）连锁经营的作业标准和管理手册；（三）连锁经营服务网点符合机动车维修经营相应条件的承诺书。连锁经营服务网点的备案经营项目应当在机动车维修连锁经营企业总部备案经营项目范围内。</w:t>
            </w:r>
          </w:p>
          <w:p w14:paraId="1D455251">
            <w:pPr>
              <w:spacing w:line="240" w:lineRule="exact"/>
              <w:rPr>
                <w:rFonts w:ascii="仿宋" w:eastAsia="仿宋" w:cs="黑体"/>
                <w:b/>
                <w:bCs/>
                <w:color w:val="000000" w:themeColor="text1"/>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60CA1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5A7625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3F4EAA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35E535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44A266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658BDA7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046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286E4902">
            <w:pPr>
              <w:rPr>
                <w:color w:val="000000" w:themeColor="text1"/>
              </w:rPr>
            </w:pPr>
          </w:p>
        </w:tc>
        <w:tc>
          <w:tcPr>
            <w:tcW w:w="1189" w:type="dxa"/>
            <w:vAlign w:val="center"/>
          </w:tcPr>
          <w:p w14:paraId="6357D52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08C202A5">
            <w:pPr>
              <w:adjustRightInd w:val="0"/>
              <w:snapToGrid w:val="0"/>
              <w:spacing w:line="240" w:lineRule="exact"/>
              <w:jc w:val="center"/>
              <w:rPr>
                <w:rFonts w:ascii="仿宋_GB2312" w:eastAsia="仿宋_GB2312"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01662DC9">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2604A3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6A415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30" w:hRule="atLeast"/>
          <w:jc w:val="center"/>
        </w:trPr>
        <w:tc>
          <w:tcPr>
            <w:tcW w:w="1324" w:type="dxa"/>
            <w:vMerge w:val="continue"/>
            <w:vAlign w:val="center"/>
          </w:tcPr>
          <w:p w14:paraId="77A5869F">
            <w:pPr>
              <w:rPr>
                <w:color w:val="000000" w:themeColor="text1"/>
              </w:rPr>
            </w:pPr>
          </w:p>
        </w:tc>
        <w:tc>
          <w:tcPr>
            <w:tcW w:w="1189" w:type="dxa"/>
            <w:vAlign w:val="center"/>
          </w:tcPr>
          <w:p w14:paraId="26427DF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31FA1697">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3E5EC94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43576B5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09381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73758528">
            <w:pPr>
              <w:rPr>
                <w:color w:val="000000" w:themeColor="text1"/>
              </w:rPr>
            </w:pPr>
          </w:p>
        </w:tc>
        <w:tc>
          <w:tcPr>
            <w:tcW w:w="1189" w:type="dxa"/>
            <w:vAlign w:val="center"/>
          </w:tcPr>
          <w:p w14:paraId="5CE2067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787374C9">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252E2424">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68BB11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区交通运输局综合服务中心</w:t>
            </w:r>
          </w:p>
        </w:tc>
      </w:tr>
      <w:tr w14:paraId="2811A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04018F28">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30" w:type="dxa"/>
            <w:gridSpan w:val="4"/>
            <w:tcBorders>
              <w:right w:val="single" w:color="auto" w:sz="4" w:space="0"/>
            </w:tcBorders>
            <w:shd w:val="clear" w:color="auto" w:fill="auto"/>
            <w:vAlign w:val="center"/>
          </w:tcPr>
          <w:p w14:paraId="2DFE4438">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646" w:type="dxa"/>
            <w:gridSpan w:val="2"/>
            <w:tcBorders>
              <w:left w:val="single" w:color="auto" w:sz="4" w:space="0"/>
            </w:tcBorders>
            <w:shd w:val="clear" w:color="auto" w:fill="auto"/>
            <w:vAlign w:val="center"/>
          </w:tcPr>
          <w:p w14:paraId="1333F3A0">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58607937">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1A1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78" w:hRule="atLeast"/>
          <w:jc w:val="center"/>
        </w:trPr>
        <w:tc>
          <w:tcPr>
            <w:tcW w:w="1324" w:type="dxa"/>
            <w:shd w:val="clear" w:color="auto" w:fill="auto"/>
            <w:vAlign w:val="center"/>
          </w:tcPr>
          <w:p w14:paraId="3D1BC323">
            <w:pPr>
              <w:jc w:val="center"/>
              <w:rPr>
                <w:rFonts w:hint="eastAsia" w:ascii="黑体" w:hAnsi="黑体" w:eastAsia="黑体" w:cs="黑体"/>
                <w:b/>
                <w:bCs/>
                <w:color w:val="000000" w:themeColor="text1"/>
                <w:lang w:val="en-US" w:eastAsia="zh-CN"/>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200163A7">
            <w:pPr>
              <w:pStyle w:val="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10" w:lineRule="atLeast"/>
              <w:ind w:right="0"/>
              <w:jc w:val="both"/>
              <w:textAlignment w:val="auto"/>
              <w:rPr>
                <w:rFonts w:hint="eastAsia" w:ascii="仿宋_GB2312" w:eastAsia="仿宋_GB2312" w:cs="黑体"/>
                <w:color w:val="000000" w:themeColor="text1"/>
                <w:sz w:val="18"/>
                <w:szCs w:val="18"/>
                <w:lang w:eastAsia="zh-CN"/>
              </w:rPr>
            </w:pPr>
            <w:r>
              <w:rPr>
                <w:rFonts w:hint="eastAsia"/>
                <w:color w:val="000000" w:themeColor="text1"/>
                <w:sz w:val="18"/>
                <w:szCs w:val="18"/>
                <w:lang w:val="en-US" w:eastAsia="zh-CN"/>
              </w:rPr>
              <w:t>1</w:t>
            </w:r>
            <w:r>
              <w:rPr>
                <w:rFonts w:hint="eastAsia" w:ascii="仿宋" w:hAnsi="仿宋" w:eastAsia="仿宋" w:cs="仿宋"/>
                <w:color w:val="000000" w:themeColor="text1"/>
                <w:sz w:val="18"/>
                <w:szCs w:val="18"/>
                <w:lang w:val="en-US" w:eastAsia="zh-CN"/>
              </w:rPr>
              <w:t>、</w:t>
            </w:r>
            <w:r>
              <w:rPr>
                <w:rFonts w:hint="eastAsia" w:ascii="仿宋" w:hAnsi="仿宋" w:eastAsia="仿宋" w:cs="仿宋"/>
                <w:color w:val="000000" w:themeColor="text1"/>
                <w:sz w:val="18"/>
                <w:szCs w:val="18"/>
              </w:rPr>
              <w:t>《机动车维修经营备案表》</w:t>
            </w:r>
            <w:r>
              <w:rPr>
                <w:rFonts w:hint="eastAsia" w:ascii="仿宋" w:hAnsi="仿宋" w:eastAsia="仿宋" w:cs="仿宋"/>
                <w:color w:val="000000" w:themeColor="text1"/>
                <w:sz w:val="18"/>
                <w:szCs w:val="18"/>
                <w:lang w:eastAsia="zh-CN"/>
              </w:rPr>
              <w:t>；</w:t>
            </w:r>
            <w:r>
              <w:rPr>
                <w:rFonts w:hint="eastAsia" w:ascii="仿宋" w:hAnsi="仿宋" w:eastAsia="仿宋" w:cs="仿宋"/>
                <w:color w:val="000000" w:themeColor="text1"/>
                <w:sz w:val="18"/>
                <w:szCs w:val="18"/>
                <w:lang w:val="en-US" w:eastAsia="zh-CN"/>
              </w:rPr>
              <w:t>2、</w:t>
            </w:r>
            <w:r>
              <w:rPr>
                <w:rFonts w:hint="eastAsia" w:ascii="仿宋" w:hAnsi="仿宋" w:eastAsia="仿宋" w:cs="仿宋"/>
                <w:color w:val="000000" w:themeColor="text1"/>
                <w:sz w:val="18"/>
                <w:szCs w:val="18"/>
              </w:rPr>
              <w:t>连锁经营协议书副本；</w:t>
            </w:r>
            <w:r>
              <w:rPr>
                <w:rFonts w:hint="eastAsia" w:ascii="仿宋" w:hAnsi="仿宋" w:eastAsia="仿宋" w:cs="仿宋"/>
                <w:color w:val="000000" w:themeColor="text1"/>
                <w:sz w:val="18"/>
                <w:szCs w:val="18"/>
                <w:lang w:val="en-US" w:eastAsia="zh-CN"/>
              </w:rPr>
              <w:t>3、</w:t>
            </w:r>
            <w:r>
              <w:rPr>
                <w:rFonts w:hint="eastAsia" w:ascii="仿宋" w:hAnsi="仿宋" w:eastAsia="仿宋" w:cs="仿宋"/>
                <w:color w:val="000000" w:themeColor="text1"/>
                <w:sz w:val="18"/>
                <w:szCs w:val="18"/>
              </w:rPr>
              <w:t>连锁经营的作业标准和管理手册；</w:t>
            </w:r>
            <w:r>
              <w:rPr>
                <w:rFonts w:hint="eastAsia" w:ascii="仿宋" w:hAnsi="仿宋" w:eastAsia="仿宋" w:cs="仿宋"/>
                <w:color w:val="000000" w:themeColor="text1"/>
                <w:sz w:val="18"/>
                <w:szCs w:val="18"/>
                <w:lang w:val="en-US" w:eastAsia="zh-CN"/>
              </w:rPr>
              <w:t>4、</w:t>
            </w:r>
            <w:r>
              <w:rPr>
                <w:rFonts w:hint="eastAsia" w:ascii="仿宋" w:hAnsi="仿宋" w:eastAsia="仿宋" w:cs="仿宋"/>
                <w:color w:val="000000" w:themeColor="text1"/>
                <w:sz w:val="18"/>
                <w:szCs w:val="18"/>
              </w:rPr>
              <w:t>连锁经营服务网点符合机动车维修经营相应条件的承诺书。</w:t>
            </w:r>
          </w:p>
        </w:tc>
      </w:tr>
      <w:tr w14:paraId="0E90A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653F862C">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45A71D76">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54F5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3BACFC1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6FFEBB8">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6029C34C">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1CD8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0E88D7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37F84E0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61E5997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097D1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32EAB97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6093F852">
            <w:pPr>
              <w:widowControl/>
              <w:jc w:val="left"/>
              <w:textAlignment w:val="center"/>
              <w:rPr>
                <w:rFonts w:ascii="黑体" w:eastAsia="黑体" w:cs="黑体"/>
                <w:color w:val="000000" w:themeColor="text1"/>
                <w:kern w:val="0"/>
                <w:sz w:val="18"/>
                <w:szCs w:val="18"/>
              </w:rPr>
            </w:pPr>
          </w:p>
        </w:tc>
      </w:tr>
    </w:tbl>
    <w:p w14:paraId="35B707FC">
      <w:pPr>
        <w:rPr>
          <w:color w:val="000000" w:themeColor="text1"/>
        </w:rPr>
      </w:pPr>
    </w:p>
    <w:p w14:paraId="3D379604">
      <w:pPr>
        <w:rPr>
          <w:color w:val="000000" w:themeColor="text1"/>
        </w:rPr>
      </w:pPr>
    </w:p>
    <w:p w14:paraId="3A54245E">
      <w:pPr>
        <w:rPr>
          <w:color w:val="000000" w:themeColor="text1"/>
        </w:rPr>
      </w:pPr>
    </w:p>
    <w:p w14:paraId="56E01EBA">
      <w:pPr>
        <w:rPr>
          <w:color w:val="000000" w:themeColor="text1"/>
        </w:rPr>
      </w:pPr>
    </w:p>
    <w:p w14:paraId="73AA8C77">
      <w:pPr>
        <w:rPr>
          <w:color w:val="000000" w:themeColor="text1"/>
        </w:rPr>
      </w:pPr>
    </w:p>
    <w:p w14:paraId="3D0B67B3">
      <w:pPr>
        <w:rPr>
          <w:color w:val="000000" w:themeColor="text1"/>
        </w:rPr>
      </w:pPr>
    </w:p>
    <w:p w14:paraId="00C6CB55">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34"/>
        <w:gridCol w:w="429"/>
        <w:gridCol w:w="992"/>
        <w:gridCol w:w="567"/>
        <w:gridCol w:w="429"/>
        <w:gridCol w:w="1502"/>
      </w:tblGrid>
      <w:tr w14:paraId="41238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1FBA77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4A2F3CA7">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30</w:t>
            </w:r>
          </w:p>
        </w:tc>
        <w:tc>
          <w:tcPr>
            <w:tcW w:w="1691" w:type="dxa"/>
            <w:vAlign w:val="center"/>
          </w:tcPr>
          <w:p w14:paraId="2CB285A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8AC9B8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63ECF9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66E073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A2A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3E1074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6671C93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sz w:val="18"/>
                <w:szCs w:val="18"/>
              </w:rPr>
              <w:t>小微型客车租赁经营备案</w:t>
            </w:r>
          </w:p>
        </w:tc>
      </w:tr>
      <w:tr w14:paraId="6A3D7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75A69F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tcPr>
          <w:p w14:paraId="40CA662A">
            <w:pPr>
              <w:pStyle w:val="8"/>
              <w:shd w:val="clear" w:color="auto" w:fill="FFFFFF"/>
              <w:spacing w:after="161"/>
              <w:jc w:val="both"/>
              <w:rPr>
                <w:rFonts w:ascii="仿宋" w:eastAsia="仿宋"/>
                <w:color w:val="000000" w:themeColor="text1"/>
                <w:sz w:val="18"/>
                <w:szCs w:val="18"/>
              </w:rPr>
            </w:pPr>
            <w:r>
              <w:rPr>
                <w:rFonts w:hint="eastAsia" w:ascii="仿宋" w:eastAsia="仿宋" w:cs="黑体"/>
                <w:b/>
                <w:color w:val="000000" w:themeColor="text1"/>
                <w:sz w:val="18"/>
                <w:szCs w:val="18"/>
              </w:rPr>
              <w:t>【法律法规】</w:t>
            </w:r>
            <w:r>
              <w:rPr>
                <w:rFonts w:hint="eastAsia" w:ascii="仿宋" w:eastAsia="仿宋"/>
                <w:color w:val="000000" w:themeColor="text1"/>
                <w:sz w:val="18"/>
                <w:szCs w:val="18"/>
              </w:rPr>
              <w:t>《小微型客车租赁经营服务管理办法》（</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olor w:val="000000" w:themeColor="text1"/>
                <w:sz w:val="18"/>
                <w:szCs w:val="18"/>
              </w:rPr>
              <w:t>交通运输部令第</w:t>
            </w:r>
            <w:r>
              <w:rPr>
                <w:rFonts w:ascii="仿宋" w:eastAsia="仿宋"/>
                <w:color w:val="000000" w:themeColor="text1"/>
                <w:sz w:val="18"/>
                <w:szCs w:val="18"/>
              </w:rPr>
              <w:t>22</w:t>
            </w:r>
            <w:r>
              <w:rPr>
                <w:rFonts w:hint="eastAsia" w:ascii="仿宋" w:eastAsia="仿宋"/>
                <w:color w:val="000000" w:themeColor="text1"/>
                <w:sz w:val="18"/>
                <w:szCs w:val="18"/>
              </w:rPr>
              <w:t>号）第七条</w:t>
            </w:r>
            <w:r>
              <w:rPr>
                <w:rFonts w:eastAsia="仿宋"/>
                <w:color w:val="000000" w:themeColor="text1"/>
                <w:sz w:val="18"/>
                <w:szCs w:val="18"/>
              </w:rPr>
              <w:t> </w:t>
            </w:r>
            <w:r>
              <w:rPr>
                <w:rFonts w:ascii="仿宋" w:eastAsia="仿宋"/>
                <w:color w:val="000000" w:themeColor="text1"/>
                <w:sz w:val="18"/>
                <w:szCs w:val="18"/>
              </w:rPr>
              <w:t xml:space="preserve"> </w:t>
            </w:r>
            <w:r>
              <w:rPr>
                <w:rFonts w:hint="eastAsia" w:ascii="仿宋" w:eastAsia="仿宋"/>
                <w:color w:val="000000" w:themeColor="text1"/>
                <w:sz w:val="18"/>
                <w:szCs w:val="18"/>
              </w:rPr>
              <w:t>从事小微型客车租赁经营的，应当在向市场监督管理部门办理有关登记手续或者新设服务机构开展经营活动后</w:t>
            </w:r>
            <w:r>
              <w:rPr>
                <w:rFonts w:ascii="仿宋" w:eastAsia="仿宋"/>
                <w:color w:val="000000" w:themeColor="text1"/>
                <w:sz w:val="18"/>
                <w:szCs w:val="18"/>
              </w:rPr>
              <w:t>60</w:t>
            </w:r>
            <w:r>
              <w:rPr>
                <w:rFonts w:hint="eastAsia" w:ascii="仿宋" w:eastAsia="仿宋"/>
                <w:color w:val="000000" w:themeColor="text1"/>
                <w:sz w:val="18"/>
                <w:szCs w:val="18"/>
              </w:rPr>
              <w:t>日内，就近向经营所在地市级或者县级小微型客车租赁行政主管部门办理备案，并附送本办法第六条相应的材料。备案材料不完备或者不符合要求的，受理备案的小微型客车租赁行政主管部门应当书面通知备案人补充完善</w:t>
            </w:r>
            <w:r>
              <w:rPr>
                <w:rFonts w:ascii="仿宋" w:eastAsia="仿宋"/>
                <w:color w:val="000000" w:themeColor="text1"/>
                <w:sz w:val="18"/>
                <w:szCs w:val="18"/>
              </w:rPr>
              <w:t>.</w:t>
            </w:r>
            <w:r>
              <w:rPr>
                <w:rFonts w:hint="eastAsia" w:ascii="仿宋" w:eastAsia="仿宋"/>
                <w:color w:val="000000" w:themeColor="text1"/>
                <w:sz w:val="18"/>
                <w:szCs w:val="18"/>
              </w:rPr>
              <w:t>第八条</w:t>
            </w:r>
            <w:r>
              <w:rPr>
                <w:rFonts w:eastAsia="仿宋"/>
                <w:color w:val="000000" w:themeColor="text1"/>
                <w:sz w:val="18"/>
                <w:szCs w:val="18"/>
              </w:rPr>
              <w:t> </w:t>
            </w:r>
            <w:r>
              <w:rPr>
                <w:rFonts w:ascii="仿宋" w:eastAsia="仿宋"/>
                <w:color w:val="000000" w:themeColor="text1"/>
                <w:sz w:val="18"/>
                <w:szCs w:val="18"/>
              </w:rPr>
              <w:t xml:space="preserve"> </w:t>
            </w:r>
            <w:r>
              <w:rPr>
                <w:rFonts w:hint="eastAsia" w:ascii="仿宋" w:eastAsia="仿宋"/>
                <w:color w:val="000000" w:themeColor="text1"/>
                <w:sz w:val="18"/>
                <w:szCs w:val="18"/>
              </w:rPr>
              <w:t>小微型客车租赁行政主管部门受理备案后，应当将小微型客车租赁经营者的企业名称、经营范围、企业注册地址、服务机构地址和联系方式，以及租赁小微型客车号牌号码、车辆类型、所有人、使用性质、品牌型号、注册日期、核定载人数等备案信息进行建档管理。第九条</w:t>
            </w:r>
            <w:r>
              <w:rPr>
                <w:rFonts w:eastAsia="仿宋"/>
                <w:color w:val="000000" w:themeColor="text1"/>
                <w:sz w:val="18"/>
                <w:szCs w:val="18"/>
              </w:rPr>
              <w:t> </w:t>
            </w:r>
            <w:r>
              <w:rPr>
                <w:rFonts w:ascii="仿宋" w:eastAsia="仿宋"/>
                <w:color w:val="000000" w:themeColor="text1"/>
                <w:sz w:val="18"/>
                <w:szCs w:val="18"/>
              </w:rPr>
              <w:t xml:space="preserve"> </w:t>
            </w:r>
            <w:r>
              <w:rPr>
                <w:rFonts w:hint="eastAsia" w:ascii="仿宋" w:eastAsia="仿宋"/>
                <w:color w:val="000000" w:themeColor="text1"/>
                <w:sz w:val="18"/>
                <w:szCs w:val="18"/>
              </w:rPr>
              <w:t>备案事项发生变更的，小微型客车租赁经营者应当在变更之日起</w:t>
            </w:r>
            <w:r>
              <w:rPr>
                <w:rFonts w:ascii="仿宋" w:eastAsia="仿宋"/>
                <w:color w:val="000000" w:themeColor="text1"/>
                <w:sz w:val="18"/>
                <w:szCs w:val="18"/>
              </w:rPr>
              <w:t>15</w:t>
            </w:r>
            <w:r>
              <w:rPr>
                <w:rFonts w:hint="eastAsia" w:ascii="仿宋" w:eastAsia="仿宋"/>
                <w:color w:val="000000" w:themeColor="text1"/>
                <w:sz w:val="18"/>
                <w:szCs w:val="18"/>
              </w:rPr>
              <w:t>日内到原备案机构办理变更备案。小微型客车租赁经营者暂停或者终止经营的，应当在暂停或者终止经营之日起</w:t>
            </w:r>
            <w:r>
              <w:rPr>
                <w:rFonts w:ascii="仿宋" w:eastAsia="仿宋"/>
                <w:color w:val="000000" w:themeColor="text1"/>
                <w:sz w:val="18"/>
                <w:szCs w:val="18"/>
              </w:rPr>
              <w:t>15</w:t>
            </w:r>
            <w:r>
              <w:rPr>
                <w:rFonts w:hint="eastAsia" w:ascii="仿宋" w:eastAsia="仿宋"/>
                <w:color w:val="000000" w:themeColor="text1"/>
                <w:sz w:val="18"/>
                <w:szCs w:val="18"/>
              </w:rPr>
              <w:t>日内，向原备案机构书面报告。暂停或者终止分时租赁经营的，应当提前</w:t>
            </w:r>
            <w:r>
              <w:rPr>
                <w:rFonts w:ascii="仿宋" w:eastAsia="仿宋"/>
                <w:color w:val="000000" w:themeColor="text1"/>
                <w:sz w:val="18"/>
                <w:szCs w:val="18"/>
              </w:rPr>
              <w:t>30</w:t>
            </w:r>
            <w:r>
              <w:rPr>
                <w:rFonts w:hint="eastAsia" w:ascii="仿宋" w:eastAsia="仿宋"/>
                <w:color w:val="000000" w:themeColor="text1"/>
                <w:sz w:val="18"/>
                <w:szCs w:val="18"/>
              </w:rPr>
              <w:t>日向社会公告，并同时向原备案机构书面报告</w:t>
            </w:r>
            <w:r>
              <w:rPr>
                <w:rFonts w:ascii="仿宋" w:eastAsia="仿宋"/>
                <w:color w:val="000000" w:themeColor="text1"/>
                <w:sz w:val="18"/>
                <w:szCs w:val="18"/>
              </w:rPr>
              <w:t>.</w:t>
            </w:r>
          </w:p>
          <w:p w14:paraId="25063C73">
            <w:pPr>
              <w:pStyle w:val="8"/>
              <w:shd w:val="clear" w:color="auto" w:fill="FFFFFF"/>
              <w:spacing w:after="161"/>
              <w:jc w:val="both"/>
              <w:rPr>
                <w:rFonts w:ascii="仿宋" w:eastAsia="仿宋"/>
                <w:color w:val="000000" w:themeColor="text1"/>
                <w:sz w:val="18"/>
                <w:szCs w:val="18"/>
              </w:rPr>
            </w:pPr>
            <w:r>
              <w:rPr>
                <w:rFonts w:hint="eastAsia" w:ascii="仿宋" w:eastAsia="仿宋" w:cs="仿宋_GB2312"/>
                <w:color w:val="000000" w:themeColor="text1"/>
                <w:sz w:val="18"/>
                <w:szCs w:val="18"/>
              </w:rPr>
              <w:t>【三定规定】抚办字【</w:t>
            </w:r>
            <w:r>
              <w:rPr>
                <w:rFonts w:ascii="仿宋" w:eastAsia="仿宋" w:cs="仿宋_GB2312"/>
                <w:color w:val="000000" w:themeColor="text1"/>
                <w:sz w:val="18"/>
                <w:szCs w:val="18"/>
              </w:rPr>
              <w:t>2019</w:t>
            </w:r>
            <w:r>
              <w:rPr>
                <w:rFonts w:hint="eastAsia" w:ascii="仿宋" w:eastAsia="仿宋" w:cs="仿宋_GB2312"/>
                <w:color w:val="000000" w:themeColor="text1"/>
                <w:sz w:val="18"/>
                <w:szCs w:val="18"/>
              </w:rPr>
              <w:t>】</w:t>
            </w:r>
            <w:r>
              <w:rPr>
                <w:rFonts w:ascii="仿宋" w:eastAsia="仿宋" w:cs="仿宋_GB2312"/>
                <w:color w:val="000000" w:themeColor="text1"/>
                <w:sz w:val="18"/>
                <w:szCs w:val="18"/>
              </w:rPr>
              <w:t>11</w:t>
            </w:r>
            <w:r>
              <w:rPr>
                <w:rFonts w:hint="eastAsia" w:ascii="仿宋" w:eastAsia="仿宋" w:cs="仿宋_GB2312"/>
                <w:color w:val="000000" w:themeColor="text1"/>
                <w:sz w:val="18"/>
                <w:szCs w:val="18"/>
              </w:rPr>
              <w:t>号第三条第五款承担全区道路运输市场监管责任。执行道路运输有关政策、技术标准和运营规范并监督实施。负责城乡客运及有关设施规划和管理，推动城乡客运一体化建设。</w:t>
            </w:r>
          </w:p>
        </w:tc>
      </w:tr>
      <w:tr w14:paraId="4978C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2686CC6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7DCE3DF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A7B003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53917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6F6CB433">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F879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6FE498BA">
            <w:pPr>
              <w:rPr>
                <w:color w:val="000000" w:themeColor="text1"/>
              </w:rPr>
            </w:pPr>
          </w:p>
        </w:tc>
        <w:tc>
          <w:tcPr>
            <w:tcW w:w="1189" w:type="dxa"/>
            <w:vAlign w:val="center"/>
          </w:tcPr>
          <w:p w14:paraId="34E5ADF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74BC489C">
            <w:pPr>
              <w:adjustRightInd w:val="0"/>
              <w:snapToGrid w:val="0"/>
              <w:spacing w:line="240" w:lineRule="exact"/>
              <w:jc w:val="center"/>
              <w:rPr>
                <w:rFonts w:ascii="仿宋_GB2312" w:eastAsia="仿宋_GB2312"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6A492F1A">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5EE18563">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4C523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8" w:hRule="atLeast"/>
          <w:jc w:val="center"/>
        </w:trPr>
        <w:tc>
          <w:tcPr>
            <w:tcW w:w="1324" w:type="dxa"/>
            <w:vMerge w:val="continue"/>
            <w:vAlign w:val="center"/>
          </w:tcPr>
          <w:p w14:paraId="5C61701F">
            <w:pPr>
              <w:rPr>
                <w:color w:val="000000" w:themeColor="text1"/>
              </w:rPr>
            </w:pPr>
          </w:p>
        </w:tc>
        <w:tc>
          <w:tcPr>
            <w:tcW w:w="1189" w:type="dxa"/>
            <w:vAlign w:val="center"/>
          </w:tcPr>
          <w:p w14:paraId="04BDB7B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6B375468">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4987341A">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60C86AB2">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6F69E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vMerge w:val="continue"/>
            <w:vAlign w:val="center"/>
          </w:tcPr>
          <w:p w14:paraId="7C51E085">
            <w:pPr>
              <w:rPr>
                <w:color w:val="000000" w:themeColor="text1"/>
              </w:rPr>
            </w:pPr>
          </w:p>
        </w:tc>
        <w:tc>
          <w:tcPr>
            <w:tcW w:w="1189" w:type="dxa"/>
            <w:vAlign w:val="center"/>
          </w:tcPr>
          <w:p w14:paraId="329A43D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7C58FC9A">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497997F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79D1E8E">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6CB06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shd w:val="clear" w:color="auto" w:fill="auto"/>
            <w:vAlign w:val="center"/>
          </w:tcPr>
          <w:p w14:paraId="4020965C">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55" w:type="dxa"/>
            <w:gridSpan w:val="4"/>
            <w:tcBorders>
              <w:right w:val="single" w:color="auto" w:sz="4" w:space="0"/>
            </w:tcBorders>
            <w:shd w:val="clear" w:color="auto" w:fill="auto"/>
            <w:vAlign w:val="center"/>
          </w:tcPr>
          <w:p w14:paraId="54CD7FCA">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21" w:type="dxa"/>
            <w:gridSpan w:val="2"/>
            <w:tcBorders>
              <w:left w:val="single" w:color="auto" w:sz="4" w:space="0"/>
            </w:tcBorders>
            <w:shd w:val="clear" w:color="auto" w:fill="auto"/>
            <w:vAlign w:val="center"/>
          </w:tcPr>
          <w:p w14:paraId="376E95F0">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6A67F3F4">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330EA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26" w:hRule="atLeast"/>
          <w:jc w:val="center"/>
        </w:trPr>
        <w:tc>
          <w:tcPr>
            <w:tcW w:w="1324" w:type="dxa"/>
            <w:shd w:val="clear" w:color="auto" w:fill="auto"/>
            <w:vAlign w:val="center"/>
          </w:tcPr>
          <w:p w14:paraId="7E811D9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3AD84C5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right="0"/>
              <w:rPr>
                <w:rFonts w:hint="eastAsia" w:ascii="仿宋_GB2312" w:eastAsia="仿宋_GB2312" w:cs="黑体"/>
                <w:color w:val="000000" w:themeColor="text1"/>
                <w:sz w:val="18"/>
                <w:szCs w:val="18"/>
              </w:rPr>
            </w:pPr>
            <w:r>
              <w:rPr>
                <w:rFonts w:hint="eastAsia"/>
                <w:color w:val="000000" w:themeColor="text1"/>
                <w:sz w:val="18"/>
                <w:szCs w:val="18"/>
                <w:lang w:val="en-US" w:eastAsia="zh-CN"/>
              </w:rPr>
              <w:t>1</w:t>
            </w:r>
            <w:r>
              <w:rPr>
                <w:rFonts w:hint="eastAsia" w:ascii="仿宋" w:hAnsi="仿宋" w:eastAsia="仿宋" w:cs="仿宋"/>
                <w:color w:val="000000" w:themeColor="text1"/>
                <w:sz w:val="18"/>
                <w:szCs w:val="18"/>
                <w:lang w:val="en-US" w:eastAsia="zh-CN"/>
              </w:rPr>
              <w:t>、</w:t>
            </w:r>
            <w:r>
              <w:rPr>
                <w:rFonts w:hint="eastAsia" w:ascii="仿宋" w:hAnsi="仿宋" w:eastAsia="仿宋" w:cs="仿宋"/>
                <w:i w:val="0"/>
                <w:iCs w:val="0"/>
                <w:caps w:val="0"/>
                <w:color w:val="000000" w:themeColor="text1"/>
                <w:spacing w:val="0"/>
                <w:sz w:val="18"/>
                <w:szCs w:val="18"/>
                <w:shd w:val="clear" w:fill="FFFFFF"/>
              </w:rPr>
              <w:t>取得企业法人资格；</w:t>
            </w:r>
            <w:r>
              <w:rPr>
                <w:rFonts w:hint="eastAsia" w:ascii="仿宋" w:hAnsi="仿宋" w:eastAsia="仿宋" w:cs="仿宋"/>
                <w:i w:val="0"/>
                <w:iCs w:val="0"/>
                <w:caps w:val="0"/>
                <w:color w:val="000000" w:themeColor="text1"/>
                <w:spacing w:val="0"/>
                <w:sz w:val="18"/>
                <w:szCs w:val="18"/>
                <w:shd w:val="clear" w:fill="FFFFFF"/>
                <w:lang w:val="en-US" w:eastAsia="zh-CN"/>
              </w:rPr>
              <w:t>2、</w:t>
            </w:r>
            <w:r>
              <w:rPr>
                <w:rFonts w:hint="eastAsia" w:ascii="仿宋" w:hAnsi="仿宋" w:eastAsia="仿宋" w:cs="仿宋"/>
                <w:i w:val="0"/>
                <w:iCs w:val="0"/>
                <w:caps w:val="0"/>
                <w:color w:val="000000" w:themeColor="text1"/>
                <w:spacing w:val="0"/>
                <w:sz w:val="18"/>
                <w:szCs w:val="18"/>
                <w:shd w:val="clear" w:fill="FFFFFF"/>
              </w:rPr>
              <w:t>投入经营的小微型客车应当经检验合格且登记的使用性质为租赁（以下称租赁小微型客车）；</w:t>
            </w:r>
            <w:r>
              <w:rPr>
                <w:rFonts w:hint="eastAsia" w:ascii="仿宋" w:hAnsi="仿宋" w:eastAsia="仿宋" w:cs="仿宋"/>
                <w:i w:val="0"/>
                <w:iCs w:val="0"/>
                <w:caps w:val="0"/>
                <w:color w:val="000000" w:themeColor="text1"/>
                <w:spacing w:val="0"/>
                <w:sz w:val="18"/>
                <w:szCs w:val="18"/>
                <w:shd w:val="clear" w:fill="FFFFFF"/>
                <w:lang w:val="en-US" w:eastAsia="zh-CN"/>
              </w:rPr>
              <w:t>3、</w:t>
            </w:r>
            <w:r>
              <w:rPr>
                <w:rFonts w:hint="eastAsia" w:ascii="仿宋" w:hAnsi="仿宋" w:eastAsia="仿宋" w:cs="仿宋"/>
                <w:i w:val="0"/>
                <w:iCs w:val="0"/>
                <w:caps w:val="0"/>
                <w:color w:val="000000" w:themeColor="text1"/>
                <w:spacing w:val="0"/>
                <w:sz w:val="18"/>
                <w:szCs w:val="18"/>
                <w:shd w:val="clear" w:fill="FFFFFF"/>
              </w:rPr>
              <w:t>有与租赁业务相适应的经营场所、管理人员；</w:t>
            </w:r>
            <w:r>
              <w:rPr>
                <w:rFonts w:hint="eastAsia" w:ascii="仿宋" w:hAnsi="仿宋" w:eastAsia="仿宋" w:cs="仿宋"/>
                <w:i w:val="0"/>
                <w:iCs w:val="0"/>
                <w:caps w:val="0"/>
                <w:color w:val="000000" w:themeColor="text1"/>
                <w:spacing w:val="0"/>
                <w:sz w:val="18"/>
                <w:szCs w:val="18"/>
                <w:shd w:val="clear" w:fill="FFFFFF"/>
                <w:lang w:val="en-US" w:eastAsia="zh-CN"/>
              </w:rPr>
              <w:t>4、</w:t>
            </w:r>
            <w:r>
              <w:rPr>
                <w:rFonts w:hint="eastAsia" w:ascii="仿宋" w:hAnsi="仿宋" w:eastAsia="仿宋" w:cs="仿宋"/>
                <w:i w:val="0"/>
                <w:iCs w:val="0"/>
                <w:caps w:val="0"/>
                <w:color w:val="000000" w:themeColor="text1"/>
                <w:spacing w:val="0"/>
                <w:sz w:val="18"/>
                <w:szCs w:val="18"/>
                <w:shd w:val="clear" w:fill="FFFFFF"/>
              </w:rPr>
              <w:t>在经营所在地有相应服务机构及服务能力；</w:t>
            </w:r>
            <w:r>
              <w:rPr>
                <w:rFonts w:hint="eastAsia" w:ascii="仿宋" w:hAnsi="仿宋" w:eastAsia="仿宋" w:cs="仿宋"/>
                <w:i w:val="0"/>
                <w:iCs w:val="0"/>
                <w:caps w:val="0"/>
                <w:color w:val="000000" w:themeColor="text1"/>
                <w:spacing w:val="0"/>
                <w:sz w:val="18"/>
                <w:szCs w:val="18"/>
                <w:shd w:val="clear" w:fill="FFFFFF"/>
                <w:lang w:val="en-US" w:eastAsia="zh-CN"/>
              </w:rPr>
              <w:t>5、</w:t>
            </w:r>
            <w:r>
              <w:rPr>
                <w:rFonts w:hint="eastAsia" w:ascii="仿宋" w:hAnsi="仿宋" w:eastAsia="仿宋" w:cs="仿宋"/>
                <w:i w:val="0"/>
                <w:iCs w:val="0"/>
                <w:caps w:val="0"/>
                <w:color w:val="000000" w:themeColor="text1"/>
                <w:spacing w:val="0"/>
                <w:sz w:val="18"/>
                <w:szCs w:val="18"/>
                <w:shd w:val="clear" w:fill="FFFFFF"/>
              </w:rPr>
              <w:t>有健全的经营管理制度、服务规程、安全管理制度和应急救援预案</w:t>
            </w:r>
            <w:r>
              <w:rPr>
                <w:rFonts w:hint="eastAsia" w:ascii="仿宋" w:hAnsi="仿宋" w:eastAsia="仿宋" w:cs="仿宋"/>
                <w:i w:val="0"/>
                <w:iCs w:val="0"/>
                <w:caps w:val="0"/>
                <w:color w:val="000000" w:themeColor="text1"/>
                <w:spacing w:val="0"/>
                <w:sz w:val="18"/>
                <w:szCs w:val="18"/>
                <w:shd w:val="clear" w:fill="FFFFFF"/>
                <w:lang w:eastAsia="zh-CN"/>
              </w:rPr>
              <w:t>。</w:t>
            </w:r>
          </w:p>
        </w:tc>
      </w:tr>
      <w:tr w14:paraId="67F04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02" w:hRule="atLeast"/>
          <w:jc w:val="center"/>
        </w:trPr>
        <w:tc>
          <w:tcPr>
            <w:tcW w:w="1324" w:type="dxa"/>
            <w:vAlign w:val="center"/>
          </w:tcPr>
          <w:p w14:paraId="269EDED2">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20A74128">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38A6F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3A24A2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3AD4D36E">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0DCCC7E1">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113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7E00FD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66D69010">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4DD094F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3653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4540B0C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2D345821">
            <w:pPr>
              <w:widowControl/>
              <w:jc w:val="left"/>
              <w:textAlignment w:val="center"/>
              <w:rPr>
                <w:rFonts w:ascii="黑体" w:eastAsia="黑体" w:cs="黑体"/>
                <w:color w:val="000000" w:themeColor="text1"/>
                <w:kern w:val="0"/>
                <w:sz w:val="18"/>
                <w:szCs w:val="18"/>
              </w:rPr>
            </w:pPr>
          </w:p>
        </w:tc>
      </w:tr>
    </w:tbl>
    <w:p w14:paraId="0BA8F393">
      <w:pPr>
        <w:widowControl/>
        <w:textAlignment w:val="center"/>
        <w:rPr>
          <w:color w:val="000000" w:themeColor="text1"/>
        </w:rPr>
      </w:pPr>
    </w:p>
    <w:p w14:paraId="6FFAABB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34"/>
        <w:gridCol w:w="429"/>
        <w:gridCol w:w="992"/>
        <w:gridCol w:w="567"/>
        <w:gridCol w:w="429"/>
        <w:gridCol w:w="1502"/>
      </w:tblGrid>
      <w:tr w14:paraId="62747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5EDCD9B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1B9168E1">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31</w:t>
            </w:r>
          </w:p>
        </w:tc>
        <w:tc>
          <w:tcPr>
            <w:tcW w:w="1691" w:type="dxa"/>
            <w:vAlign w:val="center"/>
          </w:tcPr>
          <w:p w14:paraId="004CEE8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AF6FFD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3597A19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8EBD85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6E89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4997BF1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3397A5F8">
            <w:pPr>
              <w:widowControl/>
              <w:jc w:val="center"/>
              <w:textAlignment w:val="center"/>
              <w:rPr>
                <w:rFonts w:asci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sz w:val="18"/>
                <w:szCs w:val="18"/>
                <w:lang w:eastAsia="zh-CN"/>
              </w:rPr>
              <w:t>汽车租赁经营备案</w:t>
            </w:r>
          </w:p>
        </w:tc>
      </w:tr>
      <w:tr w14:paraId="687C3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2DAFE7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tcPr>
          <w:p w14:paraId="0116CB84">
            <w:pPr>
              <w:pStyle w:val="8"/>
              <w:shd w:val="clear" w:color="auto" w:fill="FFFFFF"/>
              <w:spacing w:after="161"/>
              <w:jc w:val="both"/>
              <w:rPr>
                <w:rFonts w:ascii="仿宋" w:eastAsia="仿宋"/>
                <w:color w:val="000000" w:themeColor="text1"/>
                <w:sz w:val="18"/>
                <w:szCs w:val="18"/>
              </w:rPr>
            </w:pPr>
            <w:r>
              <w:rPr>
                <w:rFonts w:hint="eastAsia" w:ascii="仿宋" w:eastAsia="仿宋" w:cs="黑体"/>
                <w:b/>
                <w:color w:val="000000" w:themeColor="text1"/>
                <w:sz w:val="18"/>
                <w:szCs w:val="18"/>
              </w:rPr>
              <w:t>【法律法规】</w:t>
            </w:r>
            <w:r>
              <w:rPr>
                <w:rFonts w:hint="eastAsia" w:ascii="仿宋" w:eastAsia="仿宋"/>
                <w:color w:val="000000" w:themeColor="text1"/>
                <w:sz w:val="18"/>
                <w:szCs w:val="18"/>
                <w:lang w:eastAsia="zh-CN"/>
              </w:rPr>
              <w:t>《河北省道路运输管理条例》第四十四条 用于汽车租赁经营的车辆，经营者应当到所在地交通运输主管部门办理车辆备案手续，领取车辆备案证明文件。</w:t>
            </w:r>
          </w:p>
          <w:p w14:paraId="275D397F">
            <w:pPr>
              <w:pStyle w:val="8"/>
              <w:shd w:val="clear" w:color="auto" w:fill="FFFFFF"/>
              <w:spacing w:after="161"/>
              <w:jc w:val="both"/>
              <w:rPr>
                <w:rFonts w:ascii="仿宋" w:eastAsia="仿宋"/>
                <w:color w:val="000000" w:themeColor="text1"/>
                <w:sz w:val="18"/>
                <w:szCs w:val="18"/>
              </w:rPr>
            </w:pPr>
            <w:r>
              <w:rPr>
                <w:rFonts w:hint="eastAsia" w:ascii="仿宋" w:eastAsia="仿宋" w:cs="仿宋_GB2312"/>
                <w:color w:val="000000" w:themeColor="text1"/>
                <w:sz w:val="18"/>
                <w:szCs w:val="18"/>
              </w:rPr>
              <w:t>【三定规定】抚办字【</w:t>
            </w:r>
            <w:r>
              <w:rPr>
                <w:rFonts w:ascii="仿宋" w:eastAsia="仿宋" w:cs="仿宋_GB2312"/>
                <w:color w:val="000000" w:themeColor="text1"/>
                <w:sz w:val="18"/>
                <w:szCs w:val="18"/>
              </w:rPr>
              <w:t>2019</w:t>
            </w:r>
            <w:r>
              <w:rPr>
                <w:rFonts w:hint="eastAsia" w:ascii="仿宋" w:eastAsia="仿宋" w:cs="仿宋_GB2312"/>
                <w:color w:val="000000" w:themeColor="text1"/>
                <w:sz w:val="18"/>
                <w:szCs w:val="18"/>
              </w:rPr>
              <w:t>】</w:t>
            </w:r>
            <w:r>
              <w:rPr>
                <w:rFonts w:ascii="仿宋" w:eastAsia="仿宋" w:cs="仿宋_GB2312"/>
                <w:color w:val="000000" w:themeColor="text1"/>
                <w:sz w:val="18"/>
                <w:szCs w:val="18"/>
              </w:rPr>
              <w:t>11</w:t>
            </w:r>
            <w:r>
              <w:rPr>
                <w:rFonts w:hint="eastAsia" w:ascii="仿宋" w:eastAsia="仿宋" w:cs="仿宋_GB2312"/>
                <w:color w:val="000000" w:themeColor="text1"/>
                <w:sz w:val="18"/>
                <w:szCs w:val="18"/>
              </w:rPr>
              <w:t>号第三条第五款承担全区道路运输市场监管责任。执行道路运输有关政策、技术标准和运营规范并监督实施。负责城乡客运及有关设施规划和管理，推动城乡客运一体化建设。</w:t>
            </w:r>
          </w:p>
        </w:tc>
      </w:tr>
      <w:tr w14:paraId="31C7F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21180F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20E83FF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5E18588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7D7AE7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71926331">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E279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3320EFBE">
            <w:pPr>
              <w:rPr>
                <w:color w:val="000000" w:themeColor="text1"/>
              </w:rPr>
            </w:pPr>
          </w:p>
        </w:tc>
        <w:tc>
          <w:tcPr>
            <w:tcW w:w="1189" w:type="dxa"/>
            <w:vAlign w:val="center"/>
          </w:tcPr>
          <w:p w14:paraId="2A590E7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08D66024">
            <w:pPr>
              <w:adjustRightInd w:val="0"/>
              <w:snapToGrid w:val="0"/>
              <w:spacing w:line="240" w:lineRule="exact"/>
              <w:jc w:val="center"/>
              <w:rPr>
                <w:rFonts w:ascii="仿宋_GB2312" w:eastAsia="仿宋_GB2312"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1A119E4C">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44E4B9B">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4DF46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8" w:hRule="atLeast"/>
          <w:jc w:val="center"/>
        </w:trPr>
        <w:tc>
          <w:tcPr>
            <w:tcW w:w="1324" w:type="dxa"/>
            <w:vMerge w:val="continue"/>
            <w:vAlign w:val="center"/>
          </w:tcPr>
          <w:p w14:paraId="36A08BCB">
            <w:pPr>
              <w:rPr>
                <w:color w:val="000000" w:themeColor="text1"/>
              </w:rPr>
            </w:pPr>
          </w:p>
        </w:tc>
        <w:tc>
          <w:tcPr>
            <w:tcW w:w="1189" w:type="dxa"/>
            <w:vAlign w:val="center"/>
          </w:tcPr>
          <w:p w14:paraId="7F07ADE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7575E321">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6A04BE1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0EF59DD4">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3A397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vMerge w:val="continue"/>
            <w:vAlign w:val="center"/>
          </w:tcPr>
          <w:p w14:paraId="4D6C0ED3">
            <w:pPr>
              <w:rPr>
                <w:color w:val="000000" w:themeColor="text1"/>
              </w:rPr>
            </w:pPr>
          </w:p>
        </w:tc>
        <w:tc>
          <w:tcPr>
            <w:tcW w:w="1189" w:type="dxa"/>
            <w:vAlign w:val="center"/>
          </w:tcPr>
          <w:p w14:paraId="28718BC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6772A03F">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26AA8B6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093EE33A">
            <w:pPr>
              <w:jc w:val="center"/>
              <w:rPr>
                <w:color w:val="000000" w:themeColor="text1"/>
              </w:rPr>
            </w:pPr>
            <w:r>
              <w:rPr>
                <w:rFonts w:hint="eastAsia" w:ascii="仿宋_GB2312" w:eastAsia="仿宋_GB2312" w:cs="黑体"/>
                <w:color w:val="000000" w:themeColor="text1"/>
                <w:sz w:val="18"/>
                <w:szCs w:val="18"/>
              </w:rPr>
              <w:t>区交通运输局综合服务中心</w:t>
            </w:r>
          </w:p>
        </w:tc>
      </w:tr>
      <w:tr w14:paraId="67743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shd w:val="clear" w:color="auto" w:fill="auto"/>
            <w:vAlign w:val="center"/>
          </w:tcPr>
          <w:p w14:paraId="60F91F3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55" w:type="dxa"/>
            <w:gridSpan w:val="4"/>
            <w:tcBorders>
              <w:right w:val="single" w:color="auto" w:sz="4" w:space="0"/>
            </w:tcBorders>
            <w:shd w:val="clear" w:color="auto" w:fill="auto"/>
            <w:vAlign w:val="center"/>
          </w:tcPr>
          <w:p w14:paraId="58F03C3C">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21" w:type="dxa"/>
            <w:gridSpan w:val="2"/>
            <w:tcBorders>
              <w:left w:val="single" w:color="auto" w:sz="4" w:space="0"/>
            </w:tcBorders>
            <w:shd w:val="clear" w:color="auto" w:fill="auto"/>
            <w:vAlign w:val="center"/>
          </w:tcPr>
          <w:p w14:paraId="214D8B08">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066C83B9">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0D14B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shd w:val="clear" w:color="auto" w:fill="auto"/>
            <w:vAlign w:val="center"/>
          </w:tcPr>
          <w:p w14:paraId="4B0E3FD7">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09E1713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right="0"/>
              <w:rPr>
                <w:rFonts w:hint="eastAsia" w:ascii="仿宋_GB2312" w:eastAsia="仿宋_GB2312" w:cs="黑体"/>
                <w:color w:val="000000" w:themeColor="text1"/>
                <w:sz w:val="18"/>
                <w:szCs w:val="18"/>
              </w:rPr>
            </w:pPr>
            <w:r>
              <w:rPr>
                <w:rFonts w:hint="eastAsia"/>
                <w:color w:val="000000" w:themeColor="text1"/>
                <w:sz w:val="18"/>
                <w:szCs w:val="18"/>
                <w:lang w:val="en-US" w:eastAsia="zh-CN"/>
              </w:rPr>
              <w:t>1</w:t>
            </w:r>
            <w:r>
              <w:rPr>
                <w:rFonts w:hint="eastAsia" w:ascii="仿宋" w:hAnsi="仿宋" w:eastAsia="仿宋" w:cs="仿宋"/>
                <w:color w:val="000000" w:themeColor="text1"/>
                <w:sz w:val="18"/>
                <w:szCs w:val="18"/>
                <w:lang w:val="en-US" w:eastAsia="zh-CN"/>
              </w:rPr>
              <w:t>、</w:t>
            </w:r>
            <w:r>
              <w:rPr>
                <w:rFonts w:hint="eastAsia" w:ascii="仿宋" w:hAnsi="仿宋" w:eastAsia="仿宋" w:cs="仿宋"/>
                <w:i w:val="0"/>
                <w:iCs w:val="0"/>
                <w:caps w:val="0"/>
                <w:color w:val="000000" w:themeColor="text1"/>
                <w:spacing w:val="0"/>
                <w:sz w:val="18"/>
                <w:szCs w:val="18"/>
                <w:shd w:val="clear" w:fill="FFFFFF"/>
              </w:rPr>
              <w:t>具有符合国家标准的九座以下小型客车</w:t>
            </w:r>
            <w:r>
              <w:rPr>
                <w:rFonts w:hint="eastAsia" w:ascii="仿宋" w:hAnsi="仿宋" w:eastAsia="仿宋" w:cs="仿宋"/>
                <w:i w:val="0"/>
                <w:iCs w:val="0"/>
                <w:caps w:val="0"/>
                <w:color w:val="000000" w:themeColor="text1"/>
                <w:spacing w:val="0"/>
                <w:sz w:val="18"/>
                <w:szCs w:val="18"/>
                <w:shd w:val="clear" w:fill="FFFFFF"/>
                <w:lang w:eastAsia="zh-CN"/>
              </w:rPr>
              <w:t>；</w:t>
            </w:r>
            <w:r>
              <w:rPr>
                <w:rFonts w:hint="eastAsia" w:ascii="仿宋" w:hAnsi="仿宋" w:eastAsia="仿宋" w:cs="仿宋"/>
                <w:i w:val="0"/>
                <w:iCs w:val="0"/>
                <w:caps w:val="0"/>
                <w:color w:val="000000" w:themeColor="text1"/>
                <w:spacing w:val="0"/>
                <w:sz w:val="18"/>
                <w:szCs w:val="18"/>
                <w:shd w:val="clear" w:fill="FFFFFF"/>
                <w:lang w:val="en-US" w:eastAsia="zh-CN"/>
              </w:rPr>
              <w:t>2、</w:t>
            </w:r>
            <w:r>
              <w:rPr>
                <w:rFonts w:hint="eastAsia" w:ascii="仿宋" w:hAnsi="仿宋" w:eastAsia="仿宋" w:cs="仿宋"/>
                <w:i w:val="0"/>
                <w:iCs w:val="0"/>
                <w:caps w:val="0"/>
                <w:color w:val="000000" w:themeColor="text1"/>
                <w:spacing w:val="0"/>
                <w:sz w:val="18"/>
                <w:szCs w:val="18"/>
                <w:shd w:val="clear" w:fill="FFFFFF"/>
              </w:rPr>
              <w:t>具有与其经营规模相适应的经营场所、停车场地</w:t>
            </w:r>
            <w:r>
              <w:rPr>
                <w:rFonts w:hint="eastAsia" w:ascii="仿宋" w:hAnsi="仿宋" w:eastAsia="仿宋" w:cs="仿宋"/>
                <w:i w:val="0"/>
                <w:iCs w:val="0"/>
                <w:caps w:val="0"/>
                <w:color w:val="000000" w:themeColor="text1"/>
                <w:spacing w:val="0"/>
                <w:sz w:val="18"/>
                <w:szCs w:val="18"/>
                <w:shd w:val="clear" w:fill="FFFFFF"/>
                <w:lang w:eastAsia="zh-CN"/>
              </w:rPr>
              <w:t>；</w:t>
            </w:r>
            <w:r>
              <w:rPr>
                <w:rFonts w:hint="eastAsia" w:ascii="仿宋" w:hAnsi="仿宋" w:eastAsia="仿宋" w:cs="仿宋"/>
                <w:i w:val="0"/>
                <w:iCs w:val="0"/>
                <w:caps w:val="0"/>
                <w:color w:val="000000" w:themeColor="text1"/>
                <w:spacing w:val="0"/>
                <w:sz w:val="18"/>
                <w:szCs w:val="18"/>
                <w:shd w:val="clear" w:fill="FFFFFF"/>
                <w:lang w:val="en-US" w:eastAsia="zh-CN"/>
              </w:rPr>
              <w:t>3、</w:t>
            </w:r>
            <w:r>
              <w:rPr>
                <w:rFonts w:hint="eastAsia" w:ascii="仿宋" w:hAnsi="仿宋" w:eastAsia="仿宋" w:cs="仿宋"/>
                <w:i w:val="0"/>
                <w:iCs w:val="0"/>
                <w:caps w:val="0"/>
                <w:color w:val="000000" w:themeColor="text1"/>
                <w:spacing w:val="0"/>
                <w:sz w:val="18"/>
                <w:szCs w:val="18"/>
                <w:shd w:val="clear" w:fill="FFFFFF"/>
              </w:rPr>
              <w:t>具有符合国家和本省规定的安全管理制度、服务规程、应急保障措施以及相应的技术服务人员</w:t>
            </w:r>
            <w:r>
              <w:rPr>
                <w:rFonts w:hint="eastAsia" w:ascii="仿宋" w:hAnsi="仿宋" w:eastAsia="仿宋" w:cs="仿宋"/>
                <w:i w:val="0"/>
                <w:iCs w:val="0"/>
                <w:caps w:val="0"/>
                <w:color w:val="000000" w:themeColor="text1"/>
                <w:spacing w:val="0"/>
                <w:sz w:val="18"/>
                <w:szCs w:val="18"/>
                <w:shd w:val="clear" w:fill="FFFFFF"/>
                <w:lang w:eastAsia="zh-CN"/>
              </w:rPr>
              <w:t>；</w:t>
            </w:r>
            <w:r>
              <w:rPr>
                <w:rFonts w:hint="eastAsia" w:ascii="仿宋" w:hAnsi="仿宋" w:eastAsia="仿宋" w:cs="仿宋"/>
                <w:i w:val="0"/>
                <w:iCs w:val="0"/>
                <w:caps w:val="0"/>
                <w:color w:val="000000" w:themeColor="text1"/>
                <w:spacing w:val="0"/>
                <w:sz w:val="18"/>
                <w:szCs w:val="18"/>
                <w:shd w:val="clear" w:fill="FFFFFF"/>
                <w:lang w:val="en-US" w:eastAsia="zh-CN"/>
              </w:rPr>
              <w:t>4、</w:t>
            </w:r>
            <w:r>
              <w:rPr>
                <w:rFonts w:hint="eastAsia" w:ascii="仿宋" w:hAnsi="仿宋" w:eastAsia="仿宋" w:cs="仿宋"/>
                <w:i w:val="0"/>
                <w:iCs w:val="0"/>
                <w:caps w:val="0"/>
                <w:color w:val="000000" w:themeColor="text1"/>
                <w:spacing w:val="0"/>
                <w:sz w:val="18"/>
                <w:szCs w:val="18"/>
                <w:shd w:val="clear" w:fill="FFFFFF"/>
              </w:rPr>
              <w:t>法律、行政法规规定的其他条件。</w:t>
            </w:r>
          </w:p>
        </w:tc>
      </w:tr>
      <w:tr w14:paraId="7FE64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02" w:hRule="atLeast"/>
          <w:jc w:val="center"/>
        </w:trPr>
        <w:tc>
          <w:tcPr>
            <w:tcW w:w="1324" w:type="dxa"/>
            <w:vAlign w:val="center"/>
          </w:tcPr>
          <w:p w14:paraId="2482986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70AAF9C0">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73CF9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05B31CF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98CBD08">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189BC54E">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123EF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6302AF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2038E16D">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58B963B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1D34C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455DC28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6D14D109">
            <w:pPr>
              <w:widowControl/>
              <w:jc w:val="left"/>
              <w:textAlignment w:val="center"/>
              <w:rPr>
                <w:rFonts w:ascii="黑体" w:eastAsia="黑体" w:cs="黑体"/>
                <w:color w:val="000000" w:themeColor="text1"/>
                <w:kern w:val="0"/>
                <w:sz w:val="18"/>
                <w:szCs w:val="18"/>
              </w:rPr>
            </w:pPr>
          </w:p>
        </w:tc>
      </w:tr>
    </w:tbl>
    <w:p w14:paraId="65828F6C">
      <w:pPr>
        <w:widowControl/>
        <w:jc w:val="both"/>
        <w:textAlignment w:val="center"/>
        <w:rPr>
          <w:rFonts w:hint="eastAsia" w:ascii="方正小标宋简体" w:eastAsia="方正小标宋简体" w:cs="方正小标宋简体"/>
          <w:color w:val="000000" w:themeColor="text1"/>
          <w:kern w:val="0"/>
          <w:sz w:val="44"/>
          <w:szCs w:val="44"/>
        </w:rPr>
      </w:pPr>
    </w:p>
    <w:p w14:paraId="3643D57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099"/>
        <w:gridCol w:w="864"/>
        <w:gridCol w:w="992"/>
        <w:gridCol w:w="567"/>
        <w:gridCol w:w="429"/>
        <w:gridCol w:w="1502"/>
      </w:tblGrid>
      <w:tr w14:paraId="5A12A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4D1EC7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52807789">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32</w:t>
            </w:r>
          </w:p>
        </w:tc>
        <w:tc>
          <w:tcPr>
            <w:tcW w:w="1691" w:type="dxa"/>
            <w:vAlign w:val="center"/>
          </w:tcPr>
          <w:p w14:paraId="7132F0A9">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631484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54813D3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14215DE">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1124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144CAC8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75CCA898">
            <w:pPr>
              <w:widowControl/>
              <w:jc w:val="center"/>
              <w:textAlignment w:val="center"/>
              <w:rPr>
                <w:rFonts w:ascii="仿宋_GB2312" w:eastAsia="仿宋_GB2312" w:cs="仿宋_GB2312"/>
                <w:color w:val="000000" w:themeColor="text1"/>
                <w:kern w:val="0"/>
                <w:sz w:val="18"/>
                <w:szCs w:val="18"/>
              </w:rPr>
            </w:pPr>
            <w:r>
              <w:rPr>
                <w:rFonts w:hint="eastAsia" w:ascii="仿宋_GB2312" w:hAnsi="仿宋_GB2312" w:eastAsia="仿宋_GB2312" w:cs="仿宋_GB2312"/>
                <w:color w:val="000000" w:themeColor="text1"/>
                <w:sz w:val="18"/>
                <w:szCs w:val="18"/>
                <w:lang w:eastAsia="zh-CN"/>
              </w:rPr>
              <w:t>公路工程建设项目招投标资格预审文件、资格预审结果、招标文件、中标结果的备案</w:t>
            </w:r>
          </w:p>
        </w:tc>
      </w:tr>
      <w:tr w14:paraId="5B8D8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183BD2A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tcPr>
          <w:p w14:paraId="1EC47F06">
            <w:pPr>
              <w:pStyle w:val="8"/>
              <w:shd w:val="clear" w:color="auto" w:fill="FFFFFF"/>
              <w:spacing w:after="161"/>
              <w:jc w:val="both"/>
              <w:rPr>
                <w:rFonts w:hint="eastAsia" w:ascii="仿宋" w:eastAsia="仿宋"/>
                <w:color w:val="000000" w:themeColor="text1"/>
                <w:sz w:val="18"/>
                <w:szCs w:val="18"/>
                <w:lang w:eastAsia="zh-CN"/>
              </w:rPr>
            </w:pPr>
            <w:r>
              <w:rPr>
                <w:rFonts w:hint="eastAsia" w:ascii="仿宋" w:eastAsia="仿宋" w:cs="黑体"/>
                <w:b/>
                <w:color w:val="000000" w:themeColor="text1"/>
                <w:sz w:val="18"/>
                <w:szCs w:val="18"/>
              </w:rPr>
              <w:t>【法律法规】</w:t>
            </w:r>
            <w:r>
              <w:rPr>
                <w:rFonts w:hint="eastAsia" w:ascii="仿宋" w:eastAsia="仿宋"/>
                <w:color w:val="000000" w:themeColor="text1"/>
                <w:sz w:val="18"/>
                <w:szCs w:val="18"/>
                <w:lang w:eastAsia="zh-CN"/>
              </w:rPr>
              <w:t>1、《中华人民共和国招标投标法》第四十七条　依法必须进行招标的项目，招标人应当自确定中标人之日起十五日内，向有关行政监督部门提交招标投标情况的书面报告。2、《公路工程建设项目招标投标管理办法》第五十五条 依法必须进行招标的公路工程建设项目，招标人应当自确定中标人之日起15日内，将招标投标情况的书面报告报对该项目具有招标监督职责的交通运输主管部门备案。前款所称书面报告至少应当包括下列内容：（一）招标项目基本情况；（二）招标过程简述；（三）评标情况说明；（四）中标候选人公示情况；（五）中标结果；（六）附件，包括评标报告、评标委员会成员履职情况说明等。有资格预审情况说明、异议及投诉处理情况和资格审查报告的，也应当包括在书面报告中。3、《河北省交通运输工程建设项目招标投标管理办法（试行）》（冀交法[2024]24号）第三十九条  依法必须招标的交通运输工程建设项目,招标人应当自确定中标人之日起15日内,按相关规定将招标结果的报告报相应交通运输主管部门备案。</w:t>
            </w:r>
          </w:p>
          <w:p w14:paraId="292CE054">
            <w:pPr>
              <w:pStyle w:val="8"/>
              <w:shd w:val="clear" w:color="auto" w:fill="FFFFFF"/>
              <w:spacing w:after="161"/>
              <w:jc w:val="both"/>
              <w:rPr>
                <w:rFonts w:ascii="仿宋" w:eastAsia="仿宋"/>
                <w:color w:val="000000" w:themeColor="text1"/>
                <w:sz w:val="18"/>
                <w:szCs w:val="18"/>
              </w:rPr>
            </w:pPr>
            <w:r>
              <w:rPr>
                <w:rFonts w:hint="eastAsia" w:ascii="仿宋" w:eastAsia="仿宋" w:cs="仿宋_GB2312"/>
                <w:color w:val="000000" w:themeColor="text1"/>
                <w:sz w:val="18"/>
                <w:szCs w:val="18"/>
              </w:rPr>
              <w:t>【三定规定】抚办字【</w:t>
            </w:r>
            <w:r>
              <w:rPr>
                <w:rFonts w:ascii="仿宋" w:eastAsia="仿宋" w:cs="仿宋_GB2312"/>
                <w:color w:val="000000" w:themeColor="text1"/>
                <w:sz w:val="18"/>
                <w:szCs w:val="18"/>
              </w:rPr>
              <w:t>2019</w:t>
            </w:r>
            <w:r>
              <w:rPr>
                <w:rFonts w:hint="eastAsia" w:ascii="仿宋" w:eastAsia="仿宋" w:cs="仿宋_GB2312"/>
                <w:color w:val="000000" w:themeColor="text1"/>
                <w:sz w:val="18"/>
                <w:szCs w:val="18"/>
              </w:rPr>
              <w:t>】</w:t>
            </w:r>
            <w:r>
              <w:rPr>
                <w:rFonts w:ascii="仿宋" w:eastAsia="仿宋" w:cs="仿宋_GB2312"/>
                <w:color w:val="000000" w:themeColor="text1"/>
                <w:sz w:val="18"/>
                <w:szCs w:val="18"/>
              </w:rPr>
              <w:t>11</w:t>
            </w:r>
            <w:r>
              <w:rPr>
                <w:rFonts w:hint="eastAsia" w:ascii="仿宋" w:eastAsia="仿宋" w:cs="仿宋_GB2312"/>
                <w:color w:val="000000" w:themeColor="text1"/>
                <w:sz w:val="18"/>
                <w:szCs w:val="18"/>
              </w:rPr>
              <w:t>号第三条第五款承担全区道路运输市场监管责任。执行道路运输有关政策、技术标准和运营规范并监督实施。负责城乡客运及有关设施规划和管理，推动城乡客运一体化建设。</w:t>
            </w:r>
          </w:p>
        </w:tc>
      </w:tr>
      <w:tr w14:paraId="49771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61FD826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16DBFA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2A04E2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1CADE6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3DD39A3B">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1EB8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4B0D12C3">
            <w:pPr>
              <w:rPr>
                <w:color w:val="000000" w:themeColor="text1"/>
              </w:rPr>
            </w:pPr>
          </w:p>
        </w:tc>
        <w:tc>
          <w:tcPr>
            <w:tcW w:w="1189" w:type="dxa"/>
            <w:vAlign w:val="center"/>
          </w:tcPr>
          <w:p w14:paraId="4DDB792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074BA4B8">
            <w:pPr>
              <w:adjustRightInd w:val="0"/>
              <w:snapToGrid w:val="0"/>
              <w:spacing w:line="240" w:lineRule="exact"/>
              <w:jc w:val="center"/>
              <w:rPr>
                <w:rFonts w:ascii="仿宋_GB2312" w:eastAsia="仿宋_GB2312"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508E98C5">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1E726CA9">
            <w:pPr>
              <w:jc w:val="center"/>
              <w:rPr>
                <w:rFonts w:hint="eastAsia" w:eastAsia="宋体"/>
                <w:color w:val="000000" w:themeColor="text1"/>
                <w:lang w:eastAsia="zh-CN"/>
              </w:rPr>
            </w:pPr>
            <w:r>
              <w:rPr>
                <w:rFonts w:hint="eastAsia" w:ascii="仿宋" w:hAnsi="仿宋" w:eastAsia="仿宋" w:cs="仿宋"/>
                <w:color w:val="000000" w:themeColor="text1"/>
                <w:sz w:val="18"/>
                <w:szCs w:val="18"/>
                <w:lang w:eastAsia="zh-CN"/>
              </w:rPr>
              <w:t>区交通运输局公路管理股</w:t>
            </w:r>
          </w:p>
        </w:tc>
      </w:tr>
      <w:tr w14:paraId="21993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8" w:hRule="atLeast"/>
          <w:jc w:val="center"/>
        </w:trPr>
        <w:tc>
          <w:tcPr>
            <w:tcW w:w="1324" w:type="dxa"/>
            <w:vMerge w:val="continue"/>
            <w:vAlign w:val="center"/>
          </w:tcPr>
          <w:p w14:paraId="0E6CB96E">
            <w:pPr>
              <w:rPr>
                <w:color w:val="000000" w:themeColor="text1"/>
              </w:rPr>
            </w:pPr>
          </w:p>
        </w:tc>
        <w:tc>
          <w:tcPr>
            <w:tcW w:w="1189" w:type="dxa"/>
            <w:vAlign w:val="center"/>
          </w:tcPr>
          <w:p w14:paraId="2F59854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6EEB1FB9">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6DB33FEA">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7980B843">
            <w:pPr>
              <w:jc w:val="center"/>
              <w:rPr>
                <w:color w:val="000000" w:themeColor="text1"/>
              </w:rPr>
            </w:pPr>
            <w:r>
              <w:rPr>
                <w:rFonts w:hint="eastAsia" w:ascii="仿宋" w:hAnsi="仿宋" w:eastAsia="仿宋" w:cs="仿宋"/>
                <w:color w:val="000000" w:themeColor="text1"/>
                <w:sz w:val="18"/>
                <w:szCs w:val="18"/>
                <w:lang w:eastAsia="zh-CN"/>
              </w:rPr>
              <w:t>区交通运输局公路管理股</w:t>
            </w:r>
          </w:p>
        </w:tc>
      </w:tr>
      <w:tr w14:paraId="5D6A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vMerge w:val="continue"/>
            <w:vAlign w:val="center"/>
          </w:tcPr>
          <w:p w14:paraId="0544A372">
            <w:pPr>
              <w:rPr>
                <w:color w:val="000000" w:themeColor="text1"/>
              </w:rPr>
            </w:pPr>
          </w:p>
        </w:tc>
        <w:tc>
          <w:tcPr>
            <w:tcW w:w="1189" w:type="dxa"/>
            <w:vAlign w:val="center"/>
          </w:tcPr>
          <w:p w14:paraId="1A90671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0874C07F">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463E9A2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7167976A">
            <w:pPr>
              <w:jc w:val="center"/>
              <w:rPr>
                <w:color w:val="000000" w:themeColor="text1"/>
              </w:rPr>
            </w:pPr>
            <w:r>
              <w:rPr>
                <w:rFonts w:hint="eastAsia" w:ascii="仿宋" w:hAnsi="仿宋" w:eastAsia="仿宋" w:cs="仿宋"/>
                <w:color w:val="000000" w:themeColor="text1"/>
                <w:sz w:val="18"/>
                <w:szCs w:val="18"/>
                <w:lang w:eastAsia="zh-CN"/>
              </w:rPr>
              <w:t>区交通运输局公路管理股</w:t>
            </w:r>
          </w:p>
        </w:tc>
      </w:tr>
      <w:tr w14:paraId="0724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shd w:val="clear" w:color="auto" w:fill="auto"/>
            <w:vAlign w:val="center"/>
          </w:tcPr>
          <w:p w14:paraId="2920FB0F">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20" w:type="dxa"/>
            <w:gridSpan w:val="4"/>
            <w:tcBorders>
              <w:right w:val="single" w:color="auto" w:sz="4" w:space="0"/>
            </w:tcBorders>
            <w:shd w:val="clear" w:color="auto" w:fill="auto"/>
            <w:vAlign w:val="center"/>
          </w:tcPr>
          <w:p w14:paraId="20977E6C">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856" w:type="dxa"/>
            <w:gridSpan w:val="2"/>
            <w:tcBorders>
              <w:left w:val="single" w:color="auto" w:sz="4" w:space="0"/>
            </w:tcBorders>
            <w:shd w:val="clear" w:color="auto" w:fill="auto"/>
            <w:vAlign w:val="center"/>
          </w:tcPr>
          <w:p w14:paraId="586E6E19">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0C90BA98">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78FB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4" w:hRule="atLeast"/>
          <w:jc w:val="center"/>
        </w:trPr>
        <w:tc>
          <w:tcPr>
            <w:tcW w:w="1324" w:type="dxa"/>
            <w:shd w:val="clear" w:color="auto" w:fill="auto"/>
            <w:vAlign w:val="center"/>
          </w:tcPr>
          <w:p w14:paraId="521BDFC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5E894000">
            <w:pPr>
              <w:widowControl/>
              <w:numPr>
                <w:ilvl w:val="0"/>
                <w:numId w:val="2"/>
              </w:numPr>
              <w:shd w:val="clear" w:color="auto" w:fill="FFFFFF"/>
              <w:spacing w:after="161"/>
              <w:jc w:val="left"/>
              <w:rPr>
                <w:rFonts w:hint="eastAsia" w:ascii="仿宋_GB2312" w:eastAsia="仿宋_GB2312" w:cs="黑体"/>
                <w:color w:val="000000" w:themeColor="text1"/>
                <w:sz w:val="18"/>
                <w:szCs w:val="18"/>
              </w:rPr>
            </w:pPr>
            <w:r>
              <w:rPr>
                <w:rFonts w:hint="eastAsia" w:ascii="仿宋" w:eastAsia="仿宋"/>
                <w:color w:val="000000" w:themeColor="text1"/>
                <w:sz w:val="18"/>
                <w:szCs w:val="18"/>
                <w:lang w:val="en-US" w:eastAsia="zh-CN"/>
              </w:rPr>
              <w:t>招标项目基本情况；2、招标过程简述；3、评标情况说明；4、中标候选人公示情况；5、中标结果；6、附件，包括评标报告、评标委员会成员履职情况说明等。有资格预审情况说明、异议及投诉处理情况和资格审查报告的，也应当包括在书面报告中。</w:t>
            </w:r>
          </w:p>
        </w:tc>
      </w:tr>
      <w:tr w14:paraId="2C0A2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02" w:hRule="atLeast"/>
          <w:jc w:val="center"/>
        </w:trPr>
        <w:tc>
          <w:tcPr>
            <w:tcW w:w="1324" w:type="dxa"/>
            <w:vAlign w:val="center"/>
          </w:tcPr>
          <w:p w14:paraId="1043AF5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0520FB35">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59A18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30F4DC5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46D9ADA8">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w:t>
            </w:r>
            <w:r>
              <w:rPr>
                <w:rFonts w:hint="eastAsia" w:ascii="仿宋_GB2312" w:eastAsia="仿宋_GB2312" w:cs="黑体"/>
                <w:color w:val="000000" w:themeColor="text1"/>
                <w:kern w:val="0"/>
                <w:sz w:val="18"/>
                <w:szCs w:val="18"/>
                <w:lang w:val="en-US" w:eastAsia="zh-CN"/>
              </w:rPr>
              <w:t>1</w:t>
            </w:r>
            <w:r>
              <w:rPr>
                <w:rFonts w:ascii="仿宋_GB2312" w:eastAsia="仿宋_GB2312" w:cs="黑体"/>
                <w:color w:val="000000" w:themeColor="text1"/>
                <w:kern w:val="0"/>
                <w:sz w:val="18"/>
                <w:szCs w:val="18"/>
              </w:rPr>
              <w:t>8</w:t>
            </w:r>
            <w:r>
              <w:rPr>
                <w:rFonts w:hint="eastAsia" w:ascii="仿宋_GB2312" w:eastAsia="仿宋_GB2312" w:cs="黑体"/>
                <w:color w:val="000000" w:themeColor="text1"/>
                <w:kern w:val="0"/>
                <w:sz w:val="18"/>
                <w:szCs w:val="18"/>
                <w:lang w:val="en-US" w:eastAsia="zh-CN"/>
              </w:rPr>
              <w:t>1051</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6045ABBC">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47C8D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1DB9D72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0669625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52C924D2">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7D43D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5AC156A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198EFF3C">
            <w:pPr>
              <w:widowControl/>
              <w:jc w:val="left"/>
              <w:textAlignment w:val="center"/>
              <w:rPr>
                <w:rFonts w:ascii="黑体" w:eastAsia="黑体" w:cs="黑体"/>
                <w:color w:val="000000" w:themeColor="text1"/>
                <w:kern w:val="0"/>
                <w:sz w:val="18"/>
                <w:szCs w:val="18"/>
              </w:rPr>
            </w:pPr>
          </w:p>
        </w:tc>
      </w:tr>
    </w:tbl>
    <w:p w14:paraId="37ABA4CA">
      <w:pPr>
        <w:rPr>
          <w:color w:val="000000" w:themeColor="text1"/>
        </w:rPr>
      </w:pPr>
    </w:p>
    <w:p w14:paraId="09C85AD6">
      <w:pPr>
        <w:rPr>
          <w:color w:val="000000" w:themeColor="text1"/>
        </w:rPr>
      </w:pPr>
    </w:p>
    <w:p w14:paraId="255E15C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履职行权规程（行政备案类）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324"/>
        <w:gridCol w:w="1189"/>
        <w:gridCol w:w="641"/>
        <w:gridCol w:w="1691"/>
        <w:gridCol w:w="1549"/>
        <w:gridCol w:w="414"/>
        <w:gridCol w:w="992"/>
        <w:gridCol w:w="567"/>
        <w:gridCol w:w="429"/>
        <w:gridCol w:w="1502"/>
      </w:tblGrid>
      <w:tr w14:paraId="37360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324" w:type="dxa"/>
            <w:vAlign w:val="center"/>
          </w:tcPr>
          <w:p w14:paraId="7AB8F18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830" w:type="dxa"/>
            <w:gridSpan w:val="2"/>
            <w:vAlign w:val="center"/>
          </w:tcPr>
          <w:p w14:paraId="06CE5735">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33</w:t>
            </w:r>
          </w:p>
        </w:tc>
        <w:tc>
          <w:tcPr>
            <w:tcW w:w="1691" w:type="dxa"/>
            <w:vAlign w:val="center"/>
          </w:tcPr>
          <w:p w14:paraId="0EAAA12F">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413D26E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行政备案</w:t>
            </w:r>
          </w:p>
        </w:tc>
        <w:tc>
          <w:tcPr>
            <w:tcW w:w="1559" w:type="dxa"/>
            <w:gridSpan w:val="2"/>
            <w:vAlign w:val="center"/>
          </w:tcPr>
          <w:p w14:paraId="0E0759B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B6A1716">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394A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324" w:type="dxa"/>
            <w:vAlign w:val="center"/>
          </w:tcPr>
          <w:p w14:paraId="1405DA3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974" w:type="dxa"/>
            <w:gridSpan w:val="9"/>
            <w:vAlign w:val="center"/>
          </w:tcPr>
          <w:p w14:paraId="0AF9216D">
            <w:pPr>
              <w:widowControl/>
              <w:jc w:val="center"/>
              <w:textAlignment w:val="center"/>
              <w:rPr>
                <w:rFonts w:ascii="仿宋_GB2312" w:eastAsia="仿宋_GB2312" w:cs="仿宋_GB2312"/>
                <w:color w:val="000000" w:themeColor="text1"/>
                <w:kern w:val="0"/>
                <w:sz w:val="18"/>
                <w:szCs w:val="18"/>
              </w:rPr>
            </w:pPr>
            <w:r>
              <w:rPr>
                <w:rFonts w:hint="eastAsia" w:ascii="仿宋" w:eastAsia="仿宋" w:cs="仿宋_GB2312"/>
                <w:color w:val="000000" w:themeColor="text1"/>
                <w:sz w:val="18"/>
                <w:szCs w:val="18"/>
              </w:rPr>
              <w:t>道路旅客运输企业设立分公司备案</w:t>
            </w:r>
          </w:p>
        </w:tc>
      </w:tr>
      <w:tr w14:paraId="137B5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38" w:hRule="atLeast"/>
          <w:jc w:val="center"/>
        </w:trPr>
        <w:tc>
          <w:tcPr>
            <w:tcW w:w="1324" w:type="dxa"/>
            <w:vAlign w:val="center"/>
          </w:tcPr>
          <w:p w14:paraId="041BC9B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974" w:type="dxa"/>
            <w:gridSpan w:val="9"/>
            <w:vAlign w:val="center"/>
          </w:tcPr>
          <w:p w14:paraId="3FC16617">
            <w:pPr>
              <w:pStyle w:val="8"/>
              <w:shd w:val="clear" w:color="auto" w:fill="FFFFFF"/>
              <w:adjustRightInd w:val="0"/>
              <w:snapToGrid w:val="0"/>
              <w:spacing w:after="150" w:line="240" w:lineRule="exact"/>
              <w:rPr>
                <w:rFonts w:ascii="仿宋" w:eastAsia="仿宋" w:cs="仿宋_GB2312"/>
                <w:color w:val="000000" w:themeColor="text1"/>
                <w:sz w:val="18"/>
                <w:szCs w:val="18"/>
                <w:shd w:val="clear" w:color="auto" w:fill="FFFFFF"/>
              </w:rPr>
            </w:pPr>
            <w:r>
              <w:rPr>
                <w:rFonts w:hint="eastAsia" w:ascii="仿宋" w:eastAsia="仿宋" w:cs="黑体"/>
                <w:color w:val="000000" w:themeColor="text1"/>
                <w:sz w:val="18"/>
                <w:szCs w:val="18"/>
              </w:rPr>
              <w:t>【法律法规】</w:t>
            </w:r>
            <w:r>
              <w:rPr>
                <w:rFonts w:hint="eastAsia" w:ascii="仿宋" w:eastAsia="仿宋"/>
                <w:color w:val="000000" w:themeColor="text1"/>
                <w:sz w:val="18"/>
                <w:szCs w:val="18"/>
                <w:shd w:val="clear" w:color="auto" w:fill="FFFFFF"/>
              </w:rPr>
              <w:t>《道路旅客运输及客运站管理规定》（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olor w:val="000000" w:themeColor="text1"/>
                <w:sz w:val="18"/>
                <w:szCs w:val="18"/>
                <w:shd w:val="clear" w:color="auto" w:fill="FFFFFF"/>
              </w:rPr>
              <w:t>交通运输部令</w:t>
            </w:r>
            <w:r>
              <w:rPr>
                <w:rFonts w:ascii="仿宋" w:eastAsia="仿宋"/>
                <w:color w:val="000000" w:themeColor="text1"/>
                <w:sz w:val="18"/>
                <w:szCs w:val="18"/>
                <w:shd w:val="clear" w:color="auto" w:fill="FFFFFF"/>
              </w:rPr>
              <w:t>2023</w:t>
            </w:r>
            <w:r>
              <w:rPr>
                <w:rFonts w:hint="eastAsia" w:ascii="仿宋" w:eastAsia="仿宋"/>
                <w:color w:val="000000" w:themeColor="text1"/>
                <w:sz w:val="18"/>
                <w:szCs w:val="18"/>
                <w:shd w:val="clear" w:color="auto" w:fill="FFFFFF"/>
              </w:rPr>
              <w:t>第</w:t>
            </w:r>
            <w:r>
              <w:rPr>
                <w:rFonts w:ascii="仿宋" w:eastAsia="仿宋"/>
                <w:color w:val="000000" w:themeColor="text1"/>
                <w:sz w:val="18"/>
                <w:szCs w:val="18"/>
                <w:shd w:val="clear" w:color="auto" w:fill="FFFFFF"/>
              </w:rPr>
              <w:t>18</w:t>
            </w:r>
            <w:r>
              <w:rPr>
                <w:rFonts w:hint="eastAsia" w:ascii="仿宋" w:eastAsia="仿宋"/>
                <w:color w:val="000000" w:themeColor="text1"/>
                <w:sz w:val="18"/>
                <w:szCs w:val="18"/>
                <w:shd w:val="clear" w:color="auto" w:fill="FFFFFF"/>
              </w:rPr>
              <w:t>号）第二十七条道路客运经营者设立子公司的，应当按照规定向设立地交通运输主管部门申请经营许可；设立分公司的，应当向设立地交通运输主管部门备案。</w:t>
            </w:r>
          </w:p>
          <w:p w14:paraId="4C747819">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D5E2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324" w:type="dxa"/>
            <w:vMerge w:val="restart"/>
            <w:vAlign w:val="center"/>
          </w:tcPr>
          <w:p w14:paraId="67581C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189" w:type="dxa"/>
            <w:vAlign w:val="center"/>
          </w:tcPr>
          <w:p w14:paraId="6109F11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0EE067C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EF3D8B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15E46D6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7F0D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324" w:type="dxa"/>
            <w:vMerge w:val="continue"/>
            <w:vAlign w:val="center"/>
          </w:tcPr>
          <w:p w14:paraId="18EE7F16">
            <w:pPr>
              <w:rPr>
                <w:color w:val="000000" w:themeColor="text1"/>
              </w:rPr>
            </w:pPr>
          </w:p>
        </w:tc>
        <w:tc>
          <w:tcPr>
            <w:tcW w:w="1189" w:type="dxa"/>
            <w:vAlign w:val="center"/>
          </w:tcPr>
          <w:p w14:paraId="36D44C7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0C5B773D">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公示应当提交的材料</w:t>
            </w:r>
            <w:r>
              <w:rPr>
                <w:rFonts w:ascii="仿宋" w:eastAsia="仿宋" w:cs="仿宋_GB2312"/>
                <w:color w:val="000000" w:themeColor="text1"/>
                <w:sz w:val="18"/>
                <w:szCs w:val="18"/>
              </w:rPr>
              <w:t>,</w:t>
            </w:r>
            <w:r>
              <w:rPr>
                <w:rStyle w:val="25"/>
                <w:rFonts w:hint="eastAsia" w:ascii="仿宋" w:eastAsia="仿宋" w:cs="仿宋_GB2312"/>
                <w:color w:val="000000" w:themeColor="text1"/>
                <w:sz w:val="18"/>
                <w:szCs w:val="18"/>
              </w:rPr>
              <w:t>对符合申请条件、材料齐全的予以受理，对材料不齐的，一次性告知补正的材料，对不符合申请条件的，不予受理并告知申请人不予受理的理由。</w:t>
            </w:r>
          </w:p>
        </w:tc>
        <w:tc>
          <w:tcPr>
            <w:tcW w:w="996" w:type="dxa"/>
            <w:gridSpan w:val="2"/>
            <w:vAlign w:val="center"/>
          </w:tcPr>
          <w:p w14:paraId="1CC76DBB">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7C562F15">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区交通运输局</w:t>
            </w:r>
            <w:r>
              <w:rPr>
                <w:rFonts w:hint="eastAsia" w:ascii="仿宋_GB2312" w:eastAsia="仿宋_GB2312" w:cs="黑体"/>
                <w:color w:val="000000" w:themeColor="text1"/>
                <w:sz w:val="18"/>
                <w:szCs w:val="18"/>
                <w:lang w:eastAsia="zh-CN"/>
              </w:rPr>
              <w:t>运输管理股</w:t>
            </w:r>
          </w:p>
        </w:tc>
      </w:tr>
      <w:tr w14:paraId="67CE7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0" w:hRule="atLeast"/>
          <w:jc w:val="center"/>
        </w:trPr>
        <w:tc>
          <w:tcPr>
            <w:tcW w:w="1324" w:type="dxa"/>
            <w:vMerge w:val="continue"/>
            <w:vAlign w:val="center"/>
          </w:tcPr>
          <w:p w14:paraId="701FD8D7">
            <w:pPr>
              <w:rPr>
                <w:color w:val="000000" w:themeColor="text1"/>
              </w:rPr>
            </w:pPr>
          </w:p>
        </w:tc>
        <w:tc>
          <w:tcPr>
            <w:tcW w:w="1189" w:type="dxa"/>
            <w:vAlign w:val="center"/>
          </w:tcPr>
          <w:p w14:paraId="600D826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5CC201D8">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对提交材料审核，提出审查意见。</w:t>
            </w:r>
          </w:p>
        </w:tc>
        <w:tc>
          <w:tcPr>
            <w:tcW w:w="996" w:type="dxa"/>
            <w:gridSpan w:val="2"/>
            <w:vAlign w:val="center"/>
          </w:tcPr>
          <w:p w14:paraId="25AC18A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rPr>
              <w:t>个工作日</w:t>
            </w:r>
          </w:p>
        </w:tc>
        <w:tc>
          <w:tcPr>
            <w:tcW w:w="1502" w:type="dxa"/>
            <w:vAlign w:val="center"/>
          </w:tcPr>
          <w:p w14:paraId="6AFE8494">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区交通运输局</w:t>
            </w:r>
            <w:r>
              <w:rPr>
                <w:rFonts w:hint="eastAsia" w:ascii="仿宋_GB2312" w:eastAsia="仿宋_GB2312" w:cs="黑体"/>
                <w:color w:val="000000" w:themeColor="text1"/>
                <w:sz w:val="18"/>
                <w:szCs w:val="18"/>
                <w:lang w:eastAsia="zh-CN"/>
              </w:rPr>
              <w:t>运输管理股</w:t>
            </w:r>
          </w:p>
        </w:tc>
      </w:tr>
      <w:tr w14:paraId="375DE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vMerge w:val="continue"/>
            <w:vAlign w:val="center"/>
          </w:tcPr>
          <w:p w14:paraId="4CE7FD91">
            <w:pPr>
              <w:rPr>
                <w:color w:val="000000" w:themeColor="text1"/>
              </w:rPr>
            </w:pPr>
          </w:p>
        </w:tc>
        <w:tc>
          <w:tcPr>
            <w:tcW w:w="1189" w:type="dxa"/>
            <w:vAlign w:val="center"/>
          </w:tcPr>
          <w:p w14:paraId="52033F5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3E85A13F">
            <w:pPr>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依法予以备案</w:t>
            </w:r>
            <w:r>
              <w:rPr>
                <w:rFonts w:ascii="仿宋" w:eastAsia="仿宋" w:cs="仿宋_GB2312"/>
                <w:color w:val="000000" w:themeColor="text1"/>
                <w:sz w:val="18"/>
                <w:szCs w:val="18"/>
              </w:rPr>
              <w:t>.</w:t>
            </w:r>
          </w:p>
        </w:tc>
        <w:tc>
          <w:tcPr>
            <w:tcW w:w="996" w:type="dxa"/>
            <w:gridSpan w:val="2"/>
            <w:vAlign w:val="center"/>
          </w:tcPr>
          <w:p w14:paraId="204D93C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0ABCA861">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区交通运输局</w:t>
            </w:r>
            <w:r>
              <w:rPr>
                <w:rFonts w:hint="eastAsia" w:ascii="仿宋_GB2312" w:eastAsia="仿宋_GB2312" w:cs="黑体"/>
                <w:color w:val="000000" w:themeColor="text1"/>
                <w:sz w:val="18"/>
                <w:szCs w:val="18"/>
                <w:lang w:eastAsia="zh-CN"/>
              </w:rPr>
              <w:t>运输管理股</w:t>
            </w:r>
          </w:p>
        </w:tc>
      </w:tr>
      <w:tr w14:paraId="6B0E4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0A2E892D">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5070" w:type="dxa"/>
            <w:gridSpan w:val="4"/>
            <w:tcBorders>
              <w:right w:val="single" w:color="auto" w:sz="4" w:space="0"/>
            </w:tcBorders>
            <w:shd w:val="clear" w:color="auto" w:fill="auto"/>
            <w:vAlign w:val="center"/>
          </w:tcPr>
          <w:p w14:paraId="10851251">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406" w:type="dxa"/>
            <w:gridSpan w:val="2"/>
            <w:tcBorders>
              <w:left w:val="single" w:color="auto" w:sz="4" w:space="0"/>
            </w:tcBorders>
            <w:shd w:val="clear" w:color="auto" w:fill="auto"/>
            <w:vAlign w:val="center"/>
          </w:tcPr>
          <w:p w14:paraId="5301B28A">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6C52071D">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3DE9B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324" w:type="dxa"/>
            <w:shd w:val="clear" w:color="auto" w:fill="auto"/>
            <w:vAlign w:val="center"/>
          </w:tcPr>
          <w:p w14:paraId="3A3A67C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974" w:type="dxa"/>
            <w:gridSpan w:val="9"/>
            <w:shd w:val="clear" w:color="auto" w:fill="auto"/>
            <w:vAlign w:val="center"/>
          </w:tcPr>
          <w:p w14:paraId="73644397">
            <w:pPr>
              <w:jc w:val="left"/>
              <w:rPr>
                <w:rFonts w:hint="eastAsia" w:ascii="仿宋_GB2312" w:eastAsia="仿宋_GB2312" w:cs="黑体"/>
                <w:color w:val="000000" w:themeColor="text1"/>
                <w:sz w:val="18"/>
                <w:szCs w:val="18"/>
              </w:rPr>
            </w:pPr>
            <w:r>
              <w:rPr>
                <w:rFonts w:hint="eastAsia" w:ascii="仿宋" w:hAnsi="仿宋" w:eastAsia="仿宋" w:cs="仿宋"/>
                <w:color w:val="000000" w:themeColor="text1"/>
                <w:sz w:val="18"/>
                <w:szCs w:val="18"/>
                <w:lang w:val="en-US" w:eastAsia="zh-CN"/>
              </w:rPr>
              <w:t>1、道路运输企业设立分公司备案登记表；2、道路运输经营许可证；3、分公司安全生产管理制度；4、同意设立分公司的函；5、法人身份证；6、经办人身份证；7、授权委托书。</w:t>
            </w:r>
          </w:p>
        </w:tc>
      </w:tr>
      <w:tr w14:paraId="4BD97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70" w:hRule="atLeast"/>
          <w:jc w:val="center"/>
        </w:trPr>
        <w:tc>
          <w:tcPr>
            <w:tcW w:w="1324" w:type="dxa"/>
            <w:vAlign w:val="center"/>
          </w:tcPr>
          <w:p w14:paraId="74DD27E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974" w:type="dxa"/>
            <w:gridSpan w:val="9"/>
            <w:vAlign w:val="center"/>
          </w:tcPr>
          <w:p w14:paraId="4BA5E6CD">
            <w:pPr>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5D9F2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36" w:hRule="atLeast"/>
          <w:jc w:val="center"/>
        </w:trPr>
        <w:tc>
          <w:tcPr>
            <w:tcW w:w="1324" w:type="dxa"/>
            <w:vAlign w:val="center"/>
          </w:tcPr>
          <w:p w14:paraId="4A6B25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974" w:type="dxa"/>
            <w:gridSpan w:val="9"/>
            <w:vAlign w:val="center"/>
          </w:tcPr>
          <w:p w14:paraId="7D7282D5">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w:t>
            </w:r>
            <w:r>
              <w:rPr>
                <w:rFonts w:hint="eastAsia" w:ascii="仿宋_GB2312" w:eastAsia="仿宋_GB2312" w:cs="黑体"/>
                <w:color w:val="000000" w:themeColor="text1"/>
                <w:kern w:val="0"/>
                <w:sz w:val="18"/>
                <w:szCs w:val="18"/>
                <w:lang w:val="en-US" w:eastAsia="zh-CN"/>
              </w:rPr>
              <w:t>181008</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94683DE">
            <w:pPr>
              <w:widowControl/>
              <w:spacing w:line="240" w:lineRule="exact"/>
              <w:jc w:val="left"/>
              <w:textAlignment w:val="center"/>
              <w:rPr>
                <w:rFonts w:ascii="黑体" w:hAnsi="黑体" w:eastAsia="仿宋_GB2312"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7D90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6" w:hRule="atLeast"/>
          <w:jc w:val="center"/>
        </w:trPr>
        <w:tc>
          <w:tcPr>
            <w:tcW w:w="1324" w:type="dxa"/>
            <w:vAlign w:val="center"/>
          </w:tcPr>
          <w:p w14:paraId="18A0578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974" w:type="dxa"/>
            <w:gridSpan w:val="9"/>
            <w:vAlign w:val="center"/>
          </w:tcPr>
          <w:p w14:paraId="633DD1C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．不服备案决定自知道该具体行政行为之日起六十日内向抚宁区人民政府申请行政复议。</w:t>
            </w:r>
          </w:p>
          <w:p w14:paraId="18EB8BBB">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．不服备案决定应当自知道或者应当知道作出行政行为之日起六个月内提出向抚宁区人民法院提起行政诉讼。</w:t>
            </w:r>
          </w:p>
        </w:tc>
      </w:tr>
      <w:tr w14:paraId="5279E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38" w:hRule="atLeast"/>
          <w:jc w:val="center"/>
        </w:trPr>
        <w:tc>
          <w:tcPr>
            <w:tcW w:w="1324" w:type="dxa"/>
            <w:vAlign w:val="center"/>
          </w:tcPr>
          <w:p w14:paraId="6B98325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974" w:type="dxa"/>
            <w:gridSpan w:val="9"/>
            <w:vAlign w:val="center"/>
          </w:tcPr>
          <w:p w14:paraId="31861948">
            <w:pPr>
              <w:widowControl/>
              <w:jc w:val="left"/>
              <w:textAlignment w:val="center"/>
              <w:rPr>
                <w:rFonts w:ascii="黑体" w:eastAsia="黑体" w:cs="黑体"/>
                <w:color w:val="000000" w:themeColor="text1"/>
                <w:kern w:val="0"/>
                <w:sz w:val="18"/>
                <w:szCs w:val="18"/>
              </w:rPr>
            </w:pPr>
          </w:p>
        </w:tc>
      </w:tr>
    </w:tbl>
    <w:p w14:paraId="56A52FC2">
      <w:pPr>
        <w:rPr>
          <w:color w:val="000000" w:themeColor="text1"/>
        </w:rPr>
      </w:pPr>
    </w:p>
    <w:p w14:paraId="768390ED">
      <w:pPr>
        <w:rPr>
          <w:color w:val="000000" w:themeColor="text1"/>
        </w:rPr>
      </w:pPr>
    </w:p>
    <w:p w14:paraId="1851B7CF">
      <w:pPr>
        <w:rPr>
          <w:color w:val="000000" w:themeColor="text1"/>
        </w:rPr>
      </w:pPr>
    </w:p>
    <w:p w14:paraId="3023A6A1">
      <w:pPr>
        <w:rPr>
          <w:color w:val="000000" w:themeColor="text1"/>
        </w:rPr>
      </w:pPr>
    </w:p>
    <w:p w14:paraId="74654743">
      <w:pPr>
        <w:widowControl/>
        <w:textAlignment w:val="center"/>
        <w:rPr>
          <w:color w:val="000000" w:themeColor="text1"/>
        </w:rPr>
      </w:pPr>
    </w:p>
    <w:p w14:paraId="530773A7">
      <w:pPr>
        <w:widowControl/>
        <w:textAlignment w:val="center"/>
        <w:rPr>
          <w:color w:val="000000" w:themeColor="text1"/>
        </w:rPr>
      </w:pPr>
    </w:p>
    <w:p w14:paraId="32957C67">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履职行权规程（行政裁决类）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09"/>
        <w:gridCol w:w="654"/>
        <w:gridCol w:w="992"/>
        <w:gridCol w:w="567"/>
        <w:gridCol w:w="429"/>
        <w:gridCol w:w="1502"/>
      </w:tblGrid>
      <w:tr w14:paraId="25B6D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54E1DEA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EDDF353">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4</w:t>
            </w:r>
          </w:p>
        </w:tc>
        <w:tc>
          <w:tcPr>
            <w:tcW w:w="1691" w:type="dxa"/>
            <w:vAlign w:val="center"/>
          </w:tcPr>
          <w:p w14:paraId="3D10FD4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4FC5FB8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行政裁决</w:t>
            </w:r>
          </w:p>
        </w:tc>
        <w:tc>
          <w:tcPr>
            <w:tcW w:w="1559" w:type="dxa"/>
            <w:gridSpan w:val="2"/>
            <w:vAlign w:val="center"/>
          </w:tcPr>
          <w:p w14:paraId="511428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76E267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6FA0B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78C602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14ECF93C">
            <w:pPr>
              <w:spacing w:line="240" w:lineRule="exact"/>
              <w:jc w:val="center"/>
              <w:rPr>
                <w:rFonts w:ascii="仿宋" w:hAnsi="仿宋" w:eastAsia="仿宋" w:cs="黑体"/>
                <w:color w:val="000000" w:themeColor="text1"/>
                <w:szCs w:val="21"/>
              </w:rPr>
            </w:pPr>
            <w:r>
              <w:rPr>
                <w:rFonts w:hint="eastAsia" w:ascii="仿宋" w:hAnsi="仿宋" w:eastAsia="仿宋" w:cs="仿宋"/>
                <w:color w:val="000000" w:themeColor="text1"/>
                <w:kern w:val="0"/>
                <w:szCs w:val="21"/>
              </w:rPr>
              <w:t>对客运经营者在发车时间安排上发生纠纷的裁决</w:t>
            </w:r>
          </w:p>
        </w:tc>
      </w:tr>
      <w:tr w14:paraId="19D9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753" w:hRule="atLeast"/>
          <w:jc w:val="center"/>
        </w:trPr>
        <w:tc>
          <w:tcPr>
            <w:tcW w:w="1463" w:type="dxa"/>
            <w:vAlign w:val="center"/>
          </w:tcPr>
          <w:p w14:paraId="154EDE7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671241A5">
            <w:pPr>
              <w:widowControl/>
              <w:spacing w:line="180" w:lineRule="exact"/>
              <w:textAlignment w:val="center"/>
              <w:rPr>
                <w:rFonts w:ascii="仿宋" w:hAnsi="仿宋" w:eastAsia="仿宋" w:cs="仿宋"/>
                <w:color w:val="000000" w:themeColor="text1"/>
                <w:kern w:val="0"/>
                <w:sz w:val="18"/>
                <w:szCs w:val="18"/>
              </w:rPr>
            </w:pPr>
            <w:r>
              <w:rPr>
                <w:rFonts w:hint="eastAsia" w:ascii="仿宋" w:hAnsi="仿宋" w:eastAsia="仿宋" w:cs="黑体"/>
                <w:color w:val="000000" w:themeColor="text1"/>
                <w:sz w:val="18"/>
                <w:szCs w:val="18"/>
              </w:rPr>
              <w:t>【法律法规】</w:t>
            </w:r>
            <w:r>
              <w:rPr>
                <w:rFonts w:ascii="仿宋" w:hAnsi="仿宋" w:eastAsia="仿宋" w:cs="黑体"/>
                <w:color w:val="000000" w:themeColor="text1"/>
                <w:sz w:val="18"/>
                <w:szCs w:val="18"/>
              </w:rPr>
              <w:t>1.</w:t>
            </w:r>
            <w:r>
              <w:rPr>
                <w:rFonts w:ascii="仿宋" w:hAnsi="仿宋" w:eastAsia="仿宋" w:cs="仿宋"/>
                <w:color w:val="000000" w:themeColor="text1"/>
                <w:kern w:val="0"/>
                <w:sz w:val="18"/>
                <w:szCs w:val="18"/>
              </w:rPr>
              <w:t xml:space="preserve"> </w:t>
            </w:r>
            <w:r>
              <w:rPr>
                <w:rFonts w:hint="eastAsia" w:ascii="仿宋" w:hAnsi="仿宋" w:eastAsia="仿宋" w:cs="仿宋"/>
                <w:color w:val="000000" w:themeColor="text1"/>
                <w:kern w:val="0"/>
                <w:sz w:val="18"/>
                <w:szCs w:val="18"/>
              </w:rPr>
              <w:t>《中华人民共和国道路运输条例》第四十一条</w:t>
            </w:r>
            <w:r>
              <w:rPr>
                <w:rFonts w:ascii="仿宋" w:hAnsi="仿宋" w:eastAsia="仿宋" w:cs="仿宋"/>
                <w:color w:val="000000" w:themeColor="text1"/>
                <w:kern w:val="0"/>
                <w:sz w:val="18"/>
                <w:szCs w:val="18"/>
              </w:rPr>
              <w:t xml:space="preserve">  </w:t>
            </w:r>
            <w:r>
              <w:rPr>
                <w:rFonts w:hint="eastAsia" w:ascii="仿宋" w:hAnsi="仿宋" w:eastAsia="仿宋" w:cs="仿宋"/>
                <w:color w:val="000000" w:themeColor="text1"/>
                <w:kern w:val="0"/>
                <w:sz w:val="18"/>
                <w:szCs w:val="18"/>
              </w:rPr>
              <w:t>道路旅客运输站（场）经营者应当为客运经营者合理安排班次，公布其运输线路、起止经停站点、运输班次、始发时间、票价，调度车辆进站、发车，疏导旅客，维持上下车秩序。第六十八条</w:t>
            </w:r>
            <w:r>
              <w:rPr>
                <w:rFonts w:ascii="仿宋" w:hAnsi="仿宋" w:eastAsia="仿宋" w:cs="仿宋"/>
                <w:color w:val="000000" w:themeColor="text1"/>
                <w:kern w:val="0"/>
                <w:sz w:val="18"/>
                <w:szCs w:val="18"/>
              </w:rPr>
              <w:t xml:space="preserve">  </w:t>
            </w:r>
            <w:r>
              <w:rPr>
                <w:rFonts w:hint="eastAsia" w:ascii="仿宋" w:hAnsi="仿宋" w:eastAsia="仿宋" w:cs="仿宋"/>
                <w:color w:val="000000" w:themeColor="text1"/>
                <w:kern w:val="0"/>
                <w:sz w:val="18"/>
                <w:szCs w:val="18"/>
              </w:rPr>
              <w:t>违反本条例的规定，客运经营者有下列情形之一的，由县级以上地方人民政府交通运输主管部门责令改正，处</w:t>
            </w:r>
            <w:r>
              <w:rPr>
                <w:rFonts w:ascii="仿宋" w:hAnsi="仿宋" w:eastAsia="仿宋" w:cs="仿宋"/>
                <w:color w:val="000000" w:themeColor="text1"/>
                <w:kern w:val="0"/>
                <w:sz w:val="18"/>
                <w:szCs w:val="18"/>
              </w:rPr>
              <w:t>1000</w:t>
            </w:r>
            <w:r>
              <w:rPr>
                <w:rFonts w:hint="eastAsia" w:ascii="仿宋" w:hAnsi="仿宋" w:eastAsia="仿宋" w:cs="仿宋"/>
                <w:color w:val="000000" w:themeColor="text1"/>
                <w:kern w:val="0"/>
                <w:sz w:val="18"/>
                <w:szCs w:val="18"/>
              </w:rPr>
              <w:t>元以上</w:t>
            </w:r>
            <w:r>
              <w:rPr>
                <w:rFonts w:ascii="仿宋" w:hAnsi="仿宋" w:eastAsia="仿宋" w:cs="仿宋"/>
                <w:color w:val="000000" w:themeColor="text1"/>
                <w:kern w:val="0"/>
                <w:sz w:val="18"/>
                <w:szCs w:val="18"/>
              </w:rPr>
              <w:t>2000</w:t>
            </w:r>
            <w:r>
              <w:rPr>
                <w:rFonts w:hint="eastAsia" w:ascii="仿宋" w:hAnsi="仿宋" w:eastAsia="仿宋" w:cs="仿宋"/>
                <w:color w:val="000000" w:themeColor="text1"/>
                <w:kern w:val="0"/>
                <w:sz w:val="18"/>
                <w:szCs w:val="18"/>
              </w:rPr>
              <w:t>元以下的罚款；情节严重的，由原许可机关吊销道路运输经营许可证：（一）不按批准的客运站点停靠或者不按规定的线路、公布的班次行驶的。</w:t>
            </w:r>
            <w:r>
              <w:rPr>
                <w:rFonts w:ascii="仿宋" w:hAnsi="仿宋" w:eastAsia="仿宋" w:cs="仿宋"/>
                <w:color w:val="000000" w:themeColor="text1"/>
                <w:kern w:val="0"/>
                <w:sz w:val="18"/>
                <w:szCs w:val="18"/>
              </w:rPr>
              <w:t>2.</w:t>
            </w:r>
            <w:r>
              <w:rPr>
                <w:rFonts w:hint="eastAsia" w:ascii="仿宋" w:hAnsi="仿宋" w:eastAsia="仿宋" w:cs="仿宋_GB2312"/>
                <w:color w:val="000000" w:themeColor="text1"/>
                <w:kern w:val="0"/>
                <w:sz w:val="18"/>
                <w:szCs w:val="18"/>
              </w:rPr>
              <w:t>《道路旅客运输及客运站管理规定》（中华人民共和国交通运输部令</w:t>
            </w:r>
            <w:r>
              <w:rPr>
                <w:rFonts w:ascii="仿宋" w:hAnsi="仿宋" w:eastAsia="仿宋" w:cs="仿宋_GB2312"/>
                <w:color w:val="000000" w:themeColor="text1"/>
                <w:kern w:val="0"/>
                <w:sz w:val="18"/>
                <w:szCs w:val="18"/>
              </w:rPr>
              <w:t>2023</w:t>
            </w:r>
            <w:r>
              <w:rPr>
                <w:rFonts w:hint="eastAsia" w:ascii="仿宋" w:hAnsi="仿宋" w:eastAsia="仿宋" w:cs="仿宋_GB2312"/>
                <w:color w:val="000000" w:themeColor="text1"/>
                <w:kern w:val="0"/>
                <w:sz w:val="18"/>
                <w:szCs w:val="18"/>
              </w:rPr>
              <w:t>年第</w:t>
            </w:r>
            <w:r>
              <w:rPr>
                <w:rFonts w:ascii="仿宋" w:hAnsi="仿宋" w:eastAsia="仿宋" w:cs="仿宋_GB2312"/>
                <w:color w:val="000000" w:themeColor="text1"/>
                <w:kern w:val="0"/>
                <w:sz w:val="18"/>
                <w:szCs w:val="18"/>
              </w:rPr>
              <w:t>18</w:t>
            </w:r>
            <w:r>
              <w:rPr>
                <w:rFonts w:hint="eastAsia" w:ascii="仿宋" w:hAnsi="仿宋" w:eastAsia="仿宋" w:cs="仿宋_GB2312"/>
                <w:color w:val="000000" w:themeColor="text1"/>
                <w:kern w:val="0"/>
                <w:sz w:val="18"/>
                <w:szCs w:val="18"/>
              </w:rPr>
              <w:t>号）</w:t>
            </w:r>
            <w:r>
              <w:rPr>
                <w:rFonts w:hint="eastAsia" w:ascii="仿宋" w:hAnsi="仿宋" w:eastAsia="仿宋" w:cs="仿宋"/>
                <w:color w:val="000000" w:themeColor="text1"/>
                <w:kern w:val="0"/>
                <w:sz w:val="18"/>
                <w:szCs w:val="18"/>
              </w:rPr>
              <w:t>第七十四条</w:t>
            </w:r>
            <w:r>
              <w:rPr>
                <w:rFonts w:ascii="仿宋" w:hAnsi="仿宋" w:eastAsia="仿宋" w:cs="仿宋"/>
                <w:color w:val="000000" w:themeColor="text1"/>
                <w:kern w:val="0"/>
                <w:sz w:val="18"/>
                <w:szCs w:val="18"/>
              </w:rPr>
              <w:t xml:space="preserve">  </w:t>
            </w:r>
            <w:r>
              <w:rPr>
                <w:rFonts w:hint="eastAsia" w:ascii="仿宋" w:hAnsi="仿宋" w:eastAsia="仿宋" w:cs="仿宋"/>
                <w:color w:val="000000" w:themeColor="text1"/>
                <w:kern w:val="0"/>
                <w:sz w:val="18"/>
                <w:szCs w:val="18"/>
              </w:rPr>
              <w:t>客运站经营者应当禁止无证经营的车辆进站从事经营活动，无正当理由不得拒绝合法客运车辆进站经营。客运站经营者应当坚持公平、公正原则，合理安排发车时间，公平售票。客运经营者在发车时间安排上发生纠纷，客运站经营者协调无效时，由当地交通运输主管部门裁定。</w:t>
            </w:r>
          </w:p>
          <w:p w14:paraId="5D326211">
            <w:pPr>
              <w:spacing w:line="240" w:lineRule="exact"/>
              <w:rPr>
                <w:rFonts w:ascii="仿宋_GB2312" w:eastAsia="仿宋_GB2312" w:cs="黑体"/>
                <w:b/>
                <w:bCs/>
                <w:color w:val="000000" w:themeColor="text1"/>
                <w:szCs w:val="21"/>
              </w:rPr>
            </w:pPr>
            <w:r>
              <w:rPr>
                <w:rFonts w:hint="eastAsia" w:ascii="仿宋" w:hAnsi="仿宋" w:eastAsia="仿宋" w:cs="仿宋_GB2312"/>
                <w:color w:val="000000" w:themeColor="text1"/>
                <w:kern w:val="0"/>
                <w:sz w:val="18"/>
                <w:szCs w:val="18"/>
              </w:rPr>
              <w:t>【三定规定】抚办字【</w:t>
            </w:r>
            <w:r>
              <w:rPr>
                <w:rFonts w:ascii="仿宋" w:hAnsi="仿宋" w:eastAsia="仿宋" w:cs="仿宋_GB2312"/>
                <w:color w:val="000000" w:themeColor="text1"/>
                <w:kern w:val="0"/>
                <w:sz w:val="18"/>
                <w:szCs w:val="18"/>
              </w:rPr>
              <w:t>2019</w:t>
            </w:r>
            <w:r>
              <w:rPr>
                <w:rFonts w:hint="eastAsia" w:ascii="仿宋" w:hAnsi="仿宋" w:eastAsia="仿宋" w:cs="仿宋_GB2312"/>
                <w:color w:val="000000" w:themeColor="text1"/>
                <w:kern w:val="0"/>
                <w:sz w:val="18"/>
                <w:szCs w:val="18"/>
              </w:rPr>
              <w:t>】</w:t>
            </w:r>
            <w:r>
              <w:rPr>
                <w:rFonts w:ascii="仿宋" w:hAnsi="仿宋" w:eastAsia="仿宋" w:cs="仿宋_GB2312"/>
                <w:color w:val="000000" w:themeColor="text1"/>
                <w:kern w:val="0"/>
                <w:sz w:val="18"/>
                <w:szCs w:val="18"/>
              </w:rPr>
              <w:t>11</w:t>
            </w:r>
            <w:r>
              <w:rPr>
                <w:rFonts w:hint="eastAsia" w:ascii="仿宋" w:hAns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48DC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70F4F7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058ACD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225B4B2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269C61B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13E83B9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B3F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9E0C05C">
            <w:pPr>
              <w:rPr>
                <w:color w:val="000000" w:themeColor="text1"/>
              </w:rPr>
            </w:pPr>
          </w:p>
        </w:tc>
        <w:tc>
          <w:tcPr>
            <w:tcW w:w="1050" w:type="dxa"/>
            <w:vAlign w:val="center"/>
          </w:tcPr>
          <w:p w14:paraId="2C354681">
            <w:pPr>
              <w:jc w:val="center"/>
              <w:rPr>
                <w:rFonts w:ascii="仿宋" w:eastAsia="仿宋" w:cs="黑体"/>
                <w:color w:val="000000" w:themeColor="text1"/>
                <w:sz w:val="18"/>
                <w:szCs w:val="18"/>
              </w:rPr>
            </w:pPr>
            <w:r>
              <w:rPr>
                <w:rFonts w:hint="eastAsia" w:ascii="仿宋" w:eastAsia="仿宋" w:cs="黑体"/>
                <w:color w:val="000000" w:themeColor="text1"/>
                <w:sz w:val="18"/>
                <w:szCs w:val="18"/>
              </w:rPr>
              <w:t>受理</w:t>
            </w:r>
          </w:p>
        </w:tc>
        <w:tc>
          <w:tcPr>
            <w:tcW w:w="5287" w:type="dxa"/>
            <w:gridSpan w:val="5"/>
            <w:vAlign w:val="center"/>
          </w:tcPr>
          <w:p w14:paraId="54729351">
            <w:pPr>
              <w:jc w:val="center"/>
              <w:rPr>
                <w:rFonts w:ascii="仿宋" w:eastAsia="仿宋" w:cs="黑体"/>
                <w:color w:val="000000" w:themeColor="text1"/>
                <w:sz w:val="18"/>
                <w:szCs w:val="18"/>
              </w:rPr>
            </w:pPr>
            <w:r>
              <w:rPr>
                <w:rStyle w:val="25"/>
                <w:rFonts w:hint="eastAsia" w:ascii="仿宋" w:eastAsia="仿宋" w:cs="仿宋_GB2312"/>
                <w:color w:val="000000" w:themeColor="text1"/>
                <w:sz w:val="18"/>
                <w:szCs w:val="18"/>
              </w:rPr>
              <w:t>对符合裁决条件、材料齐全的予以受理，对材料不齐的，一次性告知补正的材料，对不符合裁决条件的，不予受理并告知申请人不予受理的理由。</w:t>
            </w:r>
          </w:p>
        </w:tc>
        <w:tc>
          <w:tcPr>
            <w:tcW w:w="996" w:type="dxa"/>
            <w:gridSpan w:val="2"/>
            <w:vAlign w:val="center"/>
          </w:tcPr>
          <w:p w14:paraId="08ED049F">
            <w:pPr>
              <w:jc w:val="center"/>
              <w:rPr>
                <w:rFonts w:ascii="仿宋" w:eastAsia="仿宋" w:cs="黑体"/>
                <w:color w:val="000000" w:themeColor="text1"/>
                <w:sz w:val="18"/>
                <w:szCs w:val="18"/>
              </w:rPr>
            </w:pPr>
            <w:r>
              <w:rPr>
                <w:rFonts w:hint="eastAsia" w:ascii="仿宋" w:eastAsia="仿宋" w:cs="黑体"/>
                <w:color w:val="000000" w:themeColor="text1"/>
                <w:sz w:val="18"/>
                <w:szCs w:val="18"/>
                <w:lang w:val="en-US" w:eastAsia="zh-CN"/>
              </w:rPr>
              <w:t>0.5</w:t>
            </w:r>
            <w:r>
              <w:rPr>
                <w:rFonts w:hint="eastAsia" w:ascii="仿宋" w:eastAsia="仿宋" w:cs="黑体"/>
                <w:color w:val="000000" w:themeColor="text1"/>
                <w:sz w:val="18"/>
                <w:szCs w:val="18"/>
              </w:rPr>
              <w:t>个工作日</w:t>
            </w:r>
          </w:p>
        </w:tc>
        <w:tc>
          <w:tcPr>
            <w:tcW w:w="1502" w:type="dxa"/>
            <w:vAlign w:val="center"/>
          </w:tcPr>
          <w:p w14:paraId="5AADF28B">
            <w:pPr>
              <w:jc w:val="center"/>
              <w:rPr>
                <w:rFonts w:asci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71001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4DA8250">
            <w:pPr>
              <w:rPr>
                <w:color w:val="000000" w:themeColor="text1"/>
              </w:rPr>
            </w:pPr>
          </w:p>
        </w:tc>
        <w:tc>
          <w:tcPr>
            <w:tcW w:w="1050" w:type="dxa"/>
            <w:vAlign w:val="center"/>
          </w:tcPr>
          <w:p w14:paraId="68C52350">
            <w:pPr>
              <w:jc w:val="center"/>
              <w:rPr>
                <w:rFonts w:ascii="仿宋" w:eastAsia="仿宋" w:cs="黑体"/>
                <w:color w:val="000000" w:themeColor="text1"/>
                <w:sz w:val="18"/>
                <w:szCs w:val="18"/>
              </w:rPr>
            </w:pPr>
            <w:r>
              <w:rPr>
                <w:rFonts w:hint="eastAsia" w:ascii="仿宋" w:eastAsia="仿宋" w:cs="黑体"/>
                <w:color w:val="000000" w:themeColor="text1"/>
                <w:sz w:val="18"/>
                <w:szCs w:val="18"/>
              </w:rPr>
              <w:t>审查</w:t>
            </w:r>
          </w:p>
        </w:tc>
        <w:tc>
          <w:tcPr>
            <w:tcW w:w="5287" w:type="dxa"/>
            <w:gridSpan w:val="5"/>
            <w:vAlign w:val="center"/>
          </w:tcPr>
          <w:p w14:paraId="0C3C71AA">
            <w:pPr>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交通运输主管部门对争议的事实、证据材料进行全面审查，并由双方当面陈述情况，也派出工作组现场调查取证，组织双方进行审理。</w:t>
            </w:r>
          </w:p>
        </w:tc>
        <w:tc>
          <w:tcPr>
            <w:tcW w:w="996" w:type="dxa"/>
            <w:gridSpan w:val="2"/>
            <w:vAlign w:val="center"/>
          </w:tcPr>
          <w:p w14:paraId="766CE58C">
            <w:pPr>
              <w:jc w:val="center"/>
              <w:rPr>
                <w:rFonts w:ascii="仿宋" w:eastAsia="仿宋" w:cs="黑体"/>
                <w:color w:val="000000" w:themeColor="text1"/>
                <w:sz w:val="18"/>
                <w:szCs w:val="18"/>
              </w:rPr>
            </w:pPr>
            <w:r>
              <w:rPr>
                <w:rFonts w:ascii="仿宋" w:eastAsia="仿宋" w:cs="黑体"/>
                <w:color w:val="000000" w:themeColor="text1"/>
                <w:sz w:val="18"/>
                <w:szCs w:val="18"/>
              </w:rPr>
              <w:t>1</w:t>
            </w:r>
            <w:r>
              <w:rPr>
                <w:rFonts w:hint="eastAsia" w:ascii="仿宋" w:eastAsia="仿宋" w:cs="黑体"/>
                <w:color w:val="000000" w:themeColor="text1"/>
                <w:sz w:val="18"/>
                <w:szCs w:val="18"/>
              </w:rPr>
              <w:t>个工作日</w:t>
            </w:r>
          </w:p>
        </w:tc>
        <w:tc>
          <w:tcPr>
            <w:tcW w:w="1502" w:type="dxa"/>
            <w:vAlign w:val="center"/>
          </w:tcPr>
          <w:p w14:paraId="0F50B9D9">
            <w:pPr>
              <w:jc w:val="center"/>
              <w:rPr>
                <w:rFonts w:ascii="仿宋" w:eastAsia="仿宋" w:cs="黑体"/>
                <w:color w:val="000000" w:themeColor="text1"/>
                <w:sz w:val="18"/>
                <w:szCs w:val="18"/>
              </w:rPr>
            </w:pPr>
            <w:r>
              <w:rPr>
                <w:rFonts w:hint="eastAsia" w:ascii="仿宋" w:eastAsia="仿宋" w:cs="黑体"/>
                <w:color w:val="000000" w:themeColor="text1"/>
                <w:sz w:val="18"/>
                <w:szCs w:val="18"/>
              </w:rPr>
              <w:t>区交通局综合执法大队</w:t>
            </w:r>
          </w:p>
        </w:tc>
      </w:tr>
      <w:tr w14:paraId="340FE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08BCEE9E">
            <w:pPr>
              <w:rPr>
                <w:color w:val="000000" w:themeColor="text1"/>
              </w:rPr>
            </w:pPr>
          </w:p>
        </w:tc>
        <w:tc>
          <w:tcPr>
            <w:tcW w:w="1050" w:type="dxa"/>
            <w:vAlign w:val="center"/>
          </w:tcPr>
          <w:p w14:paraId="2B9B6646">
            <w:pPr>
              <w:jc w:val="center"/>
              <w:rPr>
                <w:rFonts w:ascii="仿宋" w:eastAsia="仿宋" w:cs="黑体"/>
                <w:color w:val="000000" w:themeColor="text1"/>
                <w:sz w:val="18"/>
                <w:szCs w:val="18"/>
              </w:rPr>
            </w:pPr>
            <w:r>
              <w:rPr>
                <w:rFonts w:hint="eastAsia" w:ascii="仿宋" w:eastAsia="仿宋" w:cs="黑体"/>
                <w:color w:val="000000" w:themeColor="text1"/>
                <w:sz w:val="18"/>
                <w:szCs w:val="18"/>
              </w:rPr>
              <w:t>裁决</w:t>
            </w:r>
          </w:p>
        </w:tc>
        <w:tc>
          <w:tcPr>
            <w:tcW w:w="5287" w:type="dxa"/>
            <w:gridSpan w:val="5"/>
            <w:vAlign w:val="center"/>
          </w:tcPr>
          <w:p w14:paraId="306DCCFA">
            <w:pPr>
              <w:jc w:val="center"/>
              <w:rPr>
                <w:rFonts w:ascii="仿宋" w:eastAsia="仿宋" w:cs="黑体"/>
                <w:color w:val="000000" w:themeColor="text1"/>
                <w:sz w:val="18"/>
                <w:szCs w:val="18"/>
              </w:rPr>
            </w:pPr>
            <w:r>
              <w:rPr>
                <w:rStyle w:val="25"/>
                <w:rFonts w:hint="eastAsia" w:ascii="仿宋" w:eastAsia="仿宋" w:cs="仿宋_GB2312"/>
                <w:color w:val="000000" w:themeColor="text1"/>
                <w:sz w:val="18"/>
                <w:szCs w:val="18"/>
              </w:rPr>
              <w:t>根据事实和法律、法规作出裁决，制作裁决书。</w:t>
            </w:r>
          </w:p>
        </w:tc>
        <w:tc>
          <w:tcPr>
            <w:tcW w:w="996" w:type="dxa"/>
            <w:gridSpan w:val="2"/>
            <w:vAlign w:val="center"/>
          </w:tcPr>
          <w:p w14:paraId="20C97B74">
            <w:pPr>
              <w:jc w:val="center"/>
              <w:rPr>
                <w:rFonts w:ascii="仿宋" w:eastAsia="仿宋" w:cs="黑体"/>
                <w:color w:val="000000" w:themeColor="text1"/>
                <w:sz w:val="18"/>
                <w:szCs w:val="18"/>
              </w:rPr>
            </w:pPr>
            <w:r>
              <w:rPr>
                <w:rFonts w:hint="eastAsia" w:ascii="仿宋" w:eastAsia="仿宋" w:cs="黑体"/>
                <w:color w:val="000000" w:themeColor="text1"/>
                <w:sz w:val="18"/>
                <w:szCs w:val="18"/>
                <w:lang w:val="en-US" w:eastAsia="zh-CN"/>
              </w:rPr>
              <w:t>1</w:t>
            </w:r>
            <w:r>
              <w:rPr>
                <w:rFonts w:hint="eastAsia" w:ascii="仿宋" w:eastAsia="仿宋" w:cs="黑体"/>
                <w:color w:val="000000" w:themeColor="text1"/>
                <w:sz w:val="18"/>
                <w:szCs w:val="18"/>
              </w:rPr>
              <w:t>个工作日</w:t>
            </w:r>
          </w:p>
        </w:tc>
        <w:tc>
          <w:tcPr>
            <w:tcW w:w="1502" w:type="dxa"/>
            <w:vAlign w:val="center"/>
          </w:tcPr>
          <w:p w14:paraId="5B30DC1C">
            <w:pPr>
              <w:jc w:val="center"/>
              <w:rPr>
                <w:rFonts w:ascii="仿宋" w:eastAsia="仿宋" w:cs="黑体"/>
                <w:color w:val="000000" w:themeColor="text1"/>
                <w:sz w:val="18"/>
                <w:szCs w:val="18"/>
              </w:rPr>
            </w:pPr>
            <w:r>
              <w:rPr>
                <w:rFonts w:hint="eastAsia" w:ascii="仿宋" w:eastAsia="仿宋" w:cs="黑体"/>
                <w:color w:val="000000" w:themeColor="text1"/>
                <w:sz w:val="18"/>
                <w:szCs w:val="18"/>
              </w:rPr>
              <w:t>区交通局综合执法大队</w:t>
            </w:r>
          </w:p>
        </w:tc>
      </w:tr>
      <w:tr w14:paraId="1D710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82" w:hRule="atLeast"/>
          <w:jc w:val="center"/>
        </w:trPr>
        <w:tc>
          <w:tcPr>
            <w:tcW w:w="1463" w:type="dxa"/>
            <w:vMerge w:val="continue"/>
            <w:vAlign w:val="center"/>
          </w:tcPr>
          <w:p w14:paraId="2BA757C4">
            <w:pPr>
              <w:rPr>
                <w:color w:val="000000" w:themeColor="text1"/>
              </w:rPr>
            </w:pPr>
          </w:p>
        </w:tc>
        <w:tc>
          <w:tcPr>
            <w:tcW w:w="1050" w:type="dxa"/>
            <w:vAlign w:val="center"/>
          </w:tcPr>
          <w:p w14:paraId="48592479">
            <w:pPr>
              <w:jc w:val="center"/>
              <w:rPr>
                <w:rFonts w:ascii="仿宋" w:eastAsia="仿宋" w:cs="黑体"/>
                <w:color w:val="000000" w:themeColor="text1"/>
                <w:sz w:val="18"/>
                <w:szCs w:val="18"/>
              </w:rPr>
            </w:pPr>
            <w:r>
              <w:rPr>
                <w:rFonts w:hint="eastAsia" w:ascii="仿宋" w:eastAsia="仿宋" w:cs="黑体"/>
                <w:color w:val="000000" w:themeColor="text1"/>
                <w:sz w:val="18"/>
                <w:szCs w:val="18"/>
              </w:rPr>
              <w:t>送达</w:t>
            </w:r>
          </w:p>
        </w:tc>
        <w:tc>
          <w:tcPr>
            <w:tcW w:w="5287" w:type="dxa"/>
            <w:gridSpan w:val="5"/>
            <w:vAlign w:val="center"/>
          </w:tcPr>
          <w:p w14:paraId="46AC3DBB">
            <w:pPr>
              <w:jc w:val="center"/>
              <w:rPr>
                <w:rFonts w:ascii="仿宋" w:eastAsia="仿宋" w:cs="黑体"/>
                <w:color w:val="000000" w:themeColor="text1"/>
                <w:sz w:val="18"/>
                <w:szCs w:val="18"/>
              </w:rPr>
            </w:pPr>
            <w:r>
              <w:rPr>
                <w:rFonts w:hint="eastAsia" w:ascii="仿宋" w:eastAsia="仿宋" w:cs="黑体"/>
                <w:color w:val="000000" w:themeColor="text1"/>
                <w:sz w:val="18"/>
                <w:szCs w:val="18"/>
              </w:rPr>
              <w:t>依法向当事人送达裁决书。</w:t>
            </w:r>
          </w:p>
        </w:tc>
        <w:tc>
          <w:tcPr>
            <w:tcW w:w="996" w:type="dxa"/>
            <w:gridSpan w:val="2"/>
            <w:vAlign w:val="center"/>
          </w:tcPr>
          <w:p w14:paraId="2CB71A1B">
            <w:pPr>
              <w:jc w:val="center"/>
              <w:rPr>
                <w:rFonts w:ascii="仿宋" w:eastAsia="仿宋" w:cs="黑体"/>
                <w:color w:val="000000" w:themeColor="text1"/>
                <w:sz w:val="18"/>
                <w:szCs w:val="18"/>
              </w:rPr>
            </w:pPr>
            <w:r>
              <w:rPr>
                <w:rFonts w:ascii="仿宋" w:eastAsia="仿宋" w:cs="黑体"/>
                <w:color w:val="000000" w:themeColor="text1"/>
                <w:sz w:val="18"/>
                <w:szCs w:val="18"/>
              </w:rPr>
              <w:t>0.5</w:t>
            </w:r>
            <w:r>
              <w:rPr>
                <w:rFonts w:hint="eastAsia" w:ascii="仿宋" w:eastAsia="仿宋" w:cs="黑体"/>
                <w:color w:val="000000" w:themeColor="text1"/>
                <w:sz w:val="18"/>
                <w:szCs w:val="18"/>
              </w:rPr>
              <w:t>个工作日</w:t>
            </w:r>
          </w:p>
        </w:tc>
        <w:tc>
          <w:tcPr>
            <w:tcW w:w="1502" w:type="dxa"/>
            <w:vAlign w:val="center"/>
          </w:tcPr>
          <w:p w14:paraId="546641EB">
            <w:pPr>
              <w:jc w:val="center"/>
              <w:rPr>
                <w:rFonts w:ascii="仿宋" w:eastAsia="仿宋"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3D98E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12" w:hRule="atLeast"/>
          <w:jc w:val="center"/>
        </w:trPr>
        <w:tc>
          <w:tcPr>
            <w:tcW w:w="1463" w:type="dxa"/>
            <w:shd w:val="clear" w:color="auto" w:fill="auto"/>
            <w:vAlign w:val="center"/>
          </w:tcPr>
          <w:p w14:paraId="23809289">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91" w:type="dxa"/>
            <w:gridSpan w:val="4"/>
            <w:tcBorders>
              <w:right w:val="single" w:color="auto" w:sz="4" w:space="0"/>
            </w:tcBorders>
            <w:shd w:val="clear" w:color="auto" w:fill="auto"/>
            <w:vAlign w:val="center"/>
          </w:tcPr>
          <w:p w14:paraId="5F051DE1">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646" w:type="dxa"/>
            <w:gridSpan w:val="2"/>
            <w:tcBorders>
              <w:left w:val="single" w:color="auto" w:sz="4" w:space="0"/>
            </w:tcBorders>
            <w:shd w:val="clear" w:color="auto" w:fill="auto"/>
            <w:vAlign w:val="center"/>
          </w:tcPr>
          <w:p w14:paraId="1B498D74">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0102046D">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7D700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7" w:hRule="atLeast"/>
          <w:jc w:val="center"/>
        </w:trPr>
        <w:tc>
          <w:tcPr>
            <w:tcW w:w="1463" w:type="dxa"/>
            <w:shd w:val="clear" w:color="auto" w:fill="auto"/>
            <w:vAlign w:val="center"/>
          </w:tcPr>
          <w:p w14:paraId="79E8B34F">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4233AE7F">
            <w:pPr>
              <w:jc w:val="both"/>
              <w:rPr>
                <w:rFonts w:hint="default" w:ascii="仿宋_GB2312" w:eastAsia="微软雅黑" w:cs="黑体"/>
                <w:color w:val="000000" w:themeColor="text1"/>
                <w:sz w:val="18"/>
                <w:szCs w:val="18"/>
                <w:lang w:val="en-US" w:eastAsia="zh-CN"/>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b w:val="0"/>
                <w:bCs w:val="0"/>
                <w:i w:val="0"/>
                <w:iCs w:val="0"/>
                <w:caps w:val="0"/>
                <w:color w:val="000000" w:themeColor="text1"/>
                <w:spacing w:val="0"/>
                <w:sz w:val="18"/>
                <w:szCs w:val="18"/>
                <w:shd w:val="clear" w:color="auto" w:fill="auto"/>
              </w:rPr>
              <w:t>客运经营者发车时间安排纠纷裁定申请</w:t>
            </w:r>
            <w:r>
              <w:rPr>
                <w:rFonts w:hint="eastAsia" w:ascii="仿宋" w:hAnsi="仿宋" w:eastAsia="仿宋" w:cs="仿宋"/>
                <w:b w:val="0"/>
                <w:bCs w:val="0"/>
                <w:i w:val="0"/>
                <w:iCs w:val="0"/>
                <w:caps w:val="0"/>
                <w:color w:val="000000" w:themeColor="text1"/>
                <w:spacing w:val="0"/>
                <w:sz w:val="18"/>
                <w:szCs w:val="18"/>
                <w:shd w:val="clear" w:color="auto" w:fill="auto"/>
                <w:lang w:eastAsia="zh-CN"/>
              </w:rPr>
              <w:t>；</w:t>
            </w:r>
            <w:r>
              <w:rPr>
                <w:rFonts w:hint="eastAsia" w:ascii="仿宋" w:hAnsi="仿宋" w:eastAsia="仿宋" w:cs="仿宋"/>
                <w:b w:val="0"/>
                <w:bCs w:val="0"/>
                <w:i w:val="0"/>
                <w:iCs w:val="0"/>
                <w:caps w:val="0"/>
                <w:color w:val="000000" w:themeColor="text1"/>
                <w:spacing w:val="0"/>
                <w:sz w:val="18"/>
                <w:szCs w:val="18"/>
                <w:shd w:val="clear" w:color="auto" w:fill="auto"/>
                <w:lang w:val="en-US" w:eastAsia="zh-CN"/>
              </w:rPr>
              <w:t>2、证人证言；3、书证；4、物证；5、身份证。</w:t>
            </w:r>
          </w:p>
        </w:tc>
      </w:tr>
      <w:tr w14:paraId="20F9A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80" w:hRule="atLeast"/>
          <w:jc w:val="center"/>
        </w:trPr>
        <w:tc>
          <w:tcPr>
            <w:tcW w:w="1463" w:type="dxa"/>
            <w:vAlign w:val="center"/>
          </w:tcPr>
          <w:p w14:paraId="698A415A">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71523B65">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eastAsia="仿宋" w:cs="仿宋_GB2312"/>
                <w:color w:val="000000" w:themeColor="text1"/>
                <w:kern w:val="0"/>
                <w:sz w:val="18"/>
                <w:szCs w:val="18"/>
              </w:rPr>
              <w:t>《河北省行政执法监督条例》等规定的追责情形。</w:t>
            </w:r>
          </w:p>
        </w:tc>
      </w:tr>
      <w:tr w14:paraId="1DF78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23" w:hRule="atLeast"/>
          <w:jc w:val="center"/>
        </w:trPr>
        <w:tc>
          <w:tcPr>
            <w:tcW w:w="1463" w:type="dxa"/>
            <w:vAlign w:val="center"/>
          </w:tcPr>
          <w:p w14:paraId="79C1E95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2BFDE239">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7828572</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96A2A6A">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2B45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0" w:hRule="atLeast"/>
          <w:jc w:val="center"/>
        </w:trPr>
        <w:tc>
          <w:tcPr>
            <w:tcW w:w="1463" w:type="dxa"/>
            <w:vAlign w:val="center"/>
          </w:tcPr>
          <w:p w14:paraId="639BB3E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3C75264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．不服裁决决定自知道该具体行政行为之日起六十日内向抚宁区人民政府申请行政复议。</w:t>
            </w:r>
          </w:p>
          <w:p w14:paraId="36791BD1">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．不服裁决决定应当自知道或者应当知道作出行政行为之日起六个月内提出向抚宁区人民法院提起行政诉讼。</w:t>
            </w:r>
          </w:p>
        </w:tc>
      </w:tr>
      <w:tr w14:paraId="1BE80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3CF4B1F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599C7711">
            <w:pPr>
              <w:widowControl/>
              <w:jc w:val="left"/>
              <w:textAlignment w:val="center"/>
              <w:rPr>
                <w:rFonts w:ascii="黑体" w:eastAsia="黑体" w:cs="黑体"/>
                <w:color w:val="000000" w:themeColor="text1"/>
                <w:kern w:val="0"/>
                <w:sz w:val="18"/>
                <w:szCs w:val="18"/>
              </w:rPr>
            </w:pPr>
          </w:p>
        </w:tc>
      </w:tr>
    </w:tbl>
    <w:p w14:paraId="63AB0B09">
      <w:pPr>
        <w:rPr>
          <w:color w:val="000000" w:themeColor="text1"/>
        </w:rPr>
      </w:pPr>
    </w:p>
    <w:p w14:paraId="29C12BB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履职行权规程（行政奖励类）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219"/>
        <w:gridCol w:w="744"/>
        <w:gridCol w:w="992"/>
        <w:gridCol w:w="567"/>
        <w:gridCol w:w="429"/>
        <w:gridCol w:w="1502"/>
      </w:tblGrid>
      <w:tr w14:paraId="29DE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56B1B2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2EC8C071">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5</w:t>
            </w:r>
          </w:p>
        </w:tc>
        <w:tc>
          <w:tcPr>
            <w:tcW w:w="1691" w:type="dxa"/>
            <w:vAlign w:val="center"/>
          </w:tcPr>
          <w:p w14:paraId="7A0A1F4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D2A8580">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行政奖励</w:t>
            </w:r>
          </w:p>
        </w:tc>
        <w:tc>
          <w:tcPr>
            <w:tcW w:w="1559" w:type="dxa"/>
            <w:gridSpan w:val="2"/>
            <w:vAlign w:val="center"/>
          </w:tcPr>
          <w:p w14:paraId="0BCAEE7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C9067F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BE5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DA6823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2BF38817">
            <w:pPr>
              <w:spacing w:line="240" w:lineRule="exact"/>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对完成政府指令性运输任务成绩突出，经营管理、品牌建设、文明服务成绩显著，有拾金不昧、救死扶伤、见义勇为等先进事迹的出租汽车经营者和驾驶员的奖励</w:t>
            </w:r>
          </w:p>
        </w:tc>
      </w:tr>
      <w:tr w14:paraId="6515F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973" w:hRule="atLeast"/>
          <w:jc w:val="center"/>
        </w:trPr>
        <w:tc>
          <w:tcPr>
            <w:tcW w:w="1463" w:type="dxa"/>
            <w:vAlign w:val="center"/>
          </w:tcPr>
          <w:p w14:paraId="21D46E2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789ADB05">
            <w:pPr>
              <w:spacing w:line="240" w:lineRule="exac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【法律法规】</w:t>
            </w:r>
            <w:r>
              <w:rPr>
                <w:rStyle w:val="25"/>
                <w:rFonts w:hint="eastAsia" w:ascii="仿宋" w:eastAsia="仿宋" w:cs="仿宋_GB2312"/>
                <w:color w:val="000000" w:themeColor="text1"/>
                <w:sz w:val="18"/>
                <w:szCs w:val="18"/>
              </w:rPr>
              <w:t>《巡游出租汽车经营服务管理规定》（中华人民共和国交通运输部令</w:t>
            </w:r>
            <w:r>
              <w:rPr>
                <w:rStyle w:val="25"/>
                <w:rFonts w:ascii="仿宋" w:eastAsia="仿宋" w:cs="仿宋_GB2312"/>
                <w:color w:val="000000" w:themeColor="text1"/>
                <w:sz w:val="18"/>
                <w:szCs w:val="18"/>
              </w:rPr>
              <w:t>2021</w:t>
            </w:r>
            <w:r>
              <w:rPr>
                <w:rStyle w:val="25"/>
                <w:rFonts w:hint="eastAsia" w:ascii="仿宋" w:eastAsia="仿宋" w:cs="仿宋_GB2312"/>
                <w:color w:val="000000" w:themeColor="text1"/>
                <w:sz w:val="18"/>
                <w:szCs w:val="18"/>
              </w:rPr>
              <w:t>年第</w:t>
            </w:r>
            <w:r>
              <w:rPr>
                <w:rStyle w:val="25"/>
                <w:rFonts w:ascii="仿宋" w:eastAsia="仿宋" w:cs="仿宋_GB2312"/>
                <w:color w:val="000000" w:themeColor="text1"/>
                <w:sz w:val="18"/>
                <w:szCs w:val="18"/>
              </w:rPr>
              <w:t>16</w:t>
            </w:r>
            <w:r>
              <w:rPr>
                <w:rStyle w:val="25"/>
                <w:rFonts w:hint="eastAsia" w:ascii="仿宋" w:eastAsia="仿宋" w:cs="仿宋_GB2312"/>
                <w:color w:val="000000" w:themeColor="text1"/>
                <w:sz w:val="18"/>
                <w:szCs w:val="18"/>
              </w:rPr>
              <w:t>号）第四十四条县级以上地方人民政府出租汽车行政主管部门应当对完成政府指令性运输任务成绩突出，经营管理、品牌建设、文明服务成绩显著，有拾金不昧、救死扶伤、见义勇为等先进事迹的出租汽车经营者和驾驶员，予以表彰和奖励</w:t>
            </w:r>
            <w:r>
              <w:rPr>
                <w:rStyle w:val="26"/>
                <w:rFonts w:hint="eastAsia" w:ascii="仿宋" w:eastAsia="仿宋" w:cs="仿宋_GB2312"/>
                <w:color w:val="000000" w:themeColor="text1"/>
                <w:szCs w:val="18"/>
              </w:rPr>
              <w:t>。</w:t>
            </w:r>
          </w:p>
          <w:p w14:paraId="3EEEA4FA">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8609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18FD5F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2CC7A36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050C4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2643B9F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09C69E0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5C85D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3AA65413">
            <w:pPr>
              <w:rPr>
                <w:color w:val="000000" w:themeColor="text1"/>
              </w:rPr>
            </w:pPr>
          </w:p>
        </w:tc>
        <w:tc>
          <w:tcPr>
            <w:tcW w:w="1050" w:type="dxa"/>
            <w:vAlign w:val="center"/>
          </w:tcPr>
          <w:p w14:paraId="2EB4F1B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1D9DAE39">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及时受理单位提出的奖励意见，科学制定表彰方案。</w:t>
            </w:r>
          </w:p>
        </w:tc>
        <w:tc>
          <w:tcPr>
            <w:tcW w:w="996" w:type="dxa"/>
            <w:gridSpan w:val="2"/>
            <w:vAlign w:val="center"/>
          </w:tcPr>
          <w:p w14:paraId="1DA7A40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51FDA6F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60B38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EBEE643">
            <w:pPr>
              <w:rPr>
                <w:color w:val="000000" w:themeColor="text1"/>
              </w:rPr>
            </w:pPr>
          </w:p>
        </w:tc>
        <w:tc>
          <w:tcPr>
            <w:tcW w:w="1050" w:type="dxa"/>
            <w:vAlign w:val="center"/>
          </w:tcPr>
          <w:p w14:paraId="6A418A7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审查</w:t>
            </w:r>
          </w:p>
        </w:tc>
        <w:tc>
          <w:tcPr>
            <w:tcW w:w="5287" w:type="dxa"/>
            <w:gridSpan w:val="5"/>
            <w:vAlign w:val="center"/>
          </w:tcPr>
          <w:p w14:paraId="7A12AD21">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严格按照表彰方案规定的条件、程序，组织推荐工作，对推荐对象进行初审。</w:t>
            </w:r>
          </w:p>
        </w:tc>
        <w:tc>
          <w:tcPr>
            <w:tcW w:w="996" w:type="dxa"/>
            <w:gridSpan w:val="2"/>
            <w:vAlign w:val="center"/>
          </w:tcPr>
          <w:p w14:paraId="30C4BC08">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39B96F09">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0F290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4" w:hRule="atLeast"/>
          <w:jc w:val="center"/>
        </w:trPr>
        <w:tc>
          <w:tcPr>
            <w:tcW w:w="1463" w:type="dxa"/>
            <w:vMerge w:val="continue"/>
            <w:vAlign w:val="center"/>
          </w:tcPr>
          <w:p w14:paraId="64057F82">
            <w:pPr>
              <w:rPr>
                <w:color w:val="000000" w:themeColor="text1"/>
              </w:rPr>
            </w:pPr>
          </w:p>
        </w:tc>
        <w:tc>
          <w:tcPr>
            <w:tcW w:w="1050" w:type="dxa"/>
            <w:vAlign w:val="center"/>
          </w:tcPr>
          <w:p w14:paraId="7BB88AE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公示</w:t>
            </w:r>
          </w:p>
        </w:tc>
        <w:tc>
          <w:tcPr>
            <w:tcW w:w="5287" w:type="dxa"/>
            <w:gridSpan w:val="5"/>
            <w:vAlign w:val="center"/>
          </w:tcPr>
          <w:p w14:paraId="7B0C7890">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对符合条件的推荐对象及时进行公示</w:t>
            </w:r>
          </w:p>
        </w:tc>
        <w:tc>
          <w:tcPr>
            <w:tcW w:w="996" w:type="dxa"/>
            <w:gridSpan w:val="2"/>
            <w:vAlign w:val="center"/>
          </w:tcPr>
          <w:p w14:paraId="7C7B752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7</w:t>
            </w:r>
            <w:r>
              <w:rPr>
                <w:rFonts w:hint="eastAsia" w:ascii="仿宋_GB2312" w:eastAsia="仿宋_GB2312" w:cs="黑体"/>
                <w:color w:val="000000" w:themeColor="text1"/>
                <w:sz w:val="18"/>
                <w:szCs w:val="18"/>
              </w:rPr>
              <w:t>个工作日</w:t>
            </w:r>
          </w:p>
        </w:tc>
        <w:tc>
          <w:tcPr>
            <w:tcW w:w="1502" w:type="dxa"/>
            <w:vAlign w:val="center"/>
          </w:tcPr>
          <w:p w14:paraId="10C8A897">
            <w:pPr>
              <w:jc w:val="center"/>
              <w:rPr>
                <w:rFonts w:hint="default"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7E669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55" w:hRule="atLeast"/>
          <w:jc w:val="center"/>
        </w:trPr>
        <w:tc>
          <w:tcPr>
            <w:tcW w:w="1463" w:type="dxa"/>
            <w:vMerge w:val="continue"/>
            <w:vAlign w:val="center"/>
          </w:tcPr>
          <w:p w14:paraId="1B31F53A">
            <w:pPr>
              <w:rPr>
                <w:color w:val="000000" w:themeColor="text1"/>
              </w:rPr>
            </w:pPr>
          </w:p>
        </w:tc>
        <w:tc>
          <w:tcPr>
            <w:tcW w:w="1050" w:type="dxa"/>
            <w:vAlign w:val="center"/>
          </w:tcPr>
          <w:p w14:paraId="591D8EB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12CD5A88">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按照程序报请上级有关单位共同研究决定，进行表彰。</w:t>
            </w:r>
          </w:p>
        </w:tc>
        <w:tc>
          <w:tcPr>
            <w:tcW w:w="996" w:type="dxa"/>
            <w:gridSpan w:val="2"/>
            <w:vAlign w:val="center"/>
          </w:tcPr>
          <w:p w14:paraId="4CFB1E0A">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4BF1C2A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76EB1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25" w:hRule="atLeast"/>
          <w:jc w:val="center"/>
        </w:trPr>
        <w:tc>
          <w:tcPr>
            <w:tcW w:w="1463" w:type="dxa"/>
            <w:shd w:val="clear" w:color="auto" w:fill="auto"/>
            <w:vAlign w:val="center"/>
          </w:tcPr>
          <w:p w14:paraId="07802B63">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01" w:type="dxa"/>
            <w:gridSpan w:val="4"/>
            <w:tcBorders>
              <w:right w:val="single" w:color="auto" w:sz="4" w:space="0"/>
            </w:tcBorders>
            <w:shd w:val="clear" w:color="auto" w:fill="auto"/>
            <w:vAlign w:val="center"/>
          </w:tcPr>
          <w:p w14:paraId="1D17B0A9">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736" w:type="dxa"/>
            <w:gridSpan w:val="2"/>
            <w:tcBorders>
              <w:left w:val="single" w:color="auto" w:sz="4" w:space="0"/>
            </w:tcBorders>
            <w:shd w:val="clear" w:color="auto" w:fill="auto"/>
            <w:vAlign w:val="center"/>
          </w:tcPr>
          <w:p w14:paraId="2E8AD00F">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72D05044">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493BA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95" w:hRule="atLeast"/>
          <w:jc w:val="center"/>
        </w:trPr>
        <w:tc>
          <w:tcPr>
            <w:tcW w:w="1463" w:type="dxa"/>
            <w:shd w:val="clear" w:color="auto" w:fill="auto"/>
            <w:vAlign w:val="center"/>
          </w:tcPr>
          <w:p w14:paraId="2A8DC510">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374F47C5">
            <w:pPr>
              <w:jc w:val="left"/>
              <w:rPr>
                <w:rFonts w:hint="default" w:ascii="仿宋_GB2312" w:eastAsia="仿宋_GB2312" w:cs="黑体"/>
                <w:color w:val="000000" w:themeColor="text1"/>
                <w:sz w:val="18"/>
                <w:szCs w:val="18"/>
                <w:lang w:val="en-US"/>
              </w:rPr>
            </w:pPr>
            <w:r>
              <w:rPr>
                <w:rFonts w:hint="eastAsia" w:ascii="仿宋" w:hAnsi="仿宋" w:eastAsia="仿宋" w:cs="仿宋"/>
                <w:b w:val="0"/>
                <w:bCs w:val="0"/>
                <w:color w:val="000000" w:themeColor="text1"/>
                <w:sz w:val="18"/>
                <w:szCs w:val="18"/>
                <w:shd w:val="clear" w:color="auto" w:fill="auto"/>
                <w:lang w:val="en-US" w:eastAsia="zh-CN"/>
              </w:rPr>
              <w:t>1、先进事迹材料；2、奖励审批表。</w:t>
            </w:r>
          </w:p>
        </w:tc>
      </w:tr>
      <w:tr w14:paraId="353D4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50E1C498">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4D5E1B03">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eastAsia="仿宋" w:cs="仿宋_GB2312"/>
                <w:color w:val="000000" w:themeColor="text1"/>
                <w:kern w:val="0"/>
                <w:sz w:val="18"/>
                <w:szCs w:val="18"/>
              </w:rPr>
              <w:t>《河北省行政执法监督条例》等规定的追责情形。</w:t>
            </w:r>
          </w:p>
        </w:tc>
      </w:tr>
      <w:tr w14:paraId="2A41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3A317D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27E2E36C">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7828572</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6DC6F082">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366A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630E286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6D0E63B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．不服奖励决定自知道该具体行政行为之日起六十日内向抚宁区人民政府申请行政复议。</w:t>
            </w:r>
          </w:p>
          <w:p w14:paraId="09BEBD16">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．不服奖励决定应当自知道或者应当知道作出行政行为之日起六个月内提出向抚宁区人民法院提起行政诉讼。</w:t>
            </w:r>
          </w:p>
        </w:tc>
      </w:tr>
      <w:tr w14:paraId="391F8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462B49F0">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44D05610">
            <w:pPr>
              <w:widowControl/>
              <w:jc w:val="left"/>
              <w:textAlignment w:val="center"/>
              <w:rPr>
                <w:rFonts w:ascii="黑体" w:eastAsia="黑体" w:cs="黑体"/>
                <w:color w:val="000000" w:themeColor="text1"/>
                <w:kern w:val="0"/>
                <w:sz w:val="18"/>
                <w:szCs w:val="18"/>
              </w:rPr>
            </w:pPr>
          </w:p>
        </w:tc>
      </w:tr>
    </w:tbl>
    <w:p w14:paraId="18BFF865">
      <w:pPr>
        <w:pStyle w:val="8"/>
        <w:snapToGrid w:val="0"/>
        <w:spacing w:before="0" w:beforeAutospacing="0" w:after="0" w:afterAutospacing="0" w:line="240" w:lineRule="atLeast"/>
        <w:jc w:val="both"/>
        <w:rPr>
          <w:color w:val="000000" w:themeColor="text1"/>
          <w:sz w:val="11"/>
          <w:szCs w:val="11"/>
        </w:rPr>
      </w:pPr>
    </w:p>
    <w:p w14:paraId="15EC904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履职行权规程（行政执法类）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294"/>
        <w:gridCol w:w="669"/>
        <w:gridCol w:w="992"/>
        <w:gridCol w:w="567"/>
        <w:gridCol w:w="429"/>
        <w:gridCol w:w="1502"/>
      </w:tblGrid>
      <w:tr w14:paraId="3BD6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5B674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5D79E786">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6</w:t>
            </w:r>
          </w:p>
        </w:tc>
        <w:tc>
          <w:tcPr>
            <w:tcW w:w="1691" w:type="dxa"/>
            <w:vAlign w:val="center"/>
          </w:tcPr>
          <w:p w14:paraId="22B04DB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B10CFC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行政奖励</w:t>
            </w:r>
          </w:p>
        </w:tc>
        <w:tc>
          <w:tcPr>
            <w:tcW w:w="1559" w:type="dxa"/>
            <w:gridSpan w:val="2"/>
            <w:vAlign w:val="center"/>
          </w:tcPr>
          <w:p w14:paraId="4FB4408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C92105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3EF4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5182FA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41E44807">
            <w:pPr>
              <w:spacing w:line="240" w:lineRule="exact"/>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对完成政府指令性运输任务成绩突出，文明服务成绩显著，有救死扶伤、见义勇为等先进事迹的运营企业和相关从业人员予以表彰</w:t>
            </w:r>
          </w:p>
        </w:tc>
      </w:tr>
      <w:tr w14:paraId="1F5D7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98" w:hRule="atLeast"/>
          <w:jc w:val="center"/>
        </w:trPr>
        <w:tc>
          <w:tcPr>
            <w:tcW w:w="1463" w:type="dxa"/>
            <w:vAlign w:val="center"/>
          </w:tcPr>
          <w:p w14:paraId="7D7A7E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5C9540DA">
            <w:pPr>
              <w:spacing w:line="240" w:lineRule="exact"/>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【法律法规】</w:t>
            </w:r>
            <w:r>
              <w:rPr>
                <w:rFonts w:hint="eastAsia" w:ascii="仿宋" w:eastAsia="仿宋" w:cs="仿宋_GB2312"/>
                <w:color w:val="000000" w:themeColor="text1"/>
                <w:kern w:val="0"/>
                <w:sz w:val="18"/>
                <w:szCs w:val="18"/>
              </w:rPr>
              <w:t>《城市公共汽车和电车客运管理规定》（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_GB2312"/>
                <w:color w:val="000000" w:themeColor="text1"/>
                <w:kern w:val="0"/>
                <w:sz w:val="18"/>
                <w:szCs w:val="18"/>
              </w:rPr>
              <w:t>交通运输部令</w:t>
            </w:r>
            <w:r>
              <w:rPr>
                <w:rFonts w:ascii="仿宋" w:eastAsia="仿宋" w:cs="仿宋_GB2312"/>
                <w:color w:val="000000" w:themeColor="text1"/>
                <w:kern w:val="0"/>
                <w:sz w:val="18"/>
                <w:szCs w:val="18"/>
              </w:rPr>
              <w:t>2017</w:t>
            </w:r>
            <w:r>
              <w:rPr>
                <w:rFonts w:hint="eastAsia" w:ascii="仿宋" w:eastAsia="仿宋" w:cs="仿宋_GB2312"/>
                <w:color w:val="000000" w:themeColor="text1"/>
                <w:kern w:val="0"/>
                <w:sz w:val="18"/>
                <w:szCs w:val="18"/>
              </w:rPr>
              <w:t>年第</w:t>
            </w:r>
            <w:r>
              <w:rPr>
                <w:rFonts w:ascii="仿宋" w:eastAsia="仿宋" w:cs="仿宋_GB2312"/>
                <w:color w:val="000000" w:themeColor="text1"/>
                <w:kern w:val="0"/>
                <w:sz w:val="18"/>
                <w:szCs w:val="18"/>
              </w:rPr>
              <w:t>5</w:t>
            </w:r>
            <w:r>
              <w:rPr>
                <w:rFonts w:hint="eastAsia" w:ascii="仿宋" w:eastAsia="仿宋" w:cs="仿宋_GB2312"/>
                <w:color w:val="000000" w:themeColor="text1"/>
                <w:kern w:val="0"/>
                <w:sz w:val="18"/>
                <w:szCs w:val="18"/>
              </w:rPr>
              <w:t>号）第五十九条城市公共交通主管部门应当对完成政府指令性运输任务成绩突出，文明服务成绩显著，有救死扶伤、见义勇为等先进事迹的运营企业和相关从业人员予以表彰。</w:t>
            </w:r>
          </w:p>
          <w:p w14:paraId="15AECD8D">
            <w:pPr>
              <w:spacing w:line="240" w:lineRule="exact"/>
              <w:rPr>
                <w:rFonts w:ascii="仿宋_GB2312" w:eastAsia="仿宋_GB2312" w:cs="黑体"/>
                <w:b/>
                <w:bCs/>
                <w:color w:val="000000" w:themeColor="text1"/>
                <w:szCs w:val="21"/>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5D17F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2267200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AAABF0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67E199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B88BC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0B497328">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A219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43BF5E4E">
            <w:pPr>
              <w:rPr>
                <w:color w:val="000000" w:themeColor="text1"/>
              </w:rPr>
            </w:pPr>
          </w:p>
        </w:tc>
        <w:tc>
          <w:tcPr>
            <w:tcW w:w="1050" w:type="dxa"/>
            <w:vAlign w:val="center"/>
          </w:tcPr>
          <w:p w14:paraId="07EACEF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56872E62">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及时受理单位提出的奖励意见，科学制定表彰方案。</w:t>
            </w:r>
          </w:p>
        </w:tc>
        <w:tc>
          <w:tcPr>
            <w:tcW w:w="996" w:type="dxa"/>
            <w:gridSpan w:val="2"/>
            <w:vAlign w:val="center"/>
          </w:tcPr>
          <w:p w14:paraId="0F63F5D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43C12AE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44CDE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05707A12">
            <w:pPr>
              <w:rPr>
                <w:color w:val="000000" w:themeColor="text1"/>
              </w:rPr>
            </w:pPr>
          </w:p>
        </w:tc>
        <w:tc>
          <w:tcPr>
            <w:tcW w:w="1050" w:type="dxa"/>
            <w:vAlign w:val="center"/>
          </w:tcPr>
          <w:p w14:paraId="166E65F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审查</w:t>
            </w:r>
          </w:p>
        </w:tc>
        <w:tc>
          <w:tcPr>
            <w:tcW w:w="5287" w:type="dxa"/>
            <w:gridSpan w:val="5"/>
            <w:vAlign w:val="center"/>
          </w:tcPr>
          <w:p w14:paraId="11B3D6F0">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严格按照表彰方案规定的条件、程序，组织推荐工作，对推荐对象进行初审。</w:t>
            </w:r>
          </w:p>
        </w:tc>
        <w:tc>
          <w:tcPr>
            <w:tcW w:w="996" w:type="dxa"/>
            <w:gridSpan w:val="2"/>
            <w:vAlign w:val="center"/>
          </w:tcPr>
          <w:p w14:paraId="2966C2E2">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3551BCF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420D7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9" w:hRule="atLeast"/>
          <w:jc w:val="center"/>
        </w:trPr>
        <w:tc>
          <w:tcPr>
            <w:tcW w:w="1463" w:type="dxa"/>
            <w:vMerge w:val="continue"/>
            <w:vAlign w:val="center"/>
          </w:tcPr>
          <w:p w14:paraId="4B8A87FC">
            <w:pPr>
              <w:rPr>
                <w:color w:val="000000" w:themeColor="text1"/>
              </w:rPr>
            </w:pPr>
          </w:p>
        </w:tc>
        <w:tc>
          <w:tcPr>
            <w:tcW w:w="1050" w:type="dxa"/>
            <w:vAlign w:val="center"/>
          </w:tcPr>
          <w:p w14:paraId="79756D2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公示</w:t>
            </w:r>
          </w:p>
        </w:tc>
        <w:tc>
          <w:tcPr>
            <w:tcW w:w="5287" w:type="dxa"/>
            <w:gridSpan w:val="5"/>
            <w:vAlign w:val="center"/>
          </w:tcPr>
          <w:p w14:paraId="7AF53AC9">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对符合条件的推荐对象及时进行公示</w:t>
            </w:r>
          </w:p>
        </w:tc>
        <w:tc>
          <w:tcPr>
            <w:tcW w:w="996" w:type="dxa"/>
            <w:gridSpan w:val="2"/>
            <w:vAlign w:val="center"/>
          </w:tcPr>
          <w:p w14:paraId="097ED95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7</w:t>
            </w:r>
            <w:r>
              <w:rPr>
                <w:rFonts w:hint="eastAsia" w:ascii="仿宋_GB2312" w:eastAsia="仿宋_GB2312" w:cs="黑体"/>
                <w:color w:val="000000" w:themeColor="text1"/>
                <w:sz w:val="18"/>
                <w:szCs w:val="18"/>
              </w:rPr>
              <w:t>个工作日</w:t>
            </w:r>
          </w:p>
        </w:tc>
        <w:tc>
          <w:tcPr>
            <w:tcW w:w="1502" w:type="dxa"/>
            <w:vAlign w:val="center"/>
          </w:tcPr>
          <w:p w14:paraId="27F7ACC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04F80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82" w:hRule="atLeast"/>
          <w:jc w:val="center"/>
        </w:trPr>
        <w:tc>
          <w:tcPr>
            <w:tcW w:w="1463" w:type="dxa"/>
            <w:vMerge w:val="continue"/>
            <w:vAlign w:val="center"/>
          </w:tcPr>
          <w:p w14:paraId="1391A5E8">
            <w:pPr>
              <w:rPr>
                <w:color w:val="000000" w:themeColor="text1"/>
              </w:rPr>
            </w:pPr>
          </w:p>
        </w:tc>
        <w:tc>
          <w:tcPr>
            <w:tcW w:w="1050" w:type="dxa"/>
            <w:vAlign w:val="center"/>
          </w:tcPr>
          <w:p w14:paraId="4B0551A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39D7EB40">
            <w:pPr>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按照程序报请上级有关单位共同研究决定，进行表彰。</w:t>
            </w:r>
          </w:p>
        </w:tc>
        <w:tc>
          <w:tcPr>
            <w:tcW w:w="996" w:type="dxa"/>
            <w:gridSpan w:val="2"/>
            <w:vAlign w:val="center"/>
          </w:tcPr>
          <w:p w14:paraId="0C81E72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332CE47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交通运输局运输管理股</w:t>
            </w:r>
          </w:p>
        </w:tc>
      </w:tr>
      <w:tr w14:paraId="7B880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07" w:hRule="atLeast"/>
          <w:jc w:val="center"/>
        </w:trPr>
        <w:tc>
          <w:tcPr>
            <w:tcW w:w="1463" w:type="dxa"/>
            <w:shd w:val="clear" w:color="auto" w:fill="auto"/>
            <w:vAlign w:val="center"/>
          </w:tcPr>
          <w:p w14:paraId="28D2DF4A">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76" w:type="dxa"/>
            <w:gridSpan w:val="4"/>
            <w:tcBorders>
              <w:right w:val="single" w:color="auto" w:sz="4" w:space="0"/>
            </w:tcBorders>
            <w:shd w:val="clear" w:color="auto" w:fill="auto"/>
            <w:vAlign w:val="center"/>
          </w:tcPr>
          <w:p w14:paraId="37233D37">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661" w:type="dxa"/>
            <w:gridSpan w:val="2"/>
            <w:tcBorders>
              <w:left w:val="single" w:color="auto" w:sz="4" w:space="0"/>
            </w:tcBorders>
            <w:shd w:val="clear" w:color="auto" w:fill="auto"/>
            <w:vAlign w:val="center"/>
          </w:tcPr>
          <w:p w14:paraId="07D0394A">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7C84E67E">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7301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37" w:hRule="atLeast"/>
          <w:jc w:val="center"/>
        </w:trPr>
        <w:tc>
          <w:tcPr>
            <w:tcW w:w="1463" w:type="dxa"/>
            <w:shd w:val="clear" w:color="auto" w:fill="auto"/>
            <w:vAlign w:val="center"/>
          </w:tcPr>
          <w:p w14:paraId="01DAF1F8">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06717A19">
            <w:pPr>
              <w:jc w:val="center"/>
              <w:rPr>
                <w:rFonts w:hint="eastAsia" w:ascii="仿宋_GB2312" w:eastAsia="微软雅黑" w:cs="黑体"/>
                <w:color w:val="000000" w:themeColor="text1"/>
                <w:sz w:val="18"/>
                <w:szCs w:val="18"/>
                <w:lang w:val="en-US" w:eastAsia="zh-CN"/>
              </w:rPr>
            </w:pPr>
            <w:r>
              <w:rPr>
                <w:rFonts w:hint="eastAsia" w:ascii="仿宋" w:hAnsi="仿宋" w:eastAsia="仿宋" w:cs="仿宋"/>
                <w:b w:val="0"/>
                <w:bCs w:val="0"/>
                <w:color w:val="000000" w:themeColor="text1"/>
                <w:sz w:val="18"/>
                <w:szCs w:val="18"/>
                <w:shd w:val="clear" w:color="auto" w:fill="auto"/>
                <w:lang w:val="en-US" w:eastAsia="zh-CN"/>
              </w:rPr>
              <w:t>1、先进事迹材料；2、</w:t>
            </w:r>
            <w:r>
              <w:rPr>
                <w:rFonts w:hint="eastAsia" w:ascii="仿宋" w:hAnsi="仿宋" w:eastAsia="仿宋" w:cs="仿宋"/>
                <w:i w:val="0"/>
                <w:iCs w:val="0"/>
                <w:caps w:val="0"/>
                <w:color w:val="000000" w:themeColor="text1"/>
                <w:spacing w:val="0"/>
                <w:sz w:val="18"/>
                <w:szCs w:val="18"/>
                <w:shd w:val="clear" w:color="auto" w:fill="auto"/>
              </w:rPr>
              <w:t>公共交通汽车经营者和驾驶员先进事迹表彰和奖励表</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337BE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50" w:hRule="atLeast"/>
          <w:jc w:val="center"/>
        </w:trPr>
        <w:tc>
          <w:tcPr>
            <w:tcW w:w="1463" w:type="dxa"/>
            <w:vAlign w:val="center"/>
          </w:tcPr>
          <w:p w14:paraId="5133D355">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E024424">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w:t>
            </w:r>
            <w:r>
              <w:rPr>
                <w:rFonts w:hint="eastAsia" w:ascii="仿宋" w:eastAsia="仿宋" w:cs="仿宋_GB2312"/>
                <w:color w:val="000000" w:themeColor="text1"/>
                <w:kern w:val="0"/>
                <w:sz w:val="18"/>
                <w:szCs w:val="18"/>
              </w:rPr>
              <w:t>《河北省行政执法监督条例》等规定的追责情形。</w:t>
            </w:r>
          </w:p>
        </w:tc>
      </w:tr>
      <w:tr w14:paraId="4599C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03253AD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165BFF9A">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w:t>
            </w:r>
            <w:r>
              <w:rPr>
                <w:rFonts w:hint="eastAsia" w:ascii="仿宋_GB2312" w:eastAsia="仿宋_GB2312" w:cs="黑体"/>
                <w:color w:val="000000" w:themeColor="text1"/>
                <w:kern w:val="0"/>
                <w:sz w:val="18"/>
                <w:szCs w:val="18"/>
                <w:lang w:val="en-US" w:eastAsia="zh-CN"/>
              </w:rPr>
              <w:t>181008</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21FB1D13">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2AC18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3E35E1C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195A2753">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．不服奖励决定自知道该具体行政行为之日起六十日内向抚宁区人民政府申请行政复议。</w:t>
            </w:r>
          </w:p>
          <w:p w14:paraId="7D3837FA">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．不服奖励决定应当自知道或者应当知道作出行政行为之日起六个月内提出向抚宁区人民法院提起行政诉讼。</w:t>
            </w:r>
          </w:p>
        </w:tc>
      </w:tr>
      <w:tr w14:paraId="296E5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49BC899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13BAA175">
            <w:pPr>
              <w:widowControl/>
              <w:jc w:val="left"/>
              <w:textAlignment w:val="center"/>
              <w:rPr>
                <w:rFonts w:ascii="黑体" w:eastAsia="黑体" w:cs="黑体"/>
                <w:color w:val="000000" w:themeColor="text1"/>
                <w:kern w:val="0"/>
                <w:sz w:val="18"/>
                <w:szCs w:val="18"/>
              </w:rPr>
            </w:pPr>
          </w:p>
        </w:tc>
      </w:tr>
    </w:tbl>
    <w:p w14:paraId="6F74DFEE">
      <w:pPr>
        <w:rPr>
          <w:color w:val="000000" w:themeColor="text1"/>
        </w:rPr>
      </w:pPr>
    </w:p>
    <w:p w14:paraId="3E9D59A2">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09"/>
        <w:gridCol w:w="654"/>
        <w:gridCol w:w="992"/>
        <w:gridCol w:w="567"/>
        <w:gridCol w:w="429"/>
        <w:gridCol w:w="1502"/>
      </w:tblGrid>
      <w:tr w14:paraId="5EF3D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2F9D3C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32C5265A">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7</w:t>
            </w:r>
          </w:p>
        </w:tc>
        <w:tc>
          <w:tcPr>
            <w:tcW w:w="1691" w:type="dxa"/>
            <w:vAlign w:val="center"/>
          </w:tcPr>
          <w:p w14:paraId="0A80FC1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3AFBE5A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4085070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B472D2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5A00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684FEE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09FE2647">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出租汽车驾驶员从业资格资质查询</w:t>
            </w:r>
          </w:p>
        </w:tc>
      </w:tr>
      <w:tr w14:paraId="716F1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358E31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366C6675">
            <w:pPr>
              <w:pStyle w:val="8"/>
              <w:shd w:val="clear" w:color="auto" w:fill="FFFFFF"/>
              <w:jc w:val="both"/>
              <w:rPr>
                <w:rFonts w:ascii="仿宋" w:eastAsia="仿宋" w:cs="Arial"/>
                <w:color w:val="000000" w:themeColor="text1"/>
                <w:spacing w:val="16"/>
                <w:sz w:val="18"/>
                <w:szCs w:val="18"/>
              </w:rPr>
            </w:pPr>
            <w:r>
              <w:rPr>
                <w:rFonts w:hint="eastAsia" w:ascii="仿宋" w:eastAsia="仿宋" w:cs="黑体"/>
                <w:color w:val="000000" w:themeColor="text1"/>
                <w:sz w:val="18"/>
                <w:szCs w:val="18"/>
              </w:rPr>
              <w:t>【法律法规】</w:t>
            </w:r>
            <w:r>
              <w:rPr>
                <w:rFonts w:hint="eastAsia" w:ascii="仿宋" w:eastAsia="仿宋"/>
                <w:color w:val="000000" w:themeColor="text1"/>
                <w:sz w:val="18"/>
                <w:szCs w:val="18"/>
              </w:rPr>
              <w:t>《出租汽车驾驶员从业资格管理规定》（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olor w:val="000000" w:themeColor="text1"/>
                <w:sz w:val="18"/>
                <w:szCs w:val="18"/>
              </w:rPr>
              <w:t>交通运输部令</w:t>
            </w:r>
            <w:r>
              <w:rPr>
                <w:rFonts w:ascii="仿宋" w:eastAsia="仿宋"/>
                <w:color w:val="000000" w:themeColor="text1"/>
                <w:sz w:val="18"/>
                <w:szCs w:val="18"/>
              </w:rPr>
              <w:t>2021</w:t>
            </w:r>
            <w:r>
              <w:rPr>
                <w:rFonts w:hint="eastAsia" w:ascii="仿宋" w:eastAsia="仿宋"/>
                <w:color w:val="000000" w:themeColor="text1"/>
                <w:sz w:val="18"/>
                <w:szCs w:val="18"/>
              </w:rPr>
              <w:t>年第</w:t>
            </w:r>
            <w:r>
              <w:rPr>
                <w:rFonts w:ascii="仿宋" w:eastAsia="仿宋"/>
                <w:color w:val="000000" w:themeColor="text1"/>
                <w:sz w:val="18"/>
                <w:szCs w:val="18"/>
              </w:rPr>
              <w:t>15</w:t>
            </w:r>
            <w:r>
              <w:rPr>
                <w:rFonts w:hint="eastAsia" w:ascii="仿宋" w:eastAsia="仿宋"/>
                <w:color w:val="000000" w:themeColor="text1"/>
                <w:sz w:val="18"/>
                <w:szCs w:val="18"/>
              </w:rPr>
              <w:t>号）</w:t>
            </w:r>
            <w:r>
              <w:rPr>
                <w:rFonts w:hint="eastAsia" w:ascii="仿宋" w:eastAsia="仿宋" w:cs="Arial"/>
                <w:color w:val="000000" w:themeColor="text1"/>
                <w:sz w:val="18"/>
                <w:szCs w:val="18"/>
              </w:rPr>
              <w:t>第五条　出租汽车驾驶员应当依法经营、诚实守信、文明服务、保障安全。第六条　交通运输部负责指导全国出租汽车驾驶员从业资格管理工作。各省、自治区人民政府交通运输主管部门在本级人民政府领导下，负责指导本行政区域内出租汽车驾驶员从业资格管理工作。直辖市、设区的市级或者县级交通运输主管部门或者人民政府指定的其他出租汽车行政主管部门（以下称出租汽车行政主管部门）在本级人民政府领导下，负责具体实施出租汽车驾驶员从业资格管理。</w:t>
            </w:r>
          </w:p>
          <w:p w14:paraId="30CB8C1F">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5EC1F9C8">
            <w:pPr>
              <w:spacing w:line="240" w:lineRule="exact"/>
              <w:rPr>
                <w:rFonts w:ascii="仿宋_GB2312" w:eastAsia="仿宋_GB2312" w:cs="黑体"/>
                <w:b/>
                <w:bCs/>
                <w:color w:val="000000" w:themeColor="text1"/>
                <w:szCs w:val="21"/>
              </w:rPr>
            </w:pPr>
          </w:p>
        </w:tc>
      </w:tr>
      <w:tr w14:paraId="156A7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6A8BC52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5ACBD05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216C57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4383C4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0E66FE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75DF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BE17391">
            <w:pPr>
              <w:rPr>
                <w:color w:val="000000" w:themeColor="text1"/>
              </w:rPr>
            </w:pPr>
          </w:p>
        </w:tc>
        <w:tc>
          <w:tcPr>
            <w:tcW w:w="1050" w:type="dxa"/>
            <w:vAlign w:val="center"/>
          </w:tcPr>
          <w:p w14:paraId="10C27C9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529FF45F">
            <w:pPr>
              <w:jc w:val="center"/>
              <w:rPr>
                <w:rFonts w:ascii="仿宋_GB2312" w:eastAsia="仿宋_GB2312" w:cs="黑体"/>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3EF8F9B2">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3451902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政务服务中心交通窗口</w:t>
            </w:r>
          </w:p>
        </w:tc>
      </w:tr>
      <w:tr w14:paraId="7E1B4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416B0E58">
            <w:pPr>
              <w:rPr>
                <w:color w:val="000000" w:themeColor="text1"/>
              </w:rPr>
            </w:pPr>
          </w:p>
        </w:tc>
        <w:tc>
          <w:tcPr>
            <w:tcW w:w="1050" w:type="dxa"/>
            <w:vAlign w:val="center"/>
          </w:tcPr>
          <w:p w14:paraId="2DDF33F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7E2DA3AC">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按提交材料查询，告知查询结果。</w:t>
            </w:r>
          </w:p>
        </w:tc>
        <w:tc>
          <w:tcPr>
            <w:tcW w:w="996" w:type="dxa"/>
            <w:gridSpan w:val="2"/>
            <w:vAlign w:val="center"/>
          </w:tcPr>
          <w:p w14:paraId="489146C9">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7E8860DF">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rPr>
              <w:t>区交通运输</w:t>
            </w:r>
            <w:r>
              <w:rPr>
                <w:rFonts w:hint="eastAsia" w:ascii="仿宋_GB2312" w:eastAsia="仿宋_GB2312" w:cs="黑体"/>
                <w:color w:val="000000" w:themeColor="text1"/>
                <w:sz w:val="18"/>
                <w:szCs w:val="18"/>
                <w:lang w:eastAsia="zh-CN"/>
              </w:rPr>
              <w:t>综合行政执法大队</w:t>
            </w:r>
          </w:p>
        </w:tc>
      </w:tr>
      <w:tr w14:paraId="1DB6D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4ED2CDFE">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691" w:type="dxa"/>
            <w:gridSpan w:val="4"/>
            <w:tcBorders>
              <w:right w:val="single" w:color="auto" w:sz="4" w:space="0"/>
            </w:tcBorders>
            <w:shd w:val="clear" w:color="auto" w:fill="auto"/>
            <w:vAlign w:val="center"/>
          </w:tcPr>
          <w:p w14:paraId="237A2A2A">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646" w:type="dxa"/>
            <w:gridSpan w:val="2"/>
            <w:tcBorders>
              <w:left w:val="single" w:color="auto" w:sz="4" w:space="0"/>
            </w:tcBorders>
            <w:shd w:val="clear" w:color="auto" w:fill="auto"/>
            <w:vAlign w:val="center"/>
          </w:tcPr>
          <w:p w14:paraId="1C4A5591">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439677CE">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24E2A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69859FA6">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1A996D2B">
            <w:pPr>
              <w:jc w:val="center"/>
              <w:rPr>
                <w:rFonts w:hint="eastAsia" w:ascii="仿宋_GB2312" w:eastAsia="仿宋_GB2312" w:cs="黑体"/>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w:t>
            </w:r>
            <w:r>
              <w:rPr>
                <w:rFonts w:ascii="微软雅黑" w:hAnsi="微软雅黑" w:eastAsia="微软雅黑" w:cs="微软雅黑"/>
                <w:i w:val="0"/>
                <w:iCs w:val="0"/>
                <w:caps w:val="0"/>
                <w:color w:val="000000" w:themeColor="text1"/>
                <w:spacing w:val="0"/>
                <w:sz w:val="19"/>
                <w:szCs w:val="19"/>
                <w:shd w:val="clear" w:color="auto" w:fill="auto"/>
              </w:rPr>
              <w:t>身份证或机动车驾驶证及复印件</w:t>
            </w:r>
          </w:p>
        </w:tc>
      </w:tr>
      <w:tr w14:paraId="08C54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193F4211">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0279D66">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45B80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3C728CA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36F70A9E">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0F06B38F">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4B5F0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58B3CE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12EC319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5D2DB5CF">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2859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7AADF36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2A497316">
            <w:pPr>
              <w:widowControl/>
              <w:jc w:val="left"/>
              <w:textAlignment w:val="center"/>
              <w:rPr>
                <w:rFonts w:ascii="黑体" w:eastAsia="黑体" w:cs="黑体"/>
                <w:color w:val="000000" w:themeColor="text1"/>
                <w:kern w:val="0"/>
                <w:sz w:val="18"/>
                <w:szCs w:val="18"/>
              </w:rPr>
            </w:pPr>
          </w:p>
        </w:tc>
      </w:tr>
    </w:tbl>
    <w:p w14:paraId="46A0024E">
      <w:pPr>
        <w:rPr>
          <w:color w:val="000000" w:themeColor="text1"/>
        </w:rPr>
      </w:pPr>
    </w:p>
    <w:p w14:paraId="4637B51E">
      <w:pPr>
        <w:rPr>
          <w:color w:val="000000" w:themeColor="text1"/>
        </w:rPr>
      </w:pPr>
    </w:p>
    <w:p w14:paraId="09A89E1A">
      <w:pPr>
        <w:rPr>
          <w:color w:val="000000" w:themeColor="text1"/>
        </w:rPr>
      </w:pPr>
    </w:p>
    <w:p w14:paraId="24DF6096">
      <w:pPr>
        <w:rPr>
          <w:color w:val="000000" w:themeColor="text1"/>
        </w:rPr>
      </w:pPr>
    </w:p>
    <w:p w14:paraId="0E7481ED">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84"/>
        <w:gridCol w:w="579"/>
        <w:gridCol w:w="992"/>
        <w:gridCol w:w="567"/>
        <w:gridCol w:w="429"/>
        <w:gridCol w:w="1502"/>
      </w:tblGrid>
      <w:tr w14:paraId="70EE0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D3B404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5BCB4F5">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8</w:t>
            </w:r>
          </w:p>
        </w:tc>
        <w:tc>
          <w:tcPr>
            <w:tcW w:w="1691" w:type="dxa"/>
            <w:vAlign w:val="center"/>
          </w:tcPr>
          <w:p w14:paraId="2779BB4D">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633A89F3">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0414C8B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6A2B72E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FF05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EEAFBB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2EC473DC">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城市公共交通服务投诉受理</w:t>
            </w:r>
          </w:p>
        </w:tc>
      </w:tr>
      <w:tr w14:paraId="1D784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575967E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445EAF11">
            <w:pPr>
              <w:pStyle w:val="8"/>
              <w:shd w:val="clear" w:color="auto" w:fill="FFFFFF"/>
              <w:jc w:val="both"/>
              <w:rPr>
                <w:rFonts w:ascii="仿宋" w:eastAsia="仿宋" w:cs="Arial"/>
                <w:color w:val="000000" w:themeColor="text1"/>
                <w:spacing w:val="16"/>
                <w:sz w:val="18"/>
                <w:szCs w:val="18"/>
              </w:rPr>
            </w:pPr>
            <w:r>
              <w:rPr>
                <w:rFonts w:hint="eastAsia" w:ascii="仿宋" w:eastAsia="仿宋" w:cs="黑体"/>
                <w:color w:val="000000" w:themeColor="text1"/>
                <w:sz w:val="18"/>
                <w:szCs w:val="18"/>
              </w:rPr>
              <w:t>【法律法规】</w:t>
            </w:r>
            <w:r>
              <w:rPr>
                <w:rFonts w:hint="eastAsia" w:ascii="仿宋" w:eastAsia="仿宋" w:cs="仿宋"/>
                <w:color w:val="000000" w:themeColor="text1"/>
                <w:sz w:val="18"/>
                <w:szCs w:val="18"/>
              </w:rPr>
              <w:t>《城市公共汽车和电车客运管理规定》（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
                <w:color w:val="000000" w:themeColor="text1"/>
                <w:sz w:val="18"/>
                <w:szCs w:val="18"/>
              </w:rPr>
              <w:t>交通运输部令</w:t>
            </w:r>
            <w:r>
              <w:rPr>
                <w:rFonts w:ascii="仿宋" w:eastAsia="仿宋" w:cs="仿宋"/>
                <w:color w:val="000000" w:themeColor="text1"/>
                <w:sz w:val="18"/>
                <w:szCs w:val="18"/>
              </w:rPr>
              <w:t>2017</w:t>
            </w:r>
            <w:r>
              <w:rPr>
                <w:rFonts w:hint="eastAsia" w:ascii="仿宋" w:eastAsia="仿宋" w:cs="仿宋"/>
                <w:color w:val="000000" w:themeColor="text1"/>
                <w:sz w:val="18"/>
                <w:szCs w:val="18"/>
              </w:rPr>
              <w:t>年第</w:t>
            </w:r>
            <w:r>
              <w:rPr>
                <w:rFonts w:ascii="仿宋" w:eastAsia="仿宋" w:cs="仿宋"/>
                <w:color w:val="000000" w:themeColor="text1"/>
                <w:sz w:val="18"/>
                <w:szCs w:val="18"/>
              </w:rPr>
              <w:t>5</w:t>
            </w:r>
            <w:r>
              <w:rPr>
                <w:rFonts w:hint="eastAsia" w:ascii="仿宋" w:eastAsia="仿宋" w:cs="仿宋"/>
                <w:color w:val="000000" w:themeColor="text1"/>
                <w:sz w:val="18"/>
                <w:szCs w:val="18"/>
              </w:rPr>
              <w:t>号令）第五十八条</w:t>
            </w:r>
            <w:r>
              <w:rPr>
                <w:rFonts w:ascii="仿宋" w:eastAsia="仿宋" w:cs="仿宋"/>
                <w:color w:val="000000" w:themeColor="text1"/>
                <w:sz w:val="18"/>
                <w:szCs w:val="18"/>
              </w:rPr>
              <w:t xml:space="preserve">  </w:t>
            </w:r>
            <w:r>
              <w:rPr>
                <w:rFonts w:hint="eastAsia" w:ascii="仿宋" w:eastAsia="仿宋"/>
                <w:color w:val="000000" w:themeColor="text1"/>
                <w:sz w:val="18"/>
                <w:szCs w:val="18"/>
                <w:shd w:val="clear" w:color="auto" w:fill="FFFFFF"/>
              </w:rPr>
              <w:t>城市公共交通主管部门和运营企业应当分别建立城市公共交通服务投诉受理制度并向社会公布，及时核查和处理投诉事项，并将处理结果及时告知投诉人。</w:t>
            </w:r>
          </w:p>
          <w:p w14:paraId="6445242E">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3A653A50">
            <w:pPr>
              <w:spacing w:line="240" w:lineRule="exact"/>
              <w:rPr>
                <w:rFonts w:ascii="仿宋_GB2312" w:eastAsia="仿宋_GB2312" w:cs="黑体"/>
                <w:b/>
                <w:bCs/>
                <w:color w:val="000000" w:themeColor="text1"/>
                <w:szCs w:val="21"/>
              </w:rPr>
            </w:pPr>
          </w:p>
        </w:tc>
      </w:tr>
      <w:tr w14:paraId="6D5C3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8095E3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E86B7E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263F24F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EBE639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4BBAE06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7AAE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E057E9D">
            <w:pPr>
              <w:rPr>
                <w:color w:val="000000" w:themeColor="text1"/>
              </w:rPr>
            </w:pPr>
          </w:p>
        </w:tc>
        <w:tc>
          <w:tcPr>
            <w:tcW w:w="1050" w:type="dxa"/>
            <w:vAlign w:val="center"/>
          </w:tcPr>
          <w:p w14:paraId="234DFFE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4201A928">
            <w:pPr>
              <w:jc w:val="center"/>
              <w:rPr>
                <w:rFonts w:ascii="仿宋_GB2312" w:eastAsia="仿宋_GB2312" w:cs="黑体"/>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58F2F6FF">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42E28E9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21BE162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4EB6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09C02496">
            <w:pPr>
              <w:rPr>
                <w:color w:val="000000" w:themeColor="text1"/>
              </w:rPr>
            </w:pPr>
          </w:p>
        </w:tc>
        <w:tc>
          <w:tcPr>
            <w:tcW w:w="1050" w:type="dxa"/>
            <w:vAlign w:val="center"/>
          </w:tcPr>
          <w:p w14:paraId="6B0BF02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5E687FEB">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对提交材料审核、调查，提出调查意见。</w:t>
            </w:r>
          </w:p>
        </w:tc>
        <w:tc>
          <w:tcPr>
            <w:tcW w:w="996" w:type="dxa"/>
            <w:gridSpan w:val="2"/>
            <w:vAlign w:val="center"/>
          </w:tcPr>
          <w:p w14:paraId="0140170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0FCD64D9">
            <w:pPr>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区交通运输综合行政执法大队</w:t>
            </w:r>
          </w:p>
        </w:tc>
      </w:tr>
      <w:tr w14:paraId="18B7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F09751A">
            <w:pPr>
              <w:rPr>
                <w:color w:val="000000" w:themeColor="text1"/>
              </w:rPr>
            </w:pPr>
          </w:p>
        </w:tc>
        <w:tc>
          <w:tcPr>
            <w:tcW w:w="1050" w:type="dxa"/>
            <w:vAlign w:val="center"/>
          </w:tcPr>
          <w:p w14:paraId="22E7EED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086A9221">
            <w:pPr>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依法作出决定。</w:t>
            </w:r>
          </w:p>
        </w:tc>
        <w:tc>
          <w:tcPr>
            <w:tcW w:w="996" w:type="dxa"/>
            <w:gridSpan w:val="2"/>
            <w:vAlign w:val="center"/>
          </w:tcPr>
          <w:p w14:paraId="29E60FE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3E56E0B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40D80722">
            <w:pPr>
              <w:jc w:val="center"/>
              <w:rPr>
                <w:rFonts w:ascii="仿宋" w:hAnsi="仿宋" w:eastAsia="仿宋" w:cs="仿宋"/>
                <w:color w:val="000000" w:themeColor="text1"/>
                <w:sz w:val="18"/>
                <w:szCs w:val="18"/>
              </w:rPr>
            </w:pPr>
            <w:r>
              <w:rPr>
                <w:rFonts w:hint="eastAsia" w:ascii="仿宋_GB2312" w:eastAsia="仿宋_GB2312" w:cs="黑体"/>
                <w:color w:val="000000" w:themeColor="text1"/>
                <w:sz w:val="18"/>
                <w:szCs w:val="18"/>
              </w:rPr>
              <w:t>交通窗口</w:t>
            </w:r>
          </w:p>
        </w:tc>
      </w:tr>
      <w:tr w14:paraId="5134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55" w:hRule="atLeast"/>
          <w:jc w:val="center"/>
        </w:trPr>
        <w:tc>
          <w:tcPr>
            <w:tcW w:w="1463" w:type="dxa"/>
            <w:shd w:val="clear" w:color="auto" w:fill="auto"/>
            <w:vAlign w:val="center"/>
          </w:tcPr>
          <w:p w14:paraId="72B8019B">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66" w:type="dxa"/>
            <w:gridSpan w:val="4"/>
            <w:tcBorders>
              <w:right w:val="single" w:color="auto" w:sz="4" w:space="0"/>
            </w:tcBorders>
            <w:shd w:val="clear" w:color="auto" w:fill="auto"/>
            <w:vAlign w:val="center"/>
          </w:tcPr>
          <w:p w14:paraId="272A3A64">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71" w:type="dxa"/>
            <w:gridSpan w:val="2"/>
            <w:tcBorders>
              <w:left w:val="single" w:color="auto" w:sz="4" w:space="0"/>
            </w:tcBorders>
            <w:shd w:val="clear" w:color="auto" w:fill="auto"/>
            <w:vAlign w:val="center"/>
          </w:tcPr>
          <w:p w14:paraId="399FE888">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71AD7E00">
            <w:pPr>
              <w:jc w:val="center"/>
              <w:rPr>
                <w:rFonts w:hint="eastAsia" w:ascii="仿宋" w:hAnsi="仿宋" w:eastAsia="仿宋" w:cs="仿宋"/>
                <w:color w:val="000000" w:themeColor="text1"/>
                <w:sz w:val="18"/>
                <w:szCs w:val="18"/>
              </w:rPr>
            </w:pPr>
            <w:r>
              <w:rPr>
                <w:rFonts w:hint="eastAsia" w:ascii="仿宋_GB2312" w:eastAsia="仿宋_GB2312" w:cs="黑体"/>
                <w:color w:val="000000" w:themeColor="text1"/>
                <w:sz w:val="18"/>
                <w:szCs w:val="18"/>
                <w:lang w:eastAsia="zh-CN"/>
              </w:rPr>
              <w:t>否</w:t>
            </w:r>
          </w:p>
        </w:tc>
      </w:tr>
      <w:tr w14:paraId="71BD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5" w:hRule="atLeast"/>
          <w:jc w:val="center"/>
        </w:trPr>
        <w:tc>
          <w:tcPr>
            <w:tcW w:w="1463" w:type="dxa"/>
            <w:shd w:val="clear" w:color="auto" w:fill="auto"/>
            <w:vAlign w:val="center"/>
          </w:tcPr>
          <w:p w14:paraId="7C799616">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2BF7C159">
            <w:pPr>
              <w:jc w:val="center"/>
              <w:rPr>
                <w:rFonts w:hint="eastAsia" w:ascii="仿宋" w:hAnsi="仿宋" w:eastAsia="仿宋" w:cs="仿宋"/>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1、投诉举报材料。</w:t>
            </w:r>
          </w:p>
        </w:tc>
      </w:tr>
      <w:tr w14:paraId="0B16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414DBC3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76365E6">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13614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3DB8B7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60E12F07">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B0D0586">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670AA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63FD809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3F91C36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1DCD390B">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77C3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4B797BB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200519D2">
            <w:pPr>
              <w:widowControl/>
              <w:jc w:val="left"/>
              <w:textAlignment w:val="center"/>
              <w:rPr>
                <w:rFonts w:ascii="黑体" w:eastAsia="黑体" w:cs="黑体"/>
                <w:color w:val="000000" w:themeColor="text1"/>
                <w:kern w:val="0"/>
                <w:sz w:val="18"/>
                <w:szCs w:val="18"/>
              </w:rPr>
            </w:pPr>
          </w:p>
        </w:tc>
      </w:tr>
    </w:tbl>
    <w:p w14:paraId="022BEE4D">
      <w:pPr>
        <w:rPr>
          <w:color w:val="000000" w:themeColor="text1"/>
        </w:rPr>
      </w:pPr>
    </w:p>
    <w:p w14:paraId="3B160EE2">
      <w:pPr>
        <w:rPr>
          <w:color w:val="000000" w:themeColor="text1"/>
        </w:rPr>
      </w:pPr>
    </w:p>
    <w:p w14:paraId="57490540">
      <w:pPr>
        <w:rPr>
          <w:color w:val="000000" w:themeColor="text1"/>
        </w:rPr>
      </w:pPr>
    </w:p>
    <w:p w14:paraId="5CD3F53C">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564"/>
        <w:gridCol w:w="399"/>
        <w:gridCol w:w="992"/>
        <w:gridCol w:w="567"/>
        <w:gridCol w:w="429"/>
        <w:gridCol w:w="1502"/>
      </w:tblGrid>
      <w:tr w14:paraId="48403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3471507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5C1B5C58">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23</w:t>
            </w:r>
            <w:r>
              <w:rPr>
                <w:rFonts w:hint="eastAsia" w:ascii="黑体" w:eastAsia="黑体" w:cs="黑体"/>
                <w:b/>
                <w:bCs/>
                <w:color w:val="000000" w:themeColor="text1"/>
                <w:szCs w:val="21"/>
                <w:lang w:val="en-US" w:eastAsia="zh-CN"/>
              </w:rPr>
              <w:t>9</w:t>
            </w:r>
          </w:p>
        </w:tc>
        <w:tc>
          <w:tcPr>
            <w:tcW w:w="1691" w:type="dxa"/>
            <w:vAlign w:val="center"/>
          </w:tcPr>
          <w:p w14:paraId="00598865">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A1AE90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1712BC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F14C6F8">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768B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191B7D1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1278BEDF">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网络预约出租汽车资质查询</w:t>
            </w:r>
          </w:p>
        </w:tc>
      </w:tr>
      <w:tr w14:paraId="2F066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055B618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7725FBE4">
            <w:pPr>
              <w:pStyle w:val="8"/>
              <w:shd w:val="clear" w:color="auto" w:fill="FFFFFF"/>
              <w:jc w:val="both"/>
              <w:rPr>
                <w:rFonts w:ascii="仿宋" w:eastAsia="仿宋" w:cs="Arial"/>
                <w:color w:val="000000" w:themeColor="text1"/>
                <w:spacing w:val="16"/>
                <w:sz w:val="18"/>
                <w:szCs w:val="18"/>
              </w:rPr>
            </w:pPr>
            <w:r>
              <w:rPr>
                <w:rFonts w:hint="eastAsia" w:ascii="仿宋" w:eastAsia="仿宋" w:cs="黑体"/>
                <w:color w:val="000000" w:themeColor="text1"/>
                <w:sz w:val="18"/>
                <w:szCs w:val="18"/>
              </w:rPr>
              <w:t>【法律法规】</w:t>
            </w:r>
            <w:r>
              <w:rPr>
                <w:rFonts w:hint="eastAsia" w:ascii="仿宋" w:eastAsia="仿宋" w:cs="仿宋"/>
                <w:color w:val="000000" w:themeColor="text1"/>
                <w:sz w:val="18"/>
                <w:szCs w:val="18"/>
              </w:rPr>
              <w:t>《网络预约出租汽车经营服务管理暂行办法》（</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
                <w:color w:val="000000" w:themeColor="text1"/>
                <w:sz w:val="18"/>
                <w:szCs w:val="18"/>
              </w:rPr>
              <w:t>交通运输部令</w:t>
            </w:r>
            <w:r>
              <w:rPr>
                <w:rFonts w:ascii="仿宋" w:eastAsia="仿宋" w:cs="仿宋"/>
                <w:color w:val="000000" w:themeColor="text1"/>
                <w:sz w:val="18"/>
                <w:szCs w:val="18"/>
              </w:rPr>
              <w:t>2019</w:t>
            </w:r>
            <w:r>
              <w:rPr>
                <w:rFonts w:hint="eastAsia" w:ascii="仿宋" w:eastAsia="仿宋" w:cs="仿宋"/>
                <w:color w:val="000000" w:themeColor="text1"/>
                <w:sz w:val="18"/>
                <w:szCs w:val="18"/>
              </w:rPr>
              <w:t>年第</w:t>
            </w:r>
            <w:r>
              <w:rPr>
                <w:rFonts w:ascii="仿宋" w:eastAsia="仿宋" w:cs="仿宋"/>
                <w:color w:val="000000" w:themeColor="text1"/>
                <w:sz w:val="18"/>
                <w:szCs w:val="18"/>
              </w:rPr>
              <w:t>46</w:t>
            </w:r>
            <w:r>
              <w:rPr>
                <w:rFonts w:hint="eastAsia" w:ascii="仿宋" w:eastAsia="仿宋" w:cs="仿宋"/>
                <w:color w:val="000000" w:themeColor="text1"/>
                <w:sz w:val="18"/>
                <w:szCs w:val="18"/>
              </w:rPr>
              <w:t>号）第四条</w:t>
            </w:r>
            <w:r>
              <w:rPr>
                <w:rFonts w:ascii="仿宋" w:eastAsia="仿宋" w:cs="仿宋"/>
                <w:color w:val="000000" w:themeColor="text1"/>
                <w:sz w:val="18"/>
                <w:szCs w:val="18"/>
              </w:rPr>
              <w:t xml:space="preserve"> </w:t>
            </w:r>
            <w:r>
              <w:rPr>
                <w:rFonts w:hint="eastAsia" w:ascii="仿宋" w:eastAsia="仿宋"/>
                <w:color w:val="000000" w:themeColor="text1"/>
                <w:sz w:val="20"/>
                <w:szCs w:val="20"/>
                <w:shd w:val="clear" w:color="auto" w:fill="FFFFFF"/>
              </w:rPr>
              <w:t>直辖市、设区的市级或者县级交通运输主管部门或人民政府指定的其他出租汽车行政主管部门（以下称出租汽车行政主管部门）在本级人民政府领导下，负责具体实施网约车管理。</w:t>
            </w:r>
          </w:p>
          <w:p w14:paraId="48EC0C74">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6D96E888">
            <w:pPr>
              <w:spacing w:line="240" w:lineRule="exact"/>
              <w:rPr>
                <w:rFonts w:ascii="仿宋_GB2312" w:eastAsia="仿宋_GB2312" w:cs="黑体"/>
                <w:b/>
                <w:bCs/>
                <w:color w:val="000000" w:themeColor="text1"/>
                <w:szCs w:val="21"/>
              </w:rPr>
            </w:pPr>
          </w:p>
        </w:tc>
      </w:tr>
      <w:tr w14:paraId="1D900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7F45F8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26E20C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6A70381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5CA2E6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30F21D54">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7467A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1680CDCD">
            <w:pPr>
              <w:rPr>
                <w:color w:val="000000" w:themeColor="text1"/>
              </w:rPr>
            </w:pPr>
          </w:p>
        </w:tc>
        <w:tc>
          <w:tcPr>
            <w:tcW w:w="1050" w:type="dxa"/>
            <w:vAlign w:val="center"/>
          </w:tcPr>
          <w:p w14:paraId="06B22FE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41852E14">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2BEEAA8F">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E35813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5612E90F">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7F51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D1D19AD">
            <w:pPr>
              <w:rPr>
                <w:color w:val="000000" w:themeColor="text1"/>
              </w:rPr>
            </w:pPr>
          </w:p>
        </w:tc>
        <w:tc>
          <w:tcPr>
            <w:tcW w:w="1050" w:type="dxa"/>
            <w:vAlign w:val="center"/>
          </w:tcPr>
          <w:p w14:paraId="4B2D8775">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29867C4F">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按提交材料查询，告知查询结果。</w:t>
            </w:r>
          </w:p>
        </w:tc>
        <w:tc>
          <w:tcPr>
            <w:tcW w:w="996" w:type="dxa"/>
            <w:gridSpan w:val="2"/>
            <w:vAlign w:val="center"/>
          </w:tcPr>
          <w:p w14:paraId="6FE46531">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23A2D462">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区交通运输综合行政执法大队</w:t>
            </w:r>
          </w:p>
        </w:tc>
      </w:tr>
      <w:tr w14:paraId="63834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5" w:hRule="atLeast"/>
          <w:jc w:val="center"/>
        </w:trPr>
        <w:tc>
          <w:tcPr>
            <w:tcW w:w="1463" w:type="dxa"/>
            <w:shd w:val="clear" w:color="auto" w:fill="auto"/>
            <w:vAlign w:val="center"/>
          </w:tcPr>
          <w:p w14:paraId="4D38D4F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946" w:type="dxa"/>
            <w:gridSpan w:val="4"/>
            <w:tcBorders>
              <w:right w:val="single" w:color="auto" w:sz="4" w:space="0"/>
            </w:tcBorders>
            <w:shd w:val="clear" w:color="auto" w:fill="auto"/>
            <w:vAlign w:val="center"/>
          </w:tcPr>
          <w:p w14:paraId="01034EE2">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391" w:type="dxa"/>
            <w:gridSpan w:val="2"/>
            <w:tcBorders>
              <w:left w:val="single" w:color="auto" w:sz="4" w:space="0"/>
            </w:tcBorders>
            <w:shd w:val="clear" w:color="auto" w:fill="auto"/>
            <w:vAlign w:val="center"/>
          </w:tcPr>
          <w:p w14:paraId="0224FA54">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4DD2129E">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否</w:t>
            </w:r>
          </w:p>
        </w:tc>
      </w:tr>
      <w:tr w14:paraId="6279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70" w:hRule="atLeast"/>
          <w:jc w:val="center"/>
        </w:trPr>
        <w:tc>
          <w:tcPr>
            <w:tcW w:w="1463" w:type="dxa"/>
            <w:shd w:val="clear" w:color="auto" w:fill="auto"/>
            <w:vAlign w:val="center"/>
          </w:tcPr>
          <w:p w14:paraId="67BAC7AE">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2667D3CF">
            <w:pPr>
              <w:jc w:val="center"/>
              <w:rPr>
                <w:rFonts w:hint="eastAsia" w:ascii="仿宋_GB2312" w:eastAsia="仿宋" w:cs="黑体"/>
                <w:color w:val="000000" w:themeColor="text1"/>
                <w:sz w:val="18"/>
                <w:szCs w:val="18"/>
                <w:lang w:eastAsia="zh-CN"/>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身份证和机动车驾驶证及复印件</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227A1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7EACE099">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4DD353A">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5D39C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65ABAC7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7B3C3A15">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0B7F4D0C">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6442C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605256B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5DB9AA7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00C7B8A8">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2F5B9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0E57E29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5EEE9C11">
            <w:pPr>
              <w:widowControl/>
              <w:jc w:val="left"/>
              <w:textAlignment w:val="center"/>
              <w:rPr>
                <w:rFonts w:ascii="黑体" w:eastAsia="黑体" w:cs="黑体"/>
                <w:color w:val="000000" w:themeColor="text1"/>
                <w:kern w:val="0"/>
                <w:sz w:val="18"/>
                <w:szCs w:val="18"/>
              </w:rPr>
            </w:pPr>
          </w:p>
        </w:tc>
      </w:tr>
    </w:tbl>
    <w:p w14:paraId="0384AE3C">
      <w:pPr>
        <w:rPr>
          <w:color w:val="000000" w:themeColor="text1"/>
        </w:rPr>
      </w:pPr>
    </w:p>
    <w:p w14:paraId="1D630491">
      <w:pPr>
        <w:rPr>
          <w:color w:val="000000" w:themeColor="text1"/>
        </w:rPr>
      </w:pPr>
    </w:p>
    <w:p w14:paraId="75E7BFCE">
      <w:pPr>
        <w:rPr>
          <w:color w:val="000000" w:themeColor="text1"/>
        </w:rPr>
      </w:pPr>
    </w:p>
    <w:p w14:paraId="026EACB3">
      <w:pPr>
        <w:rPr>
          <w:color w:val="000000" w:themeColor="text1"/>
        </w:rPr>
      </w:pPr>
    </w:p>
    <w:p w14:paraId="6C064B6E">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519"/>
        <w:gridCol w:w="444"/>
        <w:gridCol w:w="992"/>
        <w:gridCol w:w="567"/>
        <w:gridCol w:w="429"/>
        <w:gridCol w:w="1502"/>
      </w:tblGrid>
      <w:tr w14:paraId="13FB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47961A1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4AADD353">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40</w:t>
            </w:r>
          </w:p>
        </w:tc>
        <w:tc>
          <w:tcPr>
            <w:tcW w:w="1691" w:type="dxa"/>
            <w:vAlign w:val="center"/>
          </w:tcPr>
          <w:p w14:paraId="599DD64C">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3138CC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7A464FA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B741D0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5E46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32DE8849">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7B6FB8DA">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巡游出租汽车资质查询</w:t>
            </w:r>
          </w:p>
        </w:tc>
      </w:tr>
      <w:tr w14:paraId="66FE6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789F5AB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1003B500">
            <w:pPr>
              <w:shd w:val="clear" w:color="auto" w:fill="FFFFFF"/>
              <w:spacing w:line="258" w:lineRule="atLeast"/>
              <w:rPr>
                <w:rFonts w:ascii="仿宋" w:eastAsia="仿宋" w:cs="Helvetica"/>
                <w:color w:val="000000" w:themeColor="text1"/>
                <w:kern w:val="0"/>
                <w:sz w:val="18"/>
                <w:szCs w:val="18"/>
              </w:rPr>
            </w:pPr>
            <w:r>
              <w:rPr>
                <w:rFonts w:hint="eastAsia" w:ascii="仿宋" w:eastAsia="仿宋" w:cs="黑体"/>
                <w:color w:val="000000" w:themeColor="text1"/>
                <w:sz w:val="18"/>
                <w:szCs w:val="18"/>
              </w:rPr>
              <w:t>【法律法规】</w:t>
            </w:r>
            <w:r>
              <w:rPr>
                <w:rFonts w:hint="eastAsia" w:ascii="仿宋" w:eastAsia="仿宋"/>
                <w:color w:val="000000" w:themeColor="text1"/>
                <w:sz w:val="18"/>
                <w:szCs w:val="18"/>
              </w:rPr>
              <w:t>《巡游出租汽车经营服务管理规定》（交通运输部</w:t>
            </w:r>
            <w:r>
              <w:rPr>
                <w:rFonts w:ascii="仿宋" w:eastAsia="仿宋"/>
                <w:color w:val="000000" w:themeColor="text1"/>
                <w:sz w:val="18"/>
                <w:szCs w:val="18"/>
              </w:rPr>
              <w:t>2021</w:t>
            </w:r>
            <w:r>
              <w:rPr>
                <w:rFonts w:hint="eastAsia" w:ascii="仿宋" w:eastAsia="仿宋"/>
                <w:color w:val="000000" w:themeColor="text1"/>
                <w:sz w:val="18"/>
                <w:szCs w:val="18"/>
              </w:rPr>
              <w:t>年第</w:t>
            </w:r>
            <w:r>
              <w:rPr>
                <w:rFonts w:ascii="仿宋" w:eastAsia="仿宋"/>
                <w:color w:val="000000" w:themeColor="text1"/>
                <w:sz w:val="18"/>
                <w:szCs w:val="18"/>
              </w:rPr>
              <w:t>16</w:t>
            </w:r>
            <w:r>
              <w:rPr>
                <w:rFonts w:hint="eastAsia" w:ascii="仿宋" w:eastAsia="仿宋"/>
                <w:color w:val="000000" w:themeColor="text1"/>
                <w:sz w:val="18"/>
                <w:szCs w:val="18"/>
              </w:rPr>
              <w:t>号）第八条</w:t>
            </w:r>
            <w:r>
              <w:rPr>
                <w:rFonts w:ascii="仿宋" w:eastAsia="仿宋"/>
                <w:color w:val="000000" w:themeColor="text1"/>
                <w:sz w:val="18"/>
                <w:szCs w:val="18"/>
              </w:rPr>
              <w:t xml:space="preserve"> </w:t>
            </w:r>
            <w:r>
              <w:rPr>
                <w:rFonts w:hint="eastAsia" w:ascii="仿宋" w:eastAsia="仿宋" w:cs="Helvetica"/>
                <w:color w:val="000000" w:themeColor="text1"/>
                <w:kern w:val="0"/>
                <w:sz w:val="18"/>
                <w:szCs w:val="18"/>
              </w:rPr>
              <w:t>申请巡游出租汽车经营的，应当根据经营区域向相应的县级以上地方人民政府出租汽车行政主管部门提出申请，并符合下列条件：（一）有符合机动车管理要求并满足以下条件的车辆或者提供保证满足以下条件的车辆承诺书：</w:t>
            </w:r>
            <w:r>
              <w:rPr>
                <w:rFonts w:ascii="仿宋" w:eastAsia="仿宋" w:cs="Helvetica"/>
                <w:color w:val="000000" w:themeColor="text1"/>
                <w:kern w:val="0"/>
                <w:sz w:val="18"/>
                <w:szCs w:val="18"/>
              </w:rPr>
              <w:t>1.</w:t>
            </w:r>
            <w:r>
              <w:rPr>
                <w:rFonts w:hint="eastAsia" w:ascii="仿宋" w:eastAsia="仿宋" w:cs="Helvetica"/>
                <w:color w:val="000000" w:themeColor="text1"/>
                <w:kern w:val="0"/>
                <w:sz w:val="18"/>
                <w:szCs w:val="18"/>
              </w:rPr>
              <w:t>符合国家、地方规定的巡游出租汽车技术条件；</w:t>
            </w:r>
            <w:r>
              <w:rPr>
                <w:rFonts w:ascii="仿宋" w:eastAsia="仿宋" w:cs="Helvetica"/>
                <w:color w:val="000000" w:themeColor="text1"/>
                <w:kern w:val="0"/>
                <w:sz w:val="18"/>
                <w:szCs w:val="18"/>
              </w:rPr>
              <w:t>2.</w:t>
            </w:r>
            <w:r>
              <w:rPr>
                <w:rFonts w:hint="eastAsia" w:ascii="仿宋" w:eastAsia="仿宋" w:cs="Helvetica"/>
                <w:color w:val="000000" w:themeColor="text1"/>
                <w:kern w:val="0"/>
                <w:sz w:val="18"/>
                <w:szCs w:val="18"/>
              </w:rPr>
              <w:t>有按照第十三条规定取得的巡游出租汽车车辆经营权。（二）有取得符合要求的从业资格证件的驾驶人员；（三）有健全的经营管理制度、安全生产管理制度和服务质量保障制度；（四）有固定的经营场所和停车场地。</w:t>
            </w:r>
          </w:p>
          <w:p w14:paraId="3A3B67D5">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71EB907D">
            <w:pPr>
              <w:spacing w:line="240" w:lineRule="exact"/>
              <w:rPr>
                <w:rFonts w:ascii="仿宋_GB2312" w:eastAsia="仿宋_GB2312" w:cs="黑体"/>
                <w:b/>
                <w:bCs/>
                <w:color w:val="000000" w:themeColor="text1"/>
                <w:szCs w:val="21"/>
              </w:rPr>
            </w:pPr>
          </w:p>
        </w:tc>
      </w:tr>
      <w:tr w14:paraId="20FDB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7BA1C96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2DDDE0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8813C3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1EB1C39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352BFCD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20148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F6AA1CA">
            <w:pPr>
              <w:rPr>
                <w:color w:val="000000" w:themeColor="text1"/>
              </w:rPr>
            </w:pPr>
          </w:p>
        </w:tc>
        <w:tc>
          <w:tcPr>
            <w:tcW w:w="1050" w:type="dxa"/>
            <w:vAlign w:val="center"/>
          </w:tcPr>
          <w:p w14:paraId="1EA4B65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73396E53">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77C3242E">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6DFB93F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2E24FEB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011A8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7EB08DF">
            <w:pPr>
              <w:rPr>
                <w:color w:val="000000" w:themeColor="text1"/>
              </w:rPr>
            </w:pPr>
          </w:p>
        </w:tc>
        <w:tc>
          <w:tcPr>
            <w:tcW w:w="1050" w:type="dxa"/>
            <w:vAlign w:val="center"/>
          </w:tcPr>
          <w:p w14:paraId="1A7B2A6E">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535BAB45">
            <w:pPr>
              <w:jc w:val="center"/>
              <w:rPr>
                <w:rFonts w:ascii="仿宋_GB2312" w:eastAsia="仿宋_GB2312" w:cs="黑体"/>
                <w:color w:val="000000" w:themeColor="text1"/>
                <w:sz w:val="18"/>
                <w:szCs w:val="18"/>
              </w:rPr>
            </w:pPr>
            <w:r>
              <w:rPr>
                <w:rFonts w:hint="eastAsia" w:ascii="仿宋" w:eastAsia="仿宋" w:cs="仿宋_GB2312"/>
                <w:color w:val="000000" w:themeColor="text1"/>
                <w:sz w:val="18"/>
                <w:szCs w:val="18"/>
              </w:rPr>
              <w:t>按提交材料查询，告知查询结果。</w:t>
            </w:r>
          </w:p>
        </w:tc>
        <w:tc>
          <w:tcPr>
            <w:tcW w:w="996" w:type="dxa"/>
            <w:gridSpan w:val="2"/>
            <w:vAlign w:val="center"/>
          </w:tcPr>
          <w:p w14:paraId="28D5FD78">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6E23AC12">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区交通运输综合行政执法大队</w:t>
            </w:r>
          </w:p>
        </w:tc>
      </w:tr>
      <w:tr w14:paraId="37814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90" w:hRule="atLeast"/>
          <w:jc w:val="center"/>
        </w:trPr>
        <w:tc>
          <w:tcPr>
            <w:tcW w:w="1463" w:type="dxa"/>
            <w:shd w:val="clear" w:color="auto" w:fill="auto"/>
            <w:vAlign w:val="center"/>
          </w:tcPr>
          <w:p w14:paraId="22886BF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901" w:type="dxa"/>
            <w:gridSpan w:val="4"/>
            <w:tcBorders>
              <w:right w:val="single" w:color="auto" w:sz="4" w:space="0"/>
            </w:tcBorders>
            <w:shd w:val="clear" w:color="auto" w:fill="auto"/>
            <w:vAlign w:val="center"/>
          </w:tcPr>
          <w:p w14:paraId="3D14D7B3">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36" w:type="dxa"/>
            <w:gridSpan w:val="2"/>
            <w:tcBorders>
              <w:left w:val="single" w:color="auto" w:sz="4" w:space="0"/>
            </w:tcBorders>
            <w:shd w:val="clear" w:color="auto" w:fill="auto"/>
            <w:vAlign w:val="center"/>
          </w:tcPr>
          <w:p w14:paraId="4184CD07">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363E45E6">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41F6D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5" w:hRule="atLeast"/>
          <w:jc w:val="center"/>
        </w:trPr>
        <w:tc>
          <w:tcPr>
            <w:tcW w:w="1463" w:type="dxa"/>
            <w:shd w:val="clear" w:color="auto" w:fill="auto"/>
            <w:vAlign w:val="center"/>
          </w:tcPr>
          <w:p w14:paraId="25AFF0A8">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199CD12C">
            <w:pPr>
              <w:jc w:val="center"/>
              <w:rPr>
                <w:rFonts w:hint="eastAsia" w:ascii="仿宋_GB2312" w:eastAsia="仿宋_GB2312" w:cs="黑体"/>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身份证和机动车驾驶证及复印件</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39956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0188022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250D89EB">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05EE8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5B3112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7D8C1350">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15B6DD2E">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73DD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1ADDC4E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4843CEE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285A6F8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1C0EB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7DB2314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50C5707D">
            <w:pPr>
              <w:widowControl/>
              <w:jc w:val="left"/>
              <w:textAlignment w:val="center"/>
              <w:rPr>
                <w:rFonts w:ascii="黑体" w:eastAsia="黑体" w:cs="黑体"/>
                <w:color w:val="000000" w:themeColor="text1"/>
                <w:kern w:val="0"/>
                <w:sz w:val="18"/>
                <w:szCs w:val="18"/>
              </w:rPr>
            </w:pPr>
          </w:p>
        </w:tc>
      </w:tr>
    </w:tbl>
    <w:p w14:paraId="05A5D29A">
      <w:pPr>
        <w:rPr>
          <w:color w:val="000000" w:themeColor="text1"/>
        </w:rPr>
      </w:pPr>
    </w:p>
    <w:p w14:paraId="3FA774C3">
      <w:pPr>
        <w:rPr>
          <w:color w:val="000000" w:themeColor="text1"/>
        </w:rPr>
      </w:pPr>
    </w:p>
    <w:p w14:paraId="06A531DE">
      <w:pPr>
        <w:rPr>
          <w:color w:val="000000" w:themeColor="text1"/>
        </w:rPr>
      </w:pPr>
    </w:p>
    <w:p w14:paraId="611D6557">
      <w:pPr>
        <w:rPr>
          <w:color w:val="000000" w:themeColor="text1"/>
        </w:rPr>
      </w:pPr>
    </w:p>
    <w:p w14:paraId="7AB96D48">
      <w:pPr>
        <w:rPr>
          <w:color w:val="000000" w:themeColor="text1"/>
        </w:rPr>
      </w:pPr>
    </w:p>
    <w:p w14:paraId="161FFBC3">
      <w:pPr>
        <w:rPr>
          <w:color w:val="000000" w:themeColor="text1"/>
        </w:rPr>
      </w:pPr>
    </w:p>
    <w:p w14:paraId="0152049B">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444"/>
        <w:gridCol w:w="519"/>
        <w:gridCol w:w="992"/>
        <w:gridCol w:w="567"/>
        <w:gridCol w:w="429"/>
        <w:gridCol w:w="1502"/>
      </w:tblGrid>
      <w:tr w14:paraId="00045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622984F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B8FE89A">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41</w:t>
            </w:r>
          </w:p>
        </w:tc>
        <w:tc>
          <w:tcPr>
            <w:tcW w:w="1691" w:type="dxa"/>
            <w:vAlign w:val="center"/>
          </w:tcPr>
          <w:p w14:paraId="69D42694">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0B0F72D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641C613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0DF8C4A">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2B3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232683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1183541C">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巡游出租汽车服务投诉受理</w:t>
            </w:r>
          </w:p>
        </w:tc>
      </w:tr>
      <w:tr w14:paraId="29629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3C99063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71F4740E">
            <w:pPr>
              <w:widowControl/>
              <w:spacing w:line="240" w:lineRule="exact"/>
              <w:textAlignment w:val="center"/>
              <w:rPr>
                <w:rFonts w:ascii="仿宋" w:eastAsia="仿宋" w:cs="仿宋"/>
                <w:color w:val="000000" w:themeColor="text1"/>
                <w:sz w:val="18"/>
                <w:szCs w:val="18"/>
              </w:rPr>
            </w:pPr>
            <w:r>
              <w:rPr>
                <w:rFonts w:hint="eastAsia" w:ascii="仿宋" w:eastAsia="仿宋" w:cs="黑体"/>
                <w:color w:val="000000" w:themeColor="text1"/>
                <w:sz w:val="18"/>
                <w:szCs w:val="18"/>
              </w:rPr>
              <w:t>【法律法规】</w:t>
            </w:r>
            <w:r>
              <w:rPr>
                <w:rFonts w:hint="eastAsia" w:ascii="仿宋" w:eastAsia="仿宋" w:cs="仿宋"/>
                <w:color w:val="000000" w:themeColor="text1"/>
                <w:sz w:val="18"/>
                <w:szCs w:val="18"/>
              </w:rPr>
              <w:t>《出租汽车经营服务管理规定》（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
                <w:color w:val="000000" w:themeColor="text1"/>
                <w:sz w:val="18"/>
                <w:szCs w:val="18"/>
              </w:rPr>
              <w:t>交通运输部令</w:t>
            </w:r>
            <w:r>
              <w:rPr>
                <w:rFonts w:ascii="仿宋" w:eastAsia="仿宋" w:cs="仿宋"/>
                <w:color w:val="000000" w:themeColor="text1"/>
                <w:sz w:val="18"/>
                <w:szCs w:val="18"/>
              </w:rPr>
              <w:t>2021</w:t>
            </w:r>
            <w:r>
              <w:rPr>
                <w:rFonts w:hint="eastAsia" w:ascii="仿宋" w:eastAsia="仿宋" w:cs="仿宋"/>
                <w:color w:val="000000" w:themeColor="text1"/>
                <w:sz w:val="18"/>
                <w:szCs w:val="18"/>
              </w:rPr>
              <w:t>年第</w:t>
            </w:r>
            <w:r>
              <w:rPr>
                <w:rFonts w:ascii="仿宋" w:eastAsia="仿宋" w:cs="仿宋"/>
                <w:color w:val="000000" w:themeColor="text1"/>
                <w:sz w:val="18"/>
                <w:szCs w:val="18"/>
              </w:rPr>
              <w:t>16</w:t>
            </w:r>
            <w:r>
              <w:rPr>
                <w:rFonts w:hint="eastAsia" w:ascii="仿宋" w:eastAsia="仿宋" w:cs="仿宋"/>
                <w:color w:val="000000" w:themeColor="text1"/>
                <w:sz w:val="18"/>
                <w:szCs w:val="18"/>
              </w:rPr>
              <w:t>号）第四十三条</w:t>
            </w:r>
            <w:r>
              <w:rPr>
                <w:rFonts w:hint="eastAsia" w:ascii="仿宋" w:eastAsia="仿宋" w:cs="宋体"/>
                <w:color w:val="000000" w:themeColor="text1"/>
                <w:kern w:val="0"/>
                <w:sz w:val="18"/>
                <w:szCs w:val="18"/>
              </w:rPr>
              <w:t>县级以上地方人民政府出租汽车行政主管部门应当建立投诉举报制度，公开投诉电话、通信地址或者电子邮箱，接受乘客、驾驶员以及经营者的投诉和社会监督。县级以上地方人民政府出租汽车行政主管部门受理的投诉，应当在</w:t>
            </w:r>
            <w:r>
              <w:rPr>
                <w:rFonts w:ascii="仿宋" w:eastAsia="仿宋" w:cs="宋体"/>
                <w:color w:val="000000" w:themeColor="text1"/>
                <w:kern w:val="0"/>
                <w:sz w:val="18"/>
                <w:szCs w:val="18"/>
              </w:rPr>
              <w:t>10</w:t>
            </w:r>
            <w:r>
              <w:rPr>
                <w:rFonts w:hint="eastAsia" w:ascii="仿宋" w:eastAsia="仿宋" w:cs="宋体"/>
                <w:color w:val="000000" w:themeColor="text1"/>
                <w:kern w:val="0"/>
                <w:sz w:val="18"/>
                <w:szCs w:val="18"/>
              </w:rPr>
              <w:t>日内办结；情况复杂的，应当在</w:t>
            </w:r>
            <w:r>
              <w:rPr>
                <w:rFonts w:ascii="仿宋" w:eastAsia="仿宋" w:cs="宋体"/>
                <w:color w:val="000000" w:themeColor="text1"/>
                <w:kern w:val="0"/>
                <w:sz w:val="18"/>
                <w:szCs w:val="18"/>
              </w:rPr>
              <w:t>30</w:t>
            </w:r>
            <w:r>
              <w:rPr>
                <w:rFonts w:hint="eastAsia" w:ascii="仿宋" w:eastAsia="仿宋" w:cs="宋体"/>
                <w:color w:val="000000" w:themeColor="text1"/>
                <w:kern w:val="0"/>
                <w:sz w:val="18"/>
                <w:szCs w:val="18"/>
              </w:rPr>
              <w:t>日内办结。</w:t>
            </w:r>
          </w:p>
          <w:p w14:paraId="16898042">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293162C5">
            <w:pPr>
              <w:spacing w:line="240" w:lineRule="exact"/>
              <w:rPr>
                <w:rFonts w:ascii="仿宋_GB2312" w:eastAsia="仿宋_GB2312" w:cs="黑体"/>
                <w:b/>
                <w:bCs/>
                <w:color w:val="000000" w:themeColor="text1"/>
                <w:szCs w:val="21"/>
              </w:rPr>
            </w:pPr>
          </w:p>
        </w:tc>
      </w:tr>
      <w:tr w14:paraId="255D9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6E988D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05904D9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2BB6E92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9E4147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519EEB4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0F90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742DE98E">
            <w:pPr>
              <w:rPr>
                <w:color w:val="000000" w:themeColor="text1"/>
              </w:rPr>
            </w:pPr>
          </w:p>
        </w:tc>
        <w:tc>
          <w:tcPr>
            <w:tcW w:w="1050" w:type="dxa"/>
            <w:vAlign w:val="center"/>
          </w:tcPr>
          <w:p w14:paraId="77A6D04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38CC4DFC">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r>
              <w:rPr>
                <w:rStyle w:val="25"/>
                <w:rFonts w:ascii="仿宋" w:eastAsia="仿宋" w:cs="仿宋_GB2312"/>
                <w:color w:val="000000" w:themeColor="text1"/>
                <w:sz w:val="18"/>
                <w:szCs w:val="18"/>
              </w:rPr>
              <w:t>.</w:t>
            </w:r>
          </w:p>
        </w:tc>
        <w:tc>
          <w:tcPr>
            <w:tcW w:w="996" w:type="dxa"/>
            <w:gridSpan w:val="2"/>
            <w:vAlign w:val="center"/>
          </w:tcPr>
          <w:p w14:paraId="40FA8664">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5438A1C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1ECC35A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07F5D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3D1EF66C">
            <w:pPr>
              <w:rPr>
                <w:color w:val="000000" w:themeColor="text1"/>
              </w:rPr>
            </w:pPr>
          </w:p>
        </w:tc>
        <w:tc>
          <w:tcPr>
            <w:tcW w:w="1050" w:type="dxa"/>
            <w:vAlign w:val="center"/>
          </w:tcPr>
          <w:p w14:paraId="5E476D3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3CD692C6">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对提交材料审核、调查，提出调查意见。</w:t>
            </w:r>
          </w:p>
        </w:tc>
        <w:tc>
          <w:tcPr>
            <w:tcW w:w="996" w:type="dxa"/>
            <w:gridSpan w:val="2"/>
            <w:vAlign w:val="center"/>
          </w:tcPr>
          <w:p w14:paraId="0024F1F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3A3BD4E4">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rPr>
              <w:t>区</w:t>
            </w:r>
            <w:r>
              <w:rPr>
                <w:rFonts w:hint="eastAsia" w:ascii="仿宋" w:hAnsi="仿宋" w:eastAsia="仿宋" w:cs="仿宋"/>
                <w:color w:val="000000" w:themeColor="text1"/>
                <w:sz w:val="18"/>
                <w:szCs w:val="18"/>
                <w:lang w:eastAsia="zh-CN"/>
              </w:rPr>
              <w:t>交通运输综合行政执法大队</w:t>
            </w:r>
          </w:p>
        </w:tc>
      </w:tr>
      <w:tr w14:paraId="2B8C9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EDC4EB6">
            <w:pPr>
              <w:rPr>
                <w:color w:val="000000" w:themeColor="text1"/>
              </w:rPr>
            </w:pPr>
          </w:p>
        </w:tc>
        <w:tc>
          <w:tcPr>
            <w:tcW w:w="1050" w:type="dxa"/>
            <w:vAlign w:val="center"/>
          </w:tcPr>
          <w:p w14:paraId="1FDC84B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4651CA79">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依法作出决定。</w:t>
            </w:r>
          </w:p>
        </w:tc>
        <w:tc>
          <w:tcPr>
            <w:tcW w:w="996" w:type="dxa"/>
            <w:gridSpan w:val="2"/>
            <w:vAlign w:val="center"/>
          </w:tcPr>
          <w:p w14:paraId="0795C869">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1</w:t>
            </w:r>
            <w:r>
              <w:rPr>
                <w:rFonts w:hint="eastAsia" w:ascii="仿宋_GB2312" w:eastAsia="仿宋_GB2312" w:cs="黑体"/>
                <w:color w:val="000000" w:themeColor="text1"/>
                <w:sz w:val="18"/>
                <w:szCs w:val="18"/>
              </w:rPr>
              <w:t>个工作日</w:t>
            </w:r>
          </w:p>
        </w:tc>
        <w:tc>
          <w:tcPr>
            <w:tcW w:w="1502" w:type="dxa"/>
            <w:vAlign w:val="center"/>
          </w:tcPr>
          <w:p w14:paraId="2CE9C45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02F1FC31">
            <w:pPr>
              <w:jc w:val="center"/>
              <w:rPr>
                <w:rFonts w:ascii="仿宋" w:hAnsi="仿宋" w:eastAsia="仿宋" w:cs="仿宋"/>
                <w:color w:val="000000" w:themeColor="text1"/>
                <w:sz w:val="18"/>
                <w:szCs w:val="18"/>
              </w:rPr>
            </w:pPr>
            <w:r>
              <w:rPr>
                <w:rFonts w:hint="eastAsia" w:ascii="仿宋_GB2312" w:eastAsia="仿宋_GB2312" w:cs="黑体"/>
                <w:color w:val="000000" w:themeColor="text1"/>
                <w:sz w:val="18"/>
                <w:szCs w:val="18"/>
              </w:rPr>
              <w:t>交通窗口</w:t>
            </w:r>
          </w:p>
        </w:tc>
      </w:tr>
      <w:tr w14:paraId="668CA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5" w:hRule="atLeast"/>
          <w:jc w:val="center"/>
        </w:trPr>
        <w:tc>
          <w:tcPr>
            <w:tcW w:w="1463" w:type="dxa"/>
            <w:shd w:val="clear" w:color="auto" w:fill="auto"/>
            <w:vAlign w:val="center"/>
          </w:tcPr>
          <w:p w14:paraId="344567F6">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26" w:type="dxa"/>
            <w:gridSpan w:val="4"/>
            <w:tcBorders>
              <w:right w:val="single" w:color="auto" w:sz="4" w:space="0"/>
            </w:tcBorders>
            <w:shd w:val="clear" w:color="auto" w:fill="auto"/>
            <w:vAlign w:val="center"/>
          </w:tcPr>
          <w:p w14:paraId="4F45BA99">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11" w:type="dxa"/>
            <w:gridSpan w:val="2"/>
            <w:tcBorders>
              <w:left w:val="single" w:color="auto" w:sz="4" w:space="0"/>
            </w:tcBorders>
            <w:shd w:val="clear" w:color="auto" w:fill="auto"/>
            <w:vAlign w:val="center"/>
          </w:tcPr>
          <w:p w14:paraId="4903A1E9">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0F71AEDA">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398D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20" w:hRule="atLeast"/>
          <w:jc w:val="center"/>
        </w:trPr>
        <w:tc>
          <w:tcPr>
            <w:tcW w:w="1463" w:type="dxa"/>
            <w:shd w:val="clear" w:color="auto" w:fill="auto"/>
            <w:vAlign w:val="center"/>
          </w:tcPr>
          <w:p w14:paraId="27D1C323">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6332A815">
            <w:pPr>
              <w:jc w:val="center"/>
              <w:rPr>
                <w:rFonts w:hint="eastAsia" w:ascii="仿宋_GB2312" w:eastAsia="仿宋_GB2312" w:cs="黑体"/>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1、投诉举报材料</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2593C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2083992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0E323502">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4053B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1D90621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763E93C5">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2AEF0C30">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4A2F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545E06E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09274D17">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0D1EA203">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5267E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5340F905">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4DD12986">
            <w:pPr>
              <w:widowControl/>
              <w:jc w:val="left"/>
              <w:textAlignment w:val="center"/>
              <w:rPr>
                <w:rFonts w:ascii="黑体" w:eastAsia="黑体" w:cs="黑体"/>
                <w:color w:val="000000" w:themeColor="text1"/>
                <w:kern w:val="0"/>
                <w:sz w:val="18"/>
                <w:szCs w:val="18"/>
              </w:rPr>
            </w:pPr>
          </w:p>
        </w:tc>
      </w:tr>
    </w:tbl>
    <w:p w14:paraId="2A70D460">
      <w:pPr>
        <w:rPr>
          <w:color w:val="000000" w:themeColor="text1"/>
        </w:rPr>
      </w:pPr>
    </w:p>
    <w:p w14:paraId="65FC10E9">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414"/>
        <w:gridCol w:w="549"/>
        <w:gridCol w:w="992"/>
        <w:gridCol w:w="567"/>
        <w:gridCol w:w="429"/>
        <w:gridCol w:w="1502"/>
      </w:tblGrid>
      <w:tr w14:paraId="6E1B2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8A9921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75EF41E2">
            <w:pPr>
              <w:jc w:val="center"/>
              <w:rPr>
                <w:rFonts w:hint="default" w:ascii="黑体" w:eastAsia="黑体" w:cs="黑体"/>
                <w:b/>
                <w:bCs/>
                <w:color w:val="000000" w:themeColor="text1"/>
                <w:szCs w:val="21"/>
                <w:lang w:val="en-US" w:eastAsia="zh-CN"/>
              </w:rPr>
            </w:pPr>
            <w:r>
              <w:rPr>
                <w:rFonts w:ascii="黑体" w:eastAsia="黑体" w:cs="黑体"/>
                <w:b/>
                <w:bCs/>
                <w:color w:val="000000" w:themeColor="text1"/>
                <w:szCs w:val="21"/>
              </w:rPr>
              <w:t>2</w:t>
            </w:r>
            <w:r>
              <w:rPr>
                <w:rFonts w:hint="eastAsia" w:ascii="黑体" w:eastAsia="黑体" w:cs="黑体"/>
                <w:b/>
                <w:bCs/>
                <w:color w:val="000000" w:themeColor="text1"/>
                <w:szCs w:val="21"/>
                <w:lang w:val="en-US" w:eastAsia="zh-CN"/>
              </w:rPr>
              <w:t>42</w:t>
            </w:r>
          </w:p>
        </w:tc>
        <w:tc>
          <w:tcPr>
            <w:tcW w:w="1691" w:type="dxa"/>
            <w:vAlign w:val="center"/>
          </w:tcPr>
          <w:p w14:paraId="3A8759AB">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464FC3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58ABEC0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79D94E1">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0E892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412D83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0FDAD9CE">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班车、包车客运经营客运标志牌配发</w:t>
            </w:r>
          </w:p>
        </w:tc>
      </w:tr>
      <w:tr w14:paraId="164E2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75011F6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411D2CD5">
            <w:pPr>
              <w:widowControl/>
              <w:spacing w:line="240" w:lineRule="exact"/>
              <w:textAlignment w:val="center"/>
              <w:rPr>
                <w:rFonts w:ascii="仿宋" w:eastAsia="仿宋" w:cs="仿宋"/>
                <w:color w:val="000000" w:themeColor="text1"/>
                <w:sz w:val="18"/>
                <w:szCs w:val="18"/>
              </w:rPr>
            </w:pPr>
            <w:r>
              <w:rPr>
                <w:rFonts w:hint="eastAsia" w:ascii="仿宋" w:eastAsia="仿宋" w:cs="黑体"/>
                <w:color w:val="000000" w:themeColor="text1"/>
                <w:sz w:val="18"/>
                <w:szCs w:val="18"/>
              </w:rPr>
              <w:t>【法律法规】</w:t>
            </w:r>
            <w:r>
              <w:rPr>
                <w:rFonts w:hint="eastAsia" w:ascii="仿宋" w:eastAsia="仿宋" w:cs="仿宋"/>
                <w:color w:val="000000" w:themeColor="text1"/>
                <w:sz w:val="18"/>
                <w:szCs w:val="18"/>
              </w:rPr>
              <w:t>《道路旅客运输及客运站管理规定》（</w:t>
            </w:r>
            <w:r>
              <w:rPr>
                <w:rFonts w:hint="eastAsia" w:ascii="仿宋_GB2312" w:eastAsia="仿宋_GB2312" w:cs="仿宋_GB2312"/>
                <w:color w:val="000000" w:themeColor="text1"/>
                <w:kern w:val="0"/>
                <w:sz w:val="18"/>
                <w:szCs w:val="18"/>
                <w:lang w:eastAsia="zh-CN"/>
              </w:rPr>
              <w:t>中华人民共和国</w:t>
            </w:r>
            <w:r>
              <w:rPr>
                <w:rFonts w:hint="eastAsia" w:ascii="仿宋" w:eastAsia="仿宋" w:cs="仿宋"/>
                <w:color w:val="000000" w:themeColor="text1"/>
                <w:sz w:val="18"/>
                <w:szCs w:val="18"/>
                <w:lang w:eastAsia="zh-CN"/>
              </w:rPr>
              <w:t>交通运输部令</w:t>
            </w:r>
            <w:r>
              <w:rPr>
                <w:rFonts w:ascii="仿宋" w:eastAsia="仿宋" w:cs="仿宋"/>
                <w:color w:val="000000" w:themeColor="text1"/>
                <w:sz w:val="18"/>
                <w:szCs w:val="18"/>
              </w:rPr>
              <w:t>2023</w:t>
            </w:r>
            <w:r>
              <w:rPr>
                <w:rFonts w:hint="eastAsia" w:ascii="仿宋" w:eastAsia="仿宋" w:cs="仿宋"/>
                <w:color w:val="000000" w:themeColor="text1"/>
                <w:sz w:val="18"/>
                <w:szCs w:val="18"/>
              </w:rPr>
              <w:t>年第</w:t>
            </w:r>
            <w:r>
              <w:rPr>
                <w:rFonts w:ascii="仿宋" w:eastAsia="仿宋" w:cs="仿宋"/>
                <w:color w:val="000000" w:themeColor="text1"/>
                <w:sz w:val="18"/>
                <w:szCs w:val="18"/>
              </w:rPr>
              <w:t>18</w:t>
            </w:r>
            <w:r>
              <w:rPr>
                <w:rFonts w:hint="eastAsia" w:ascii="仿宋" w:eastAsia="仿宋" w:cs="仿宋"/>
                <w:color w:val="000000" w:themeColor="text1"/>
                <w:sz w:val="18"/>
                <w:szCs w:val="18"/>
              </w:rPr>
              <w:t>号）第二十四条</w:t>
            </w:r>
            <w:r>
              <w:rPr>
                <w:rFonts w:hint="eastAsia" w:ascii="仿宋" w:eastAsia="仿宋"/>
                <w:color w:val="000000" w:themeColor="text1"/>
                <w:sz w:val="18"/>
                <w:szCs w:val="18"/>
                <w:shd w:val="clear" w:color="auto" w:fill="FFFFFF"/>
              </w:rPr>
              <w:t>班车客运经营者应当持进站协议向原许可机关备案起讫地客运站点、途经路线。营运线路长度在</w:t>
            </w:r>
            <w:r>
              <w:rPr>
                <w:rFonts w:ascii="仿宋" w:eastAsia="仿宋"/>
                <w:color w:val="000000" w:themeColor="text1"/>
                <w:sz w:val="18"/>
                <w:szCs w:val="18"/>
                <w:shd w:val="clear" w:color="auto" w:fill="FFFFFF"/>
              </w:rPr>
              <w:t>800</w:t>
            </w:r>
            <w:r>
              <w:rPr>
                <w:rFonts w:hint="eastAsia" w:ascii="仿宋" w:eastAsia="仿宋"/>
                <w:color w:val="000000" w:themeColor="text1"/>
                <w:sz w:val="18"/>
                <w:szCs w:val="18"/>
                <w:shd w:val="clear" w:color="auto" w:fill="FFFFFF"/>
              </w:rPr>
              <w:t>公里以上的客运班线还应当备案车辆号牌。交通运输主管部门应当按照该客运班线车辆数量同时配发班车客运标志牌和《道路客运班线经营信息表》。</w:t>
            </w:r>
            <w:r>
              <w:rPr>
                <w:rFonts w:hint="eastAsia" w:ascii="仿宋" w:eastAsia="仿宋" w:cs="仿宋"/>
                <w:color w:val="000000" w:themeColor="text1"/>
                <w:sz w:val="18"/>
                <w:szCs w:val="18"/>
              </w:rPr>
              <w:t>《道路旅客运输及客运站管理规定》第五十七条客运包车应当凭车籍所在地交通运输主管部门配发的包车客运标志牌，按照约定的时间、起始地、目的地和线路运行，并持有包车合同，不得招揽包车合同外的旅客乘车。客运包车除执行交通运输主管部门下达的紧急包车任务外，其线路一端应当在车籍所在的设区的市，单个运次不超过</w:t>
            </w:r>
            <w:r>
              <w:rPr>
                <w:rFonts w:ascii="仿宋" w:eastAsia="仿宋" w:cs="仿宋"/>
                <w:color w:val="000000" w:themeColor="text1"/>
                <w:sz w:val="18"/>
                <w:szCs w:val="18"/>
              </w:rPr>
              <w:t>15</w:t>
            </w:r>
            <w:r>
              <w:rPr>
                <w:rFonts w:hint="eastAsia" w:ascii="仿宋" w:eastAsia="仿宋" w:cs="仿宋"/>
                <w:color w:val="000000" w:themeColor="text1"/>
                <w:sz w:val="18"/>
                <w:szCs w:val="18"/>
              </w:rPr>
              <w:t>日。</w:t>
            </w:r>
          </w:p>
          <w:p w14:paraId="0D12CE65">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3EC0BB8B">
            <w:pPr>
              <w:spacing w:line="240" w:lineRule="exact"/>
              <w:rPr>
                <w:rFonts w:ascii="仿宋_GB2312" w:eastAsia="仿宋_GB2312" w:cs="黑体"/>
                <w:b/>
                <w:bCs/>
                <w:color w:val="000000" w:themeColor="text1"/>
                <w:szCs w:val="21"/>
              </w:rPr>
            </w:pPr>
          </w:p>
        </w:tc>
      </w:tr>
      <w:tr w14:paraId="3A208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011CB15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65F0A8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3E1E25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2E43B79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2B09794D">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2426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0" w:hRule="atLeast"/>
          <w:jc w:val="center"/>
        </w:trPr>
        <w:tc>
          <w:tcPr>
            <w:tcW w:w="1463" w:type="dxa"/>
            <w:vMerge w:val="continue"/>
            <w:vAlign w:val="center"/>
          </w:tcPr>
          <w:p w14:paraId="6B0D1CA5">
            <w:pPr>
              <w:rPr>
                <w:color w:val="000000" w:themeColor="text1"/>
              </w:rPr>
            </w:pPr>
          </w:p>
        </w:tc>
        <w:tc>
          <w:tcPr>
            <w:tcW w:w="1050" w:type="dxa"/>
            <w:vAlign w:val="center"/>
          </w:tcPr>
          <w:p w14:paraId="5F09260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643F0031">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41694F8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502" w:type="dxa"/>
            <w:vAlign w:val="center"/>
          </w:tcPr>
          <w:p w14:paraId="0EEE233C">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2B8AFB7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1A48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4D4376F">
            <w:pPr>
              <w:rPr>
                <w:color w:val="000000" w:themeColor="text1"/>
              </w:rPr>
            </w:pPr>
          </w:p>
        </w:tc>
        <w:tc>
          <w:tcPr>
            <w:tcW w:w="1050" w:type="dxa"/>
            <w:vAlign w:val="center"/>
          </w:tcPr>
          <w:p w14:paraId="0A42F99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76BC398E">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对提交材料审核、调查，提出调查意见。</w:t>
            </w:r>
          </w:p>
        </w:tc>
        <w:tc>
          <w:tcPr>
            <w:tcW w:w="996" w:type="dxa"/>
            <w:gridSpan w:val="2"/>
            <w:vAlign w:val="center"/>
          </w:tcPr>
          <w:p w14:paraId="57709C9D">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4B1510E0">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rPr>
              <w:t>区交通运输</w:t>
            </w:r>
            <w:r>
              <w:rPr>
                <w:rFonts w:hint="eastAsia" w:ascii="仿宋" w:hAnsi="仿宋" w:eastAsia="仿宋" w:cs="仿宋"/>
                <w:color w:val="000000" w:themeColor="text1"/>
                <w:sz w:val="18"/>
                <w:szCs w:val="18"/>
                <w:lang w:eastAsia="zh-CN"/>
              </w:rPr>
              <w:t>局运输管理股</w:t>
            </w:r>
          </w:p>
        </w:tc>
      </w:tr>
      <w:tr w14:paraId="0035D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7C87CE18">
            <w:pPr>
              <w:rPr>
                <w:color w:val="000000" w:themeColor="text1"/>
              </w:rPr>
            </w:pPr>
          </w:p>
        </w:tc>
        <w:tc>
          <w:tcPr>
            <w:tcW w:w="1050" w:type="dxa"/>
            <w:vAlign w:val="center"/>
          </w:tcPr>
          <w:p w14:paraId="698F8553">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675E1451">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依法作出决定。</w:t>
            </w:r>
          </w:p>
        </w:tc>
        <w:tc>
          <w:tcPr>
            <w:tcW w:w="996" w:type="dxa"/>
            <w:gridSpan w:val="2"/>
            <w:vAlign w:val="center"/>
          </w:tcPr>
          <w:p w14:paraId="511C8D78">
            <w:pPr>
              <w:jc w:val="center"/>
              <w:rPr>
                <w:rFonts w:hint="eastAsia" w:ascii="仿宋_GB2312" w:eastAsia="仿宋_GB2312" w:cs="黑体"/>
                <w:color w:val="000000" w:themeColor="text1"/>
                <w:sz w:val="18"/>
                <w:szCs w:val="18"/>
                <w:lang w:eastAsia="zh-CN"/>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r>
              <w:rPr>
                <w:rFonts w:hint="eastAsia" w:ascii="仿宋_GB2312" w:eastAsia="仿宋_GB2312" w:cs="黑体"/>
                <w:color w:val="000000" w:themeColor="text1"/>
                <w:sz w:val="18"/>
                <w:szCs w:val="18"/>
                <w:lang w:eastAsia="zh-CN"/>
              </w:rPr>
              <w:t>（不纳入计时）</w:t>
            </w:r>
          </w:p>
        </w:tc>
        <w:tc>
          <w:tcPr>
            <w:tcW w:w="1502" w:type="dxa"/>
            <w:vAlign w:val="center"/>
          </w:tcPr>
          <w:p w14:paraId="633C4DA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42535FD9">
            <w:pPr>
              <w:jc w:val="center"/>
              <w:rPr>
                <w:rFonts w:ascii="仿宋" w:hAnsi="仿宋" w:eastAsia="仿宋" w:cs="仿宋"/>
                <w:color w:val="000000" w:themeColor="text1"/>
                <w:sz w:val="18"/>
                <w:szCs w:val="18"/>
              </w:rPr>
            </w:pPr>
            <w:r>
              <w:rPr>
                <w:rFonts w:hint="eastAsia" w:ascii="仿宋_GB2312" w:eastAsia="仿宋_GB2312" w:cs="黑体"/>
                <w:color w:val="000000" w:themeColor="text1"/>
                <w:sz w:val="18"/>
                <w:szCs w:val="18"/>
              </w:rPr>
              <w:t>交通窗口</w:t>
            </w:r>
          </w:p>
        </w:tc>
      </w:tr>
      <w:tr w14:paraId="76C28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85" w:hRule="atLeast"/>
          <w:jc w:val="center"/>
        </w:trPr>
        <w:tc>
          <w:tcPr>
            <w:tcW w:w="1463" w:type="dxa"/>
            <w:shd w:val="clear" w:color="auto" w:fill="auto"/>
            <w:vAlign w:val="center"/>
          </w:tcPr>
          <w:p w14:paraId="7BB157F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96" w:type="dxa"/>
            <w:gridSpan w:val="4"/>
            <w:tcBorders>
              <w:right w:val="single" w:color="auto" w:sz="4" w:space="0"/>
            </w:tcBorders>
            <w:shd w:val="clear" w:color="auto" w:fill="auto"/>
            <w:vAlign w:val="center"/>
          </w:tcPr>
          <w:p w14:paraId="6A67E4B5">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41" w:type="dxa"/>
            <w:gridSpan w:val="2"/>
            <w:tcBorders>
              <w:left w:val="single" w:color="auto" w:sz="4" w:space="0"/>
            </w:tcBorders>
            <w:shd w:val="clear" w:color="auto" w:fill="auto"/>
            <w:vAlign w:val="center"/>
          </w:tcPr>
          <w:p w14:paraId="3544222F">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2ADBFF28">
            <w:pPr>
              <w:rPr>
                <w:rFonts w:hint="eastAsia" w:ascii="仿宋" w:hAnsi="仿宋" w:eastAsia="仿宋" w:cs="仿宋"/>
                <w:color w:val="000000" w:themeColor="text1"/>
                <w:sz w:val="18"/>
                <w:szCs w:val="18"/>
              </w:rPr>
            </w:pPr>
            <w:r>
              <w:rPr>
                <w:rFonts w:hint="eastAsia" w:ascii="仿宋_GB2312" w:eastAsia="仿宋_GB2312" w:cs="黑体"/>
                <w:color w:val="000000" w:themeColor="text1"/>
                <w:sz w:val="18"/>
                <w:szCs w:val="18"/>
                <w:lang w:eastAsia="zh-CN"/>
              </w:rPr>
              <w:t>否</w:t>
            </w:r>
          </w:p>
        </w:tc>
      </w:tr>
      <w:tr w14:paraId="138AA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0" w:hRule="atLeast"/>
          <w:jc w:val="center"/>
        </w:trPr>
        <w:tc>
          <w:tcPr>
            <w:tcW w:w="1463" w:type="dxa"/>
            <w:shd w:val="clear" w:color="auto" w:fill="auto"/>
            <w:vAlign w:val="center"/>
          </w:tcPr>
          <w:p w14:paraId="6B628FE0">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60C22BEE">
            <w:pPr>
              <w:rPr>
                <w:rFonts w:hint="default" w:ascii="仿宋" w:hAnsi="仿宋" w:eastAsia="仿宋" w:cs="仿宋"/>
                <w:color w:val="000000" w:themeColor="text1"/>
                <w:sz w:val="18"/>
                <w:szCs w:val="18"/>
                <w:lang w:val="en-US"/>
              </w:rPr>
            </w:pPr>
            <w:r>
              <w:rPr>
                <w:rFonts w:hint="eastAsia" w:ascii="仿宋" w:hAnsi="仿宋" w:eastAsia="仿宋" w:cs="仿宋"/>
                <w:b w:val="0"/>
                <w:bCs w:val="0"/>
                <w:color w:val="000000" w:themeColor="text1"/>
                <w:sz w:val="18"/>
                <w:szCs w:val="18"/>
                <w:shd w:val="clear" w:color="auto" w:fill="auto"/>
                <w:lang w:val="en-US" w:eastAsia="zh-CN"/>
              </w:rPr>
              <w:t>1、《道路运输证》；2、驾驶证和身份证。</w:t>
            </w:r>
          </w:p>
        </w:tc>
      </w:tr>
      <w:tr w14:paraId="120D1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560" w:hRule="atLeast"/>
          <w:jc w:val="center"/>
        </w:trPr>
        <w:tc>
          <w:tcPr>
            <w:tcW w:w="1463" w:type="dxa"/>
            <w:vAlign w:val="center"/>
          </w:tcPr>
          <w:p w14:paraId="24452B9F">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63522304">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155B4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516CC69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43E52C0F">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693E5113">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67578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1FBBE85F">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4DD16C9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31FE7434">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57615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49B5F4D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649DA6B6">
            <w:pPr>
              <w:widowControl/>
              <w:jc w:val="left"/>
              <w:textAlignment w:val="center"/>
              <w:rPr>
                <w:rFonts w:ascii="黑体" w:eastAsia="黑体" w:cs="黑体"/>
                <w:color w:val="000000" w:themeColor="text1"/>
                <w:kern w:val="0"/>
                <w:sz w:val="18"/>
                <w:szCs w:val="18"/>
              </w:rPr>
            </w:pPr>
          </w:p>
        </w:tc>
      </w:tr>
    </w:tbl>
    <w:p w14:paraId="3A5BFC3D">
      <w:pPr>
        <w:rPr>
          <w:color w:val="000000" w:themeColor="text1"/>
        </w:rPr>
      </w:pPr>
    </w:p>
    <w:p w14:paraId="5DF3FA63">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39"/>
        <w:gridCol w:w="624"/>
        <w:gridCol w:w="992"/>
        <w:gridCol w:w="567"/>
        <w:gridCol w:w="429"/>
        <w:gridCol w:w="1502"/>
      </w:tblGrid>
      <w:tr w14:paraId="65000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2D366D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4A25759">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24</w:t>
            </w:r>
            <w:r>
              <w:rPr>
                <w:rFonts w:hint="eastAsia" w:ascii="黑体" w:eastAsia="黑体" w:cs="黑体"/>
                <w:b/>
                <w:bCs/>
                <w:color w:val="000000" w:themeColor="text1"/>
                <w:szCs w:val="21"/>
                <w:lang w:val="en-US" w:eastAsia="zh-CN"/>
              </w:rPr>
              <w:t>3</w:t>
            </w:r>
          </w:p>
        </w:tc>
        <w:tc>
          <w:tcPr>
            <w:tcW w:w="1691" w:type="dxa"/>
            <w:vAlign w:val="center"/>
          </w:tcPr>
          <w:p w14:paraId="7593AE5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7F2CCB7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210F9EC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034D328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20BBB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6D71CB5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17E5D99C">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道路运输从业人员从业资格证查询</w:t>
            </w:r>
          </w:p>
        </w:tc>
      </w:tr>
      <w:tr w14:paraId="72A7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468" w:hRule="atLeast"/>
          <w:jc w:val="center"/>
        </w:trPr>
        <w:tc>
          <w:tcPr>
            <w:tcW w:w="1463" w:type="dxa"/>
            <w:vAlign w:val="center"/>
          </w:tcPr>
          <w:p w14:paraId="14BBEA8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776D41B3">
            <w:pPr>
              <w:widowControl/>
              <w:spacing w:line="240" w:lineRule="exact"/>
              <w:textAlignment w:val="center"/>
              <w:rPr>
                <w:rFonts w:ascii="仿宋" w:eastAsia="仿宋" w:cs="仿宋"/>
                <w:color w:val="000000" w:themeColor="text1"/>
                <w:sz w:val="18"/>
                <w:szCs w:val="18"/>
              </w:rPr>
            </w:pPr>
            <w:r>
              <w:rPr>
                <w:rFonts w:hint="eastAsia" w:ascii="仿宋" w:eastAsia="仿宋" w:cs="黑体"/>
                <w:color w:val="000000" w:themeColor="text1"/>
                <w:sz w:val="18"/>
                <w:szCs w:val="18"/>
              </w:rPr>
              <w:t>【法律法规】</w:t>
            </w:r>
            <w:r>
              <w:rPr>
                <w:rFonts w:hint="eastAsia" w:ascii="仿宋" w:eastAsia="仿宋" w:cs="仿宋"/>
                <w:color w:val="000000" w:themeColor="text1"/>
                <w:sz w:val="18"/>
                <w:szCs w:val="18"/>
              </w:rPr>
              <w:t>《道路运输从业人员管理规定》（中华人民共和国</w:t>
            </w:r>
            <w:r>
              <w:rPr>
                <w:rFonts w:hint="eastAsia" w:ascii="仿宋" w:eastAsia="仿宋" w:cs="仿宋"/>
                <w:color w:val="000000" w:themeColor="text1"/>
                <w:sz w:val="18"/>
                <w:szCs w:val="18"/>
                <w:lang w:eastAsia="zh-CN"/>
              </w:rPr>
              <w:t>交通运输部令</w:t>
            </w:r>
            <w:r>
              <w:rPr>
                <w:rFonts w:ascii="仿宋" w:eastAsia="仿宋" w:cs="仿宋"/>
                <w:color w:val="000000" w:themeColor="text1"/>
                <w:sz w:val="18"/>
                <w:szCs w:val="18"/>
              </w:rPr>
              <w:t>2016</w:t>
            </w:r>
            <w:r>
              <w:rPr>
                <w:rFonts w:hint="eastAsia" w:ascii="仿宋" w:eastAsia="仿宋" w:cs="仿宋"/>
                <w:color w:val="000000" w:themeColor="text1"/>
                <w:sz w:val="18"/>
                <w:szCs w:val="18"/>
              </w:rPr>
              <w:t>第</w:t>
            </w:r>
            <w:r>
              <w:rPr>
                <w:rFonts w:ascii="仿宋" w:eastAsia="仿宋" w:cs="仿宋"/>
                <w:color w:val="000000" w:themeColor="text1"/>
                <w:sz w:val="18"/>
                <w:szCs w:val="18"/>
              </w:rPr>
              <w:t>52</w:t>
            </w:r>
            <w:r>
              <w:rPr>
                <w:rFonts w:hint="eastAsia" w:ascii="仿宋" w:eastAsia="仿宋" w:cs="仿宋"/>
                <w:color w:val="000000" w:themeColor="text1"/>
                <w:sz w:val="18"/>
                <w:szCs w:val="18"/>
              </w:rPr>
              <w:t>号）第二十三条</w:t>
            </w:r>
            <w:r>
              <w:rPr>
                <w:rFonts w:hint="eastAsia" w:ascii="仿宋" w:eastAsia="仿宋" w:cs="Helvetica"/>
                <w:color w:val="000000" w:themeColor="text1"/>
                <w:sz w:val="18"/>
                <w:szCs w:val="18"/>
                <w:shd w:val="clear" w:color="auto" w:fill="FFFFFF"/>
              </w:rPr>
              <w:t>交通运输主管部门和道路运输管理机构应当向社会提供道路运输从业人员相关从业信息的查询服务。</w:t>
            </w:r>
          </w:p>
          <w:p w14:paraId="3FEE0484">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tc>
      </w:tr>
      <w:tr w14:paraId="7BFC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28C52C0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1C4E4B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AB1F7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0B3B210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74149362">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6A92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0F642E6E">
            <w:pPr>
              <w:rPr>
                <w:color w:val="000000" w:themeColor="text1"/>
              </w:rPr>
            </w:pPr>
          </w:p>
        </w:tc>
        <w:tc>
          <w:tcPr>
            <w:tcW w:w="1050" w:type="dxa"/>
            <w:vAlign w:val="center"/>
          </w:tcPr>
          <w:p w14:paraId="6F1C0AE8">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54B30D2A">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0530A646">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5FC23EA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59739DC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0538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6C4E6109">
            <w:pPr>
              <w:rPr>
                <w:color w:val="000000" w:themeColor="text1"/>
              </w:rPr>
            </w:pPr>
          </w:p>
        </w:tc>
        <w:tc>
          <w:tcPr>
            <w:tcW w:w="1050" w:type="dxa"/>
            <w:vAlign w:val="center"/>
          </w:tcPr>
          <w:p w14:paraId="338410A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查询</w:t>
            </w:r>
          </w:p>
        </w:tc>
        <w:tc>
          <w:tcPr>
            <w:tcW w:w="5287" w:type="dxa"/>
            <w:gridSpan w:val="5"/>
            <w:vAlign w:val="center"/>
          </w:tcPr>
          <w:p w14:paraId="576EB508">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sz w:val="18"/>
                <w:szCs w:val="18"/>
              </w:rPr>
              <w:t>按提交材料查询，告知查询结果。</w:t>
            </w:r>
          </w:p>
        </w:tc>
        <w:tc>
          <w:tcPr>
            <w:tcW w:w="996" w:type="dxa"/>
            <w:gridSpan w:val="2"/>
            <w:vAlign w:val="center"/>
          </w:tcPr>
          <w:p w14:paraId="65058DA3">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0.5</w:t>
            </w:r>
            <w:r>
              <w:rPr>
                <w:rFonts w:hint="eastAsia" w:ascii="仿宋_GB2312" w:eastAsia="仿宋_GB2312" w:cs="黑体"/>
                <w:color w:val="000000" w:themeColor="text1"/>
                <w:sz w:val="18"/>
                <w:szCs w:val="18"/>
              </w:rPr>
              <w:t>个工作日</w:t>
            </w:r>
          </w:p>
        </w:tc>
        <w:tc>
          <w:tcPr>
            <w:tcW w:w="1502" w:type="dxa"/>
            <w:vAlign w:val="center"/>
          </w:tcPr>
          <w:p w14:paraId="55BD555A">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区交通运输综合行政执法大队</w:t>
            </w:r>
          </w:p>
        </w:tc>
      </w:tr>
      <w:tr w14:paraId="4C53B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1463" w:type="dxa"/>
            <w:shd w:val="clear" w:color="auto" w:fill="auto"/>
            <w:vAlign w:val="center"/>
          </w:tcPr>
          <w:p w14:paraId="06919823">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21" w:type="dxa"/>
            <w:gridSpan w:val="4"/>
            <w:tcBorders>
              <w:right w:val="single" w:color="auto" w:sz="4" w:space="0"/>
            </w:tcBorders>
            <w:shd w:val="clear" w:color="auto" w:fill="auto"/>
            <w:vAlign w:val="center"/>
          </w:tcPr>
          <w:p w14:paraId="1E32B4A6">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616" w:type="dxa"/>
            <w:gridSpan w:val="2"/>
            <w:tcBorders>
              <w:left w:val="single" w:color="auto" w:sz="4" w:space="0"/>
            </w:tcBorders>
            <w:shd w:val="clear" w:color="auto" w:fill="auto"/>
            <w:vAlign w:val="center"/>
          </w:tcPr>
          <w:p w14:paraId="6A815BC6">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631ED016">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73260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75" w:hRule="atLeast"/>
          <w:jc w:val="center"/>
        </w:trPr>
        <w:tc>
          <w:tcPr>
            <w:tcW w:w="1463" w:type="dxa"/>
            <w:shd w:val="clear" w:color="auto" w:fill="auto"/>
            <w:vAlign w:val="center"/>
          </w:tcPr>
          <w:p w14:paraId="4F72D64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4A83EA99">
            <w:pPr>
              <w:jc w:val="center"/>
              <w:rPr>
                <w:rFonts w:hint="eastAsia" w:ascii="仿宋_GB2312" w:eastAsia="仿宋_GB2312" w:cs="黑体"/>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身份证或机动车驾驶证及复印件</w:t>
            </w:r>
            <w:r>
              <w:rPr>
                <w:rFonts w:hint="eastAsia" w:ascii="仿宋" w:hAnsi="仿宋" w:eastAsia="仿宋" w:cs="仿宋"/>
                <w:b w:val="0"/>
                <w:bCs w:val="0"/>
                <w:color w:val="000000" w:themeColor="text1"/>
                <w:sz w:val="18"/>
                <w:szCs w:val="18"/>
                <w:shd w:val="clear" w:color="auto" w:fill="auto"/>
                <w:lang w:val="en-US" w:eastAsia="zh-CN"/>
              </w:rPr>
              <w:t>。</w:t>
            </w:r>
          </w:p>
        </w:tc>
      </w:tr>
      <w:tr w14:paraId="6996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6318DE1E">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1A481F18">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6A18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1D52044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1EF91593">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4F7BF0B">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558B5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17220E7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0A77E15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625A066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22D31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6D95360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66A7D79F">
            <w:pPr>
              <w:widowControl/>
              <w:jc w:val="left"/>
              <w:textAlignment w:val="center"/>
              <w:rPr>
                <w:rFonts w:ascii="黑体" w:eastAsia="黑体" w:cs="黑体"/>
                <w:color w:val="000000" w:themeColor="text1"/>
                <w:kern w:val="0"/>
                <w:sz w:val="18"/>
                <w:szCs w:val="18"/>
              </w:rPr>
            </w:pPr>
          </w:p>
        </w:tc>
      </w:tr>
    </w:tbl>
    <w:p w14:paraId="6F34FD1C">
      <w:pPr>
        <w:rPr>
          <w:color w:val="000000" w:themeColor="text1"/>
        </w:rPr>
      </w:pPr>
    </w:p>
    <w:p w14:paraId="12C1B75D">
      <w:pPr>
        <w:rPr>
          <w:color w:val="000000" w:themeColor="text1"/>
        </w:rPr>
      </w:pPr>
    </w:p>
    <w:p w14:paraId="321304D9">
      <w:pPr>
        <w:rPr>
          <w:color w:val="000000" w:themeColor="text1"/>
        </w:rPr>
      </w:pPr>
    </w:p>
    <w:p w14:paraId="2490D8CB">
      <w:pPr>
        <w:rPr>
          <w:color w:val="000000" w:themeColor="text1"/>
        </w:rPr>
      </w:pPr>
    </w:p>
    <w:p w14:paraId="56B27954">
      <w:pPr>
        <w:rPr>
          <w:color w:val="000000" w:themeColor="text1"/>
        </w:rPr>
      </w:pPr>
    </w:p>
    <w:p w14:paraId="1A315958">
      <w:pPr>
        <w:rPr>
          <w:color w:val="000000" w:themeColor="text1"/>
        </w:rPr>
      </w:pPr>
    </w:p>
    <w:p w14:paraId="6BB6C5E4">
      <w:pPr>
        <w:rPr>
          <w:color w:val="000000" w:themeColor="text1"/>
        </w:rPr>
      </w:pPr>
    </w:p>
    <w:p w14:paraId="597208D1">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429"/>
        <w:gridCol w:w="534"/>
        <w:gridCol w:w="992"/>
        <w:gridCol w:w="567"/>
        <w:gridCol w:w="429"/>
        <w:gridCol w:w="1502"/>
      </w:tblGrid>
      <w:tr w14:paraId="1C96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513C33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02291C78">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24</w:t>
            </w:r>
            <w:r>
              <w:rPr>
                <w:rFonts w:hint="eastAsia" w:ascii="黑体" w:eastAsia="黑体" w:cs="黑体"/>
                <w:b/>
                <w:bCs/>
                <w:color w:val="000000" w:themeColor="text1"/>
                <w:szCs w:val="21"/>
                <w:lang w:val="en-US" w:eastAsia="zh-CN"/>
              </w:rPr>
              <w:t>4</w:t>
            </w:r>
          </w:p>
        </w:tc>
        <w:tc>
          <w:tcPr>
            <w:tcW w:w="1691" w:type="dxa"/>
            <w:vAlign w:val="center"/>
          </w:tcPr>
          <w:p w14:paraId="41D17723">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35695B2">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300F771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19BBCB9D">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96AD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53279AE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2B84948F">
            <w:pPr>
              <w:spacing w:line="240" w:lineRule="exact"/>
              <w:jc w:val="center"/>
              <w:rPr>
                <w:rFonts w:ascii="仿宋_GB2312" w:eastAsia="仿宋_GB2312" w:cs="黑体"/>
                <w:color w:val="000000" w:themeColor="text1"/>
                <w:sz w:val="18"/>
                <w:szCs w:val="18"/>
              </w:rPr>
            </w:pPr>
            <w:r>
              <w:rPr>
                <w:rFonts w:hint="eastAsia" w:ascii="仿宋" w:eastAsia="仿宋" w:cs="仿宋"/>
                <w:color w:val="000000" w:themeColor="text1"/>
                <w:sz w:val="18"/>
                <w:szCs w:val="18"/>
              </w:rPr>
              <w:t>规范出租车车型、车容车貌、专用设施设备</w:t>
            </w:r>
          </w:p>
        </w:tc>
      </w:tr>
      <w:tr w14:paraId="701C7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663" w:hRule="atLeast"/>
          <w:jc w:val="center"/>
        </w:trPr>
        <w:tc>
          <w:tcPr>
            <w:tcW w:w="1463" w:type="dxa"/>
            <w:vAlign w:val="center"/>
          </w:tcPr>
          <w:p w14:paraId="0FE5760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1D8267F7">
            <w:pPr>
              <w:pStyle w:val="8"/>
              <w:shd w:val="clear" w:color="auto" w:fill="FBFBFB"/>
              <w:snapToGrid w:val="0"/>
              <w:spacing w:line="240" w:lineRule="atLeast"/>
              <w:jc w:val="both"/>
              <w:rPr>
                <w:rFonts w:ascii="仿宋" w:eastAsia="仿宋"/>
                <w:color w:val="000000" w:themeColor="text1"/>
                <w:sz w:val="18"/>
                <w:szCs w:val="18"/>
              </w:rPr>
            </w:pPr>
            <w:r>
              <w:rPr>
                <w:rFonts w:hint="eastAsia" w:ascii="仿宋" w:eastAsia="仿宋" w:cs="黑体"/>
                <w:color w:val="000000" w:themeColor="text1"/>
                <w:sz w:val="18"/>
                <w:szCs w:val="18"/>
              </w:rPr>
              <w:t>【法律法规】</w:t>
            </w:r>
            <w:r>
              <w:rPr>
                <w:rFonts w:hint="eastAsia" w:ascii="仿宋" w:eastAsia="仿宋"/>
                <w:color w:val="000000" w:themeColor="text1"/>
                <w:sz w:val="18"/>
                <w:szCs w:val="18"/>
              </w:rPr>
              <w:t>《河北省道路运输条例》（</w:t>
            </w:r>
            <w:r>
              <w:rPr>
                <w:rFonts w:ascii="仿宋" w:eastAsia="仿宋"/>
                <w:color w:val="000000" w:themeColor="text1"/>
                <w:sz w:val="18"/>
                <w:szCs w:val="18"/>
              </w:rPr>
              <w:t>2017</w:t>
            </w:r>
            <w:r>
              <w:rPr>
                <w:rFonts w:hint="eastAsia" w:ascii="仿宋" w:eastAsia="仿宋"/>
                <w:color w:val="000000" w:themeColor="text1"/>
                <w:sz w:val="18"/>
                <w:szCs w:val="18"/>
              </w:rPr>
              <w:t>年</w:t>
            </w:r>
            <w:r>
              <w:rPr>
                <w:rFonts w:ascii="仿宋" w:eastAsia="仿宋"/>
                <w:color w:val="000000" w:themeColor="text1"/>
                <w:sz w:val="18"/>
                <w:szCs w:val="18"/>
              </w:rPr>
              <w:t>7</w:t>
            </w:r>
            <w:r>
              <w:rPr>
                <w:rFonts w:hint="eastAsia" w:ascii="仿宋" w:eastAsia="仿宋"/>
                <w:color w:val="000000" w:themeColor="text1"/>
                <w:sz w:val="18"/>
                <w:szCs w:val="18"/>
              </w:rPr>
              <w:t>月</w:t>
            </w:r>
            <w:r>
              <w:rPr>
                <w:rFonts w:ascii="仿宋" w:eastAsia="仿宋"/>
                <w:color w:val="000000" w:themeColor="text1"/>
                <w:sz w:val="18"/>
                <w:szCs w:val="18"/>
              </w:rPr>
              <w:t>28</w:t>
            </w:r>
            <w:r>
              <w:rPr>
                <w:rFonts w:hint="eastAsia" w:ascii="仿宋" w:eastAsia="仿宋"/>
                <w:color w:val="000000" w:themeColor="text1"/>
                <w:sz w:val="18"/>
                <w:szCs w:val="18"/>
              </w:rPr>
              <w:t>日河北省第十二届人民代表大会常务委员会第三十一次会议通过）</w:t>
            </w:r>
            <w:r>
              <w:rPr>
                <w:rFonts w:hint="eastAsia" w:ascii="仿宋" w:eastAsia="仿宋" w:cs="仿宋"/>
                <w:color w:val="000000" w:themeColor="text1"/>
                <w:sz w:val="18"/>
                <w:szCs w:val="18"/>
              </w:rPr>
              <w:t>第三十二条</w:t>
            </w:r>
            <w:r>
              <w:rPr>
                <w:rFonts w:hint="eastAsia" w:ascii="仿宋" w:eastAsia="仿宋"/>
                <w:color w:val="000000" w:themeColor="text1"/>
                <w:sz w:val="18"/>
                <w:szCs w:val="18"/>
                <w:shd w:val="clear" w:color="auto" w:fill="FBFBFB"/>
              </w:rPr>
              <w:t>出租汽车服务规范、车型、车容车貌、专用设施以及年度审验制度由所在地设区的市、县级人民政府交通运输主管部门制定。</w:t>
            </w:r>
          </w:p>
          <w:p w14:paraId="4208D79B">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号第三条第五款承担全区道路运输市场监管责任。执行道路运输有关政策、技术标准和运营规范并监督实施。负责城乡客运及有关设施规划和管理，推动城乡客运一体化建设。</w:t>
            </w:r>
          </w:p>
          <w:p w14:paraId="7EEE9194">
            <w:pPr>
              <w:spacing w:line="240" w:lineRule="exact"/>
              <w:rPr>
                <w:rFonts w:ascii="仿宋_GB2312" w:eastAsia="仿宋_GB2312" w:cs="黑体"/>
                <w:b/>
                <w:bCs/>
                <w:color w:val="000000" w:themeColor="text1"/>
                <w:szCs w:val="21"/>
              </w:rPr>
            </w:pPr>
          </w:p>
        </w:tc>
      </w:tr>
      <w:tr w14:paraId="6AA26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7588797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4A73259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687B54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60BB2BD1">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109AD82A">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334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060A4212">
            <w:pPr>
              <w:rPr>
                <w:color w:val="000000" w:themeColor="text1"/>
              </w:rPr>
            </w:pPr>
          </w:p>
        </w:tc>
        <w:tc>
          <w:tcPr>
            <w:tcW w:w="1050" w:type="dxa"/>
            <w:vAlign w:val="center"/>
          </w:tcPr>
          <w:p w14:paraId="49F5E471">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1247C976">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p>
        </w:tc>
        <w:tc>
          <w:tcPr>
            <w:tcW w:w="996" w:type="dxa"/>
            <w:gridSpan w:val="2"/>
            <w:vAlign w:val="center"/>
          </w:tcPr>
          <w:p w14:paraId="11E4364F">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0</w:t>
            </w: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502" w:type="dxa"/>
            <w:vAlign w:val="center"/>
          </w:tcPr>
          <w:p w14:paraId="058D55A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3AC4B7D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交通窗口</w:t>
            </w:r>
          </w:p>
        </w:tc>
      </w:tr>
      <w:tr w14:paraId="75FB0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E1A3CB2">
            <w:pPr>
              <w:rPr>
                <w:rFonts w:ascii="仿宋" w:hAnsi="仿宋" w:eastAsia="仿宋" w:cs="仿宋"/>
                <w:color w:val="000000" w:themeColor="text1"/>
                <w:sz w:val="18"/>
                <w:szCs w:val="18"/>
              </w:rPr>
            </w:pPr>
          </w:p>
        </w:tc>
        <w:tc>
          <w:tcPr>
            <w:tcW w:w="1050" w:type="dxa"/>
            <w:vAlign w:val="center"/>
          </w:tcPr>
          <w:p w14:paraId="73F6E670">
            <w:pPr>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审核</w:t>
            </w:r>
          </w:p>
        </w:tc>
        <w:tc>
          <w:tcPr>
            <w:tcW w:w="5287" w:type="dxa"/>
            <w:gridSpan w:val="5"/>
            <w:vAlign w:val="center"/>
          </w:tcPr>
          <w:p w14:paraId="6CF7EFA6">
            <w:pPr>
              <w:numPr>
                <w:ilvl w:val="0"/>
                <w:numId w:val="0"/>
              </w:numPr>
              <w:adjustRightInd w:val="0"/>
              <w:snapToGrid w:val="0"/>
              <w:spacing w:line="240" w:lineRule="exact"/>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rPr>
              <w:t>对提交材料进行审核</w:t>
            </w:r>
            <w:r>
              <w:rPr>
                <w:rFonts w:hint="eastAsia" w:ascii="仿宋" w:hAnsi="仿宋" w:eastAsia="仿宋" w:cs="仿宋"/>
                <w:color w:val="000000" w:themeColor="text1"/>
                <w:sz w:val="18"/>
                <w:szCs w:val="18"/>
                <w:lang w:eastAsia="zh-CN"/>
              </w:rPr>
              <w:t>。</w:t>
            </w:r>
          </w:p>
        </w:tc>
        <w:tc>
          <w:tcPr>
            <w:tcW w:w="996" w:type="dxa"/>
            <w:gridSpan w:val="2"/>
            <w:vAlign w:val="center"/>
          </w:tcPr>
          <w:p w14:paraId="13CD73FB">
            <w:pPr>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lang w:val="en-US" w:eastAsia="zh-CN"/>
              </w:rPr>
              <w:t>1</w:t>
            </w:r>
            <w:r>
              <w:rPr>
                <w:rFonts w:hint="eastAsia" w:ascii="仿宋" w:hAnsi="仿宋" w:eastAsia="仿宋" w:cs="仿宋"/>
                <w:color w:val="000000" w:themeColor="text1"/>
                <w:sz w:val="18"/>
                <w:szCs w:val="18"/>
              </w:rPr>
              <w:t>个工作日</w:t>
            </w:r>
          </w:p>
        </w:tc>
        <w:tc>
          <w:tcPr>
            <w:tcW w:w="1502" w:type="dxa"/>
            <w:vAlign w:val="center"/>
          </w:tcPr>
          <w:p w14:paraId="50FBFB6B">
            <w:pP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区交通运输综合行政执法大队</w:t>
            </w:r>
          </w:p>
        </w:tc>
      </w:tr>
      <w:tr w14:paraId="6CDDF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4764A35">
            <w:pPr>
              <w:rPr>
                <w:rFonts w:ascii="仿宋" w:hAnsi="仿宋" w:eastAsia="仿宋" w:cs="仿宋"/>
                <w:color w:val="000000" w:themeColor="text1"/>
                <w:sz w:val="18"/>
                <w:szCs w:val="18"/>
              </w:rPr>
            </w:pPr>
          </w:p>
        </w:tc>
        <w:tc>
          <w:tcPr>
            <w:tcW w:w="1050" w:type="dxa"/>
            <w:vAlign w:val="center"/>
          </w:tcPr>
          <w:p w14:paraId="45C5F4B6">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检查</w:t>
            </w:r>
          </w:p>
        </w:tc>
        <w:tc>
          <w:tcPr>
            <w:tcW w:w="5287" w:type="dxa"/>
            <w:gridSpan w:val="5"/>
            <w:vAlign w:val="center"/>
          </w:tcPr>
          <w:p w14:paraId="1E3938B7">
            <w:pPr>
              <w:adjustRightInd w:val="0"/>
              <w:snapToGrid w:val="0"/>
              <w:spacing w:line="240" w:lineRule="exact"/>
              <w:jc w:val="cente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lang w:eastAsia="zh-CN"/>
              </w:rPr>
              <w:t>现场对车容车貌及设施设备进行检查。</w:t>
            </w:r>
          </w:p>
        </w:tc>
        <w:tc>
          <w:tcPr>
            <w:tcW w:w="996" w:type="dxa"/>
            <w:gridSpan w:val="2"/>
            <w:vAlign w:val="center"/>
          </w:tcPr>
          <w:p w14:paraId="0126634F">
            <w:pPr>
              <w:jc w:val="center"/>
              <w:rPr>
                <w:rFonts w:hint="default" w:ascii="仿宋" w:hAnsi="仿宋" w:eastAsia="仿宋" w:cs="仿宋"/>
                <w:color w:val="000000" w:themeColor="text1"/>
                <w:sz w:val="18"/>
                <w:szCs w:val="18"/>
                <w:lang w:val="en-US" w:eastAsia="zh-CN"/>
              </w:rPr>
            </w:pPr>
            <w:r>
              <w:rPr>
                <w:rFonts w:hint="eastAsia" w:ascii="仿宋" w:hAnsi="仿宋" w:eastAsia="仿宋" w:cs="仿宋"/>
                <w:color w:val="000000" w:themeColor="text1"/>
                <w:sz w:val="18"/>
                <w:szCs w:val="18"/>
                <w:lang w:val="en-US" w:eastAsia="zh-CN"/>
              </w:rPr>
              <w:t>1个工作日</w:t>
            </w:r>
          </w:p>
        </w:tc>
        <w:tc>
          <w:tcPr>
            <w:tcW w:w="1502" w:type="dxa"/>
            <w:vAlign w:val="center"/>
          </w:tcPr>
          <w:p w14:paraId="5D1DB9E5">
            <w:pP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区交通运输综合行政执法大队</w:t>
            </w:r>
          </w:p>
        </w:tc>
      </w:tr>
      <w:tr w14:paraId="5DFA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FE9C1A9">
            <w:pPr>
              <w:rPr>
                <w:rFonts w:ascii="仿宋" w:hAnsi="仿宋" w:eastAsia="仿宋" w:cs="仿宋"/>
                <w:color w:val="000000" w:themeColor="text1"/>
                <w:sz w:val="18"/>
                <w:szCs w:val="18"/>
              </w:rPr>
            </w:pPr>
          </w:p>
        </w:tc>
        <w:tc>
          <w:tcPr>
            <w:tcW w:w="1050" w:type="dxa"/>
            <w:vAlign w:val="center"/>
          </w:tcPr>
          <w:p w14:paraId="09B7FEA3">
            <w:pPr>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决定</w:t>
            </w:r>
          </w:p>
        </w:tc>
        <w:tc>
          <w:tcPr>
            <w:tcW w:w="5287" w:type="dxa"/>
            <w:gridSpan w:val="5"/>
            <w:vAlign w:val="center"/>
          </w:tcPr>
          <w:p w14:paraId="0B35EB46">
            <w:pPr>
              <w:adjustRightInd w:val="0"/>
              <w:snapToGrid w:val="0"/>
              <w:spacing w:line="240" w:lineRule="exact"/>
              <w:jc w:val="center"/>
              <w:rPr>
                <w:rFonts w:ascii="仿宋" w:hAnsi="仿宋" w:eastAsia="仿宋" w:cs="仿宋"/>
                <w:color w:val="000000" w:themeColor="text1"/>
                <w:sz w:val="18"/>
                <w:szCs w:val="18"/>
              </w:rPr>
            </w:pPr>
            <w:r>
              <w:rPr>
                <w:rFonts w:hint="eastAsia" w:ascii="仿宋" w:hAnsi="仿宋" w:eastAsia="仿宋" w:cs="仿宋"/>
                <w:color w:val="000000" w:themeColor="text1"/>
                <w:sz w:val="18"/>
                <w:szCs w:val="18"/>
              </w:rPr>
              <w:t>出具办理结果。</w:t>
            </w:r>
          </w:p>
        </w:tc>
        <w:tc>
          <w:tcPr>
            <w:tcW w:w="996" w:type="dxa"/>
            <w:gridSpan w:val="2"/>
            <w:vAlign w:val="center"/>
          </w:tcPr>
          <w:p w14:paraId="41495582">
            <w:pPr>
              <w:jc w:val="center"/>
              <w:rPr>
                <w:rFonts w:ascii="仿宋" w:hAnsi="仿宋" w:eastAsia="仿宋" w:cs="仿宋"/>
                <w:color w:val="000000" w:themeColor="text1"/>
                <w:sz w:val="18"/>
                <w:szCs w:val="18"/>
              </w:rPr>
            </w:pPr>
            <w:r>
              <w:rPr>
                <w:rFonts w:ascii="仿宋" w:hAnsi="仿宋" w:eastAsia="仿宋" w:cs="仿宋"/>
                <w:color w:val="000000" w:themeColor="text1"/>
                <w:sz w:val="18"/>
                <w:szCs w:val="18"/>
              </w:rPr>
              <w:t>0.5</w:t>
            </w:r>
            <w:r>
              <w:rPr>
                <w:rFonts w:hint="eastAsia" w:ascii="仿宋" w:hAnsi="仿宋" w:eastAsia="仿宋" w:cs="仿宋"/>
                <w:color w:val="000000" w:themeColor="text1"/>
                <w:sz w:val="18"/>
                <w:szCs w:val="18"/>
              </w:rPr>
              <w:t>个工作日</w:t>
            </w:r>
          </w:p>
        </w:tc>
        <w:tc>
          <w:tcPr>
            <w:tcW w:w="1502" w:type="dxa"/>
            <w:vAlign w:val="center"/>
          </w:tcPr>
          <w:p w14:paraId="1618F32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政务服务中心</w:t>
            </w:r>
          </w:p>
          <w:p w14:paraId="139ADA18">
            <w:pPr>
              <w:jc w:val="center"/>
              <w:rPr>
                <w:rFonts w:ascii="仿宋" w:hAnsi="仿宋" w:eastAsia="仿宋" w:cs="仿宋"/>
                <w:color w:val="000000" w:themeColor="text1"/>
                <w:sz w:val="18"/>
                <w:szCs w:val="18"/>
              </w:rPr>
            </w:pPr>
            <w:r>
              <w:rPr>
                <w:rFonts w:hint="eastAsia" w:ascii="仿宋_GB2312" w:eastAsia="仿宋_GB2312" w:cs="黑体"/>
                <w:color w:val="000000" w:themeColor="text1"/>
                <w:sz w:val="18"/>
                <w:szCs w:val="18"/>
              </w:rPr>
              <w:t>交通窗口</w:t>
            </w:r>
          </w:p>
        </w:tc>
      </w:tr>
      <w:tr w14:paraId="1D22B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15" w:hRule="atLeast"/>
          <w:jc w:val="center"/>
        </w:trPr>
        <w:tc>
          <w:tcPr>
            <w:tcW w:w="1463" w:type="dxa"/>
            <w:shd w:val="clear" w:color="auto" w:fill="auto"/>
            <w:vAlign w:val="center"/>
          </w:tcPr>
          <w:p w14:paraId="75EA3BAB">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11" w:type="dxa"/>
            <w:gridSpan w:val="4"/>
            <w:tcBorders>
              <w:right w:val="single" w:color="auto" w:sz="4" w:space="0"/>
            </w:tcBorders>
            <w:shd w:val="clear" w:color="auto" w:fill="auto"/>
            <w:vAlign w:val="center"/>
          </w:tcPr>
          <w:p w14:paraId="0D9E35C6">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26" w:type="dxa"/>
            <w:gridSpan w:val="2"/>
            <w:tcBorders>
              <w:left w:val="single" w:color="auto" w:sz="4" w:space="0"/>
            </w:tcBorders>
            <w:shd w:val="clear" w:color="auto" w:fill="auto"/>
            <w:vAlign w:val="center"/>
          </w:tcPr>
          <w:p w14:paraId="099C363C">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2836F1A0">
            <w:pPr>
              <w:jc w:val="center"/>
              <w:rPr>
                <w:rFonts w:hint="eastAsia" w:ascii="仿宋" w:hAnsi="仿宋" w:eastAsia="仿宋" w:cs="仿宋"/>
                <w:color w:val="000000" w:themeColor="text1"/>
                <w:sz w:val="18"/>
                <w:szCs w:val="18"/>
              </w:rPr>
            </w:pPr>
            <w:r>
              <w:rPr>
                <w:rFonts w:hint="eastAsia" w:ascii="仿宋_GB2312" w:eastAsia="仿宋_GB2312" w:cs="黑体"/>
                <w:color w:val="000000" w:themeColor="text1"/>
                <w:sz w:val="18"/>
                <w:szCs w:val="18"/>
                <w:lang w:eastAsia="zh-CN"/>
              </w:rPr>
              <w:t>否</w:t>
            </w:r>
          </w:p>
        </w:tc>
      </w:tr>
      <w:tr w14:paraId="10FC8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0" w:hRule="atLeast"/>
          <w:jc w:val="center"/>
        </w:trPr>
        <w:tc>
          <w:tcPr>
            <w:tcW w:w="1463" w:type="dxa"/>
            <w:shd w:val="clear" w:color="auto" w:fill="auto"/>
            <w:vAlign w:val="center"/>
          </w:tcPr>
          <w:p w14:paraId="66AD6B82">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5A6E7331">
            <w:pPr>
              <w:rPr>
                <w:rFonts w:hint="eastAsia" w:ascii="仿宋" w:hAnsi="仿宋" w:eastAsia="仿宋" w:cs="仿宋"/>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计价器合格，车辆卫星装置应急报警装置合格证</w:t>
            </w:r>
          </w:p>
        </w:tc>
      </w:tr>
      <w:tr w14:paraId="3E103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785" w:hRule="atLeast"/>
          <w:jc w:val="center"/>
        </w:trPr>
        <w:tc>
          <w:tcPr>
            <w:tcW w:w="1463" w:type="dxa"/>
            <w:vAlign w:val="center"/>
          </w:tcPr>
          <w:p w14:paraId="0C09C10B">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6E663A86">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584F6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36F9980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400252C2">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04021F64">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3074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776D5B2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549A6959">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436E528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04C05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0966FAA9">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326D8147">
            <w:pPr>
              <w:widowControl/>
              <w:jc w:val="left"/>
              <w:textAlignment w:val="center"/>
              <w:rPr>
                <w:rFonts w:ascii="黑体" w:eastAsia="黑体" w:cs="黑体"/>
                <w:color w:val="000000" w:themeColor="text1"/>
                <w:kern w:val="0"/>
                <w:sz w:val="18"/>
                <w:szCs w:val="18"/>
              </w:rPr>
            </w:pPr>
          </w:p>
        </w:tc>
      </w:tr>
    </w:tbl>
    <w:p w14:paraId="7E41A976">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69"/>
        <w:gridCol w:w="594"/>
        <w:gridCol w:w="854"/>
        <w:gridCol w:w="705"/>
        <w:gridCol w:w="330"/>
        <w:gridCol w:w="1601"/>
      </w:tblGrid>
      <w:tr w14:paraId="7F6BB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1F45574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4B37C016">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24</w:t>
            </w:r>
            <w:r>
              <w:rPr>
                <w:rFonts w:hint="eastAsia" w:ascii="黑体" w:eastAsia="黑体" w:cs="黑体"/>
                <w:b/>
                <w:bCs/>
                <w:color w:val="000000" w:themeColor="text1"/>
                <w:szCs w:val="21"/>
                <w:lang w:val="en-US" w:eastAsia="zh-CN"/>
              </w:rPr>
              <w:t>5</w:t>
            </w:r>
          </w:p>
        </w:tc>
        <w:tc>
          <w:tcPr>
            <w:tcW w:w="1691" w:type="dxa"/>
            <w:vAlign w:val="center"/>
          </w:tcPr>
          <w:p w14:paraId="7E16A4C0">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01C97A54">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484F68A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74D3D9DC">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43EB7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4EAD4BA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5D447503">
            <w:pPr>
              <w:spacing w:line="240" w:lineRule="exact"/>
              <w:jc w:val="center"/>
              <w:rPr>
                <w:rFonts w:ascii="仿宋_GB2312" w:eastAsia="仿宋_GB2312" w:cs="黑体"/>
                <w:color w:val="000000" w:themeColor="text1"/>
                <w:sz w:val="18"/>
                <w:szCs w:val="18"/>
              </w:rPr>
            </w:pPr>
            <w:r>
              <w:rPr>
                <w:rFonts w:hint="eastAsia" w:ascii="仿宋" w:eastAsia="仿宋" w:cs="仿宋_GB2312"/>
                <w:color w:val="000000" w:themeColor="text1"/>
                <w:kern w:val="0"/>
                <w:sz w:val="18"/>
                <w:szCs w:val="18"/>
              </w:rPr>
              <w:t>渔业船舶及船用产品检验</w:t>
            </w:r>
          </w:p>
        </w:tc>
      </w:tr>
      <w:tr w14:paraId="5402E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36600A6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4ABB8BCE">
            <w:pPr>
              <w:widowControl/>
              <w:spacing w:line="240" w:lineRule="exact"/>
              <w:jc w:val="left"/>
              <w:textAlignment w:val="center"/>
              <w:rPr>
                <w:rFonts w:ascii="仿宋" w:eastAsia="仿宋" w:cs="黑体"/>
                <w:color w:val="000000" w:themeColor="text1"/>
                <w:sz w:val="18"/>
                <w:szCs w:val="18"/>
              </w:rPr>
            </w:pPr>
            <w:r>
              <w:rPr>
                <w:rFonts w:hint="eastAsia" w:ascii="仿宋" w:eastAsia="仿宋" w:cs="黑体"/>
                <w:color w:val="000000" w:themeColor="text1"/>
                <w:sz w:val="18"/>
                <w:szCs w:val="18"/>
              </w:rPr>
              <w:t>【法律法规】</w:t>
            </w:r>
          </w:p>
          <w:p w14:paraId="04D31956">
            <w:pPr>
              <w:widowControl/>
              <w:spacing w:line="240" w:lineRule="exact"/>
              <w:jc w:val="left"/>
              <w:textAlignment w:val="center"/>
              <w:rPr>
                <w:rFonts w:ascii="仿宋" w:eastAsia="仿宋" w:cs="黑体"/>
                <w:color w:val="000000" w:themeColor="text1"/>
                <w:sz w:val="18"/>
                <w:szCs w:val="18"/>
              </w:rPr>
            </w:pPr>
            <w:r>
              <w:rPr>
                <w:rFonts w:ascii="仿宋" w:eastAsia="仿宋" w:cs="黑体"/>
                <w:color w:val="000000" w:themeColor="text1"/>
                <w:sz w:val="18"/>
                <w:szCs w:val="18"/>
              </w:rPr>
              <w:t>1.</w:t>
            </w:r>
            <w:r>
              <w:rPr>
                <w:rFonts w:hint="eastAsia" w:ascii="仿宋" w:eastAsia="仿宋" w:cs="黑体"/>
                <w:color w:val="000000" w:themeColor="text1"/>
                <w:sz w:val="18"/>
                <w:szCs w:val="18"/>
              </w:rPr>
              <w:t>《中华人民共和国船舶和海上设施检验条例》第三十条规定，除从事国际航行</w:t>
            </w:r>
          </w:p>
          <w:p w14:paraId="6124CF68">
            <w:pPr>
              <w:widowControl/>
              <w:spacing w:line="240" w:lineRule="exact"/>
              <w:jc w:val="left"/>
              <w:textAlignment w:val="center"/>
              <w:rPr>
                <w:rFonts w:ascii="仿宋" w:eastAsia="仿宋" w:cs="黑体"/>
                <w:color w:val="000000" w:themeColor="text1"/>
                <w:sz w:val="18"/>
                <w:szCs w:val="18"/>
              </w:rPr>
            </w:pPr>
            <w:r>
              <w:rPr>
                <w:rFonts w:hint="eastAsia" w:ascii="仿宋" w:eastAsia="仿宋" w:cs="黑体"/>
                <w:color w:val="000000" w:themeColor="text1"/>
                <w:sz w:val="18"/>
                <w:szCs w:val="18"/>
              </w:rPr>
              <w:t>的渔业辅助船舶依照本条例进行检验外，其他渔业船舶的检验，由国务院交通运输主管部门按照相关渔业船舶检验的行政法规执行。</w:t>
            </w:r>
          </w:p>
          <w:p w14:paraId="078DEE73">
            <w:pPr>
              <w:widowControl/>
              <w:spacing w:line="240" w:lineRule="exact"/>
              <w:jc w:val="left"/>
              <w:textAlignment w:val="center"/>
              <w:rPr>
                <w:rFonts w:ascii="仿宋" w:eastAsia="仿宋" w:cs="仿宋_GB2312"/>
                <w:color w:val="000000" w:themeColor="text1"/>
                <w:kern w:val="0"/>
                <w:sz w:val="18"/>
                <w:szCs w:val="18"/>
              </w:rPr>
            </w:pPr>
            <w:r>
              <w:rPr>
                <w:rFonts w:ascii="仿宋" w:eastAsia="仿宋" w:cs="黑体"/>
                <w:color w:val="000000" w:themeColor="text1"/>
                <w:sz w:val="18"/>
                <w:szCs w:val="18"/>
              </w:rPr>
              <w:t>2.</w:t>
            </w:r>
            <w:r>
              <w:rPr>
                <w:rFonts w:hint="eastAsia" w:ascii="仿宋" w:eastAsia="仿宋" w:cs="Helvetica"/>
                <w:color w:val="000000" w:themeColor="text1"/>
                <w:kern w:val="0"/>
                <w:sz w:val="18"/>
                <w:szCs w:val="18"/>
              </w:rPr>
              <w:t>《内河小型渔船法定检验技术规则（</w:t>
            </w:r>
            <w:r>
              <w:rPr>
                <w:rFonts w:ascii="仿宋" w:eastAsia="仿宋" w:cs="Helvetica"/>
                <w:color w:val="000000" w:themeColor="text1"/>
                <w:kern w:val="0"/>
                <w:sz w:val="18"/>
                <w:szCs w:val="18"/>
              </w:rPr>
              <w:t>2019</w:t>
            </w:r>
            <w:r>
              <w:rPr>
                <w:rFonts w:hint="eastAsia" w:ascii="仿宋" w:eastAsia="仿宋" w:cs="Helvetica"/>
                <w:color w:val="000000" w:themeColor="text1"/>
                <w:kern w:val="0"/>
                <w:sz w:val="18"/>
                <w:szCs w:val="18"/>
              </w:rPr>
              <w:t>）》</w:t>
            </w:r>
            <w:r>
              <w:rPr>
                <w:rFonts w:ascii="仿宋" w:eastAsia="仿宋" w:cs="Helvetica"/>
                <w:color w:val="000000" w:themeColor="text1"/>
                <w:kern w:val="0"/>
                <w:sz w:val="18"/>
                <w:szCs w:val="18"/>
              </w:rPr>
              <w:t>1.1.3</w:t>
            </w:r>
            <w:r>
              <w:rPr>
                <w:rFonts w:hint="eastAsia" w:ascii="仿宋" w:eastAsia="仿宋" w:cs="Helvetica"/>
                <w:color w:val="000000" w:themeColor="text1"/>
                <w:kern w:val="0"/>
                <w:sz w:val="18"/>
                <w:szCs w:val="18"/>
              </w:rPr>
              <w:t>条</w:t>
            </w:r>
          </w:p>
          <w:p w14:paraId="63286E8B">
            <w:pPr>
              <w:rPr>
                <w:rFonts w:ascii="仿宋" w:eastAsia="仿宋" w:cs="仿宋_GB2312"/>
                <w:color w:val="000000" w:themeColor="text1"/>
                <w:kern w:val="0"/>
                <w:sz w:val="18"/>
                <w:szCs w:val="18"/>
              </w:rPr>
            </w:pPr>
            <w:r>
              <w:rPr>
                <w:rFonts w:hint="eastAsia" w:ascii="仿宋" w:eastAsia="仿宋" w:cs="仿宋_GB2312"/>
                <w:color w:val="000000" w:themeColor="text1"/>
                <w:kern w:val="0"/>
                <w:sz w:val="18"/>
                <w:szCs w:val="18"/>
              </w:rPr>
              <w:t>【三定规定】抚办字【</w:t>
            </w:r>
            <w:r>
              <w:rPr>
                <w:rFonts w:ascii="仿宋" w:eastAsia="仿宋" w:cs="仿宋_GB2312"/>
                <w:color w:val="000000" w:themeColor="text1"/>
                <w:kern w:val="0"/>
                <w:sz w:val="18"/>
                <w:szCs w:val="18"/>
              </w:rPr>
              <w:t>2019</w:t>
            </w:r>
            <w:r>
              <w:rPr>
                <w:rFonts w:hint="eastAsia" w:ascii="仿宋" w:eastAsia="仿宋" w:cs="仿宋_GB2312"/>
                <w:color w:val="000000" w:themeColor="text1"/>
                <w:kern w:val="0"/>
                <w:sz w:val="18"/>
                <w:szCs w:val="18"/>
              </w:rPr>
              <w:t>】</w:t>
            </w:r>
            <w:r>
              <w:rPr>
                <w:rFonts w:ascii="仿宋" w:eastAsia="仿宋" w:cs="仿宋_GB2312"/>
                <w:color w:val="000000" w:themeColor="text1"/>
                <w:kern w:val="0"/>
                <w:sz w:val="18"/>
                <w:szCs w:val="18"/>
              </w:rPr>
              <w:t>11</w:t>
            </w:r>
            <w:r>
              <w:rPr>
                <w:rFonts w:hint="eastAsia" w:ascii="仿宋" w:eastAsia="仿宋" w:cs="仿宋_GB2312"/>
                <w:color w:val="000000" w:themeColor="text1"/>
                <w:kern w:val="0"/>
                <w:sz w:val="18"/>
                <w:szCs w:val="18"/>
              </w:rPr>
              <w:t>号第十四条负责资质范围内的渔业船舶检验和监督管理。</w:t>
            </w:r>
          </w:p>
          <w:p w14:paraId="32980D4D">
            <w:pPr>
              <w:spacing w:line="240" w:lineRule="exact"/>
              <w:rPr>
                <w:rFonts w:ascii="仿宋_GB2312" w:eastAsia="仿宋_GB2312" w:cs="黑体"/>
                <w:b/>
                <w:bCs/>
                <w:color w:val="000000" w:themeColor="text1"/>
                <w:szCs w:val="21"/>
              </w:rPr>
            </w:pPr>
          </w:p>
        </w:tc>
      </w:tr>
      <w:tr w14:paraId="07B64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464FA3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3638A61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149" w:type="dxa"/>
            <w:gridSpan w:val="5"/>
            <w:vAlign w:val="center"/>
          </w:tcPr>
          <w:p w14:paraId="7201CFDD">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1035" w:type="dxa"/>
            <w:gridSpan w:val="2"/>
            <w:vAlign w:val="center"/>
          </w:tcPr>
          <w:p w14:paraId="4274AE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601" w:type="dxa"/>
            <w:vAlign w:val="center"/>
          </w:tcPr>
          <w:p w14:paraId="6933317C">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18B72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57B6133C">
            <w:pPr>
              <w:rPr>
                <w:color w:val="000000" w:themeColor="text1"/>
              </w:rPr>
            </w:pPr>
          </w:p>
        </w:tc>
        <w:tc>
          <w:tcPr>
            <w:tcW w:w="1050" w:type="dxa"/>
            <w:vAlign w:val="center"/>
          </w:tcPr>
          <w:p w14:paraId="37FF8FF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149" w:type="dxa"/>
            <w:gridSpan w:val="5"/>
            <w:vAlign w:val="center"/>
          </w:tcPr>
          <w:p w14:paraId="612908D6">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r>
              <w:rPr>
                <w:rFonts w:hint="eastAsia" w:ascii="仿宋" w:eastAsia="仿宋" w:cs="仿宋_GB2312"/>
                <w:color w:val="000000" w:themeColor="text1"/>
                <w:kern w:val="0"/>
                <w:sz w:val="18"/>
                <w:szCs w:val="18"/>
              </w:rPr>
              <w:t>。</w:t>
            </w:r>
          </w:p>
        </w:tc>
        <w:tc>
          <w:tcPr>
            <w:tcW w:w="1035" w:type="dxa"/>
            <w:gridSpan w:val="2"/>
            <w:vAlign w:val="center"/>
          </w:tcPr>
          <w:p w14:paraId="01E9D3B7">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601" w:type="dxa"/>
            <w:vAlign w:val="center"/>
          </w:tcPr>
          <w:p w14:paraId="7BDE2ED2">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政务服务中心交通窗口</w:t>
            </w:r>
          </w:p>
        </w:tc>
      </w:tr>
      <w:tr w14:paraId="0B954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6975CDEF">
            <w:pPr>
              <w:rPr>
                <w:color w:val="000000" w:themeColor="text1"/>
              </w:rPr>
            </w:pPr>
          </w:p>
        </w:tc>
        <w:tc>
          <w:tcPr>
            <w:tcW w:w="1050" w:type="dxa"/>
            <w:vAlign w:val="center"/>
          </w:tcPr>
          <w:p w14:paraId="7A3CE451">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审查</w:t>
            </w:r>
          </w:p>
        </w:tc>
        <w:tc>
          <w:tcPr>
            <w:tcW w:w="5149" w:type="dxa"/>
            <w:gridSpan w:val="5"/>
            <w:vAlign w:val="center"/>
          </w:tcPr>
          <w:p w14:paraId="3BAF9765">
            <w:pPr>
              <w:adjustRightInd w:val="0"/>
              <w:snapToGrid w:val="0"/>
              <w:spacing w:line="240" w:lineRule="exact"/>
              <w:jc w:val="center"/>
              <w:rPr>
                <w:rStyle w:val="25"/>
                <w:rFonts w:hint="eastAsia" w:ascii="仿宋" w:eastAsia="仿宋" w:cs="仿宋_GB2312"/>
                <w:color w:val="000000" w:themeColor="text1"/>
                <w:sz w:val="18"/>
                <w:szCs w:val="18"/>
                <w:lang w:eastAsia="zh-CN"/>
              </w:rPr>
            </w:pPr>
            <w:r>
              <w:rPr>
                <w:rFonts w:hint="eastAsia" w:ascii="仿宋" w:hAnsi="仿宋" w:eastAsia="仿宋" w:cs="仿宋_GB2312"/>
                <w:color w:val="000000" w:themeColor="text1"/>
                <w:kern w:val="0"/>
                <w:sz w:val="18"/>
                <w:szCs w:val="18"/>
              </w:rPr>
              <w:t>对书面申请材料进行审查</w:t>
            </w:r>
            <w:r>
              <w:rPr>
                <w:rFonts w:hint="eastAsia" w:ascii="仿宋" w:hAnsi="仿宋" w:eastAsia="仿宋" w:cs="仿宋_GB2312"/>
                <w:color w:val="000000" w:themeColor="text1"/>
                <w:kern w:val="0"/>
                <w:sz w:val="18"/>
                <w:szCs w:val="18"/>
                <w:lang w:eastAsia="zh-CN"/>
              </w:rPr>
              <w:t>。</w:t>
            </w:r>
          </w:p>
        </w:tc>
        <w:tc>
          <w:tcPr>
            <w:tcW w:w="1035" w:type="dxa"/>
            <w:gridSpan w:val="2"/>
            <w:vAlign w:val="center"/>
          </w:tcPr>
          <w:p w14:paraId="5E7154A9">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601" w:type="dxa"/>
            <w:vAlign w:val="center"/>
          </w:tcPr>
          <w:p w14:paraId="2B646EA2">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政务服务中心交通窗口</w:t>
            </w:r>
          </w:p>
        </w:tc>
      </w:tr>
      <w:tr w14:paraId="7095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5BA38EE4">
            <w:pPr>
              <w:rPr>
                <w:color w:val="000000" w:themeColor="text1"/>
              </w:rPr>
            </w:pPr>
          </w:p>
        </w:tc>
        <w:tc>
          <w:tcPr>
            <w:tcW w:w="1050" w:type="dxa"/>
            <w:vAlign w:val="center"/>
          </w:tcPr>
          <w:p w14:paraId="1AAD5DD0">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现场勘验</w:t>
            </w:r>
          </w:p>
        </w:tc>
        <w:tc>
          <w:tcPr>
            <w:tcW w:w="5149" w:type="dxa"/>
            <w:gridSpan w:val="5"/>
            <w:vAlign w:val="center"/>
          </w:tcPr>
          <w:p w14:paraId="5AF670F9">
            <w:pPr>
              <w:adjustRightInd w:val="0"/>
              <w:snapToGrid w:val="0"/>
              <w:spacing w:line="240" w:lineRule="exact"/>
              <w:jc w:val="center"/>
              <w:rPr>
                <w:rFonts w:ascii="仿宋" w:eastAsia="仿宋" w:cs="仿宋_GB2312"/>
                <w:color w:val="000000" w:themeColor="text1"/>
                <w:sz w:val="18"/>
                <w:szCs w:val="18"/>
              </w:rPr>
            </w:pPr>
            <w:r>
              <w:rPr>
                <w:rFonts w:hint="eastAsia" w:ascii="仿宋" w:eastAsia="仿宋" w:cs="仿宋_GB2312"/>
                <w:color w:val="000000" w:themeColor="text1"/>
                <w:kern w:val="0"/>
                <w:sz w:val="18"/>
                <w:szCs w:val="18"/>
              </w:rPr>
              <w:t>组织验船师现场对渔船进行检验。</w:t>
            </w:r>
          </w:p>
        </w:tc>
        <w:tc>
          <w:tcPr>
            <w:tcW w:w="1035" w:type="dxa"/>
            <w:gridSpan w:val="2"/>
            <w:vAlign w:val="center"/>
          </w:tcPr>
          <w:p w14:paraId="5FFF7EAA">
            <w:pP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val="en-US" w:eastAsia="zh-CN"/>
              </w:rPr>
              <w:t>7个工作日（</w:t>
            </w:r>
            <w:r>
              <w:rPr>
                <w:rFonts w:hint="eastAsia" w:ascii="仿宋_GB2312" w:eastAsia="仿宋_GB2312" w:cs="黑体"/>
                <w:color w:val="000000" w:themeColor="text1"/>
                <w:sz w:val="18"/>
                <w:szCs w:val="18"/>
              </w:rPr>
              <w:t>依据实际情况</w:t>
            </w:r>
            <w:r>
              <w:rPr>
                <w:rFonts w:hint="eastAsia" w:ascii="仿宋_GB2312" w:eastAsia="仿宋_GB2312" w:cs="黑体"/>
                <w:color w:val="000000" w:themeColor="text1"/>
                <w:sz w:val="18"/>
                <w:szCs w:val="18"/>
                <w:lang w:eastAsia="zh-CN"/>
              </w:rPr>
              <w:t>）</w:t>
            </w:r>
          </w:p>
        </w:tc>
        <w:tc>
          <w:tcPr>
            <w:tcW w:w="1601" w:type="dxa"/>
          </w:tcPr>
          <w:p w14:paraId="7D45EF16">
            <w:pPr>
              <w:jc w:val="center"/>
              <w:rPr>
                <w:color w:val="000000" w:themeColor="text1"/>
              </w:rPr>
            </w:pPr>
            <w:r>
              <w:rPr>
                <w:rFonts w:hint="eastAsia" w:ascii="仿宋_GB2312" w:eastAsia="仿宋_GB2312" w:cs="黑体"/>
                <w:color w:val="000000" w:themeColor="text1"/>
                <w:sz w:val="18"/>
                <w:szCs w:val="18"/>
              </w:rPr>
              <w:t>区交通运输综合服务中心</w:t>
            </w:r>
          </w:p>
        </w:tc>
      </w:tr>
      <w:tr w14:paraId="61CFF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3FEC040E">
            <w:pPr>
              <w:rPr>
                <w:color w:val="000000" w:themeColor="text1"/>
              </w:rPr>
            </w:pPr>
          </w:p>
        </w:tc>
        <w:tc>
          <w:tcPr>
            <w:tcW w:w="1050" w:type="dxa"/>
            <w:vAlign w:val="center"/>
          </w:tcPr>
          <w:p w14:paraId="500D70E8">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决定</w:t>
            </w:r>
          </w:p>
        </w:tc>
        <w:tc>
          <w:tcPr>
            <w:tcW w:w="5149" w:type="dxa"/>
            <w:gridSpan w:val="5"/>
            <w:vAlign w:val="center"/>
          </w:tcPr>
          <w:p w14:paraId="5C5F67DD">
            <w:pPr>
              <w:adjustRightInd w:val="0"/>
              <w:snapToGrid w:val="0"/>
              <w:spacing w:line="240" w:lineRule="exact"/>
              <w:jc w:val="center"/>
              <w:rPr>
                <w:rFonts w:hint="eastAsia" w:ascii="仿宋" w:eastAsia="仿宋" w:cs="仿宋_GB2312"/>
                <w:color w:val="000000" w:themeColor="text1"/>
                <w:sz w:val="18"/>
                <w:szCs w:val="18"/>
                <w:lang w:eastAsia="zh-CN"/>
              </w:rPr>
            </w:pPr>
            <w:r>
              <w:rPr>
                <w:rFonts w:hint="eastAsia" w:ascii="仿宋" w:hAnsi="仿宋" w:eastAsia="仿宋" w:cs="仿宋_GB2312"/>
                <w:color w:val="000000" w:themeColor="text1"/>
                <w:kern w:val="0"/>
                <w:sz w:val="18"/>
                <w:szCs w:val="18"/>
              </w:rPr>
              <w:t>检验合格的，签发渔船检验证书</w:t>
            </w:r>
            <w:r>
              <w:rPr>
                <w:rFonts w:hint="eastAsia" w:ascii="仿宋" w:hAnsi="仿宋" w:eastAsia="仿宋" w:cs="仿宋_GB2312"/>
                <w:color w:val="000000" w:themeColor="text1"/>
                <w:kern w:val="0"/>
                <w:sz w:val="18"/>
                <w:szCs w:val="18"/>
                <w:lang w:eastAsia="zh-CN"/>
              </w:rPr>
              <w:t>。</w:t>
            </w:r>
          </w:p>
        </w:tc>
        <w:tc>
          <w:tcPr>
            <w:tcW w:w="1035" w:type="dxa"/>
            <w:gridSpan w:val="2"/>
            <w:vAlign w:val="center"/>
          </w:tcPr>
          <w:p w14:paraId="57F040F7">
            <w:pPr>
              <w:jc w:val="center"/>
              <w:rPr>
                <w:rFonts w:ascii="仿宋_GB2312" w:eastAsia="仿宋_GB2312" w:cs="黑体"/>
                <w:color w:val="000000" w:themeColor="text1"/>
                <w:sz w:val="18"/>
                <w:szCs w:val="18"/>
              </w:rPr>
            </w:pPr>
            <w:r>
              <w:rPr>
                <w:rFonts w:ascii="仿宋_GB2312" w:eastAsia="仿宋_GB2312" w:cs="黑体"/>
                <w:color w:val="000000" w:themeColor="text1"/>
                <w:sz w:val="18"/>
                <w:szCs w:val="18"/>
              </w:rPr>
              <w:t>5</w:t>
            </w:r>
            <w:r>
              <w:rPr>
                <w:rFonts w:hint="eastAsia" w:ascii="仿宋_GB2312" w:eastAsia="仿宋_GB2312" w:cs="黑体"/>
                <w:color w:val="000000" w:themeColor="text1"/>
                <w:sz w:val="18"/>
                <w:szCs w:val="18"/>
              </w:rPr>
              <w:t>个工作日</w:t>
            </w:r>
          </w:p>
        </w:tc>
        <w:tc>
          <w:tcPr>
            <w:tcW w:w="1601" w:type="dxa"/>
          </w:tcPr>
          <w:p w14:paraId="603484E1">
            <w:pPr>
              <w:jc w:val="center"/>
              <w:rPr>
                <w:color w:val="000000" w:themeColor="text1"/>
              </w:rPr>
            </w:pPr>
            <w:r>
              <w:rPr>
                <w:rFonts w:hint="eastAsia" w:ascii="仿宋_GB2312" w:eastAsia="仿宋_GB2312" w:cs="黑体"/>
                <w:color w:val="000000" w:themeColor="text1"/>
                <w:sz w:val="18"/>
                <w:szCs w:val="18"/>
                <w:lang w:eastAsia="zh-CN"/>
              </w:rPr>
              <w:t>政务服务中心交通窗口</w:t>
            </w:r>
          </w:p>
        </w:tc>
      </w:tr>
      <w:tr w14:paraId="50C00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63359BF1">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51" w:type="dxa"/>
            <w:gridSpan w:val="4"/>
            <w:tcBorders>
              <w:right w:val="single" w:color="auto" w:sz="4" w:space="0"/>
            </w:tcBorders>
            <w:shd w:val="clear" w:color="auto" w:fill="auto"/>
            <w:vAlign w:val="center"/>
          </w:tcPr>
          <w:p w14:paraId="044D132D">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448" w:type="dxa"/>
            <w:gridSpan w:val="2"/>
            <w:tcBorders>
              <w:left w:val="single" w:color="auto" w:sz="4" w:space="0"/>
            </w:tcBorders>
            <w:shd w:val="clear" w:color="auto" w:fill="auto"/>
            <w:vAlign w:val="center"/>
          </w:tcPr>
          <w:p w14:paraId="2FEF16B7">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636" w:type="dxa"/>
            <w:gridSpan w:val="3"/>
            <w:shd w:val="clear" w:color="auto" w:fill="auto"/>
            <w:vAlign w:val="center"/>
          </w:tcPr>
          <w:p w14:paraId="45A7771A">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eastAsia="zh-CN"/>
              </w:rPr>
              <w:t>否</w:t>
            </w:r>
          </w:p>
        </w:tc>
      </w:tr>
      <w:tr w14:paraId="4EBA4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5BC36488">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3EC57475">
            <w:pPr>
              <w:jc w:val="left"/>
              <w:rPr>
                <w:rFonts w:hint="eastAsia" w:ascii="仿宋_GB2312" w:eastAsia="微软雅黑" w:cs="黑体"/>
                <w:color w:val="000000" w:themeColor="text1"/>
                <w:sz w:val="18"/>
                <w:szCs w:val="18"/>
                <w:lang w:val="en-US" w:eastAsia="zh-CN"/>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现有渔船检验证书</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2、</w:t>
            </w:r>
            <w:r>
              <w:rPr>
                <w:rFonts w:hint="eastAsia" w:ascii="仿宋" w:hAnsi="仿宋" w:eastAsia="仿宋" w:cs="仿宋"/>
                <w:i w:val="0"/>
                <w:iCs w:val="0"/>
                <w:caps w:val="0"/>
                <w:color w:val="000000" w:themeColor="text1"/>
                <w:spacing w:val="0"/>
                <w:sz w:val="18"/>
                <w:szCs w:val="18"/>
                <w:shd w:val="clear" w:color="auto" w:fill="auto"/>
              </w:rPr>
              <w:t>船舶所有人授权申报检验的委托书</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3、</w:t>
            </w:r>
            <w:r>
              <w:rPr>
                <w:rFonts w:hint="eastAsia" w:ascii="仿宋" w:hAnsi="仿宋" w:eastAsia="仿宋" w:cs="仿宋"/>
                <w:i w:val="0"/>
                <w:iCs w:val="0"/>
                <w:caps w:val="0"/>
                <w:color w:val="000000" w:themeColor="text1"/>
                <w:spacing w:val="0"/>
                <w:sz w:val="18"/>
                <w:szCs w:val="18"/>
                <w:shd w:val="clear" w:color="auto" w:fill="auto"/>
              </w:rPr>
              <w:t>内河小型渔船安全环保技术状况声明书</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4、</w:t>
            </w:r>
            <w:r>
              <w:rPr>
                <w:rFonts w:hint="eastAsia" w:ascii="仿宋" w:hAnsi="仿宋" w:eastAsia="仿宋" w:cs="仿宋"/>
                <w:i w:val="0"/>
                <w:iCs w:val="0"/>
                <w:caps w:val="0"/>
                <w:color w:val="000000" w:themeColor="text1"/>
                <w:spacing w:val="0"/>
                <w:sz w:val="18"/>
                <w:szCs w:val="18"/>
                <w:shd w:val="clear" w:color="auto" w:fill="auto"/>
              </w:rPr>
              <w:t>渔业船舶检验申报书</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75901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45" w:hRule="atLeast"/>
          <w:jc w:val="center"/>
        </w:trPr>
        <w:tc>
          <w:tcPr>
            <w:tcW w:w="1463" w:type="dxa"/>
            <w:vAlign w:val="center"/>
          </w:tcPr>
          <w:p w14:paraId="46DAFED0">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63AB019F">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0F8D5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67E7E78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2DED6032">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7828572      2.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B4658B4">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2DC7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0" w:hRule="atLeast"/>
          <w:jc w:val="center"/>
        </w:trPr>
        <w:tc>
          <w:tcPr>
            <w:tcW w:w="1463" w:type="dxa"/>
            <w:vAlign w:val="center"/>
          </w:tcPr>
          <w:p w14:paraId="513BA26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15053C66">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5A996D1E">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7DB35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09B508C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1971BC1F">
            <w:pPr>
              <w:widowControl/>
              <w:jc w:val="left"/>
              <w:textAlignment w:val="center"/>
              <w:rPr>
                <w:rFonts w:ascii="黑体" w:eastAsia="黑体" w:cs="黑体"/>
                <w:color w:val="000000" w:themeColor="text1"/>
                <w:kern w:val="0"/>
                <w:sz w:val="18"/>
                <w:szCs w:val="18"/>
              </w:rPr>
            </w:pPr>
          </w:p>
        </w:tc>
      </w:tr>
    </w:tbl>
    <w:p w14:paraId="47B526C3">
      <w:pPr>
        <w:rPr>
          <w:color w:val="000000" w:themeColor="text1"/>
        </w:rPr>
      </w:pPr>
    </w:p>
    <w:p w14:paraId="1033F6C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444"/>
        <w:gridCol w:w="519"/>
        <w:gridCol w:w="992"/>
        <w:gridCol w:w="567"/>
        <w:gridCol w:w="429"/>
        <w:gridCol w:w="1502"/>
      </w:tblGrid>
      <w:tr w14:paraId="3187D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9" w:hRule="atLeast"/>
          <w:jc w:val="center"/>
        </w:trPr>
        <w:tc>
          <w:tcPr>
            <w:tcW w:w="1463" w:type="dxa"/>
            <w:vAlign w:val="center"/>
          </w:tcPr>
          <w:p w14:paraId="379354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6A1E2527">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24</w:t>
            </w:r>
            <w:r>
              <w:rPr>
                <w:rFonts w:hint="eastAsia" w:ascii="黑体" w:eastAsia="黑体" w:cs="黑体"/>
                <w:b/>
                <w:bCs/>
                <w:color w:val="000000" w:themeColor="text1"/>
                <w:szCs w:val="21"/>
                <w:lang w:val="en-US" w:eastAsia="zh-CN"/>
              </w:rPr>
              <w:t>6</w:t>
            </w:r>
          </w:p>
        </w:tc>
        <w:tc>
          <w:tcPr>
            <w:tcW w:w="1691" w:type="dxa"/>
            <w:vAlign w:val="center"/>
          </w:tcPr>
          <w:p w14:paraId="00206C51">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286A6FE7">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1FE6B957">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49B2CA8F">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79508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5" w:hRule="atLeast"/>
          <w:jc w:val="center"/>
        </w:trPr>
        <w:tc>
          <w:tcPr>
            <w:tcW w:w="1463" w:type="dxa"/>
            <w:vAlign w:val="center"/>
          </w:tcPr>
          <w:p w14:paraId="3A68A25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46B97C7B">
            <w:pPr>
              <w:spacing w:line="240" w:lineRule="exact"/>
              <w:jc w:val="center"/>
              <w:rPr>
                <w:rFonts w:ascii="仿宋_GB2312" w:eastAsia="仿宋_GB2312" w:cs="黑体"/>
                <w:color w:val="000000" w:themeColor="text1"/>
                <w:sz w:val="18"/>
                <w:szCs w:val="18"/>
              </w:rPr>
            </w:pPr>
            <w:r>
              <w:rPr>
                <w:rFonts w:hint="eastAsia" w:ascii="仿宋" w:hAnsi="仿宋" w:eastAsia="仿宋" w:cs="仿宋_GB2312"/>
                <w:color w:val="000000" w:themeColor="text1"/>
                <w:kern w:val="0"/>
                <w:sz w:val="18"/>
                <w:szCs w:val="18"/>
                <w:lang w:val="en-US" w:eastAsia="zh-CN"/>
              </w:rPr>
              <w:t>出租汽车企业服务质量信誉核定</w:t>
            </w:r>
          </w:p>
        </w:tc>
      </w:tr>
      <w:tr w14:paraId="6ED1F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13" w:hRule="atLeast"/>
          <w:jc w:val="center"/>
        </w:trPr>
        <w:tc>
          <w:tcPr>
            <w:tcW w:w="1463" w:type="dxa"/>
            <w:vAlign w:val="center"/>
          </w:tcPr>
          <w:p w14:paraId="45FFCEC6">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top"/>
          </w:tcPr>
          <w:p w14:paraId="415320DC">
            <w:pPr>
              <w:pStyle w:val="8"/>
              <w:keepNext w:val="0"/>
              <w:keepLines w:val="0"/>
              <w:pageBreakBefore w:val="0"/>
              <w:shd w:val="clear" w:color="auto" w:fill="FFFFFF"/>
              <w:kinsoku/>
              <w:wordWrap/>
              <w:overflowPunct/>
              <w:topLinePunct w:val="0"/>
              <w:autoSpaceDE/>
              <w:autoSpaceDN/>
              <w:bidi w:val="0"/>
              <w:adjustRightInd/>
              <w:snapToGrid w:val="0"/>
              <w:spacing w:before="0" w:beforeAutospacing="0" w:after="0" w:afterAutospacing="0" w:line="240" w:lineRule="atLeast"/>
              <w:jc w:val="both"/>
              <w:textAlignment w:val="auto"/>
              <w:rPr>
                <w:rFonts w:hint="eastAsia" w:ascii="仿宋" w:eastAsia="仿宋"/>
                <w:color w:val="000000" w:themeColor="text1"/>
                <w:sz w:val="15"/>
                <w:szCs w:val="15"/>
                <w:lang w:val="en-US" w:eastAsia="zh-CN"/>
              </w:rPr>
            </w:pPr>
            <w:r>
              <w:rPr>
                <w:rFonts w:hint="eastAsia" w:ascii="仿宋" w:eastAsia="仿宋" w:cs="黑体"/>
                <w:color w:val="000000" w:themeColor="text1"/>
                <w:sz w:val="15"/>
                <w:szCs w:val="15"/>
              </w:rPr>
              <w:t>【法律法规】</w:t>
            </w:r>
            <w:r>
              <w:rPr>
                <w:rFonts w:hint="eastAsia" w:ascii="仿宋" w:eastAsia="仿宋"/>
                <w:color w:val="000000" w:themeColor="text1"/>
                <w:sz w:val="15"/>
                <w:szCs w:val="15"/>
              </w:rPr>
              <w:t>1、《巡游出租汽车经营服务管理规定》第十九条 巡游出租汽车车辆经营权到期后，巡游出租汽车经营者拟继续从事经营的，应当在车辆经营权有效期届满60日前，向原许可机关提出申请。原许可机关应当根据《出租汽车服务质量信誉考核办法》规定的出租汽车经营者服务质量信誉考核等级，审核巡游出租汽车经营者的服务质量信誉考核结果，并按照以下规定处理：（一）考核等级在经营期限内均为AA级及以上的，应当批准其继续经营；（二）考核等级在经营期限内有A级的，应当督促其加强内部管理，整改合格后准许其继续经营；（三）考核等级在经营期限内有B级或者一半以上为A级的，可视情适当核减车辆经营权；（四）考核等级在经营期限内有一半以上为B级的，应当收回车辆经营权，并按照第十三条的规定重新配置车辆经营权。</w:t>
            </w:r>
            <w:r>
              <w:rPr>
                <w:rFonts w:hint="eastAsia" w:ascii="仿宋" w:eastAsia="仿宋"/>
                <w:color w:val="000000" w:themeColor="text1"/>
                <w:sz w:val="15"/>
                <w:szCs w:val="15"/>
                <w:lang w:val="en-US" w:eastAsia="zh-CN"/>
              </w:rPr>
              <w:t>2、</w:t>
            </w:r>
            <w:r>
              <w:rPr>
                <w:rFonts w:hint="eastAsia" w:ascii="仿宋" w:eastAsia="仿宋"/>
                <w:color w:val="000000" w:themeColor="text1"/>
                <w:sz w:val="15"/>
                <w:szCs w:val="15"/>
              </w:rPr>
              <w:t>《出租汽车服务质量信誉考核办法》（交运规[2022]2号）第十五条　出租汽车行政主管部门应每年组织开展本地区出租汽车企业的服务质量信誉考核工作，并在考核周期次年的4月底前完成。第十六条　出租汽车企业应在每年的2月底前，向服务所在地出租汽车行政主管部门申请上一年度服务质量信誉考核，并如实报送出租汽车企业服务质量信誉档案等材料。</w:t>
            </w:r>
            <w:r>
              <w:rPr>
                <w:rFonts w:hint="eastAsia" w:ascii="仿宋" w:eastAsia="仿宋"/>
                <w:color w:val="000000" w:themeColor="text1"/>
                <w:sz w:val="15"/>
                <w:szCs w:val="15"/>
                <w:lang w:val="en-US" w:eastAsia="zh-CN"/>
              </w:rPr>
              <w:t xml:space="preserve"> </w:t>
            </w:r>
          </w:p>
          <w:p w14:paraId="747D8FB4">
            <w:pPr>
              <w:keepNext w:val="0"/>
              <w:keepLines w:val="0"/>
              <w:pageBreakBefore w:val="0"/>
              <w:shd w:val="clear" w:color="auto" w:fill="FFFFFF"/>
              <w:kinsoku/>
              <w:wordWrap/>
              <w:overflowPunct/>
              <w:topLinePunct w:val="0"/>
              <w:autoSpaceDE/>
              <w:autoSpaceDN/>
              <w:bidi w:val="0"/>
              <w:adjustRightInd/>
              <w:snapToGrid w:val="0"/>
              <w:spacing w:beforeAutospacing="0" w:afterAutospacing="0" w:line="240" w:lineRule="atLeast"/>
              <w:textAlignment w:val="auto"/>
              <w:rPr>
                <w:rFonts w:ascii="微软雅黑" w:eastAsia="微软雅黑"/>
                <w:color w:val="000000" w:themeColor="text1"/>
                <w:sz w:val="17"/>
                <w:szCs w:val="17"/>
              </w:rPr>
            </w:pPr>
            <w:r>
              <w:rPr>
                <w:rFonts w:hint="eastAsia" w:ascii="仿宋" w:eastAsia="仿宋" w:cs="仿宋_GB2312"/>
                <w:color w:val="000000" w:themeColor="text1"/>
                <w:sz w:val="15"/>
                <w:szCs w:val="15"/>
              </w:rPr>
              <w:t>【三定规定】抚办字【</w:t>
            </w:r>
            <w:r>
              <w:rPr>
                <w:rFonts w:ascii="仿宋" w:eastAsia="仿宋" w:cs="仿宋_GB2312"/>
                <w:color w:val="000000" w:themeColor="text1"/>
                <w:sz w:val="15"/>
                <w:szCs w:val="15"/>
              </w:rPr>
              <w:t>2019</w:t>
            </w:r>
            <w:r>
              <w:rPr>
                <w:rFonts w:hint="eastAsia" w:ascii="仿宋" w:eastAsia="仿宋" w:cs="仿宋_GB2312"/>
                <w:color w:val="000000" w:themeColor="text1"/>
                <w:sz w:val="15"/>
                <w:szCs w:val="15"/>
              </w:rPr>
              <w:t>】</w:t>
            </w:r>
            <w:r>
              <w:rPr>
                <w:rFonts w:ascii="仿宋" w:eastAsia="仿宋" w:cs="仿宋_GB2312"/>
                <w:color w:val="000000" w:themeColor="text1"/>
                <w:sz w:val="15"/>
                <w:szCs w:val="15"/>
              </w:rPr>
              <w:t>11</w:t>
            </w:r>
            <w:r>
              <w:rPr>
                <w:rFonts w:hint="eastAsia" w:ascii="仿宋" w:eastAsia="仿宋" w:cs="仿宋_GB2312"/>
                <w:color w:val="000000" w:themeColor="text1"/>
                <w:sz w:val="15"/>
                <w:szCs w:val="15"/>
              </w:rPr>
              <w:t>号第三条第五款承担全区道路运输市场监管责任。执行道路运输有关政策、技术标准和运营规范并监督实施。负责城乡客运及有关设施规划和管理，推动城乡客运一体化建设。</w:t>
            </w:r>
          </w:p>
        </w:tc>
      </w:tr>
      <w:tr w14:paraId="241E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3AF7E47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571642F0">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17F06A0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39E156DB">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4ED4A35F">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30203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0F367135">
            <w:pPr>
              <w:rPr>
                <w:color w:val="000000" w:themeColor="text1"/>
              </w:rPr>
            </w:pPr>
          </w:p>
        </w:tc>
        <w:tc>
          <w:tcPr>
            <w:tcW w:w="1050" w:type="dxa"/>
            <w:vAlign w:val="center"/>
          </w:tcPr>
          <w:p w14:paraId="4CC73A10">
            <w:pPr>
              <w:jc w:val="cente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受理</w:t>
            </w:r>
          </w:p>
        </w:tc>
        <w:tc>
          <w:tcPr>
            <w:tcW w:w="5287" w:type="dxa"/>
            <w:gridSpan w:val="5"/>
            <w:vAlign w:val="center"/>
          </w:tcPr>
          <w:p w14:paraId="05D82958">
            <w:pPr>
              <w:adjustRightInd w:val="0"/>
              <w:snapToGrid w:val="0"/>
              <w:spacing w:line="240" w:lineRule="exact"/>
              <w:jc w:val="center"/>
              <w:rPr>
                <w:rFonts w:hint="eastAsia" w:ascii="仿宋" w:hAnsi="仿宋" w:eastAsia="仿宋" w:cs="仿宋"/>
                <w:color w:val="000000" w:themeColor="text1"/>
                <w:sz w:val="18"/>
                <w:szCs w:val="18"/>
              </w:rPr>
            </w:pPr>
            <w:r>
              <w:rPr>
                <w:rStyle w:val="25"/>
                <w:rFonts w:hint="eastAsia" w:ascii="仿宋" w:hAnsi="仿宋" w:eastAsia="仿宋" w:cs="仿宋"/>
                <w:color w:val="000000" w:themeColor="text1"/>
                <w:sz w:val="18"/>
                <w:szCs w:val="18"/>
              </w:rPr>
              <w:t>公示需要提交的材料，对符合申请条件、材料齐全的予以受理，对材料不齐的，一次性告知补正的材料，对不符合申请条件的，不予受理并告知申请人不予受理的理由</w:t>
            </w:r>
            <w:r>
              <w:rPr>
                <w:rFonts w:hint="eastAsia" w:ascii="仿宋" w:hAnsi="仿宋" w:eastAsia="仿宋" w:cs="仿宋"/>
                <w:color w:val="000000" w:themeColor="text1"/>
                <w:kern w:val="0"/>
                <w:sz w:val="18"/>
                <w:szCs w:val="18"/>
              </w:rPr>
              <w:t>。</w:t>
            </w:r>
          </w:p>
        </w:tc>
        <w:tc>
          <w:tcPr>
            <w:tcW w:w="996" w:type="dxa"/>
            <w:gridSpan w:val="2"/>
            <w:vAlign w:val="center"/>
          </w:tcPr>
          <w:p w14:paraId="5FD7068D">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057B5CD3">
            <w:pPr>
              <w:jc w:val="center"/>
              <w:rPr>
                <w:rFonts w:hint="eastAsia"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lang w:val="en-US" w:eastAsia="zh-CN"/>
              </w:rPr>
              <w:t>政务服务中心交通窗口</w:t>
            </w:r>
          </w:p>
        </w:tc>
      </w:tr>
      <w:tr w14:paraId="0FD59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64" w:hRule="atLeast"/>
          <w:jc w:val="center"/>
        </w:trPr>
        <w:tc>
          <w:tcPr>
            <w:tcW w:w="1463" w:type="dxa"/>
            <w:vMerge w:val="continue"/>
            <w:vAlign w:val="center"/>
          </w:tcPr>
          <w:p w14:paraId="1A8B5334">
            <w:pPr>
              <w:rPr>
                <w:color w:val="000000" w:themeColor="text1"/>
              </w:rPr>
            </w:pPr>
          </w:p>
        </w:tc>
        <w:tc>
          <w:tcPr>
            <w:tcW w:w="1050" w:type="dxa"/>
            <w:vAlign w:val="center"/>
          </w:tcPr>
          <w:p w14:paraId="0AF3D3E9">
            <w:pPr>
              <w:jc w:val="cente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审核</w:t>
            </w:r>
          </w:p>
        </w:tc>
        <w:tc>
          <w:tcPr>
            <w:tcW w:w="5287" w:type="dxa"/>
            <w:gridSpan w:val="5"/>
            <w:vAlign w:val="center"/>
          </w:tcPr>
          <w:p w14:paraId="279DCC4F">
            <w:pPr>
              <w:adjustRightInd w:val="0"/>
              <w:snapToGrid w:val="0"/>
              <w:spacing w:line="240" w:lineRule="exact"/>
              <w:jc w:val="center"/>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对提交</w:t>
            </w:r>
            <w:r>
              <w:rPr>
                <w:rFonts w:hint="eastAsia" w:ascii="仿宋" w:hAnsi="仿宋" w:eastAsia="仿宋" w:cs="仿宋"/>
                <w:color w:val="000000" w:themeColor="text1"/>
                <w:sz w:val="18"/>
                <w:szCs w:val="18"/>
                <w:lang w:eastAsia="zh-CN"/>
              </w:rPr>
              <w:t>的</w:t>
            </w:r>
            <w:r>
              <w:rPr>
                <w:rFonts w:hint="eastAsia" w:ascii="仿宋" w:hAnsi="仿宋" w:eastAsia="仿宋" w:cs="仿宋"/>
                <w:color w:val="000000" w:themeColor="text1"/>
                <w:sz w:val="18"/>
                <w:szCs w:val="18"/>
              </w:rPr>
              <w:t>材料</w:t>
            </w:r>
            <w:r>
              <w:rPr>
                <w:rFonts w:hint="eastAsia" w:ascii="仿宋" w:hAnsi="仿宋" w:eastAsia="仿宋" w:cs="仿宋"/>
                <w:color w:val="000000" w:themeColor="text1"/>
                <w:sz w:val="18"/>
                <w:szCs w:val="18"/>
                <w:lang w:eastAsia="zh-CN"/>
              </w:rPr>
              <w:t>进行</w:t>
            </w:r>
            <w:r>
              <w:rPr>
                <w:rFonts w:hint="eastAsia" w:ascii="仿宋" w:hAnsi="仿宋" w:eastAsia="仿宋" w:cs="仿宋"/>
                <w:color w:val="000000" w:themeColor="text1"/>
                <w:sz w:val="18"/>
                <w:szCs w:val="18"/>
              </w:rPr>
              <w:t>审核</w:t>
            </w:r>
          </w:p>
        </w:tc>
        <w:tc>
          <w:tcPr>
            <w:tcW w:w="996" w:type="dxa"/>
            <w:gridSpan w:val="2"/>
            <w:vAlign w:val="center"/>
          </w:tcPr>
          <w:p w14:paraId="1CD0DE65">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tcPr>
          <w:p w14:paraId="0F6AB791">
            <w:pPr>
              <w:jc w:val="center"/>
              <w:rPr>
                <w:rFonts w:hint="eastAsia" w:eastAsia="仿宋_GB2312"/>
                <w:color w:val="000000" w:themeColor="text1"/>
                <w:lang w:eastAsia="zh-CN"/>
              </w:rPr>
            </w:pPr>
            <w:r>
              <w:rPr>
                <w:rFonts w:hint="eastAsia" w:ascii="仿宋_GB2312" w:eastAsia="仿宋_GB2312" w:cs="黑体"/>
                <w:color w:val="000000" w:themeColor="text1"/>
                <w:sz w:val="18"/>
                <w:szCs w:val="18"/>
              </w:rPr>
              <w:t>区交通运输</w:t>
            </w:r>
            <w:r>
              <w:rPr>
                <w:rFonts w:hint="eastAsia" w:ascii="仿宋_GB2312" w:eastAsia="仿宋_GB2312" w:cs="黑体"/>
                <w:color w:val="000000" w:themeColor="text1"/>
                <w:sz w:val="18"/>
                <w:szCs w:val="18"/>
                <w:lang w:eastAsia="zh-CN"/>
              </w:rPr>
              <w:t>局运输管理股</w:t>
            </w:r>
          </w:p>
        </w:tc>
      </w:tr>
      <w:tr w14:paraId="557C6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5" w:hRule="atLeast"/>
          <w:jc w:val="center"/>
        </w:trPr>
        <w:tc>
          <w:tcPr>
            <w:tcW w:w="1463" w:type="dxa"/>
            <w:vMerge w:val="continue"/>
            <w:vAlign w:val="center"/>
          </w:tcPr>
          <w:p w14:paraId="662847C2">
            <w:pPr>
              <w:rPr>
                <w:color w:val="000000" w:themeColor="text1"/>
              </w:rPr>
            </w:pPr>
          </w:p>
        </w:tc>
        <w:tc>
          <w:tcPr>
            <w:tcW w:w="1050" w:type="dxa"/>
            <w:vAlign w:val="center"/>
          </w:tcPr>
          <w:p w14:paraId="47301EDE">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公示</w:t>
            </w:r>
          </w:p>
        </w:tc>
        <w:tc>
          <w:tcPr>
            <w:tcW w:w="5287" w:type="dxa"/>
            <w:gridSpan w:val="5"/>
            <w:vAlign w:val="center"/>
          </w:tcPr>
          <w:p w14:paraId="405BDB70">
            <w:pPr>
              <w:adjustRightInd w:val="0"/>
              <w:snapToGrid w:val="0"/>
              <w:spacing w:line="240" w:lineRule="exact"/>
              <w:jc w:val="center"/>
              <w:rPr>
                <w:rFonts w:hint="eastAsia" w:ascii="仿宋" w:hAnsi="仿宋" w:eastAsia="仿宋" w:cs="仿宋"/>
                <w:color w:val="000000" w:themeColor="text1"/>
                <w:sz w:val="18"/>
                <w:szCs w:val="18"/>
              </w:rPr>
            </w:pPr>
            <w:r>
              <w:rPr>
                <w:rFonts w:hint="eastAsia" w:ascii="仿宋" w:hAnsi="仿宋" w:eastAsia="仿宋" w:cs="仿宋"/>
                <w:i w:val="0"/>
                <w:iCs w:val="0"/>
                <w:caps w:val="0"/>
                <w:color w:val="000000" w:themeColor="text1"/>
                <w:spacing w:val="0"/>
                <w:sz w:val="18"/>
                <w:szCs w:val="18"/>
                <w:shd w:val="clear" w:fill="FFFFFF"/>
              </w:rPr>
              <w:t>根据《出租汽车服务质量信誉考核办法》规定的出租汽车经营者服务质量信誉考核等级，对出租汽车企业的服务质量、信誉等方面进行综合评价</w:t>
            </w:r>
            <w:r>
              <w:rPr>
                <w:rFonts w:hint="eastAsia" w:ascii="仿宋" w:hAnsi="仿宋" w:eastAsia="仿宋" w:cs="仿宋"/>
                <w:i w:val="0"/>
                <w:iCs w:val="0"/>
                <w:caps w:val="0"/>
                <w:color w:val="000000" w:themeColor="text1"/>
                <w:spacing w:val="0"/>
                <w:sz w:val="18"/>
                <w:szCs w:val="18"/>
                <w:shd w:val="clear" w:fill="FFFFFF"/>
                <w:lang w:eastAsia="zh-CN"/>
              </w:rPr>
              <w:t>，作出初步考核意见并公示。</w:t>
            </w:r>
          </w:p>
        </w:tc>
        <w:tc>
          <w:tcPr>
            <w:tcW w:w="996" w:type="dxa"/>
            <w:gridSpan w:val="2"/>
            <w:vAlign w:val="center"/>
          </w:tcPr>
          <w:p w14:paraId="79D5C5B3">
            <w:pPr>
              <w:jc w:val="center"/>
              <w:rPr>
                <w:rFonts w:hint="eastAsia"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lang w:val="en-US" w:eastAsia="zh-CN"/>
              </w:rPr>
              <w:t>7个工作日</w:t>
            </w:r>
          </w:p>
        </w:tc>
        <w:tc>
          <w:tcPr>
            <w:tcW w:w="1502" w:type="dxa"/>
          </w:tcPr>
          <w:p w14:paraId="619BBA3F">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w:t>
            </w:r>
            <w:r>
              <w:rPr>
                <w:rFonts w:hint="eastAsia" w:ascii="仿宋_GB2312" w:eastAsia="仿宋_GB2312" w:cs="黑体"/>
                <w:color w:val="000000" w:themeColor="text1"/>
                <w:sz w:val="18"/>
                <w:szCs w:val="18"/>
                <w:lang w:eastAsia="zh-CN"/>
              </w:rPr>
              <w:t>局运输管理股</w:t>
            </w:r>
          </w:p>
        </w:tc>
      </w:tr>
      <w:tr w14:paraId="5CD0D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22CF0DF8">
            <w:pPr>
              <w:rPr>
                <w:color w:val="000000" w:themeColor="text1"/>
              </w:rPr>
            </w:pPr>
          </w:p>
        </w:tc>
        <w:tc>
          <w:tcPr>
            <w:tcW w:w="1050" w:type="dxa"/>
            <w:vAlign w:val="center"/>
          </w:tcPr>
          <w:p w14:paraId="1ECCF7E9">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评定</w:t>
            </w:r>
          </w:p>
        </w:tc>
        <w:tc>
          <w:tcPr>
            <w:tcW w:w="5287" w:type="dxa"/>
            <w:gridSpan w:val="5"/>
            <w:vAlign w:val="center"/>
          </w:tcPr>
          <w:p w14:paraId="1C48C18B">
            <w:pPr>
              <w:adjustRightInd w:val="0"/>
              <w:snapToGrid w:val="0"/>
              <w:spacing w:line="240" w:lineRule="exact"/>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公示后无异议的，根据各项指标的考核结果对出租汽车企业的服务质量信誉等级进行最终评定并逐级上报，记入档案。</w:t>
            </w:r>
          </w:p>
        </w:tc>
        <w:tc>
          <w:tcPr>
            <w:tcW w:w="996" w:type="dxa"/>
            <w:gridSpan w:val="2"/>
            <w:vAlign w:val="center"/>
          </w:tcPr>
          <w:p w14:paraId="3CE88AAC">
            <w:pPr>
              <w:jc w:val="center"/>
              <w:rPr>
                <w:rFonts w:hint="eastAsia"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lang w:val="en-US" w:eastAsia="zh-CN"/>
              </w:rPr>
              <w:t>5个工作日</w:t>
            </w:r>
          </w:p>
        </w:tc>
        <w:tc>
          <w:tcPr>
            <w:tcW w:w="1502" w:type="dxa"/>
          </w:tcPr>
          <w:p w14:paraId="582BB83F">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rPr>
              <w:t>区交通运输</w:t>
            </w:r>
            <w:r>
              <w:rPr>
                <w:rFonts w:hint="eastAsia" w:ascii="仿宋_GB2312" w:eastAsia="仿宋_GB2312" w:cs="黑体"/>
                <w:color w:val="000000" w:themeColor="text1"/>
                <w:sz w:val="18"/>
                <w:szCs w:val="18"/>
                <w:lang w:eastAsia="zh-CN"/>
              </w:rPr>
              <w:t>局运输管理股</w:t>
            </w:r>
          </w:p>
        </w:tc>
      </w:tr>
      <w:tr w14:paraId="1687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121AE34D">
            <w:pPr>
              <w:rPr>
                <w:color w:val="000000" w:themeColor="text1"/>
              </w:rPr>
            </w:pPr>
          </w:p>
        </w:tc>
        <w:tc>
          <w:tcPr>
            <w:tcW w:w="1050" w:type="dxa"/>
            <w:vAlign w:val="center"/>
          </w:tcPr>
          <w:p w14:paraId="0082C1F9">
            <w:pPr>
              <w:jc w:val="center"/>
              <w:rPr>
                <w:rFonts w:hint="eastAsia" w:ascii="仿宋" w:hAnsi="仿宋" w:eastAsia="仿宋" w:cs="仿宋"/>
                <w:color w:val="000000" w:themeColor="text1"/>
                <w:sz w:val="18"/>
                <w:szCs w:val="18"/>
                <w:lang w:eastAsia="zh-CN"/>
              </w:rPr>
            </w:pPr>
            <w:r>
              <w:rPr>
                <w:rFonts w:hint="eastAsia" w:ascii="仿宋" w:hAnsi="仿宋" w:eastAsia="仿宋" w:cs="仿宋"/>
                <w:color w:val="000000" w:themeColor="text1"/>
                <w:sz w:val="18"/>
                <w:szCs w:val="18"/>
                <w:lang w:eastAsia="zh-CN"/>
              </w:rPr>
              <w:t>办结</w:t>
            </w:r>
          </w:p>
        </w:tc>
        <w:tc>
          <w:tcPr>
            <w:tcW w:w="5287" w:type="dxa"/>
            <w:gridSpan w:val="5"/>
            <w:vAlign w:val="center"/>
          </w:tcPr>
          <w:p w14:paraId="7A4B6123">
            <w:pPr>
              <w:adjustRightInd w:val="0"/>
              <w:snapToGrid w:val="0"/>
              <w:spacing w:line="240" w:lineRule="exact"/>
              <w:jc w:val="center"/>
              <w:rPr>
                <w:rFonts w:hint="eastAsia" w:ascii="仿宋" w:hAnsi="仿宋" w:eastAsia="仿宋" w:cs="仿宋"/>
                <w:color w:val="000000" w:themeColor="text1"/>
                <w:sz w:val="18"/>
                <w:szCs w:val="18"/>
                <w:lang w:val="en-US" w:eastAsia="zh-CN"/>
              </w:rPr>
            </w:pPr>
            <w:r>
              <w:rPr>
                <w:rFonts w:hint="eastAsia" w:ascii="仿宋" w:hAnsi="仿宋" w:eastAsia="仿宋" w:cs="仿宋"/>
                <w:color w:val="000000" w:themeColor="text1"/>
                <w:sz w:val="18"/>
                <w:szCs w:val="18"/>
                <w:lang w:val="en-US" w:eastAsia="zh-CN"/>
              </w:rPr>
              <w:t>年审签章。</w:t>
            </w:r>
          </w:p>
        </w:tc>
        <w:tc>
          <w:tcPr>
            <w:tcW w:w="996" w:type="dxa"/>
            <w:gridSpan w:val="2"/>
            <w:vAlign w:val="center"/>
          </w:tcPr>
          <w:p w14:paraId="64D13FB4">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tcPr>
          <w:p w14:paraId="79849ADA">
            <w:pPr>
              <w:jc w:val="center"/>
              <w:rPr>
                <w:color w:val="000000" w:themeColor="text1"/>
              </w:rPr>
            </w:pPr>
            <w:r>
              <w:rPr>
                <w:rFonts w:hint="eastAsia" w:ascii="仿宋_GB2312" w:eastAsia="仿宋_GB2312" w:cs="黑体"/>
                <w:color w:val="000000" w:themeColor="text1"/>
                <w:sz w:val="18"/>
                <w:szCs w:val="18"/>
                <w:lang w:val="en-US" w:eastAsia="zh-CN"/>
              </w:rPr>
              <w:t>政务服务中心交通窗口</w:t>
            </w:r>
          </w:p>
        </w:tc>
      </w:tr>
      <w:tr w14:paraId="48883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1B6AB763">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826" w:type="dxa"/>
            <w:gridSpan w:val="4"/>
            <w:tcBorders>
              <w:right w:val="single" w:color="auto" w:sz="4" w:space="0"/>
            </w:tcBorders>
            <w:shd w:val="clear" w:color="auto" w:fill="auto"/>
            <w:vAlign w:val="center"/>
          </w:tcPr>
          <w:p w14:paraId="49B80E62">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现场办理、线上办理</w:t>
            </w:r>
            <w:r>
              <w:rPr>
                <w:rFonts w:hint="eastAsia" w:ascii="Times New Roman" w:hAnsi="Times New Roman" w:eastAsia="方正仿宋_GBK" w:cs="Times New Roman"/>
                <w:color w:val="000000" w:themeColor="text1"/>
                <w:sz w:val="18"/>
                <w:szCs w:val="18"/>
                <w:lang w:val="en-US" w:eastAsia="zh-CN"/>
              </w:rPr>
              <w:t>(河北政务服务网）</w:t>
            </w:r>
          </w:p>
        </w:tc>
        <w:tc>
          <w:tcPr>
            <w:tcW w:w="1511" w:type="dxa"/>
            <w:gridSpan w:val="2"/>
            <w:tcBorders>
              <w:left w:val="single" w:color="auto" w:sz="4" w:space="0"/>
            </w:tcBorders>
            <w:shd w:val="clear" w:color="auto" w:fill="auto"/>
            <w:vAlign w:val="center"/>
          </w:tcPr>
          <w:p w14:paraId="271F9FA0">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6099247B">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56888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shd w:val="clear" w:color="auto" w:fill="auto"/>
            <w:vAlign w:val="center"/>
          </w:tcPr>
          <w:p w14:paraId="792D74DB">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0C008F4E">
            <w:pPr>
              <w:keepNext w:val="0"/>
              <w:keepLines w:val="0"/>
              <w:pageBreakBefore w:val="0"/>
              <w:widowControl w:val="0"/>
              <w:shd w:val="clear" w:color="auto" w:fill="FFFFFF"/>
              <w:kinsoku/>
              <w:wordWrap/>
              <w:overflowPunct/>
              <w:topLinePunct w:val="0"/>
              <w:autoSpaceDE/>
              <w:autoSpaceDN/>
              <w:bidi w:val="0"/>
              <w:adjustRightInd/>
              <w:snapToGrid w:val="0"/>
              <w:spacing w:line="240" w:lineRule="atLeast"/>
              <w:textAlignment w:val="auto"/>
              <w:rPr>
                <w:rFonts w:hint="eastAsia" w:ascii="仿宋_GB2312" w:eastAsia="微软雅黑" w:cs="黑体"/>
                <w:color w:val="000000" w:themeColor="text1"/>
                <w:sz w:val="18"/>
                <w:szCs w:val="18"/>
                <w:lang w:val="en-US" w:eastAsia="zh-CN"/>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hAnsi="仿宋" w:eastAsia="仿宋" w:cs="仿宋"/>
                <w:i w:val="0"/>
                <w:iCs w:val="0"/>
                <w:caps w:val="0"/>
                <w:color w:val="000000" w:themeColor="text1"/>
                <w:spacing w:val="0"/>
                <w:sz w:val="18"/>
                <w:szCs w:val="18"/>
                <w:shd w:val="clear" w:color="auto" w:fill="auto"/>
              </w:rPr>
              <w:t>企业基本情况，包括出租汽车经营许可证、营业执照以及从业人员、车辆台账等情况</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2、</w:t>
            </w:r>
            <w:r>
              <w:rPr>
                <w:rFonts w:hint="eastAsia" w:ascii="仿宋" w:hAnsi="仿宋" w:eastAsia="仿宋" w:cs="仿宋"/>
                <w:i w:val="0"/>
                <w:iCs w:val="0"/>
                <w:caps w:val="0"/>
                <w:color w:val="000000" w:themeColor="text1"/>
                <w:spacing w:val="0"/>
                <w:sz w:val="18"/>
                <w:szCs w:val="18"/>
                <w:shd w:val="clear" w:color="auto" w:fill="auto"/>
              </w:rPr>
              <w:t>企业管理情况，包括管理制度、劳动合同或经营合同、安装卫星定位系统、培训教育等情况</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3、</w:t>
            </w:r>
            <w:r>
              <w:rPr>
                <w:rFonts w:hint="eastAsia" w:ascii="仿宋" w:hAnsi="仿宋" w:eastAsia="仿宋" w:cs="仿宋"/>
                <w:i w:val="0"/>
                <w:iCs w:val="0"/>
                <w:caps w:val="0"/>
                <w:color w:val="000000" w:themeColor="text1"/>
                <w:spacing w:val="0"/>
                <w:sz w:val="18"/>
                <w:szCs w:val="18"/>
                <w:shd w:val="clear" w:color="auto" w:fill="auto"/>
              </w:rPr>
              <w:t>安全运营情况，包括安全责任制度、交通事故责任认定书、交通事故处理、对驾驶员交通违法行为的行政处罚等情况</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4、</w:t>
            </w:r>
            <w:r>
              <w:rPr>
                <w:rFonts w:hint="eastAsia" w:ascii="仿宋" w:hAnsi="仿宋" w:eastAsia="仿宋" w:cs="仿宋"/>
                <w:i w:val="0"/>
                <w:iCs w:val="0"/>
                <w:caps w:val="0"/>
                <w:color w:val="000000" w:themeColor="text1"/>
                <w:spacing w:val="0"/>
                <w:sz w:val="18"/>
                <w:szCs w:val="18"/>
                <w:shd w:val="clear" w:color="auto" w:fill="auto"/>
              </w:rPr>
              <w:t>运营服务情况，包括企业和驾驶员经营违规行为被行政处罚的情况、服务投诉、媒体曝光、核查处理和整改等情况</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5、</w:t>
            </w:r>
            <w:r>
              <w:rPr>
                <w:rFonts w:hint="eastAsia" w:ascii="仿宋" w:hAnsi="仿宋" w:eastAsia="仿宋" w:cs="仿宋"/>
                <w:i w:val="0"/>
                <w:iCs w:val="0"/>
                <w:caps w:val="0"/>
                <w:color w:val="000000" w:themeColor="text1"/>
                <w:spacing w:val="0"/>
                <w:sz w:val="18"/>
                <w:szCs w:val="18"/>
                <w:shd w:val="clear" w:color="auto" w:fill="auto"/>
              </w:rPr>
              <w:t>社会责任情况，包括影响社会稳定事件的时间、主要原因、事件经过、参加人数、社会影响和处理等情况</w:t>
            </w:r>
            <w:r>
              <w:rPr>
                <w:rFonts w:hint="eastAsia" w:ascii="仿宋" w:hAnsi="仿宋" w:eastAsia="仿宋" w:cs="仿宋"/>
                <w:i w:val="0"/>
                <w:iCs w:val="0"/>
                <w:caps w:val="0"/>
                <w:color w:val="000000" w:themeColor="text1"/>
                <w:spacing w:val="0"/>
                <w:sz w:val="18"/>
                <w:szCs w:val="18"/>
                <w:shd w:val="clear" w:color="auto" w:fill="auto"/>
                <w:lang w:eastAsia="zh-CN"/>
              </w:rPr>
              <w:t>；</w:t>
            </w:r>
            <w:r>
              <w:rPr>
                <w:rFonts w:hint="eastAsia" w:ascii="仿宋" w:hAnsi="仿宋" w:eastAsia="仿宋" w:cs="仿宋"/>
                <w:i w:val="0"/>
                <w:iCs w:val="0"/>
                <w:caps w:val="0"/>
                <w:color w:val="000000" w:themeColor="text1"/>
                <w:spacing w:val="0"/>
                <w:sz w:val="18"/>
                <w:szCs w:val="18"/>
                <w:shd w:val="clear" w:color="auto" w:fill="auto"/>
                <w:lang w:val="en-US" w:eastAsia="zh-CN"/>
              </w:rPr>
              <w:t>6、</w:t>
            </w:r>
            <w:r>
              <w:rPr>
                <w:rFonts w:hint="eastAsia" w:ascii="仿宋" w:hAnsi="仿宋" w:eastAsia="仿宋" w:cs="仿宋"/>
                <w:i w:val="0"/>
                <w:iCs w:val="0"/>
                <w:caps w:val="0"/>
                <w:color w:val="000000" w:themeColor="text1"/>
                <w:spacing w:val="0"/>
                <w:sz w:val="18"/>
                <w:szCs w:val="18"/>
                <w:shd w:val="clear" w:color="auto" w:fill="auto"/>
              </w:rPr>
              <w:t>加分项目情况，包括获得政府和部门表彰、社会公益、新能源车辆使用等情况</w:t>
            </w:r>
            <w:r>
              <w:rPr>
                <w:rFonts w:hint="eastAsia" w:ascii="仿宋" w:hAnsi="仿宋" w:eastAsia="仿宋" w:cs="仿宋"/>
                <w:i w:val="0"/>
                <w:iCs w:val="0"/>
                <w:caps w:val="0"/>
                <w:color w:val="000000" w:themeColor="text1"/>
                <w:spacing w:val="0"/>
                <w:sz w:val="18"/>
                <w:szCs w:val="18"/>
                <w:shd w:val="clear" w:color="auto" w:fill="auto"/>
                <w:lang w:eastAsia="zh-CN"/>
              </w:rPr>
              <w:t>。</w:t>
            </w:r>
          </w:p>
        </w:tc>
      </w:tr>
      <w:tr w14:paraId="47ECA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0" w:hRule="atLeast"/>
          <w:jc w:val="center"/>
        </w:trPr>
        <w:tc>
          <w:tcPr>
            <w:tcW w:w="1463" w:type="dxa"/>
            <w:vAlign w:val="center"/>
          </w:tcPr>
          <w:p w14:paraId="03574C0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59824CB2">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33C0B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463" w:type="dxa"/>
            <w:vAlign w:val="center"/>
          </w:tcPr>
          <w:p w14:paraId="2CBB0ACC">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6F7EAA05">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ascii="仿宋_GB2312" w:eastAsia="仿宋_GB2312" w:cs="黑体"/>
                <w:color w:val="000000" w:themeColor="text1"/>
                <w:kern w:val="0"/>
                <w:sz w:val="18"/>
                <w:szCs w:val="18"/>
              </w:rPr>
              <w:t>6680061      2.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4F6388BD">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79A12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670" w:hRule="atLeast"/>
          <w:jc w:val="center"/>
        </w:trPr>
        <w:tc>
          <w:tcPr>
            <w:tcW w:w="1463" w:type="dxa"/>
            <w:vAlign w:val="center"/>
          </w:tcPr>
          <w:p w14:paraId="7956AD4E">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12E7A81F">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1614E702">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277FB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7" w:hRule="atLeast"/>
          <w:jc w:val="center"/>
        </w:trPr>
        <w:tc>
          <w:tcPr>
            <w:tcW w:w="1463" w:type="dxa"/>
            <w:vAlign w:val="center"/>
          </w:tcPr>
          <w:p w14:paraId="7F5E97F7">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06BFC97E">
            <w:pPr>
              <w:widowControl/>
              <w:jc w:val="left"/>
              <w:textAlignment w:val="center"/>
              <w:rPr>
                <w:rFonts w:ascii="黑体" w:eastAsia="黑体" w:cs="黑体"/>
                <w:color w:val="000000" w:themeColor="text1"/>
                <w:kern w:val="0"/>
                <w:sz w:val="18"/>
                <w:szCs w:val="18"/>
              </w:rPr>
            </w:pPr>
          </w:p>
        </w:tc>
      </w:tr>
    </w:tbl>
    <w:p w14:paraId="2725A00C">
      <w:pPr>
        <w:rPr>
          <w:color w:val="000000" w:themeColor="text1"/>
        </w:rPr>
      </w:pPr>
    </w:p>
    <w:p w14:paraId="12FBD2E4">
      <w:pPr>
        <w:widowControl/>
        <w:jc w:val="center"/>
        <w:textAlignment w:val="center"/>
        <w:rPr>
          <w:rFonts w:ascii="方正小标宋简体" w:eastAsia="方正小标宋简体" w:cs="方正小标宋简体"/>
          <w:color w:val="000000" w:themeColor="text1"/>
          <w:kern w:val="0"/>
          <w:sz w:val="44"/>
          <w:szCs w:val="44"/>
        </w:rPr>
      </w:pPr>
      <w:r>
        <w:rPr>
          <w:rFonts w:hint="eastAsia" w:ascii="方正小标宋简体" w:eastAsia="方正小标宋简体" w:cs="方正小标宋简体"/>
          <w:color w:val="000000" w:themeColor="text1"/>
          <w:kern w:val="0"/>
          <w:sz w:val="44"/>
          <w:szCs w:val="44"/>
        </w:rPr>
        <w:t>履职行权规程（其他权力类）</w:t>
      </w:r>
    </w:p>
    <w:tbl>
      <w:tblPr>
        <w:tblStyle w:val="9"/>
        <w:tblW w:w="102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1463"/>
        <w:gridCol w:w="1050"/>
        <w:gridCol w:w="641"/>
        <w:gridCol w:w="1691"/>
        <w:gridCol w:w="1354"/>
        <w:gridCol w:w="609"/>
        <w:gridCol w:w="992"/>
        <w:gridCol w:w="567"/>
        <w:gridCol w:w="429"/>
        <w:gridCol w:w="1502"/>
      </w:tblGrid>
      <w:tr w14:paraId="6217B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4" w:hRule="atLeast"/>
          <w:jc w:val="center"/>
        </w:trPr>
        <w:tc>
          <w:tcPr>
            <w:tcW w:w="1463" w:type="dxa"/>
            <w:vAlign w:val="center"/>
          </w:tcPr>
          <w:p w14:paraId="7AF9D3E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编号</w:t>
            </w:r>
          </w:p>
        </w:tc>
        <w:tc>
          <w:tcPr>
            <w:tcW w:w="1691" w:type="dxa"/>
            <w:gridSpan w:val="2"/>
            <w:vAlign w:val="center"/>
          </w:tcPr>
          <w:p w14:paraId="52A110D4">
            <w:pPr>
              <w:jc w:val="center"/>
              <w:rPr>
                <w:rFonts w:hint="eastAsia" w:ascii="黑体" w:eastAsia="黑体" w:cs="黑体"/>
                <w:b/>
                <w:bCs/>
                <w:color w:val="000000" w:themeColor="text1"/>
                <w:szCs w:val="21"/>
                <w:lang w:val="en-US" w:eastAsia="zh-CN"/>
              </w:rPr>
            </w:pPr>
            <w:r>
              <w:rPr>
                <w:rFonts w:ascii="黑体" w:eastAsia="黑体" w:cs="黑体"/>
                <w:b/>
                <w:bCs/>
                <w:color w:val="000000" w:themeColor="text1"/>
                <w:szCs w:val="21"/>
              </w:rPr>
              <w:t>24</w:t>
            </w:r>
            <w:r>
              <w:rPr>
                <w:rFonts w:hint="eastAsia" w:ascii="黑体" w:eastAsia="黑体" w:cs="黑体"/>
                <w:b/>
                <w:bCs/>
                <w:color w:val="000000" w:themeColor="text1"/>
                <w:szCs w:val="21"/>
                <w:lang w:val="en-US" w:eastAsia="zh-CN"/>
              </w:rPr>
              <w:t>7</w:t>
            </w:r>
          </w:p>
        </w:tc>
        <w:tc>
          <w:tcPr>
            <w:tcW w:w="1691" w:type="dxa"/>
            <w:vAlign w:val="center"/>
          </w:tcPr>
          <w:p w14:paraId="0809C598">
            <w:pPr>
              <w:jc w:val="center"/>
              <w:rPr>
                <w:rFonts w:ascii="黑体" w:eastAsia="黑体" w:cs="黑体"/>
                <w:b/>
                <w:bCs/>
                <w:color w:val="000000" w:themeColor="text1"/>
                <w:szCs w:val="21"/>
              </w:rPr>
            </w:pPr>
            <w:r>
              <w:rPr>
                <w:rFonts w:hint="eastAsia" w:ascii="黑体" w:eastAsia="黑体" w:cs="黑体"/>
                <w:b/>
                <w:bCs/>
                <w:color w:val="000000" w:themeColor="text1"/>
                <w:kern w:val="0"/>
                <w:szCs w:val="21"/>
              </w:rPr>
              <w:t>权力类型</w:t>
            </w:r>
          </w:p>
        </w:tc>
        <w:tc>
          <w:tcPr>
            <w:tcW w:w="1963" w:type="dxa"/>
            <w:gridSpan w:val="2"/>
            <w:vAlign w:val="center"/>
          </w:tcPr>
          <w:p w14:paraId="5B16B37B">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其他权力</w:t>
            </w:r>
          </w:p>
        </w:tc>
        <w:tc>
          <w:tcPr>
            <w:tcW w:w="1559" w:type="dxa"/>
            <w:gridSpan w:val="2"/>
            <w:vAlign w:val="center"/>
          </w:tcPr>
          <w:p w14:paraId="47C8D72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实施主体</w:t>
            </w:r>
          </w:p>
        </w:tc>
        <w:tc>
          <w:tcPr>
            <w:tcW w:w="1931" w:type="dxa"/>
            <w:gridSpan w:val="2"/>
            <w:vAlign w:val="center"/>
          </w:tcPr>
          <w:p w14:paraId="3363B439">
            <w:pPr>
              <w:widowControl/>
              <w:jc w:val="center"/>
              <w:textAlignment w:val="center"/>
              <w:rPr>
                <w:rFonts w:ascii="仿宋_GB2312" w:eastAsia="仿宋_GB2312" w:cs="仿宋_GB2312"/>
                <w:color w:val="000000" w:themeColor="text1"/>
                <w:kern w:val="0"/>
                <w:sz w:val="18"/>
                <w:szCs w:val="18"/>
              </w:rPr>
            </w:pPr>
            <w:r>
              <w:rPr>
                <w:rFonts w:hint="eastAsia" w:ascii="仿宋_GB2312" w:eastAsia="仿宋_GB2312" w:cs="仿宋_GB2312"/>
                <w:color w:val="000000" w:themeColor="text1"/>
                <w:kern w:val="0"/>
                <w:sz w:val="18"/>
                <w:szCs w:val="18"/>
              </w:rPr>
              <w:t>抚宁区交通运输局</w:t>
            </w:r>
          </w:p>
        </w:tc>
      </w:tr>
      <w:tr w14:paraId="5EB41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05" w:hRule="atLeast"/>
          <w:jc w:val="center"/>
        </w:trPr>
        <w:tc>
          <w:tcPr>
            <w:tcW w:w="1463" w:type="dxa"/>
            <w:vAlign w:val="center"/>
          </w:tcPr>
          <w:p w14:paraId="26B4A4B4">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事项名称</w:t>
            </w:r>
          </w:p>
        </w:tc>
        <w:tc>
          <w:tcPr>
            <w:tcW w:w="8835" w:type="dxa"/>
            <w:gridSpan w:val="9"/>
            <w:vAlign w:val="center"/>
          </w:tcPr>
          <w:p w14:paraId="3F35A77B">
            <w:pPr>
              <w:spacing w:line="240" w:lineRule="exact"/>
              <w:jc w:val="center"/>
              <w:rPr>
                <w:rFonts w:ascii="仿宋_GB2312" w:eastAsia="仿宋_GB2312" w:cs="黑体"/>
                <w:color w:val="000000" w:themeColor="text1"/>
                <w:sz w:val="18"/>
                <w:szCs w:val="18"/>
              </w:rPr>
            </w:pPr>
            <w:r>
              <w:rPr>
                <w:rFonts w:hint="eastAsia" w:ascii="仿宋" w:hAnsi="仿宋" w:eastAsia="仿宋" w:cs="仿宋_GB2312"/>
                <w:color w:val="000000" w:themeColor="text1"/>
                <w:kern w:val="0"/>
                <w:sz w:val="18"/>
                <w:szCs w:val="18"/>
                <w:lang w:eastAsia="zh-CN"/>
              </w:rPr>
              <w:t>公路工程质量监督手续办理</w:t>
            </w:r>
          </w:p>
        </w:tc>
      </w:tr>
      <w:tr w14:paraId="0D0CC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993" w:hRule="atLeast"/>
          <w:jc w:val="center"/>
        </w:trPr>
        <w:tc>
          <w:tcPr>
            <w:tcW w:w="1463" w:type="dxa"/>
            <w:vAlign w:val="center"/>
          </w:tcPr>
          <w:p w14:paraId="462CB412">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履职依据</w:t>
            </w:r>
          </w:p>
        </w:tc>
        <w:tc>
          <w:tcPr>
            <w:tcW w:w="8835" w:type="dxa"/>
            <w:gridSpan w:val="9"/>
            <w:vAlign w:val="center"/>
          </w:tcPr>
          <w:p w14:paraId="136E0EBB">
            <w:pPr>
              <w:keepNext w:val="0"/>
              <w:keepLines w:val="0"/>
              <w:pageBreakBefore w:val="0"/>
              <w:widowControl/>
              <w:kinsoku/>
              <w:wordWrap/>
              <w:overflowPunct/>
              <w:topLinePunct w:val="0"/>
              <w:autoSpaceDE/>
              <w:autoSpaceDN/>
              <w:bidi w:val="0"/>
              <w:adjustRightInd/>
              <w:snapToGrid w:val="0"/>
              <w:spacing w:line="240" w:lineRule="atLeast"/>
              <w:jc w:val="left"/>
              <w:textAlignment w:val="center"/>
              <w:rPr>
                <w:rFonts w:hint="eastAsia" w:ascii="仿宋" w:eastAsia="仿宋" w:cs="黑体"/>
                <w:color w:val="000000" w:themeColor="text1"/>
                <w:sz w:val="18"/>
                <w:szCs w:val="18"/>
                <w:lang w:eastAsia="zh-CN"/>
              </w:rPr>
            </w:pPr>
            <w:r>
              <w:rPr>
                <w:rFonts w:hint="eastAsia" w:ascii="仿宋" w:eastAsia="仿宋" w:cs="黑体"/>
                <w:color w:val="000000" w:themeColor="text1"/>
                <w:sz w:val="18"/>
                <w:szCs w:val="18"/>
              </w:rPr>
              <w:t>【法律法规】</w:t>
            </w:r>
            <w:r>
              <w:rPr>
                <w:rFonts w:hint="eastAsia" w:ascii="仿宋" w:eastAsia="仿宋" w:cs="黑体"/>
                <w:color w:val="000000" w:themeColor="text1"/>
                <w:sz w:val="18"/>
                <w:szCs w:val="18"/>
                <w:lang w:eastAsia="zh-CN"/>
              </w:rPr>
              <w:t>《公路水运工程质量监督管理规定》第二十二条　交通运输主管部门或者其委托的建设工程质量监督机构依法要求建设单位按规定办理质量监督手续。建设单位应当按照国家规定向交通运输主管部门或者其委托的建设工程质量监督机构提交以下材料，办理工程质量监督手续：（一）公路水运工程质量监督管理登记表；（二）交通运输主管部门批复的施工图设计文件；（三）施工、监理合同及招投标文件；（四）建设单位现场管理机构、人员、质量保证体系等文件；（五）本单位以及勘察、设计、施工、监理、试验检测等单位对其项目负责人、质量负责人的书面授权委托书、质量保证体系等文件；（六）依法要求提供的其他相关材料。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14:paraId="5199DF75">
            <w:pPr>
              <w:keepNext w:val="0"/>
              <w:keepLines w:val="0"/>
              <w:pageBreakBefore w:val="0"/>
              <w:widowControl/>
              <w:kinsoku/>
              <w:wordWrap/>
              <w:overflowPunct/>
              <w:topLinePunct w:val="0"/>
              <w:autoSpaceDE/>
              <w:autoSpaceDN/>
              <w:bidi w:val="0"/>
              <w:adjustRightInd/>
              <w:snapToGrid w:val="0"/>
              <w:spacing w:line="240" w:lineRule="atLeast"/>
              <w:jc w:val="left"/>
              <w:textAlignment w:val="center"/>
              <w:rPr>
                <w:rFonts w:ascii="微软雅黑" w:eastAsia="微软雅黑"/>
                <w:color w:val="000000" w:themeColor="text1"/>
                <w:sz w:val="17"/>
                <w:szCs w:val="17"/>
              </w:rPr>
            </w:pPr>
            <w:r>
              <w:rPr>
                <w:rFonts w:hint="eastAsia" w:ascii="仿宋" w:eastAsia="仿宋" w:cs="仿宋_GB2312"/>
                <w:color w:val="000000" w:themeColor="text1"/>
                <w:sz w:val="18"/>
                <w:szCs w:val="18"/>
              </w:rPr>
              <w:t>【三定规定】抚办字【</w:t>
            </w:r>
            <w:r>
              <w:rPr>
                <w:rFonts w:ascii="仿宋" w:eastAsia="仿宋" w:cs="仿宋_GB2312"/>
                <w:color w:val="000000" w:themeColor="text1"/>
                <w:sz w:val="18"/>
                <w:szCs w:val="18"/>
              </w:rPr>
              <w:t>2019</w:t>
            </w:r>
            <w:r>
              <w:rPr>
                <w:rFonts w:hint="eastAsia" w:ascii="仿宋" w:eastAsia="仿宋" w:cs="仿宋_GB2312"/>
                <w:color w:val="000000" w:themeColor="text1"/>
                <w:sz w:val="18"/>
                <w:szCs w:val="18"/>
              </w:rPr>
              <w:t>】</w:t>
            </w:r>
            <w:r>
              <w:rPr>
                <w:rFonts w:ascii="仿宋" w:eastAsia="仿宋" w:cs="仿宋_GB2312"/>
                <w:color w:val="000000" w:themeColor="text1"/>
                <w:sz w:val="18"/>
                <w:szCs w:val="18"/>
              </w:rPr>
              <w:t>11</w:t>
            </w:r>
            <w:r>
              <w:rPr>
                <w:rFonts w:hint="eastAsia" w:ascii="仿宋" w:eastAsia="仿宋" w:cs="仿宋_GB2312"/>
                <w:color w:val="000000" w:themeColor="text1"/>
                <w:sz w:val="18"/>
                <w:szCs w:val="18"/>
              </w:rPr>
              <w:t>号第三条第五款承担全区道路运输市场监管责任。执行道路运输有关政策、技术标准和运营规范并监督实施。负责城乡客运及有关设施规划和管理，推动城乡客运一体化建设。</w:t>
            </w:r>
          </w:p>
        </w:tc>
      </w:tr>
      <w:tr w14:paraId="550DC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420" w:hRule="atLeast"/>
          <w:jc w:val="center"/>
        </w:trPr>
        <w:tc>
          <w:tcPr>
            <w:tcW w:w="1463" w:type="dxa"/>
            <w:vMerge w:val="restart"/>
            <w:vAlign w:val="center"/>
          </w:tcPr>
          <w:p w14:paraId="69AE4EF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履职流程</w:t>
            </w:r>
          </w:p>
        </w:tc>
        <w:tc>
          <w:tcPr>
            <w:tcW w:w="1050" w:type="dxa"/>
            <w:vAlign w:val="center"/>
          </w:tcPr>
          <w:p w14:paraId="5583948A">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办理环节</w:t>
            </w:r>
          </w:p>
        </w:tc>
        <w:tc>
          <w:tcPr>
            <w:tcW w:w="5287" w:type="dxa"/>
            <w:gridSpan w:val="5"/>
            <w:vAlign w:val="center"/>
          </w:tcPr>
          <w:p w14:paraId="720C530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办理内容</w:t>
            </w:r>
          </w:p>
        </w:tc>
        <w:tc>
          <w:tcPr>
            <w:tcW w:w="996" w:type="dxa"/>
            <w:gridSpan w:val="2"/>
            <w:vAlign w:val="center"/>
          </w:tcPr>
          <w:p w14:paraId="0F6564C3">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szCs w:val="21"/>
              </w:rPr>
              <w:t>办理时限</w:t>
            </w:r>
          </w:p>
        </w:tc>
        <w:tc>
          <w:tcPr>
            <w:tcW w:w="1502" w:type="dxa"/>
            <w:vAlign w:val="center"/>
          </w:tcPr>
          <w:p w14:paraId="635DC59E">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责任科室</w:t>
            </w:r>
          </w:p>
        </w:tc>
      </w:tr>
      <w:tr w14:paraId="42913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0" w:hRule="atLeast"/>
          <w:jc w:val="center"/>
        </w:trPr>
        <w:tc>
          <w:tcPr>
            <w:tcW w:w="1463" w:type="dxa"/>
            <w:vMerge w:val="continue"/>
            <w:vAlign w:val="center"/>
          </w:tcPr>
          <w:p w14:paraId="0CDE6387">
            <w:pPr>
              <w:rPr>
                <w:color w:val="000000" w:themeColor="text1"/>
              </w:rPr>
            </w:pPr>
          </w:p>
        </w:tc>
        <w:tc>
          <w:tcPr>
            <w:tcW w:w="1050" w:type="dxa"/>
            <w:vAlign w:val="center"/>
          </w:tcPr>
          <w:p w14:paraId="4BD55BB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受理</w:t>
            </w:r>
          </w:p>
        </w:tc>
        <w:tc>
          <w:tcPr>
            <w:tcW w:w="5287" w:type="dxa"/>
            <w:gridSpan w:val="5"/>
            <w:vAlign w:val="center"/>
          </w:tcPr>
          <w:p w14:paraId="4B798649">
            <w:pPr>
              <w:adjustRightInd w:val="0"/>
              <w:snapToGrid w:val="0"/>
              <w:spacing w:line="240" w:lineRule="exact"/>
              <w:jc w:val="center"/>
              <w:rPr>
                <w:rFonts w:ascii="仿宋" w:eastAsia="仿宋" w:cs="仿宋_GB2312"/>
                <w:color w:val="000000" w:themeColor="text1"/>
                <w:sz w:val="18"/>
                <w:szCs w:val="18"/>
              </w:rPr>
            </w:pPr>
            <w:r>
              <w:rPr>
                <w:rStyle w:val="25"/>
                <w:rFonts w:hint="eastAsia" w:ascii="仿宋" w:eastAsia="仿宋" w:cs="仿宋_GB2312"/>
                <w:color w:val="000000" w:themeColor="text1"/>
                <w:sz w:val="18"/>
                <w:szCs w:val="18"/>
              </w:rPr>
              <w:t>公示需要提交的材料，对符合申请条件、材料齐全的予以受理，对材料不齐的，一次性告知补正的材料，对不符合申请条件的，不予受理并告知申请人不予受理的理由</w:t>
            </w:r>
            <w:r>
              <w:rPr>
                <w:rFonts w:hint="eastAsia" w:ascii="仿宋" w:eastAsia="仿宋" w:cs="仿宋_GB2312"/>
                <w:color w:val="000000" w:themeColor="text1"/>
                <w:kern w:val="0"/>
                <w:sz w:val="18"/>
                <w:szCs w:val="18"/>
              </w:rPr>
              <w:t>。</w:t>
            </w:r>
          </w:p>
        </w:tc>
        <w:tc>
          <w:tcPr>
            <w:tcW w:w="996" w:type="dxa"/>
            <w:gridSpan w:val="2"/>
            <w:vAlign w:val="center"/>
          </w:tcPr>
          <w:p w14:paraId="1C6E4831">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val="en-US" w:eastAsia="zh-CN"/>
              </w:rPr>
              <w:t>1</w:t>
            </w:r>
            <w:r>
              <w:rPr>
                <w:rFonts w:hint="eastAsia" w:ascii="仿宋_GB2312" w:eastAsia="仿宋_GB2312" w:cs="黑体"/>
                <w:color w:val="000000" w:themeColor="text1"/>
                <w:sz w:val="18"/>
                <w:szCs w:val="18"/>
              </w:rPr>
              <w:t>个工作日</w:t>
            </w:r>
          </w:p>
        </w:tc>
        <w:tc>
          <w:tcPr>
            <w:tcW w:w="1502" w:type="dxa"/>
            <w:vAlign w:val="center"/>
          </w:tcPr>
          <w:p w14:paraId="2684E9EA">
            <w:pPr>
              <w:jc w:val="center"/>
              <w:rPr>
                <w:rFonts w:hint="eastAsia" w:ascii="仿宋_GB2312" w:eastAsia="仿宋_GB2312" w:cs="黑体"/>
                <w:color w:val="000000" w:themeColor="text1"/>
                <w:sz w:val="18"/>
                <w:szCs w:val="18"/>
                <w:lang w:val="en-US" w:eastAsia="zh-CN"/>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交通运输综合行政执法大队质量监督中队</w:t>
            </w:r>
          </w:p>
        </w:tc>
      </w:tr>
      <w:tr w14:paraId="4F15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0D763537">
            <w:pPr>
              <w:rPr>
                <w:color w:val="000000" w:themeColor="text1"/>
              </w:rPr>
            </w:pPr>
          </w:p>
        </w:tc>
        <w:tc>
          <w:tcPr>
            <w:tcW w:w="1050" w:type="dxa"/>
            <w:vAlign w:val="center"/>
          </w:tcPr>
          <w:p w14:paraId="292CBE66">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审核</w:t>
            </w:r>
          </w:p>
        </w:tc>
        <w:tc>
          <w:tcPr>
            <w:tcW w:w="5287" w:type="dxa"/>
            <w:gridSpan w:val="5"/>
            <w:vAlign w:val="center"/>
          </w:tcPr>
          <w:p w14:paraId="42AD69B6">
            <w:pPr>
              <w:adjustRightInd w:val="0"/>
              <w:snapToGrid w:val="0"/>
              <w:spacing w:line="240" w:lineRule="exact"/>
              <w:jc w:val="center"/>
              <w:rPr>
                <w:rFonts w:hint="eastAsia" w:ascii="仿宋" w:hAnsi="仿宋" w:eastAsia="仿宋" w:cs="仿宋_GB2312"/>
                <w:color w:val="000000" w:themeColor="text1"/>
                <w:sz w:val="18"/>
                <w:szCs w:val="18"/>
              </w:rPr>
            </w:pPr>
          </w:p>
          <w:p w14:paraId="7FEA92B2">
            <w:pPr>
              <w:adjustRightInd w:val="0"/>
              <w:snapToGrid w:val="0"/>
              <w:spacing w:line="240" w:lineRule="exact"/>
              <w:ind w:firstLine="900" w:firstLineChars="500"/>
              <w:jc w:val="both"/>
              <w:rPr>
                <w:rFonts w:ascii="仿宋" w:hAnsi="仿宋" w:eastAsia="仿宋" w:cs="仿宋_GB2312"/>
                <w:color w:val="000000" w:themeColor="text1"/>
                <w:sz w:val="18"/>
                <w:szCs w:val="18"/>
              </w:rPr>
            </w:pPr>
            <w:r>
              <w:rPr>
                <w:rFonts w:hint="eastAsia" w:ascii="仿宋" w:hAnsi="仿宋" w:eastAsia="仿宋" w:cs="仿宋_GB2312"/>
                <w:color w:val="000000" w:themeColor="text1"/>
                <w:sz w:val="18"/>
                <w:szCs w:val="18"/>
              </w:rPr>
              <w:t>对提交材料审核，提出审查意见。</w:t>
            </w:r>
          </w:p>
          <w:p w14:paraId="5D735070">
            <w:pPr>
              <w:adjustRightInd w:val="0"/>
              <w:snapToGrid w:val="0"/>
              <w:spacing w:line="240" w:lineRule="exact"/>
              <w:jc w:val="both"/>
              <w:rPr>
                <w:rFonts w:ascii="仿宋" w:eastAsia="仿宋" w:cs="仿宋_GB2312"/>
                <w:color w:val="000000" w:themeColor="text1"/>
                <w:sz w:val="18"/>
                <w:szCs w:val="18"/>
              </w:rPr>
            </w:pPr>
          </w:p>
        </w:tc>
        <w:tc>
          <w:tcPr>
            <w:tcW w:w="996" w:type="dxa"/>
            <w:gridSpan w:val="2"/>
            <w:vAlign w:val="center"/>
          </w:tcPr>
          <w:p w14:paraId="1F7863F7">
            <w:pPr>
              <w:jc w:val="center"/>
              <w:rPr>
                <w:rFonts w:hint="eastAsia" w:ascii="仿宋_GB2312" w:eastAsia="仿宋_GB2312" w:cs="黑体"/>
                <w:color w:val="000000" w:themeColor="text1"/>
                <w:sz w:val="18"/>
                <w:szCs w:val="18"/>
                <w:lang w:eastAsia="zh-CN"/>
              </w:rPr>
            </w:pPr>
            <w:r>
              <w:rPr>
                <w:rFonts w:hint="eastAsia" w:ascii="仿宋_GB2312" w:eastAsia="仿宋_GB2312" w:cs="黑体"/>
                <w:color w:val="000000" w:themeColor="text1"/>
                <w:sz w:val="18"/>
                <w:szCs w:val="18"/>
                <w:lang w:val="en-US" w:eastAsia="zh-CN"/>
              </w:rPr>
              <w:t>5</w:t>
            </w:r>
            <w:r>
              <w:rPr>
                <w:rFonts w:hint="eastAsia" w:ascii="仿宋_GB2312" w:eastAsia="仿宋_GB2312" w:cs="黑体"/>
                <w:color w:val="000000" w:themeColor="text1"/>
                <w:sz w:val="18"/>
                <w:szCs w:val="18"/>
              </w:rPr>
              <w:t>个工作日</w:t>
            </w:r>
          </w:p>
        </w:tc>
        <w:tc>
          <w:tcPr>
            <w:tcW w:w="1502" w:type="dxa"/>
          </w:tcPr>
          <w:p w14:paraId="01ADE357">
            <w:pPr>
              <w:jc w:val="center"/>
              <w:rPr>
                <w:color w:val="000000" w:themeColor="text1"/>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交通运输综合行政执法大队质量监督中队</w:t>
            </w:r>
          </w:p>
        </w:tc>
      </w:tr>
      <w:tr w14:paraId="58B6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35" w:hRule="atLeast"/>
          <w:jc w:val="center"/>
        </w:trPr>
        <w:tc>
          <w:tcPr>
            <w:tcW w:w="1463" w:type="dxa"/>
            <w:vMerge w:val="continue"/>
            <w:vAlign w:val="center"/>
          </w:tcPr>
          <w:p w14:paraId="434D0BF4">
            <w:pPr>
              <w:rPr>
                <w:color w:val="000000" w:themeColor="text1"/>
              </w:rPr>
            </w:pPr>
          </w:p>
        </w:tc>
        <w:tc>
          <w:tcPr>
            <w:tcW w:w="1050" w:type="dxa"/>
            <w:vAlign w:val="center"/>
          </w:tcPr>
          <w:p w14:paraId="73AC9F82">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rPr>
              <w:t>决定</w:t>
            </w:r>
          </w:p>
        </w:tc>
        <w:tc>
          <w:tcPr>
            <w:tcW w:w="5287" w:type="dxa"/>
            <w:gridSpan w:val="5"/>
            <w:vAlign w:val="center"/>
          </w:tcPr>
          <w:p w14:paraId="3B70D90C">
            <w:pPr>
              <w:adjustRightInd w:val="0"/>
              <w:snapToGrid w:val="0"/>
              <w:spacing w:line="240" w:lineRule="exact"/>
              <w:jc w:val="center"/>
              <w:rPr>
                <w:rFonts w:ascii="仿宋" w:eastAsia="仿宋" w:cs="仿宋_GB2312"/>
                <w:color w:val="000000" w:themeColor="text1"/>
                <w:sz w:val="18"/>
                <w:szCs w:val="18"/>
              </w:rPr>
            </w:pPr>
            <w:r>
              <w:rPr>
                <w:rFonts w:hint="eastAsia" w:ascii="仿宋" w:hAnsi="仿宋" w:eastAsia="仿宋" w:cs="仿宋_GB2312"/>
                <w:color w:val="000000" w:themeColor="text1"/>
                <w:sz w:val="18"/>
                <w:szCs w:val="18"/>
                <w:lang w:eastAsia="zh-CN"/>
              </w:rPr>
              <w:t>对建设单位提交的材料符合规定的，出具公路水运工程质量监督管理受理通知书。</w:t>
            </w:r>
          </w:p>
        </w:tc>
        <w:tc>
          <w:tcPr>
            <w:tcW w:w="996" w:type="dxa"/>
            <w:gridSpan w:val="2"/>
            <w:vAlign w:val="center"/>
          </w:tcPr>
          <w:p w14:paraId="39AB240B">
            <w:pPr>
              <w:jc w:val="center"/>
              <w:rPr>
                <w:rFonts w:ascii="仿宋_GB2312" w:eastAsia="仿宋_GB2312" w:cs="黑体"/>
                <w:color w:val="000000" w:themeColor="text1"/>
                <w:sz w:val="18"/>
                <w:szCs w:val="18"/>
              </w:rPr>
            </w:pPr>
            <w:r>
              <w:rPr>
                <w:rFonts w:hint="eastAsia" w:ascii="仿宋_GB2312" w:eastAsia="仿宋_GB2312" w:cs="黑体"/>
                <w:color w:val="000000" w:themeColor="text1"/>
                <w:sz w:val="18"/>
                <w:szCs w:val="18"/>
                <w:lang w:val="en-US" w:eastAsia="zh-CN"/>
              </w:rPr>
              <w:t>9</w:t>
            </w:r>
            <w:r>
              <w:rPr>
                <w:rFonts w:hint="eastAsia" w:ascii="仿宋_GB2312" w:eastAsia="仿宋_GB2312" w:cs="黑体"/>
                <w:color w:val="000000" w:themeColor="text1"/>
                <w:sz w:val="18"/>
                <w:szCs w:val="18"/>
              </w:rPr>
              <w:t>个工作日</w:t>
            </w:r>
          </w:p>
        </w:tc>
        <w:tc>
          <w:tcPr>
            <w:tcW w:w="1502" w:type="dxa"/>
          </w:tcPr>
          <w:p w14:paraId="1631E023">
            <w:pPr>
              <w:jc w:val="center"/>
              <w:rPr>
                <w:color w:val="000000" w:themeColor="text1"/>
              </w:rPr>
            </w:pPr>
            <w:r>
              <w:rPr>
                <w:rFonts w:hint="eastAsia" w:ascii="仿宋_GB2312" w:eastAsia="仿宋_GB2312" w:cs="黑体"/>
                <w:color w:val="000000" w:themeColor="text1"/>
                <w:sz w:val="18"/>
                <w:szCs w:val="18"/>
              </w:rPr>
              <w:t>区</w:t>
            </w:r>
            <w:r>
              <w:rPr>
                <w:rFonts w:hint="eastAsia" w:ascii="仿宋_GB2312" w:eastAsia="仿宋_GB2312" w:cs="黑体"/>
                <w:color w:val="000000" w:themeColor="text1"/>
                <w:sz w:val="18"/>
                <w:szCs w:val="18"/>
                <w:lang w:eastAsia="zh-CN"/>
              </w:rPr>
              <w:t>交通运输综合行政执法大队质量监督中队</w:t>
            </w:r>
          </w:p>
        </w:tc>
      </w:tr>
      <w:tr w14:paraId="0ED13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45" w:hRule="atLeast"/>
          <w:jc w:val="center"/>
        </w:trPr>
        <w:tc>
          <w:tcPr>
            <w:tcW w:w="1463" w:type="dxa"/>
            <w:shd w:val="clear" w:color="auto" w:fill="auto"/>
            <w:vAlign w:val="center"/>
          </w:tcPr>
          <w:p w14:paraId="1427D255">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办理渠道</w:t>
            </w:r>
          </w:p>
        </w:tc>
        <w:tc>
          <w:tcPr>
            <w:tcW w:w="4736" w:type="dxa"/>
            <w:gridSpan w:val="4"/>
            <w:tcBorders>
              <w:right w:val="single" w:color="auto" w:sz="4" w:space="0"/>
            </w:tcBorders>
            <w:shd w:val="clear" w:color="auto" w:fill="auto"/>
            <w:vAlign w:val="center"/>
          </w:tcPr>
          <w:p w14:paraId="4021D96C">
            <w:pPr>
              <w:jc w:val="center"/>
              <w:rPr>
                <w:rFonts w:hint="eastAsia" w:ascii="黑体" w:hAnsi="黑体" w:eastAsia="黑体" w:cs="黑体"/>
                <w:b/>
                <w:bCs/>
                <w:color w:val="000000" w:themeColor="text1"/>
                <w:kern w:val="2"/>
                <w:sz w:val="21"/>
                <w:szCs w:val="21"/>
                <w:lang w:val="en-US" w:eastAsia="zh-CN" w:bidi="ar-SA"/>
              </w:rPr>
            </w:pPr>
            <w:r>
              <w:rPr>
                <w:rFonts w:hint="default" w:ascii="Times New Roman" w:hAnsi="Times New Roman" w:eastAsia="方正仿宋_GBK" w:cs="Times New Roman"/>
                <w:color w:val="000000" w:themeColor="text1"/>
                <w:sz w:val="18"/>
                <w:szCs w:val="18"/>
              </w:rPr>
              <w:t>现场办理</w:t>
            </w:r>
          </w:p>
        </w:tc>
        <w:tc>
          <w:tcPr>
            <w:tcW w:w="1601" w:type="dxa"/>
            <w:gridSpan w:val="2"/>
            <w:tcBorders>
              <w:left w:val="single" w:color="auto" w:sz="4" w:space="0"/>
            </w:tcBorders>
            <w:shd w:val="clear" w:color="auto" w:fill="auto"/>
            <w:vAlign w:val="center"/>
          </w:tcPr>
          <w:p w14:paraId="320A021D">
            <w:pPr>
              <w:jc w:val="center"/>
              <w:rPr>
                <w:rFonts w:hint="eastAsia" w:ascii="黑体" w:hAnsi="黑体" w:eastAsia="黑体" w:cs="黑体"/>
                <w:b/>
                <w:bCs/>
                <w:color w:val="000000" w:themeColor="text1"/>
                <w:sz w:val="21"/>
                <w:szCs w:val="21"/>
                <w:lang w:eastAsia="zh-CN"/>
              </w:rPr>
            </w:pPr>
            <w:r>
              <w:rPr>
                <w:rFonts w:hint="eastAsia" w:ascii="黑体" w:hAnsi="黑体" w:eastAsia="黑体" w:cs="黑体"/>
                <w:b/>
                <w:bCs/>
                <w:color w:val="000000" w:themeColor="text1"/>
                <w:sz w:val="21"/>
                <w:szCs w:val="21"/>
                <w:lang w:eastAsia="zh-CN"/>
              </w:rPr>
              <w:t>是否容缺办理</w:t>
            </w:r>
          </w:p>
        </w:tc>
        <w:tc>
          <w:tcPr>
            <w:tcW w:w="2498" w:type="dxa"/>
            <w:gridSpan w:val="3"/>
            <w:shd w:val="clear" w:color="auto" w:fill="auto"/>
            <w:vAlign w:val="center"/>
          </w:tcPr>
          <w:p w14:paraId="2EE36375">
            <w:pPr>
              <w:jc w:val="center"/>
              <w:rPr>
                <w:rFonts w:hint="eastAsia" w:ascii="仿宋_GB2312" w:eastAsia="仿宋_GB2312" w:cs="黑体"/>
                <w:color w:val="000000" w:themeColor="text1"/>
                <w:sz w:val="18"/>
                <w:szCs w:val="18"/>
              </w:rPr>
            </w:pPr>
            <w:r>
              <w:rPr>
                <w:rFonts w:hint="eastAsia" w:ascii="仿宋_GB2312" w:eastAsia="仿宋_GB2312" w:cs="黑体"/>
                <w:color w:val="000000" w:themeColor="text1"/>
                <w:sz w:val="18"/>
                <w:szCs w:val="18"/>
                <w:lang w:eastAsia="zh-CN"/>
              </w:rPr>
              <w:t>否</w:t>
            </w:r>
          </w:p>
        </w:tc>
      </w:tr>
      <w:tr w14:paraId="6FD5E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47" w:hRule="atLeast"/>
          <w:jc w:val="center"/>
        </w:trPr>
        <w:tc>
          <w:tcPr>
            <w:tcW w:w="1463" w:type="dxa"/>
            <w:shd w:val="clear" w:color="auto" w:fill="auto"/>
            <w:vAlign w:val="center"/>
          </w:tcPr>
          <w:p w14:paraId="4819B6B4">
            <w:pPr>
              <w:jc w:val="center"/>
              <w:rPr>
                <w:rFonts w:hint="eastAsia" w:ascii="黑体" w:hAnsi="黑体" w:eastAsia="黑体" w:cs="黑体"/>
                <w:b/>
                <w:bCs/>
                <w:color w:val="000000" w:themeColor="text1"/>
                <w:kern w:val="2"/>
                <w:sz w:val="21"/>
                <w:szCs w:val="24"/>
                <w:lang w:val="en-US" w:eastAsia="zh-CN" w:bidi="ar-SA"/>
              </w:rPr>
            </w:pPr>
            <w:r>
              <w:rPr>
                <w:rFonts w:hint="eastAsia" w:ascii="黑体" w:hAnsi="黑体" w:eastAsia="黑体" w:cs="黑体"/>
                <w:b/>
                <w:bCs/>
                <w:color w:val="000000" w:themeColor="text1"/>
                <w:lang w:val="en-US" w:eastAsia="zh-CN"/>
              </w:rPr>
              <w:t>所需资料</w:t>
            </w:r>
          </w:p>
        </w:tc>
        <w:tc>
          <w:tcPr>
            <w:tcW w:w="8835" w:type="dxa"/>
            <w:gridSpan w:val="9"/>
            <w:shd w:val="clear" w:color="auto" w:fill="auto"/>
            <w:vAlign w:val="center"/>
          </w:tcPr>
          <w:p w14:paraId="2D4A6BE2">
            <w:pPr>
              <w:widowControl/>
              <w:spacing w:line="240" w:lineRule="exact"/>
              <w:jc w:val="left"/>
              <w:textAlignment w:val="center"/>
              <w:rPr>
                <w:rFonts w:hint="eastAsia" w:ascii="仿宋_GB2312" w:eastAsia="仿宋_GB2312" w:cs="黑体"/>
                <w:color w:val="000000" w:themeColor="text1"/>
                <w:sz w:val="18"/>
                <w:szCs w:val="18"/>
              </w:rPr>
            </w:pPr>
            <w:r>
              <w:rPr>
                <w:rFonts w:hint="eastAsia" w:ascii="仿宋" w:hAnsi="仿宋" w:eastAsia="仿宋" w:cs="仿宋"/>
                <w:b w:val="0"/>
                <w:bCs w:val="0"/>
                <w:color w:val="000000" w:themeColor="text1"/>
                <w:sz w:val="18"/>
                <w:szCs w:val="18"/>
                <w:shd w:val="clear" w:color="auto" w:fill="auto"/>
                <w:lang w:val="en-US" w:eastAsia="zh-CN"/>
              </w:rPr>
              <w:t>1、</w:t>
            </w:r>
            <w:r>
              <w:rPr>
                <w:rFonts w:hint="eastAsia" w:ascii="仿宋" w:eastAsia="仿宋" w:cs="黑体"/>
                <w:color w:val="000000" w:themeColor="text1"/>
                <w:sz w:val="18"/>
                <w:szCs w:val="18"/>
                <w:lang w:eastAsia="zh-CN"/>
              </w:rPr>
              <w:t>公路水运工程质量监督管理登记表；</w:t>
            </w:r>
            <w:r>
              <w:rPr>
                <w:rFonts w:hint="eastAsia" w:ascii="仿宋" w:eastAsia="仿宋" w:cs="黑体"/>
                <w:color w:val="000000" w:themeColor="text1"/>
                <w:sz w:val="18"/>
                <w:szCs w:val="18"/>
                <w:lang w:val="en-US" w:eastAsia="zh-CN"/>
              </w:rPr>
              <w:t>2、</w:t>
            </w:r>
            <w:r>
              <w:rPr>
                <w:rFonts w:hint="eastAsia" w:ascii="仿宋" w:eastAsia="仿宋" w:cs="黑体"/>
                <w:color w:val="000000" w:themeColor="text1"/>
                <w:sz w:val="18"/>
                <w:szCs w:val="18"/>
                <w:lang w:eastAsia="zh-CN"/>
              </w:rPr>
              <w:t>交通运输主管部门批复的施工图设计文件；</w:t>
            </w:r>
            <w:r>
              <w:rPr>
                <w:rFonts w:hint="eastAsia" w:ascii="仿宋" w:eastAsia="仿宋" w:cs="黑体"/>
                <w:color w:val="000000" w:themeColor="text1"/>
                <w:sz w:val="18"/>
                <w:szCs w:val="18"/>
                <w:lang w:val="en-US" w:eastAsia="zh-CN"/>
              </w:rPr>
              <w:t>3、</w:t>
            </w:r>
            <w:r>
              <w:rPr>
                <w:rFonts w:hint="eastAsia" w:ascii="仿宋" w:eastAsia="仿宋" w:cs="黑体"/>
                <w:color w:val="000000" w:themeColor="text1"/>
                <w:sz w:val="18"/>
                <w:szCs w:val="18"/>
                <w:lang w:eastAsia="zh-CN"/>
              </w:rPr>
              <w:t>施工、监理合同及招投标文件；</w:t>
            </w:r>
            <w:r>
              <w:rPr>
                <w:rFonts w:hint="eastAsia" w:ascii="仿宋" w:eastAsia="仿宋" w:cs="黑体"/>
                <w:color w:val="000000" w:themeColor="text1"/>
                <w:sz w:val="18"/>
                <w:szCs w:val="18"/>
                <w:lang w:val="en-US" w:eastAsia="zh-CN"/>
              </w:rPr>
              <w:t>4、</w:t>
            </w:r>
            <w:r>
              <w:rPr>
                <w:rFonts w:hint="eastAsia" w:ascii="仿宋" w:eastAsia="仿宋" w:cs="黑体"/>
                <w:color w:val="000000" w:themeColor="text1"/>
                <w:sz w:val="18"/>
                <w:szCs w:val="18"/>
                <w:lang w:eastAsia="zh-CN"/>
              </w:rPr>
              <w:t>建设单位现场管理机构、人员、质量保证体系等文件；</w:t>
            </w:r>
            <w:r>
              <w:rPr>
                <w:rFonts w:hint="eastAsia" w:ascii="仿宋" w:eastAsia="仿宋" w:cs="黑体"/>
                <w:color w:val="000000" w:themeColor="text1"/>
                <w:sz w:val="18"/>
                <w:szCs w:val="18"/>
                <w:lang w:val="en-US" w:eastAsia="zh-CN"/>
              </w:rPr>
              <w:t>5、</w:t>
            </w:r>
            <w:r>
              <w:rPr>
                <w:rFonts w:hint="eastAsia" w:ascii="仿宋" w:eastAsia="仿宋" w:cs="黑体"/>
                <w:color w:val="000000" w:themeColor="text1"/>
                <w:sz w:val="18"/>
                <w:szCs w:val="18"/>
                <w:lang w:eastAsia="zh-CN"/>
              </w:rPr>
              <w:t>本单位以及勘察、设计、施工、监理、试验检测等单位对其项目负责人、质量负责人的书面授权委托书、质量保证体系等文件；</w:t>
            </w:r>
            <w:r>
              <w:rPr>
                <w:rFonts w:hint="eastAsia" w:ascii="仿宋" w:eastAsia="仿宋" w:cs="黑体"/>
                <w:color w:val="000000" w:themeColor="text1"/>
                <w:sz w:val="18"/>
                <w:szCs w:val="18"/>
                <w:lang w:val="en-US" w:eastAsia="zh-CN"/>
              </w:rPr>
              <w:t>6、</w:t>
            </w:r>
            <w:r>
              <w:rPr>
                <w:rFonts w:hint="eastAsia" w:ascii="仿宋" w:eastAsia="仿宋" w:cs="黑体"/>
                <w:color w:val="000000" w:themeColor="text1"/>
                <w:sz w:val="18"/>
                <w:szCs w:val="18"/>
                <w:lang w:eastAsia="zh-CN"/>
              </w:rPr>
              <w:t>依法要求提供的其他相关材料。</w:t>
            </w:r>
          </w:p>
        </w:tc>
      </w:tr>
      <w:tr w14:paraId="67D0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65" w:hRule="atLeast"/>
          <w:jc w:val="center"/>
        </w:trPr>
        <w:tc>
          <w:tcPr>
            <w:tcW w:w="1463" w:type="dxa"/>
            <w:vAlign w:val="center"/>
          </w:tcPr>
          <w:p w14:paraId="3B83B056">
            <w:pPr>
              <w:widowControl/>
              <w:spacing w:line="240" w:lineRule="exact"/>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追责情形</w:t>
            </w:r>
          </w:p>
        </w:tc>
        <w:tc>
          <w:tcPr>
            <w:tcW w:w="8835" w:type="dxa"/>
            <w:gridSpan w:val="9"/>
            <w:vAlign w:val="center"/>
          </w:tcPr>
          <w:p w14:paraId="5A45F468">
            <w:pPr>
              <w:spacing w:line="240" w:lineRule="exact"/>
              <w:rPr>
                <w:rFonts w:ascii="黑体" w:eastAsia="黑体" w:cs="黑体"/>
                <w:color w:val="000000" w:themeColor="text1"/>
                <w:szCs w:val="21"/>
              </w:rPr>
            </w:pPr>
            <w:r>
              <w:rPr>
                <w:rFonts w:hint="eastAsia" w:ascii="仿宋" w:eastAsia="仿宋" w:cs="仿宋_GB2312"/>
                <w:color w:val="000000" w:themeColor="text1"/>
                <w:sz w:val="18"/>
                <w:szCs w:val="18"/>
              </w:rPr>
              <w:t>《中华人民共和国监察法》</w:t>
            </w:r>
            <w:r>
              <w:rPr>
                <w:rFonts w:hint="eastAsia" w:ascii="仿宋" w:eastAsia="仿宋" w:cs="仿宋_GB2312"/>
                <w:color w:val="000000" w:themeColor="text1"/>
                <w:kern w:val="0"/>
                <w:sz w:val="18"/>
                <w:szCs w:val="18"/>
              </w:rPr>
              <w:t>《中华人民共和国行政处罚法》</w:t>
            </w:r>
            <w:r>
              <w:rPr>
                <w:rFonts w:hint="eastAsia" w:ascii="仿宋" w:eastAsia="仿宋" w:cs="仿宋_GB2312"/>
                <w:color w:val="000000" w:themeColor="text1"/>
                <w:sz w:val="18"/>
                <w:szCs w:val="18"/>
              </w:rPr>
              <w:t>《中华人民共和国国家赔偿法》《中华人民共和国公务员法》《中华人民共和国公职人员政务处分法》《中华人民共和国政府信息公开条例》《河北省行政执法监督条例》等规定的追责情形。</w:t>
            </w:r>
          </w:p>
        </w:tc>
      </w:tr>
      <w:tr w14:paraId="3388B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28" w:hRule="atLeast"/>
          <w:jc w:val="center"/>
        </w:trPr>
        <w:tc>
          <w:tcPr>
            <w:tcW w:w="1463" w:type="dxa"/>
            <w:vAlign w:val="center"/>
          </w:tcPr>
          <w:p w14:paraId="1CB70718">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监督方式</w:t>
            </w:r>
          </w:p>
        </w:tc>
        <w:tc>
          <w:tcPr>
            <w:tcW w:w="8835" w:type="dxa"/>
            <w:gridSpan w:val="9"/>
            <w:vAlign w:val="center"/>
          </w:tcPr>
          <w:p w14:paraId="73CA4897">
            <w:pPr>
              <w:widowControl/>
              <w:spacing w:line="240" w:lineRule="exact"/>
              <w:ind w:left="31680" w:hanging="180" w:hangingChars="100"/>
              <w:jc w:val="left"/>
              <w:textAlignment w:val="center"/>
              <w:rPr>
                <w:rFonts w:ascii="仿宋_GB2312" w:eastAsia="仿宋_GB2312" w:cs="黑体"/>
                <w:color w:val="000000" w:themeColor="text1"/>
                <w:kern w:val="0"/>
                <w:sz w:val="18"/>
                <w:szCs w:val="18"/>
              </w:rPr>
            </w:pPr>
            <w:r>
              <w:rPr>
                <w:rFonts w:ascii="仿宋_GB2312" w:eastAsia="仿宋_GB2312" w:cs="黑体"/>
                <w:color w:val="000000" w:themeColor="text1"/>
                <w:kern w:val="0"/>
                <w:sz w:val="18"/>
                <w:szCs w:val="18"/>
              </w:rPr>
              <w:t>1.</w:t>
            </w:r>
            <w:r>
              <w:rPr>
                <w:rFonts w:hint="eastAsia" w:ascii="仿宋_GB2312" w:eastAsia="仿宋_GB2312" w:cs="黑体"/>
                <w:color w:val="000000" w:themeColor="text1"/>
                <w:kern w:val="0"/>
                <w:sz w:val="18"/>
                <w:szCs w:val="18"/>
              </w:rPr>
              <w:t>业务咨询：</w:t>
            </w:r>
            <w:r>
              <w:rPr>
                <w:rFonts w:hint="eastAsia" w:ascii="仿宋_GB2312" w:eastAsia="仿宋_GB2312" w:cs="黑体"/>
                <w:color w:val="000000" w:themeColor="text1"/>
                <w:kern w:val="0"/>
                <w:sz w:val="18"/>
                <w:szCs w:val="18"/>
                <w:lang w:val="en-US" w:eastAsia="zh-CN"/>
              </w:rPr>
              <w:t>6181189</w:t>
            </w:r>
            <w:r>
              <w:rPr>
                <w:rFonts w:ascii="仿宋_GB2312" w:eastAsia="仿宋_GB2312" w:cs="黑体"/>
                <w:color w:val="000000" w:themeColor="text1"/>
                <w:kern w:val="0"/>
                <w:sz w:val="18"/>
                <w:szCs w:val="18"/>
              </w:rPr>
              <w:t xml:space="preserve">     2.</w:t>
            </w:r>
            <w:r>
              <w:rPr>
                <w:rFonts w:hint="eastAsia" w:ascii="仿宋_GB2312" w:eastAsia="仿宋_GB2312" w:cs="黑体"/>
                <w:color w:val="000000" w:themeColor="text1"/>
                <w:kern w:val="0"/>
                <w:sz w:val="18"/>
                <w:szCs w:val="18"/>
              </w:rPr>
              <w:t>投诉举报电话：</w:t>
            </w:r>
            <w:r>
              <w:rPr>
                <w:rFonts w:ascii="仿宋_GB2312" w:eastAsia="仿宋_GB2312" w:cs="黑体"/>
                <w:color w:val="000000" w:themeColor="text1"/>
                <w:kern w:val="0"/>
                <w:sz w:val="18"/>
                <w:szCs w:val="18"/>
              </w:rPr>
              <w:t>6681263</w:t>
            </w:r>
          </w:p>
          <w:p w14:paraId="7C8A7577">
            <w:pPr>
              <w:widowControl/>
              <w:spacing w:line="240" w:lineRule="exact"/>
              <w:jc w:val="left"/>
              <w:textAlignment w:val="center"/>
              <w:rPr>
                <w:rFonts w:ascii="黑体" w:eastAsia="黑体" w:cs="黑体"/>
                <w:color w:val="000000" w:themeColor="text1"/>
                <w:sz w:val="24"/>
              </w:rPr>
            </w:pPr>
            <w:r>
              <w:rPr>
                <w:rFonts w:ascii="仿宋_GB2312" w:eastAsia="仿宋_GB2312" w:cs="黑体"/>
                <w:color w:val="000000" w:themeColor="text1"/>
                <w:kern w:val="0"/>
                <w:sz w:val="18"/>
                <w:szCs w:val="18"/>
              </w:rPr>
              <w:t>3.</w:t>
            </w:r>
            <w:r>
              <w:rPr>
                <w:rFonts w:hint="eastAsia" w:ascii="仿宋_GB2312" w:eastAsia="仿宋_GB2312" w:cs="黑体"/>
                <w:color w:val="000000" w:themeColor="text1"/>
                <w:kern w:val="0"/>
                <w:sz w:val="18"/>
                <w:szCs w:val="18"/>
              </w:rPr>
              <w:t>纪检监察投诉：抚宁区交通运输局纪检监察办公室，电话：</w:t>
            </w:r>
            <w:r>
              <w:rPr>
                <w:rFonts w:ascii="仿宋_GB2312" w:eastAsia="仿宋_GB2312" w:cs="黑体"/>
                <w:color w:val="000000" w:themeColor="text1"/>
                <w:kern w:val="0"/>
                <w:sz w:val="18"/>
                <w:szCs w:val="18"/>
              </w:rPr>
              <w:t>6681263</w:t>
            </w:r>
          </w:p>
        </w:tc>
      </w:tr>
      <w:tr w14:paraId="2F300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50" w:hRule="atLeast"/>
          <w:jc w:val="center"/>
        </w:trPr>
        <w:tc>
          <w:tcPr>
            <w:tcW w:w="1463" w:type="dxa"/>
            <w:vAlign w:val="center"/>
          </w:tcPr>
          <w:p w14:paraId="45DD3CC5">
            <w:pPr>
              <w:widowControl/>
              <w:jc w:val="center"/>
              <w:textAlignment w:val="center"/>
              <w:rPr>
                <w:rFonts w:ascii="黑体" w:eastAsia="黑体" w:cs="黑体"/>
                <w:b/>
                <w:bCs/>
                <w:color w:val="000000" w:themeColor="text1"/>
                <w:szCs w:val="21"/>
              </w:rPr>
            </w:pPr>
            <w:r>
              <w:rPr>
                <w:rFonts w:hint="eastAsia" w:ascii="黑体" w:eastAsia="黑体" w:cs="黑体"/>
                <w:b/>
                <w:bCs/>
                <w:color w:val="000000" w:themeColor="text1"/>
                <w:kern w:val="0"/>
                <w:szCs w:val="21"/>
              </w:rPr>
              <w:t>法定救济途径</w:t>
            </w:r>
          </w:p>
        </w:tc>
        <w:tc>
          <w:tcPr>
            <w:tcW w:w="8835" w:type="dxa"/>
            <w:gridSpan w:val="9"/>
            <w:vAlign w:val="center"/>
          </w:tcPr>
          <w:p w14:paraId="2D3E762E">
            <w:pPr>
              <w:widowControl/>
              <w:jc w:val="left"/>
              <w:textAlignment w:val="center"/>
              <w:rPr>
                <w:rFonts w:ascii="仿宋_GB2312" w:eastAsia="仿宋_GB2312" w:cs="仿宋_GB2312"/>
                <w:color w:val="000000" w:themeColor="text1"/>
                <w:kern w:val="0"/>
                <w:sz w:val="18"/>
                <w:szCs w:val="18"/>
              </w:rPr>
            </w:pPr>
            <w:r>
              <w:rPr>
                <w:rFonts w:ascii="仿宋_GB2312" w:eastAsia="仿宋_GB2312" w:cs="仿宋_GB2312"/>
                <w:color w:val="000000" w:themeColor="text1"/>
                <w:kern w:val="0"/>
                <w:sz w:val="18"/>
                <w:szCs w:val="18"/>
              </w:rPr>
              <w:t>1</w:t>
            </w:r>
            <w:r>
              <w:rPr>
                <w:rFonts w:hint="eastAsia" w:ascii="仿宋_GB2312" w:eastAsia="仿宋_GB2312" w:cs="仿宋_GB2312"/>
                <w:color w:val="000000" w:themeColor="text1"/>
                <w:kern w:val="0"/>
                <w:sz w:val="18"/>
                <w:szCs w:val="18"/>
              </w:rPr>
              <w:t>．不服本决定自知道该具体行政行为之日起六十日内向抚宁区人民政府申请行政复议。</w:t>
            </w:r>
          </w:p>
          <w:p w14:paraId="0BBFE607">
            <w:pPr>
              <w:widowControl/>
              <w:jc w:val="left"/>
              <w:textAlignment w:val="center"/>
              <w:rPr>
                <w:rFonts w:ascii="黑体" w:eastAsia="黑体" w:cs="黑体"/>
                <w:b/>
                <w:bCs/>
                <w:color w:val="000000" w:themeColor="text1"/>
                <w:szCs w:val="21"/>
              </w:rPr>
            </w:pPr>
            <w:r>
              <w:rPr>
                <w:rFonts w:ascii="仿宋_GB2312" w:eastAsia="仿宋_GB2312" w:cs="仿宋_GB2312"/>
                <w:color w:val="000000" w:themeColor="text1"/>
                <w:kern w:val="0"/>
                <w:sz w:val="18"/>
                <w:szCs w:val="18"/>
              </w:rPr>
              <w:t>2</w:t>
            </w:r>
            <w:r>
              <w:rPr>
                <w:rFonts w:hint="eastAsia" w:ascii="仿宋_GB2312" w:eastAsia="仿宋_GB2312" w:cs="仿宋_GB2312"/>
                <w:color w:val="000000" w:themeColor="text1"/>
                <w:kern w:val="0"/>
                <w:sz w:val="18"/>
                <w:szCs w:val="18"/>
              </w:rPr>
              <w:t>．不服本决定应当自知道或者应当知道作出行政行为之日起六个月内提出向抚宁区人民法院提起行政诉讼。</w:t>
            </w:r>
          </w:p>
        </w:tc>
      </w:tr>
      <w:tr w14:paraId="6E5BC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07" w:hRule="atLeast"/>
          <w:jc w:val="center"/>
        </w:trPr>
        <w:tc>
          <w:tcPr>
            <w:tcW w:w="1463" w:type="dxa"/>
            <w:vAlign w:val="center"/>
          </w:tcPr>
          <w:p w14:paraId="276F3C76">
            <w:pPr>
              <w:widowControl/>
              <w:jc w:val="center"/>
              <w:textAlignment w:val="center"/>
              <w:rPr>
                <w:rFonts w:ascii="黑体" w:eastAsia="黑体" w:cs="黑体"/>
                <w:b/>
                <w:bCs/>
                <w:color w:val="000000" w:themeColor="text1"/>
                <w:kern w:val="0"/>
                <w:szCs w:val="21"/>
              </w:rPr>
            </w:pPr>
            <w:r>
              <w:rPr>
                <w:rFonts w:hint="eastAsia" w:ascii="黑体" w:eastAsia="黑体" w:cs="黑体"/>
                <w:b/>
                <w:bCs/>
                <w:color w:val="000000" w:themeColor="text1"/>
                <w:kern w:val="0"/>
                <w:szCs w:val="21"/>
              </w:rPr>
              <w:t>备注</w:t>
            </w:r>
          </w:p>
        </w:tc>
        <w:tc>
          <w:tcPr>
            <w:tcW w:w="8835" w:type="dxa"/>
            <w:gridSpan w:val="9"/>
            <w:vAlign w:val="center"/>
          </w:tcPr>
          <w:p w14:paraId="715AE262">
            <w:pPr>
              <w:widowControl/>
              <w:jc w:val="left"/>
              <w:textAlignment w:val="center"/>
              <w:rPr>
                <w:rFonts w:ascii="黑体" w:eastAsia="黑体" w:cs="黑体"/>
                <w:color w:val="000000" w:themeColor="text1"/>
                <w:kern w:val="0"/>
                <w:sz w:val="18"/>
                <w:szCs w:val="18"/>
              </w:rPr>
            </w:pPr>
          </w:p>
        </w:tc>
      </w:tr>
    </w:tbl>
    <w:p w14:paraId="4846FBC2">
      <w:pPr>
        <w:keepNext w:val="0"/>
        <w:keepLines w:val="0"/>
        <w:pageBreakBefore w:val="0"/>
        <w:shd w:val="clear" w:color="auto" w:fill="FFFFFF"/>
        <w:kinsoku/>
        <w:wordWrap/>
        <w:overflowPunct/>
        <w:topLinePunct w:val="0"/>
        <w:autoSpaceDE/>
        <w:autoSpaceDN/>
        <w:bidi w:val="0"/>
        <w:adjustRightInd/>
        <w:snapToGrid w:val="0"/>
        <w:spacing w:line="240" w:lineRule="atLeast"/>
        <w:rPr>
          <w:rFonts w:hint="eastAsia" w:ascii="仿宋" w:hAnsi="仿宋" w:eastAsia="仿宋" w:cs="黑体"/>
          <w:color w:val="000000" w:themeColor="text1"/>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_GB2312">
    <w:altName w:val="Times New Roman"/>
    <w:panose1 w:val="00000000000000000000"/>
    <w:charset w:val="00"/>
    <w:family w:val="auto"/>
    <w:pitch w:val="default"/>
    <w:sig w:usb0="00000000" w:usb1="0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22FD1"/>
    <w:multiLevelType w:val="singleLevel"/>
    <w:tmpl w:val="CDD22FD1"/>
    <w:lvl w:ilvl="0" w:tentative="0">
      <w:start w:val="1"/>
      <w:numFmt w:val="decimal"/>
      <w:lvlText w:val="%1."/>
      <w:lvlJc w:val="left"/>
      <w:pPr>
        <w:tabs>
          <w:tab w:val="left" w:pos="312"/>
        </w:tabs>
      </w:pPr>
      <w:rPr>
        <w:rFonts w:cs="Times New Roman"/>
      </w:rPr>
    </w:lvl>
  </w:abstractNum>
  <w:abstractNum w:abstractNumId="1">
    <w:nsid w:val="7E2F7099"/>
    <w:multiLevelType w:val="singleLevel"/>
    <w:tmpl w:val="7E2F709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1E06"/>
    <w:rsid w:val="00001403"/>
    <w:rsid w:val="00003085"/>
    <w:rsid w:val="00004DA4"/>
    <w:rsid w:val="00005CE2"/>
    <w:rsid w:val="0001101F"/>
    <w:rsid w:val="00012476"/>
    <w:rsid w:val="0001250D"/>
    <w:rsid w:val="0001253B"/>
    <w:rsid w:val="000127F2"/>
    <w:rsid w:val="000144BF"/>
    <w:rsid w:val="00015CBE"/>
    <w:rsid w:val="00017316"/>
    <w:rsid w:val="00023558"/>
    <w:rsid w:val="000300B5"/>
    <w:rsid w:val="00036491"/>
    <w:rsid w:val="00044A58"/>
    <w:rsid w:val="000460B4"/>
    <w:rsid w:val="00047160"/>
    <w:rsid w:val="000510A4"/>
    <w:rsid w:val="000517A4"/>
    <w:rsid w:val="000519E1"/>
    <w:rsid w:val="000531F6"/>
    <w:rsid w:val="00054CE0"/>
    <w:rsid w:val="00054F47"/>
    <w:rsid w:val="000558EC"/>
    <w:rsid w:val="00056354"/>
    <w:rsid w:val="00056969"/>
    <w:rsid w:val="0006023F"/>
    <w:rsid w:val="00064955"/>
    <w:rsid w:val="00064A1D"/>
    <w:rsid w:val="000667AC"/>
    <w:rsid w:val="00071BB9"/>
    <w:rsid w:val="00076DAE"/>
    <w:rsid w:val="00077FC8"/>
    <w:rsid w:val="000823B1"/>
    <w:rsid w:val="00082CA8"/>
    <w:rsid w:val="000849DA"/>
    <w:rsid w:val="00086E3C"/>
    <w:rsid w:val="000908FF"/>
    <w:rsid w:val="0009282C"/>
    <w:rsid w:val="00094ECE"/>
    <w:rsid w:val="00097408"/>
    <w:rsid w:val="000A1E1E"/>
    <w:rsid w:val="000A2743"/>
    <w:rsid w:val="000A3AA2"/>
    <w:rsid w:val="000A40E1"/>
    <w:rsid w:val="000A6252"/>
    <w:rsid w:val="000A72FE"/>
    <w:rsid w:val="000B3C78"/>
    <w:rsid w:val="000B493D"/>
    <w:rsid w:val="000B65C2"/>
    <w:rsid w:val="000B74E9"/>
    <w:rsid w:val="000C3792"/>
    <w:rsid w:val="000C609D"/>
    <w:rsid w:val="000C7A83"/>
    <w:rsid w:val="000D5954"/>
    <w:rsid w:val="000E0ECC"/>
    <w:rsid w:val="000E2A53"/>
    <w:rsid w:val="000E2B48"/>
    <w:rsid w:val="000E2E40"/>
    <w:rsid w:val="000E5DFA"/>
    <w:rsid w:val="000F0400"/>
    <w:rsid w:val="000F23DD"/>
    <w:rsid w:val="000F5DCD"/>
    <w:rsid w:val="000F6D02"/>
    <w:rsid w:val="000F704F"/>
    <w:rsid w:val="00105B86"/>
    <w:rsid w:val="001076CF"/>
    <w:rsid w:val="0011532D"/>
    <w:rsid w:val="00117C14"/>
    <w:rsid w:val="00121609"/>
    <w:rsid w:val="00121D5B"/>
    <w:rsid w:val="001231E3"/>
    <w:rsid w:val="00124F16"/>
    <w:rsid w:val="0012589B"/>
    <w:rsid w:val="001267CF"/>
    <w:rsid w:val="00130FFD"/>
    <w:rsid w:val="00133B88"/>
    <w:rsid w:val="001364EE"/>
    <w:rsid w:val="00145E59"/>
    <w:rsid w:val="001475C3"/>
    <w:rsid w:val="001506F2"/>
    <w:rsid w:val="001536A0"/>
    <w:rsid w:val="0015673D"/>
    <w:rsid w:val="00156DE4"/>
    <w:rsid w:val="00157270"/>
    <w:rsid w:val="001628D5"/>
    <w:rsid w:val="00162DCA"/>
    <w:rsid w:val="001633F7"/>
    <w:rsid w:val="00164E07"/>
    <w:rsid w:val="001652CF"/>
    <w:rsid w:val="00172B32"/>
    <w:rsid w:val="00172E8C"/>
    <w:rsid w:val="0017674F"/>
    <w:rsid w:val="001769BD"/>
    <w:rsid w:val="00177727"/>
    <w:rsid w:val="00180BCB"/>
    <w:rsid w:val="00181AFA"/>
    <w:rsid w:val="00184C23"/>
    <w:rsid w:val="00184FEE"/>
    <w:rsid w:val="00197CDC"/>
    <w:rsid w:val="001A14E5"/>
    <w:rsid w:val="001A2737"/>
    <w:rsid w:val="001A5B30"/>
    <w:rsid w:val="001A78D9"/>
    <w:rsid w:val="001B04F8"/>
    <w:rsid w:val="001B1238"/>
    <w:rsid w:val="001B3F04"/>
    <w:rsid w:val="001B3F28"/>
    <w:rsid w:val="001C1E74"/>
    <w:rsid w:val="001C7AE2"/>
    <w:rsid w:val="001D047C"/>
    <w:rsid w:val="001D390C"/>
    <w:rsid w:val="001D48D3"/>
    <w:rsid w:val="001E0F20"/>
    <w:rsid w:val="001E444D"/>
    <w:rsid w:val="001E4DE5"/>
    <w:rsid w:val="001E5435"/>
    <w:rsid w:val="001E5973"/>
    <w:rsid w:val="001E772E"/>
    <w:rsid w:val="001E776E"/>
    <w:rsid w:val="001F2F13"/>
    <w:rsid w:val="001F3F06"/>
    <w:rsid w:val="001F41C7"/>
    <w:rsid w:val="001F4401"/>
    <w:rsid w:val="001F53D4"/>
    <w:rsid w:val="001F59BC"/>
    <w:rsid w:val="001F6148"/>
    <w:rsid w:val="002019F7"/>
    <w:rsid w:val="00202011"/>
    <w:rsid w:val="002020BC"/>
    <w:rsid w:val="0020572A"/>
    <w:rsid w:val="00212B09"/>
    <w:rsid w:val="00215CE1"/>
    <w:rsid w:val="002214E1"/>
    <w:rsid w:val="00224FF3"/>
    <w:rsid w:val="00225A44"/>
    <w:rsid w:val="00230A74"/>
    <w:rsid w:val="002368E0"/>
    <w:rsid w:val="00237FC6"/>
    <w:rsid w:val="00240A2B"/>
    <w:rsid w:val="00240C29"/>
    <w:rsid w:val="00241B3C"/>
    <w:rsid w:val="002436B7"/>
    <w:rsid w:val="00243710"/>
    <w:rsid w:val="00243C0A"/>
    <w:rsid w:val="0024479F"/>
    <w:rsid w:val="00247313"/>
    <w:rsid w:val="00251DF3"/>
    <w:rsid w:val="00253BDD"/>
    <w:rsid w:val="00255182"/>
    <w:rsid w:val="00255F58"/>
    <w:rsid w:val="00256AFA"/>
    <w:rsid w:val="00257E75"/>
    <w:rsid w:val="00260B83"/>
    <w:rsid w:val="00261ED3"/>
    <w:rsid w:val="00262190"/>
    <w:rsid w:val="002629E9"/>
    <w:rsid w:val="0026558F"/>
    <w:rsid w:val="0027225E"/>
    <w:rsid w:val="002725E8"/>
    <w:rsid w:val="002763E9"/>
    <w:rsid w:val="00276C81"/>
    <w:rsid w:val="0027757F"/>
    <w:rsid w:val="00280B37"/>
    <w:rsid w:val="00281CE6"/>
    <w:rsid w:val="00284529"/>
    <w:rsid w:val="00285956"/>
    <w:rsid w:val="002952C2"/>
    <w:rsid w:val="00297E93"/>
    <w:rsid w:val="002A05EE"/>
    <w:rsid w:val="002A064A"/>
    <w:rsid w:val="002A187E"/>
    <w:rsid w:val="002A19BD"/>
    <w:rsid w:val="002A2FE0"/>
    <w:rsid w:val="002B06FA"/>
    <w:rsid w:val="002C01FF"/>
    <w:rsid w:val="002C06C0"/>
    <w:rsid w:val="002C1652"/>
    <w:rsid w:val="002C2183"/>
    <w:rsid w:val="002C37C8"/>
    <w:rsid w:val="002C40A7"/>
    <w:rsid w:val="002C5475"/>
    <w:rsid w:val="002C6071"/>
    <w:rsid w:val="002D2261"/>
    <w:rsid w:val="002D2EAD"/>
    <w:rsid w:val="002D3114"/>
    <w:rsid w:val="002D4542"/>
    <w:rsid w:val="002D762C"/>
    <w:rsid w:val="002D7CF3"/>
    <w:rsid w:val="002E190E"/>
    <w:rsid w:val="002E28B3"/>
    <w:rsid w:val="002E346D"/>
    <w:rsid w:val="002E43FA"/>
    <w:rsid w:val="002E72B9"/>
    <w:rsid w:val="002E7BAA"/>
    <w:rsid w:val="002F1C22"/>
    <w:rsid w:val="002F387A"/>
    <w:rsid w:val="002F4AD8"/>
    <w:rsid w:val="00300B18"/>
    <w:rsid w:val="00300D6F"/>
    <w:rsid w:val="0030113A"/>
    <w:rsid w:val="00303753"/>
    <w:rsid w:val="00303D7C"/>
    <w:rsid w:val="00304EA9"/>
    <w:rsid w:val="00306038"/>
    <w:rsid w:val="00311D3E"/>
    <w:rsid w:val="00314BF0"/>
    <w:rsid w:val="00316B6B"/>
    <w:rsid w:val="00321986"/>
    <w:rsid w:val="0032364E"/>
    <w:rsid w:val="0033027F"/>
    <w:rsid w:val="00330A2D"/>
    <w:rsid w:val="00331987"/>
    <w:rsid w:val="00333930"/>
    <w:rsid w:val="003344B6"/>
    <w:rsid w:val="00340224"/>
    <w:rsid w:val="00341BC5"/>
    <w:rsid w:val="0034201A"/>
    <w:rsid w:val="003461A8"/>
    <w:rsid w:val="003475CE"/>
    <w:rsid w:val="00347F67"/>
    <w:rsid w:val="00350C08"/>
    <w:rsid w:val="00352730"/>
    <w:rsid w:val="00354215"/>
    <w:rsid w:val="00355DAD"/>
    <w:rsid w:val="003560AB"/>
    <w:rsid w:val="0036355F"/>
    <w:rsid w:val="003652CE"/>
    <w:rsid w:val="003660E6"/>
    <w:rsid w:val="00366A29"/>
    <w:rsid w:val="00366F8D"/>
    <w:rsid w:val="003708C6"/>
    <w:rsid w:val="00371001"/>
    <w:rsid w:val="00373959"/>
    <w:rsid w:val="00374683"/>
    <w:rsid w:val="0037607E"/>
    <w:rsid w:val="0038088C"/>
    <w:rsid w:val="0038164D"/>
    <w:rsid w:val="003835A8"/>
    <w:rsid w:val="003837AC"/>
    <w:rsid w:val="00384B4C"/>
    <w:rsid w:val="00386C44"/>
    <w:rsid w:val="00391CE8"/>
    <w:rsid w:val="003941A4"/>
    <w:rsid w:val="00397ACA"/>
    <w:rsid w:val="00397FC3"/>
    <w:rsid w:val="003A01E5"/>
    <w:rsid w:val="003A2E53"/>
    <w:rsid w:val="003A4D57"/>
    <w:rsid w:val="003A64D9"/>
    <w:rsid w:val="003A6A8D"/>
    <w:rsid w:val="003A6C4A"/>
    <w:rsid w:val="003B157A"/>
    <w:rsid w:val="003B5140"/>
    <w:rsid w:val="003B58FF"/>
    <w:rsid w:val="003B639C"/>
    <w:rsid w:val="003B6842"/>
    <w:rsid w:val="003B78AF"/>
    <w:rsid w:val="003C1F61"/>
    <w:rsid w:val="003C3B63"/>
    <w:rsid w:val="003C4F80"/>
    <w:rsid w:val="003C6113"/>
    <w:rsid w:val="003C72DC"/>
    <w:rsid w:val="003D001D"/>
    <w:rsid w:val="003D7B59"/>
    <w:rsid w:val="003E0670"/>
    <w:rsid w:val="003E3A7C"/>
    <w:rsid w:val="003E5388"/>
    <w:rsid w:val="003F333E"/>
    <w:rsid w:val="003F3B2B"/>
    <w:rsid w:val="003F3B49"/>
    <w:rsid w:val="003F4B60"/>
    <w:rsid w:val="003F4C07"/>
    <w:rsid w:val="003F550C"/>
    <w:rsid w:val="003F562F"/>
    <w:rsid w:val="0040084A"/>
    <w:rsid w:val="00400BBC"/>
    <w:rsid w:val="0040341A"/>
    <w:rsid w:val="00403D5A"/>
    <w:rsid w:val="00403F5F"/>
    <w:rsid w:val="00406EB8"/>
    <w:rsid w:val="00411031"/>
    <w:rsid w:val="00411B61"/>
    <w:rsid w:val="00412413"/>
    <w:rsid w:val="004134E1"/>
    <w:rsid w:val="00413EA4"/>
    <w:rsid w:val="00416A9E"/>
    <w:rsid w:val="00417DE4"/>
    <w:rsid w:val="0042224B"/>
    <w:rsid w:val="00422514"/>
    <w:rsid w:val="00424C8E"/>
    <w:rsid w:val="0043041C"/>
    <w:rsid w:val="0043088B"/>
    <w:rsid w:val="00430926"/>
    <w:rsid w:val="0044210B"/>
    <w:rsid w:val="00445311"/>
    <w:rsid w:val="00445B37"/>
    <w:rsid w:val="00445CC4"/>
    <w:rsid w:val="00446C08"/>
    <w:rsid w:val="004476FA"/>
    <w:rsid w:val="004500B1"/>
    <w:rsid w:val="004575DA"/>
    <w:rsid w:val="00462DE1"/>
    <w:rsid w:val="004648B7"/>
    <w:rsid w:val="00470451"/>
    <w:rsid w:val="00474471"/>
    <w:rsid w:val="00474F59"/>
    <w:rsid w:val="00475C36"/>
    <w:rsid w:val="00480FFA"/>
    <w:rsid w:val="0048692A"/>
    <w:rsid w:val="0049543F"/>
    <w:rsid w:val="0049556C"/>
    <w:rsid w:val="00496492"/>
    <w:rsid w:val="00497ACB"/>
    <w:rsid w:val="004A19D6"/>
    <w:rsid w:val="004A382D"/>
    <w:rsid w:val="004A3F93"/>
    <w:rsid w:val="004A5FEF"/>
    <w:rsid w:val="004B0639"/>
    <w:rsid w:val="004B0860"/>
    <w:rsid w:val="004B30CB"/>
    <w:rsid w:val="004B3928"/>
    <w:rsid w:val="004B3F0A"/>
    <w:rsid w:val="004B407E"/>
    <w:rsid w:val="004B41E3"/>
    <w:rsid w:val="004B46A9"/>
    <w:rsid w:val="004B499C"/>
    <w:rsid w:val="004B5BBE"/>
    <w:rsid w:val="004C0647"/>
    <w:rsid w:val="004C33BD"/>
    <w:rsid w:val="004C4096"/>
    <w:rsid w:val="004C52CE"/>
    <w:rsid w:val="004C76BC"/>
    <w:rsid w:val="004D0387"/>
    <w:rsid w:val="004D1847"/>
    <w:rsid w:val="004D3EFD"/>
    <w:rsid w:val="004D5E27"/>
    <w:rsid w:val="004D5F35"/>
    <w:rsid w:val="004D70AF"/>
    <w:rsid w:val="004D73BF"/>
    <w:rsid w:val="004D7C9E"/>
    <w:rsid w:val="004E2222"/>
    <w:rsid w:val="004E4B43"/>
    <w:rsid w:val="004E5062"/>
    <w:rsid w:val="004E70F9"/>
    <w:rsid w:val="004E7913"/>
    <w:rsid w:val="004F0D00"/>
    <w:rsid w:val="00501E06"/>
    <w:rsid w:val="00502C86"/>
    <w:rsid w:val="00502F56"/>
    <w:rsid w:val="00503423"/>
    <w:rsid w:val="00504B9F"/>
    <w:rsid w:val="00505214"/>
    <w:rsid w:val="0051444D"/>
    <w:rsid w:val="005150FA"/>
    <w:rsid w:val="00515166"/>
    <w:rsid w:val="00517017"/>
    <w:rsid w:val="00517501"/>
    <w:rsid w:val="00517617"/>
    <w:rsid w:val="00517BE6"/>
    <w:rsid w:val="00517EA8"/>
    <w:rsid w:val="00521D06"/>
    <w:rsid w:val="00525F68"/>
    <w:rsid w:val="005266D9"/>
    <w:rsid w:val="005270F1"/>
    <w:rsid w:val="00527E5C"/>
    <w:rsid w:val="005367FC"/>
    <w:rsid w:val="00540E6A"/>
    <w:rsid w:val="00541C62"/>
    <w:rsid w:val="00541E06"/>
    <w:rsid w:val="00543A87"/>
    <w:rsid w:val="00544CF5"/>
    <w:rsid w:val="005452ED"/>
    <w:rsid w:val="00545EA9"/>
    <w:rsid w:val="00546127"/>
    <w:rsid w:val="005525E2"/>
    <w:rsid w:val="0055302E"/>
    <w:rsid w:val="00553ADF"/>
    <w:rsid w:val="00555B6E"/>
    <w:rsid w:val="00556861"/>
    <w:rsid w:val="00560965"/>
    <w:rsid w:val="00560B13"/>
    <w:rsid w:val="0056448C"/>
    <w:rsid w:val="00565AB5"/>
    <w:rsid w:val="0057025B"/>
    <w:rsid w:val="005710CC"/>
    <w:rsid w:val="00571397"/>
    <w:rsid w:val="0057363D"/>
    <w:rsid w:val="005801DC"/>
    <w:rsid w:val="00582B59"/>
    <w:rsid w:val="0058308E"/>
    <w:rsid w:val="00583A6E"/>
    <w:rsid w:val="00593D78"/>
    <w:rsid w:val="0059413B"/>
    <w:rsid w:val="00595ECE"/>
    <w:rsid w:val="00596297"/>
    <w:rsid w:val="00596605"/>
    <w:rsid w:val="005976DF"/>
    <w:rsid w:val="005A043C"/>
    <w:rsid w:val="005A0D66"/>
    <w:rsid w:val="005A24EA"/>
    <w:rsid w:val="005A4015"/>
    <w:rsid w:val="005A467D"/>
    <w:rsid w:val="005A5E98"/>
    <w:rsid w:val="005A6444"/>
    <w:rsid w:val="005B0870"/>
    <w:rsid w:val="005B1A75"/>
    <w:rsid w:val="005B6526"/>
    <w:rsid w:val="005B73CD"/>
    <w:rsid w:val="005C0218"/>
    <w:rsid w:val="005C0578"/>
    <w:rsid w:val="005C3210"/>
    <w:rsid w:val="005C39A3"/>
    <w:rsid w:val="005D064D"/>
    <w:rsid w:val="005D2E94"/>
    <w:rsid w:val="005D3D9E"/>
    <w:rsid w:val="005D568F"/>
    <w:rsid w:val="005E081B"/>
    <w:rsid w:val="005E0AC4"/>
    <w:rsid w:val="005E4C49"/>
    <w:rsid w:val="005F16A2"/>
    <w:rsid w:val="005F1BAD"/>
    <w:rsid w:val="005F34B5"/>
    <w:rsid w:val="005F4675"/>
    <w:rsid w:val="005F67AF"/>
    <w:rsid w:val="005F7BF4"/>
    <w:rsid w:val="00600CE6"/>
    <w:rsid w:val="00600E0E"/>
    <w:rsid w:val="00601790"/>
    <w:rsid w:val="00601B64"/>
    <w:rsid w:val="00602A9E"/>
    <w:rsid w:val="006067D1"/>
    <w:rsid w:val="006078BC"/>
    <w:rsid w:val="00610392"/>
    <w:rsid w:val="00611F45"/>
    <w:rsid w:val="00612089"/>
    <w:rsid w:val="00613AF0"/>
    <w:rsid w:val="006143F6"/>
    <w:rsid w:val="006166E5"/>
    <w:rsid w:val="00624157"/>
    <w:rsid w:val="0062685F"/>
    <w:rsid w:val="00630DD2"/>
    <w:rsid w:val="00632A9B"/>
    <w:rsid w:val="00634DAD"/>
    <w:rsid w:val="00635040"/>
    <w:rsid w:val="00636364"/>
    <w:rsid w:val="00636A0B"/>
    <w:rsid w:val="00642B85"/>
    <w:rsid w:val="00643B83"/>
    <w:rsid w:val="00644986"/>
    <w:rsid w:val="00647956"/>
    <w:rsid w:val="00650A83"/>
    <w:rsid w:val="006524E7"/>
    <w:rsid w:val="00655CB3"/>
    <w:rsid w:val="00662DBF"/>
    <w:rsid w:val="00665381"/>
    <w:rsid w:val="00665F67"/>
    <w:rsid w:val="00670371"/>
    <w:rsid w:val="006705FF"/>
    <w:rsid w:val="00670B92"/>
    <w:rsid w:val="00672B18"/>
    <w:rsid w:val="00673807"/>
    <w:rsid w:val="00673989"/>
    <w:rsid w:val="00673E27"/>
    <w:rsid w:val="00674887"/>
    <w:rsid w:val="00674CC5"/>
    <w:rsid w:val="00675BB6"/>
    <w:rsid w:val="00675F64"/>
    <w:rsid w:val="006823B9"/>
    <w:rsid w:val="00682F38"/>
    <w:rsid w:val="00684D65"/>
    <w:rsid w:val="006855EB"/>
    <w:rsid w:val="0069057F"/>
    <w:rsid w:val="00690DED"/>
    <w:rsid w:val="00692644"/>
    <w:rsid w:val="00692A1B"/>
    <w:rsid w:val="00692BC6"/>
    <w:rsid w:val="006A002F"/>
    <w:rsid w:val="006A0DCE"/>
    <w:rsid w:val="006A3BFC"/>
    <w:rsid w:val="006A71B2"/>
    <w:rsid w:val="006A7D0B"/>
    <w:rsid w:val="006B112E"/>
    <w:rsid w:val="006B1A29"/>
    <w:rsid w:val="006B2DD7"/>
    <w:rsid w:val="006B718F"/>
    <w:rsid w:val="006B7F71"/>
    <w:rsid w:val="006D413C"/>
    <w:rsid w:val="006D5A95"/>
    <w:rsid w:val="006D64AB"/>
    <w:rsid w:val="006E17BF"/>
    <w:rsid w:val="006E256B"/>
    <w:rsid w:val="006E432B"/>
    <w:rsid w:val="006E4B92"/>
    <w:rsid w:val="006E67E9"/>
    <w:rsid w:val="006F0418"/>
    <w:rsid w:val="006F0A44"/>
    <w:rsid w:val="006F108C"/>
    <w:rsid w:val="006F284D"/>
    <w:rsid w:val="006F2A96"/>
    <w:rsid w:val="006F4881"/>
    <w:rsid w:val="006F5EEC"/>
    <w:rsid w:val="006F6829"/>
    <w:rsid w:val="007018DC"/>
    <w:rsid w:val="0070202B"/>
    <w:rsid w:val="00704606"/>
    <w:rsid w:val="00707704"/>
    <w:rsid w:val="00707CCA"/>
    <w:rsid w:val="007119C1"/>
    <w:rsid w:val="00712638"/>
    <w:rsid w:val="00714BDA"/>
    <w:rsid w:val="00714BEF"/>
    <w:rsid w:val="0071576D"/>
    <w:rsid w:val="00715E69"/>
    <w:rsid w:val="007164BD"/>
    <w:rsid w:val="00716739"/>
    <w:rsid w:val="00720C65"/>
    <w:rsid w:val="00722190"/>
    <w:rsid w:val="007221D3"/>
    <w:rsid w:val="00722CA2"/>
    <w:rsid w:val="00727AD8"/>
    <w:rsid w:val="00730C3D"/>
    <w:rsid w:val="0073234F"/>
    <w:rsid w:val="00732588"/>
    <w:rsid w:val="007349D5"/>
    <w:rsid w:val="0073580B"/>
    <w:rsid w:val="00736316"/>
    <w:rsid w:val="0074256C"/>
    <w:rsid w:val="00742720"/>
    <w:rsid w:val="00750327"/>
    <w:rsid w:val="007514E2"/>
    <w:rsid w:val="007524E9"/>
    <w:rsid w:val="00753EFD"/>
    <w:rsid w:val="007543C8"/>
    <w:rsid w:val="0075557F"/>
    <w:rsid w:val="007556E4"/>
    <w:rsid w:val="0075599F"/>
    <w:rsid w:val="00763102"/>
    <w:rsid w:val="00764E84"/>
    <w:rsid w:val="0076536D"/>
    <w:rsid w:val="00773265"/>
    <w:rsid w:val="00773626"/>
    <w:rsid w:val="00774D00"/>
    <w:rsid w:val="00777374"/>
    <w:rsid w:val="00781C20"/>
    <w:rsid w:val="00785924"/>
    <w:rsid w:val="00786535"/>
    <w:rsid w:val="0078672C"/>
    <w:rsid w:val="00787E54"/>
    <w:rsid w:val="007919A8"/>
    <w:rsid w:val="0079361C"/>
    <w:rsid w:val="007A109D"/>
    <w:rsid w:val="007A2A43"/>
    <w:rsid w:val="007A5A8E"/>
    <w:rsid w:val="007A7101"/>
    <w:rsid w:val="007B0C71"/>
    <w:rsid w:val="007B4A1D"/>
    <w:rsid w:val="007C1FE3"/>
    <w:rsid w:val="007C21F2"/>
    <w:rsid w:val="007C3DF8"/>
    <w:rsid w:val="007C5A1D"/>
    <w:rsid w:val="007D06CA"/>
    <w:rsid w:val="007D0D5B"/>
    <w:rsid w:val="007D16C2"/>
    <w:rsid w:val="007D44AB"/>
    <w:rsid w:val="007D7CA3"/>
    <w:rsid w:val="007D7E4F"/>
    <w:rsid w:val="007E418A"/>
    <w:rsid w:val="007E7AC0"/>
    <w:rsid w:val="007F0E7F"/>
    <w:rsid w:val="007F1C22"/>
    <w:rsid w:val="007F3957"/>
    <w:rsid w:val="007F4145"/>
    <w:rsid w:val="007F4D55"/>
    <w:rsid w:val="007F6173"/>
    <w:rsid w:val="008008F8"/>
    <w:rsid w:val="00800E60"/>
    <w:rsid w:val="0080225D"/>
    <w:rsid w:val="0080405B"/>
    <w:rsid w:val="00804E9D"/>
    <w:rsid w:val="0080552D"/>
    <w:rsid w:val="00806148"/>
    <w:rsid w:val="00810980"/>
    <w:rsid w:val="0081111C"/>
    <w:rsid w:val="00811226"/>
    <w:rsid w:val="00813CC0"/>
    <w:rsid w:val="008179FC"/>
    <w:rsid w:val="0082142E"/>
    <w:rsid w:val="008231C8"/>
    <w:rsid w:val="00825165"/>
    <w:rsid w:val="008257B9"/>
    <w:rsid w:val="00831368"/>
    <w:rsid w:val="00831F71"/>
    <w:rsid w:val="00834FF1"/>
    <w:rsid w:val="0084072B"/>
    <w:rsid w:val="00841293"/>
    <w:rsid w:val="0084136A"/>
    <w:rsid w:val="00843DCD"/>
    <w:rsid w:val="00845116"/>
    <w:rsid w:val="00850FE9"/>
    <w:rsid w:val="008511E3"/>
    <w:rsid w:val="00851289"/>
    <w:rsid w:val="00851638"/>
    <w:rsid w:val="00851A88"/>
    <w:rsid w:val="0085341B"/>
    <w:rsid w:val="0085372A"/>
    <w:rsid w:val="008539DB"/>
    <w:rsid w:val="00853CBA"/>
    <w:rsid w:val="0085500B"/>
    <w:rsid w:val="00855209"/>
    <w:rsid w:val="0085538A"/>
    <w:rsid w:val="00855E03"/>
    <w:rsid w:val="00856D25"/>
    <w:rsid w:val="008623B0"/>
    <w:rsid w:val="00865173"/>
    <w:rsid w:val="00865DA3"/>
    <w:rsid w:val="00867694"/>
    <w:rsid w:val="008679E6"/>
    <w:rsid w:val="00867A38"/>
    <w:rsid w:val="0087036F"/>
    <w:rsid w:val="008707F7"/>
    <w:rsid w:val="008724B8"/>
    <w:rsid w:val="00874B20"/>
    <w:rsid w:val="00875B5A"/>
    <w:rsid w:val="00877474"/>
    <w:rsid w:val="008779F4"/>
    <w:rsid w:val="00877BC9"/>
    <w:rsid w:val="00882754"/>
    <w:rsid w:val="00883F14"/>
    <w:rsid w:val="00885707"/>
    <w:rsid w:val="00887439"/>
    <w:rsid w:val="0089169E"/>
    <w:rsid w:val="00892EB4"/>
    <w:rsid w:val="00896CC7"/>
    <w:rsid w:val="008A0AEC"/>
    <w:rsid w:val="008A15BB"/>
    <w:rsid w:val="008A1ED0"/>
    <w:rsid w:val="008A3202"/>
    <w:rsid w:val="008A34A1"/>
    <w:rsid w:val="008A3552"/>
    <w:rsid w:val="008A368A"/>
    <w:rsid w:val="008A5001"/>
    <w:rsid w:val="008A5865"/>
    <w:rsid w:val="008A602D"/>
    <w:rsid w:val="008A7E8E"/>
    <w:rsid w:val="008B04FC"/>
    <w:rsid w:val="008B1180"/>
    <w:rsid w:val="008B6E5F"/>
    <w:rsid w:val="008B71A2"/>
    <w:rsid w:val="008B76E9"/>
    <w:rsid w:val="008C3979"/>
    <w:rsid w:val="008D6915"/>
    <w:rsid w:val="008D72CB"/>
    <w:rsid w:val="008E2C00"/>
    <w:rsid w:val="008E3BFC"/>
    <w:rsid w:val="008E3FCD"/>
    <w:rsid w:val="008E6B35"/>
    <w:rsid w:val="008F2A6B"/>
    <w:rsid w:val="008F40FE"/>
    <w:rsid w:val="008F56F1"/>
    <w:rsid w:val="008F5DBA"/>
    <w:rsid w:val="008F769E"/>
    <w:rsid w:val="00902AEC"/>
    <w:rsid w:val="00904872"/>
    <w:rsid w:val="009050C9"/>
    <w:rsid w:val="00905C10"/>
    <w:rsid w:val="00907D92"/>
    <w:rsid w:val="00915B0F"/>
    <w:rsid w:val="009167CF"/>
    <w:rsid w:val="00921678"/>
    <w:rsid w:val="00923969"/>
    <w:rsid w:val="00925B97"/>
    <w:rsid w:val="00926B4B"/>
    <w:rsid w:val="0092700A"/>
    <w:rsid w:val="00927DFE"/>
    <w:rsid w:val="00933AD2"/>
    <w:rsid w:val="00936349"/>
    <w:rsid w:val="00937DBD"/>
    <w:rsid w:val="00940564"/>
    <w:rsid w:val="00940997"/>
    <w:rsid w:val="009413D0"/>
    <w:rsid w:val="00941ACA"/>
    <w:rsid w:val="009428B1"/>
    <w:rsid w:val="00943B88"/>
    <w:rsid w:val="00944CBA"/>
    <w:rsid w:val="0094576D"/>
    <w:rsid w:val="009476B0"/>
    <w:rsid w:val="00947CE0"/>
    <w:rsid w:val="00947FBE"/>
    <w:rsid w:val="00951217"/>
    <w:rsid w:val="00952650"/>
    <w:rsid w:val="009553C2"/>
    <w:rsid w:val="00955DFD"/>
    <w:rsid w:val="009574AB"/>
    <w:rsid w:val="00957CEA"/>
    <w:rsid w:val="00963427"/>
    <w:rsid w:val="00964CEB"/>
    <w:rsid w:val="00967B13"/>
    <w:rsid w:val="009712A4"/>
    <w:rsid w:val="009712D7"/>
    <w:rsid w:val="00974B4F"/>
    <w:rsid w:val="00976485"/>
    <w:rsid w:val="009808CF"/>
    <w:rsid w:val="00980EB3"/>
    <w:rsid w:val="009829BB"/>
    <w:rsid w:val="00984AAA"/>
    <w:rsid w:val="00985761"/>
    <w:rsid w:val="009867F9"/>
    <w:rsid w:val="00994C31"/>
    <w:rsid w:val="0099512C"/>
    <w:rsid w:val="00995CC0"/>
    <w:rsid w:val="00996179"/>
    <w:rsid w:val="009A127C"/>
    <w:rsid w:val="009A19BC"/>
    <w:rsid w:val="009A4102"/>
    <w:rsid w:val="009A5056"/>
    <w:rsid w:val="009A51FA"/>
    <w:rsid w:val="009A6142"/>
    <w:rsid w:val="009A632F"/>
    <w:rsid w:val="009B02EC"/>
    <w:rsid w:val="009B13DC"/>
    <w:rsid w:val="009B2592"/>
    <w:rsid w:val="009B52DF"/>
    <w:rsid w:val="009C427C"/>
    <w:rsid w:val="009C5427"/>
    <w:rsid w:val="009C6A5C"/>
    <w:rsid w:val="009C6A92"/>
    <w:rsid w:val="009D16B3"/>
    <w:rsid w:val="009E536D"/>
    <w:rsid w:val="009E54D8"/>
    <w:rsid w:val="009F0875"/>
    <w:rsid w:val="009F1CD1"/>
    <w:rsid w:val="009F533C"/>
    <w:rsid w:val="009F63D4"/>
    <w:rsid w:val="009F7BB8"/>
    <w:rsid w:val="00A0145D"/>
    <w:rsid w:val="00A045A1"/>
    <w:rsid w:val="00A065F7"/>
    <w:rsid w:val="00A06A46"/>
    <w:rsid w:val="00A06A7A"/>
    <w:rsid w:val="00A13417"/>
    <w:rsid w:val="00A14835"/>
    <w:rsid w:val="00A15033"/>
    <w:rsid w:val="00A173FA"/>
    <w:rsid w:val="00A21BC5"/>
    <w:rsid w:val="00A21D35"/>
    <w:rsid w:val="00A27B1B"/>
    <w:rsid w:val="00A32631"/>
    <w:rsid w:val="00A33C5C"/>
    <w:rsid w:val="00A3791F"/>
    <w:rsid w:val="00A4434E"/>
    <w:rsid w:val="00A51B3F"/>
    <w:rsid w:val="00A52993"/>
    <w:rsid w:val="00A53D28"/>
    <w:rsid w:val="00A54305"/>
    <w:rsid w:val="00A54A9C"/>
    <w:rsid w:val="00A55FF0"/>
    <w:rsid w:val="00A5661A"/>
    <w:rsid w:val="00A6013A"/>
    <w:rsid w:val="00A60CE7"/>
    <w:rsid w:val="00A64B0D"/>
    <w:rsid w:val="00A667C5"/>
    <w:rsid w:val="00A6691B"/>
    <w:rsid w:val="00A771C3"/>
    <w:rsid w:val="00A8274B"/>
    <w:rsid w:val="00A82BE8"/>
    <w:rsid w:val="00A84E78"/>
    <w:rsid w:val="00A85264"/>
    <w:rsid w:val="00A87DC6"/>
    <w:rsid w:val="00A90F22"/>
    <w:rsid w:val="00A92D58"/>
    <w:rsid w:val="00A93555"/>
    <w:rsid w:val="00AA091A"/>
    <w:rsid w:val="00AA0D2A"/>
    <w:rsid w:val="00AA1560"/>
    <w:rsid w:val="00AB093D"/>
    <w:rsid w:val="00AB0A9C"/>
    <w:rsid w:val="00AB1D50"/>
    <w:rsid w:val="00AB24E7"/>
    <w:rsid w:val="00AB3638"/>
    <w:rsid w:val="00AB3F61"/>
    <w:rsid w:val="00AB44AC"/>
    <w:rsid w:val="00AB54D8"/>
    <w:rsid w:val="00AB5ABF"/>
    <w:rsid w:val="00AB6B85"/>
    <w:rsid w:val="00AC1634"/>
    <w:rsid w:val="00AC298C"/>
    <w:rsid w:val="00AC369A"/>
    <w:rsid w:val="00AD38FF"/>
    <w:rsid w:val="00AD3AC0"/>
    <w:rsid w:val="00AD4EFD"/>
    <w:rsid w:val="00AD550E"/>
    <w:rsid w:val="00AD610F"/>
    <w:rsid w:val="00AD73FB"/>
    <w:rsid w:val="00AD7C9A"/>
    <w:rsid w:val="00AE06A6"/>
    <w:rsid w:val="00AE4039"/>
    <w:rsid w:val="00AE42DD"/>
    <w:rsid w:val="00AE5486"/>
    <w:rsid w:val="00AF2F9B"/>
    <w:rsid w:val="00AF4A8E"/>
    <w:rsid w:val="00AF65BB"/>
    <w:rsid w:val="00AF7B96"/>
    <w:rsid w:val="00B023D9"/>
    <w:rsid w:val="00B10B6E"/>
    <w:rsid w:val="00B110F0"/>
    <w:rsid w:val="00B1317A"/>
    <w:rsid w:val="00B14D9C"/>
    <w:rsid w:val="00B15B68"/>
    <w:rsid w:val="00B17E68"/>
    <w:rsid w:val="00B20073"/>
    <w:rsid w:val="00B20CC8"/>
    <w:rsid w:val="00B2372F"/>
    <w:rsid w:val="00B244D7"/>
    <w:rsid w:val="00B30C16"/>
    <w:rsid w:val="00B315F9"/>
    <w:rsid w:val="00B31871"/>
    <w:rsid w:val="00B31B3F"/>
    <w:rsid w:val="00B33126"/>
    <w:rsid w:val="00B34641"/>
    <w:rsid w:val="00B34844"/>
    <w:rsid w:val="00B3528B"/>
    <w:rsid w:val="00B359A6"/>
    <w:rsid w:val="00B3621C"/>
    <w:rsid w:val="00B4113C"/>
    <w:rsid w:val="00B42E09"/>
    <w:rsid w:val="00B44BD6"/>
    <w:rsid w:val="00B458E9"/>
    <w:rsid w:val="00B50118"/>
    <w:rsid w:val="00B50657"/>
    <w:rsid w:val="00B50FE5"/>
    <w:rsid w:val="00B517C9"/>
    <w:rsid w:val="00B51D32"/>
    <w:rsid w:val="00B528C6"/>
    <w:rsid w:val="00B63BCC"/>
    <w:rsid w:val="00B67B1C"/>
    <w:rsid w:val="00B7033F"/>
    <w:rsid w:val="00B71DE5"/>
    <w:rsid w:val="00B72EDC"/>
    <w:rsid w:val="00B736DC"/>
    <w:rsid w:val="00B74B66"/>
    <w:rsid w:val="00B75D28"/>
    <w:rsid w:val="00B77CF3"/>
    <w:rsid w:val="00B80C7B"/>
    <w:rsid w:val="00B80CBE"/>
    <w:rsid w:val="00B8529A"/>
    <w:rsid w:val="00B86A73"/>
    <w:rsid w:val="00B87A72"/>
    <w:rsid w:val="00B91F32"/>
    <w:rsid w:val="00B947F7"/>
    <w:rsid w:val="00B969CD"/>
    <w:rsid w:val="00BA0B93"/>
    <w:rsid w:val="00BA28C2"/>
    <w:rsid w:val="00BA65F3"/>
    <w:rsid w:val="00BB7D94"/>
    <w:rsid w:val="00BC016C"/>
    <w:rsid w:val="00BC1C2A"/>
    <w:rsid w:val="00BC41EC"/>
    <w:rsid w:val="00BC4221"/>
    <w:rsid w:val="00BC42CA"/>
    <w:rsid w:val="00BC44A3"/>
    <w:rsid w:val="00BC75CF"/>
    <w:rsid w:val="00BD07FF"/>
    <w:rsid w:val="00BD3178"/>
    <w:rsid w:val="00BD6169"/>
    <w:rsid w:val="00BD764B"/>
    <w:rsid w:val="00BE31BD"/>
    <w:rsid w:val="00BF0DC2"/>
    <w:rsid w:val="00BF2353"/>
    <w:rsid w:val="00BF39C0"/>
    <w:rsid w:val="00BF60E8"/>
    <w:rsid w:val="00BF79E9"/>
    <w:rsid w:val="00C028F3"/>
    <w:rsid w:val="00C036A0"/>
    <w:rsid w:val="00C11694"/>
    <w:rsid w:val="00C127A4"/>
    <w:rsid w:val="00C131CD"/>
    <w:rsid w:val="00C135F3"/>
    <w:rsid w:val="00C1501D"/>
    <w:rsid w:val="00C17733"/>
    <w:rsid w:val="00C22CD5"/>
    <w:rsid w:val="00C250C1"/>
    <w:rsid w:val="00C25936"/>
    <w:rsid w:val="00C26929"/>
    <w:rsid w:val="00C26C16"/>
    <w:rsid w:val="00C307C5"/>
    <w:rsid w:val="00C34296"/>
    <w:rsid w:val="00C36034"/>
    <w:rsid w:val="00C40912"/>
    <w:rsid w:val="00C421A1"/>
    <w:rsid w:val="00C431A9"/>
    <w:rsid w:val="00C448C0"/>
    <w:rsid w:val="00C44B1C"/>
    <w:rsid w:val="00C45568"/>
    <w:rsid w:val="00C53C27"/>
    <w:rsid w:val="00C5448D"/>
    <w:rsid w:val="00C548B9"/>
    <w:rsid w:val="00C55230"/>
    <w:rsid w:val="00C55310"/>
    <w:rsid w:val="00C6269A"/>
    <w:rsid w:val="00C65DF1"/>
    <w:rsid w:val="00C678E7"/>
    <w:rsid w:val="00C773C1"/>
    <w:rsid w:val="00C809FB"/>
    <w:rsid w:val="00C81A7B"/>
    <w:rsid w:val="00C8316E"/>
    <w:rsid w:val="00C8323A"/>
    <w:rsid w:val="00C84860"/>
    <w:rsid w:val="00C8511E"/>
    <w:rsid w:val="00C861E7"/>
    <w:rsid w:val="00C87D09"/>
    <w:rsid w:val="00C90998"/>
    <w:rsid w:val="00CA217C"/>
    <w:rsid w:val="00CA41CC"/>
    <w:rsid w:val="00CA5B19"/>
    <w:rsid w:val="00CB3BC2"/>
    <w:rsid w:val="00CB564C"/>
    <w:rsid w:val="00CB5CF1"/>
    <w:rsid w:val="00CC3690"/>
    <w:rsid w:val="00CC3F1B"/>
    <w:rsid w:val="00CC469B"/>
    <w:rsid w:val="00CC654F"/>
    <w:rsid w:val="00CD71EF"/>
    <w:rsid w:val="00CE05F9"/>
    <w:rsid w:val="00CE085C"/>
    <w:rsid w:val="00CE1135"/>
    <w:rsid w:val="00CE2047"/>
    <w:rsid w:val="00CF0A10"/>
    <w:rsid w:val="00CF1AA2"/>
    <w:rsid w:val="00CF25E0"/>
    <w:rsid w:val="00CF2BBA"/>
    <w:rsid w:val="00CF62C0"/>
    <w:rsid w:val="00D00B04"/>
    <w:rsid w:val="00D066B3"/>
    <w:rsid w:val="00D0749A"/>
    <w:rsid w:val="00D119F4"/>
    <w:rsid w:val="00D13DBA"/>
    <w:rsid w:val="00D14037"/>
    <w:rsid w:val="00D142FE"/>
    <w:rsid w:val="00D1591D"/>
    <w:rsid w:val="00D201B9"/>
    <w:rsid w:val="00D21D31"/>
    <w:rsid w:val="00D23510"/>
    <w:rsid w:val="00D2388A"/>
    <w:rsid w:val="00D24373"/>
    <w:rsid w:val="00D26D24"/>
    <w:rsid w:val="00D27AA8"/>
    <w:rsid w:val="00D31959"/>
    <w:rsid w:val="00D32C0C"/>
    <w:rsid w:val="00D406D0"/>
    <w:rsid w:val="00D41BB4"/>
    <w:rsid w:val="00D4574F"/>
    <w:rsid w:val="00D52EEE"/>
    <w:rsid w:val="00D539C7"/>
    <w:rsid w:val="00D53D5D"/>
    <w:rsid w:val="00D54B5F"/>
    <w:rsid w:val="00D54F53"/>
    <w:rsid w:val="00D55827"/>
    <w:rsid w:val="00D56848"/>
    <w:rsid w:val="00D57ABA"/>
    <w:rsid w:val="00D608CB"/>
    <w:rsid w:val="00D60DCB"/>
    <w:rsid w:val="00D61419"/>
    <w:rsid w:val="00D61981"/>
    <w:rsid w:val="00D6251A"/>
    <w:rsid w:val="00D6458F"/>
    <w:rsid w:val="00D6642F"/>
    <w:rsid w:val="00D66D2F"/>
    <w:rsid w:val="00D728A9"/>
    <w:rsid w:val="00D747DC"/>
    <w:rsid w:val="00D773DE"/>
    <w:rsid w:val="00D80D27"/>
    <w:rsid w:val="00D80E90"/>
    <w:rsid w:val="00D83D16"/>
    <w:rsid w:val="00D83EC6"/>
    <w:rsid w:val="00D8565C"/>
    <w:rsid w:val="00D87326"/>
    <w:rsid w:val="00D95F16"/>
    <w:rsid w:val="00D97840"/>
    <w:rsid w:val="00D97A70"/>
    <w:rsid w:val="00D97CAD"/>
    <w:rsid w:val="00DA128B"/>
    <w:rsid w:val="00DA1BBD"/>
    <w:rsid w:val="00DA2711"/>
    <w:rsid w:val="00DA45A5"/>
    <w:rsid w:val="00DA75D6"/>
    <w:rsid w:val="00DB0817"/>
    <w:rsid w:val="00DB0A77"/>
    <w:rsid w:val="00DB3970"/>
    <w:rsid w:val="00DB3BD9"/>
    <w:rsid w:val="00DB6B4D"/>
    <w:rsid w:val="00DC2E0D"/>
    <w:rsid w:val="00DC4EC2"/>
    <w:rsid w:val="00DD287E"/>
    <w:rsid w:val="00DD53A4"/>
    <w:rsid w:val="00DD5E42"/>
    <w:rsid w:val="00DE10CA"/>
    <w:rsid w:val="00DE13CE"/>
    <w:rsid w:val="00DE2295"/>
    <w:rsid w:val="00DE6DE4"/>
    <w:rsid w:val="00DE70E9"/>
    <w:rsid w:val="00DE73B5"/>
    <w:rsid w:val="00DF0B68"/>
    <w:rsid w:val="00DF1B07"/>
    <w:rsid w:val="00DF516C"/>
    <w:rsid w:val="00DF543B"/>
    <w:rsid w:val="00DF73F2"/>
    <w:rsid w:val="00E03D39"/>
    <w:rsid w:val="00E03D92"/>
    <w:rsid w:val="00E04CE1"/>
    <w:rsid w:val="00E05030"/>
    <w:rsid w:val="00E07B8A"/>
    <w:rsid w:val="00E101D0"/>
    <w:rsid w:val="00E11B97"/>
    <w:rsid w:val="00E12AAF"/>
    <w:rsid w:val="00E1509C"/>
    <w:rsid w:val="00E1593E"/>
    <w:rsid w:val="00E16C82"/>
    <w:rsid w:val="00E2520D"/>
    <w:rsid w:val="00E27228"/>
    <w:rsid w:val="00E272B9"/>
    <w:rsid w:val="00E32086"/>
    <w:rsid w:val="00E36F50"/>
    <w:rsid w:val="00E44D58"/>
    <w:rsid w:val="00E46489"/>
    <w:rsid w:val="00E46F08"/>
    <w:rsid w:val="00E4736D"/>
    <w:rsid w:val="00E4756D"/>
    <w:rsid w:val="00E5003D"/>
    <w:rsid w:val="00E51015"/>
    <w:rsid w:val="00E51814"/>
    <w:rsid w:val="00E52DD0"/>
    <w:rsid w:val="00E53226"/>
    <w:rsid w:val="00E54705"/>
    <w:rsid w:val="00E55515"/>
    <w:rsid w:val="00E55A4F"/>
    <w:rsid w:val="00E56385"/>
    <w:rsid w:val="00E565BA"/>
    <w:rsid w:val="00E575D1"/>
    <w:rsid w:val="00E60963"/>
    <w:rsid w:val="00E63C9A"/>
    <w:rsid w:val="00E642D5"/>
    <w:rsid w:val="00E64E1D"/>
    <w:rsid w:val="00E64F36"/>
    <w:rsid w:val="00E6504A"/>
    <w:rsid w:val="00E65D10"/>
    <w:rsid w:val="00E704C7"/>
    <w:rsid w:val="00E715E5"/>
    <w:rsid w:val="00E71F3D"/>
    <w:rsid w:val="00E7424D"/>
    <w:rsid w:val="00E74D38"/>
    <w:rsid w:val="00E765CF"/>
    <w:rsid w:val="00E76C2B"/>
    <w:rsid w:val="00E77040"/>
    <w:rsid w:val="00E82945"/>
    <w:rsid w:val="00E83807"/>
    <w:rsid w:val="00E85248"/>
    <w:rsid w:val="00E912A6"/>
    <w:rsid w:val="00E91477"/>
    <w:rsid w:val="00E91A45"/>
    <w:rsid w:val="00E94960"/>
    <w:rsid w:val="00E95B29"/>
    <w:rsid w:val="00E972AD"/>
    <w:rsid w:val="00EA2137"/>
    <w:rsid w:val="00EA3C48"/>
    <w:rsid w:val="00EA6A58"/>
    <w:rsid w:val="00EA73BF"/>
    <w:rsid w:val="00EB3602"/>
    <w:rsid w:val="00EB3F1F"/>
    <w:rsid w:val="00EB541F"/>
    <w:rsid w:val="00EC0846"/>
    <w:rsid w:val="00EC0C8F"/>
    <w:rsid w:val="00EC135A"/>
    <w:rsid w:val="00EC16E6"/>
    <w:rsid w:val="00EC204E"/>
    <w:rsid w:val="00EC2098"/>
    <w:rsid w:val="00EC24D5"/>
    <w:rsid w:val="00EC4787"/>
    <w:rsid w:val="00EC4994"/>
    <w:rsid w:val="00EC752F"/>
    <w:rsid w:val="00EC76CB"/>
    <w:rsid w:val="00ED1E6F"/>
    <w:rsid w:val="00ED675C"/>
    <w:rsid w:val="00EE3F4D"/>
    <w:rsid w:val="00EE5D5B"/>
    <w:rsid w:val="00EE7572"/>
    <w:rsid w:val="00EF1DB1"/>
    <w:rsid w:val="00EF2E91"/>
    <w:rsid w:val="00EF6495"/>
    <w:rsid w:val="00F00E9A"/>
    <w:rsid w:val="00F017C1"/>
    <w:rsid w:val="00F01C73"/>
    <w:rsid w:val="00F02BB2"/>
    <w:rsid w:val="00F0490E"/>
    <w:rsid w:val="00F05AB6"/>
    <w:rsid w:val="00F060DD"/>
    <w:rsid w:val="00F06DA0"/>
    <w:rsid w:val="00F07CC7"/>
    <w:rsid w:val="00F11125"/>
    <w:rsid w:val="00F11C1F"/>
    <w:rsid w:val="00F136CB"/>
    <w:rsid w:val="00F14E01"/>
    <w:rsid w:val="00F1646C"/>
    <w:rsid w:val="00F230A5"/>
    <w:rsid w:val="00F261A6"/>
    <w:rsid w:val="00F305F2"/>
    <w:rsid w:val="00F40A21"/>
    <w:rsid w:val="00F4278C"/>
    <w:rsid w:val="00F42A29"/>
    <w:rsid w:val="00F4438C"/>
    <w:rsid w:val="00F45117"/>
    <w:rsid w:val="00F45632"/>
    <w:rsid w:val="00F47372"/>
    <w:rsid w:val="00F502BE"/>
    <w:rsid w:val="00F54ED0"/>
    <w:rsid w:val="00F553AA"/>
    <w:rsid w:val="00F561EC"/>
    <w:rsid w:val="00F60814"/>
    <w:rsid w:val="00F6171E"/>
    <w:rsid w:val="00F63ECF"/>
    <w:rsid w:val="00F65195"/>
    <w:rsid w:val="00F7227E"/>
    <w:rsid w:val="00F724A2"/>
    <w:rsid w:val="00F74BEE"/>
    <w:rsid w:val="00F7592E"/>
    <w:rsid w:val="00F7626F"/>
    <w:rsid w:val="00F76F7C"/>
    <w:rsid w:val="00F8511E"/>
    <w:rsid w:val="00F86ED4"/>
    <w:rsid w:val="00F92560"/>
    <w:rsid w:val="00F92A43"/>
    <w:rsid w:val="00F9389C"/>
    <w:rsid w:val="00F94CAB"/>
    <w:rsid w:val="00F95971"/>
    <w:rsid w:val="00F95BB1"/>
    <w:rsid w:val="00FA2AB2"/>
    <w:rsid w:val="00FA48BC"/>
    <w:rsid w:val="00FA63B5"/>
    <w:rsid w:val="00FA7BC6"/>
    <w:rsid w:val="00FA7DF4"/>
    <w:rsid w:val="00FB007E"/>
    <w:rsid w:val="00FB3E2F"/>
    <w:rsid w:val="00FC20EF"/>
    <w:rsid w:val="00FC20FD"/>
    <w:rsid w:val="00FC383A"/>
    <w:rsid w:val="00FC3C95"/>
    <w:rsid w:val="00FC58F0"/>
    <w:rsid w:val="00FD26EB"/>
    <w:rsid w:val="00FD3A03"/>
    <w:rsid w:val="00FD4DDC"/>
    <w:rsid w:val="00FE0A55"/>
    <w:rsid w:val="00FE11D4"/>
    <w:rsid w:val="00FE581E"/>
    <w:rsid w:val="00FF0C07"/>
    <w:rsid w:val="00FF2B30"/>
    <w:rsid w:val="00FF3A5F"/>
    <w:rsid w:val="00FF3BB9"/>
    <w:rsid w:val="00FF5C45"/>
    <w:rsid w:val="01830099"/>
    <w:rsid w:val="019C1964"/>
    <w:rsid w:val="01CA5CC8"/>
    <w:rsid w:val="01E0373D"/>
    <w:rsid w:val="01F64D0F"/>
    <w:rsid w:val="024A0BB7"/>
    <w:rsid w:val="025C7268"/>
    <w:rsid w:val="0381685A"/>
    <w:rsid w:val="03C230FA"/>
    <w:rsid w:val="04156BA2"/>
    <w:rsid w:val="04545D1C"/>
    <w:rsid w:val="04A86794"/>
    <w:rsid w:val="04B2316F"/>
    <w:rsid w:val="04B50EB1"/>
    <w:rsid w:val="05FF285F"/>
    <w:rsid w:val="0619721E"/>
    <w:rsid w:val="063E0A32"/>
    <w:rsid w:val="067032E2"/>
    <w:rsid w:val="067A4160"/>
    <w:rsid w:val="069E449E"/>
    <w:rsid w:val="06E17D3B"/>
    <w:rsid w:val="077E56AF"/>
    <w:rsid w:val="0828199A"/>
    <w:rsid w:val="084367D4"/>
    <w:rsid w:val="085D7896"/>
    <w:rsid w:val="087D1CE6"/>
    <w:rsid w:val="088E5CA1"/>
    <w:rsid w:val="0891753F"/>
    <w:rsid w:val="08986B20"/>
    <w:rsid w:val="08A47272"/>
    <w:rsid w:val="08D35DAA"/>
    <w:rsid w:val="09225432"/>
    <w:rsid w:val="092D370C"/>
    <w:rsid w:val="093700E7"/>
    <w:rsid w:val="095D4F56"/>
    <w:rsid w:val="096E7880"/>
    <w:rsid w:val="09864BCA"/>
    <w:rsid w:val="09C37BCC"/>
    <w:rsid w:val="09C6146A"/>
    <w:rsid w:val="09E57B43"/>
    <w:rsid w:val="0A252635"/>
    <w:rsid w:val="0A2D47AE"/>
    <w:rsid w:val="0A4E6576"/>
    <w:rsid w:val="0A6F3E59"/>
    <w:rsid w:val="0A6F565E"/>
    <w:rsid w:val="0A78485B"/>
    <w:rsid w:val="0A8D3D36"/>
    <w:rsid w:val="0A902E09"/>
    <w:rsid w:val="0ADE3374"/>
    <w:rsid w:val="0B00275A"/>
    <w:rsid w:val="0B201518"/>
    <w:rsid w:val="0B611B04"/>
    <w:rsid w:val="0B770C6E"/>
    <w:rsid w:val="0BA8707A"/>
    <w:rsid w:val="0BCB4B16"/>
    <w:rsid w:val="0BCE48E3"/>
    <w:rsid w:val="0C395F24"/>
    <w:rsid w:val="0C3C0535"/>
    <w:rsid w:val="0C3C77C2"/>
    <w:rsid w:val="0C4274CE"/>
    <w:rsid w:val="0C5745FC"/>
    <w:rsid w:val="0C5C1C12"/>
    <w:rsid w:val="0C6C454B"/>
    <w:rsid w:val="0C7927C4"/>
    <w:rsid w:val="0C9870EE"/>
    <w:rsid w:val="0CAE0021"/>
    <w:rsid w:val="0CB85F28"/>
    <w:rsid w:val="0CC47EE3"/>
    <w:rsid w:val="0CD17360"/>
    <w:rsid w:val="0CF84031"/>
    <w:rsid w:val="0CFE7DC7"/>
    <w:rsid w:val="0D466B4A"/>
    <w:rsid w:val="0D6E44D6"/>
    <w:rsid w:val="0D8256A8"/>
    <w:rsid w:val="0DAB4BFF"/>
    <w:rsid w:val="0DB37F58"/>
    <w:rsid w:val="0DE26CC1"/>
    <w:rsid w:val="0DEC297A"/>
    <w:rsid w:val="0E0B1044"/>
    <w:rsid w:val="0E4820F7"/>
    <w:rsid w:val="0E715E49"/>
    <w:rsid w:val="0EBE4E06"/>
    <w:rsid w:val="0EEE7499"/>
    <w:rsid w:val="0F39623B"/>
    <w:rsid w:val="0FD7617F"/>
    <w:rsid w:val="0FF509EA"/>
    <w:rsid w:val="0FF606C3"/>
    <w:rsid w:val="104F631D"/>
    <w:rsid w:val="105E23FD"/>
    <w:rsid w:val="10733C98"/>
    <w:rsid w:val="10861954"/>
    <w:rsid w:val="108F2DF2"/>
    <w:rsid w:val="10E5667A"/>
    <w:rsid w:val="11194576"/>
    <w:rsid w:val="112F78F5"/>
    <w:rsid w:val="11407D54"/>
    <w:rsid w:val="119500A0"/>
    <w:rsid w:val="11CE710E"/>
    <w:rsid w:val="12031C78"/>
    <w:rsid w:val="121A05A5"/>
    <w:rsid w:val="122E14EF"/>
    <w:rsid w:val="12364185"/>
    <w:rsid w:val="127A1044"/>
    <w:rsid w:val="12BA7692"/>
    <w:rsid w:val="12BD2DCF"/>
    <w:rsid w:val="12C10A21"/>
    <w:rsid w:val="12E50BB3"/>
    <w:rsid w:val="12F26E2C"/>
    <w:rsid w:val="13280AA0"/>
    <w:rsid w:val="139F5206"/>
    <w:rsid w:val="13F07810"/>
    <w:rsid w:val="146B333A"/>
    <w:rsid w:val="149634DA"/>
    <w:rsid w:val="149F511F"/>
    <w:rsid w:val="14B95E54"/>
    <w:rsid w:val="155142DE"/>
    <w:rsid w:val="1568787A"/>
    <w:rsid w:val="1603178E"/>
    <w:rsid w:val="162025C1"/>
    <w:rsid w:val="16300397"/>
    <w:rsid w:val="16980B79"/>
    <w:rsid w:val="16BE59A3"/>
    <w:rsid w:val="16C77949"/>
    <w:rsid w:val="17084E70"/>
    <w:rsid w:val="172A4801"/>
    <w:rsid w:val="172B7D93"/>
    <w:rsid w:val="17432C1D"/>
    <w:rsid w:val="176D73C9"/>
    <w:rsid w:val="178A3AD7"/>
    <w:rsid w:val="17EC4792"/>
    <w:rsid w:val="1840688C"/>
    <w:rsid w:val="18552337"/>
    <w:rsid w:val="186C184F"/>
    <w:rsid w:val="18F27B86"/>
    <w:rsid w:val="19185113"/>
    <w:rsid w:val="192A5572"/>
    <w:rsid w:val="192F4936"/>
    <w:rsid w:val="19393A07"/>
    <w:rsid w:val="19600F94"/>
    <w:rsid w:val="196C1A2A"/>
    <w:rsid w:val="196D545F"/>
    <w:rsid w:val="19B906A4"/>
    <w:rsid w:val="19E576EB"/>
    <w:rsid w:val="19E971DB"/>
    <w:rsid w:val="19F416DC"/>
    <w:rsid w:val="1A187AC0"/>
    <w:rsid w:val="1A295205"/>
    <w:rsid w:val="1A3B730B"/>
    <w:rsid w:val="1A7C3C60"/>
    <w:rsid w:val="1AEE25CF"/>
    <w:rsid w:val="1B2F50C2"/>
    <w:rsid w:val="1B55264E"/>
    <w:rsid w:val="1BA548B0"/>
    <w:rsid w:val="1BE063BC"/>
    <w:rsid w:val="1C7D79C3"/>
    <w:rsid w:val="1CC23D13"/>
    <w:rsid w:val="1D122238"/>
    <w:rsid w:val="1D271DC8"/>
    <w:rsid w:val="1D293D92"/>
    <w:rsid w:val="1D2F75FB"/>
    <w:rsid w:val="1D727BA8"/>
    <w:rsid w:val="1D9102A7"/>
    <w:rsid w:val="1DB7139E"/>
    <w:rsid w:val="1DCA2E80"/>
    <w:rsid w:val="1DE255CD"/>
    <w:rsid w:val="1E172547"/>
    <w:rsid w:val="1E34479D"/>
    <w:rsid w:val="1E6C3B60"/>
    <w:rsid w:val="1E767E8B"/>
    <w:rsid w:val="1E8C282B"/>
    <w:rsid w:val="1E9B2A6E"/>
    <w:rsid w:val="1EC72883"/>
    <w:rsid w:val="1ED85A70"/>
    <w:rsid w:val="1EE53CE9"/>
    <w:rsid w:val="1EEB7B8A"/>
    <w:rsid w:val="1F226CEB"/>
    <w:rsid w:val="1F314387"/>
    <w:rsid w:val="1FA2787C"/>
    <w:rsid w:val="1FB42039"/>
    <w:rsid w:val="201F682E"/>
    <w:rsid w:val="202B7A06"/>
    <w:rsid w:val="20692088"/>
    <w:rsid w:val="207C09F2"/>
    <w:rsid w:val="20803CC9"/>
    <w:rsid w:val="20A21E92"/>
    <w:rsid w:val="2100305C"/>
    <w:rsid w:val="213827F6"/>
    <w:rsid w:val="217C6B87"/>
    <w:rsid w:val="219A0DBB"/>
    <w:rsid w:val="219C2D85"/>
    <w:rsid w:val="21A954A2"/>
    <w:rsid w:val="21AF7468"/>
    <w:rsid w:val="21CB18BC"/>
    <w:rsid w:val="225278E7"/>
    <w:rsid w:val="22576CAC"/>
    <w:rsid w:val="226F2247"/>
    <w:rsid w:val="22B70195"/>
    <w:rsid w:val="235A6A54"/>
    <w:rsid w:val="23975B30"/>
    <w:rsid w:val="239F090A"/>
    <w:rsid w:val="23D34A58"/>
    <w:rsid w:val="24637B8A"/>
    <w:rsid w:val="246D27B7"/>
    <w:rsid w:val="248A15BB"/>
    <w:rsid w:val="24A54FF6"/>
    <w:rsid w:val="253B4663"/>
    <w:rsid w:val="257F09F3"/>
    <w:rsid w:val="25A52374"/>
    <w:rsid w:val="25D54AB7"/>
    <w:rsid w:val="266D4CF0"/>
    <w:rsid w:val="26853386"/>
    <w:rsid w:val="26CA3BB4"/>
    <w:rsid w:val="26D10C9C"/>
    <w:rsid w:val="26E33204"/>
    <w:rsid w:val="270F5DA7"/>
    <w:rsid w:val="272A2BE1"/>
    <w:rsid w:val="27637EA1"/>
    <w:rsid w:val="27A500D4"/>
    <w:rsid w:val="27F76F67"/>
    <w:rsid w:val="28075489"/>
    <w:rsid w:val="28327F9F"/>
    <w:rsid w:val="2838132E"/>
    <w:rsid w:val="288D1679"/>
    <w:rsid w:val="28FE60D3"/>
    <w:rsid w:val="29226266"/>
    <w:rsid w:val="293146FB"/>
    <w:rsid w:val="2973261D"/>
    <w:rsid w:val="298505A2"/>
    <w:rsid w:val="29931897"/>
    <w:rsid w:val="299A404E"/>
    <w:rsid w:val="29D60DFE"/>
    <w:rsid w:val="2A3234DC"/>
    <w:rsid w:val="2A3A75DF"/>
    <w:rsid w:val="2A9C3DF6"/>
    <w:rsid w:val="2AA00A7C"/>
    <w:rsid w:val="2AAB68C0"/>
    <w:rsid w:val="2ACD7B5D"/>
    <w:rsid w:val="2B147E30"/>
    <w:rsid w:val="2B271A55"/>
    <w:rsid w:val="2B591CE7"/>
    <w:rsid w:val="2B807273"/>
    <w:rsid w:val="2B9E76FA"/>
    <w:rsid w:val="2BC52ED8"/>
    <w:rsid w:val="2BD4136D"/>
    <w:rsid w:val="2BD8582F"/>
    <w:rsid w:val="2C4B7881"/>
    <w:rsid w:val="2C610E53"/>
    <w:rsid w:val="2C6B3A80"/>
    <w:rsid w:val="2C9C00DD"/>
    <w:rsid w:val="2D2A56E9"/>
    <w:rsid w:val="2D776454"/>
    <w:rsid w:val="2D9D5B09"/>
    <w:rsid w:val="2DED5E44"/>
    <w:rsid w:val="2E1B3283"/>
    <w:rsid w:val="2E352597"/>
    <w:rsid w:val="2E426A62"/>
    <w:rsid w:val="2E62681B"/>
    <w:rsid w:val="2E650C1E"/>
    <w:rsid w:val="2E81098E"/>
    <w:rsid w:val="2E89456D"/>
    <w:rsid w:val="2EDF0755"/>
    <w:rsid w:val="2F01691D"/>
    <w:rsid w:val="2F1436B3"/>
    <w:rsid w:val="2F1D1DA7"/>
    <w:rsid w:val="2F1E302B"/>
    <w:rsid w:val="2F327EB7"/>
    <w:rsid w:val="2F5636BF"/>
    <w:rsid w:val="2FB85935"/>
    <w:rsid w:val="2FC811E9"/>
    <w:rsid w:val="306058C5"/>
    <w:rsid w:val="30B73737"/>
    <w:rsid w:val="30B93376"/>
    <w:rsid w:val="30BF71D8"/>
    <w:rsid w:val="30C66D61"/>
    <w:rsid w:val="311E5564"/>
    <w:rsid w:val="3135465C"/>
    <w:rsid w:val="31534CA1"/>
    <w:rsid w:val="31796C3F"/>
    <w:rsid w:val="31C37EBA"/>
    <w:rsid w:val="3220355E"/>
    <w:rsid w:val="325154C6"/>
    <w:rsid w:val="32A23F73"/>
    <w:rsid w:val="32A90903"/>
    <w:rsid w:val="32BD182F"/>
    <w:rsid w:val="32CF5408"/>
    <w:rsid w:val="32F81DE5"/>
    <w:rsid w:val="331D184C"/>
    <w:rsid w:val="332B5D17"/>
    <w:rsid w:val="334212B2"/>
    <w:rsid w:val="33423060"/>
    <w:rsid w:val="33837901"/>
    <w:rsid w:val="339C6C14"/>
    <w:rsid w:val="33B51A84"/>
    <w:rsid w:val="33B941B0"/>
    <w:rsid w:val="33F95E15"/>
    <w:rsid w:val="343E7CCC"/>
    <w:rsid w:val="34B561E0"/>
    <w:rsid w:val="34DA79F4"/>
    <w:rsid w:val="350502A9"/>
    <w:rsid w:val="350B22A4"/>
    <w:rsid w:val="357C0AAC"/>
    <w:rsid w:val="35B2271F"/>
    <w:rsid w:val="35F44AE6"/>
    <w:rsid w:val="360F1920"/>
    <w:rsid w:val="363950D2"/>
    <w:rsid w:val="368D0A96"/>
    <w:rsid w:val="36BD75CE"/>
    <w:rsid w:val="37022309"/>
    <w:rsid w:val="37033750"/>
    <w:rsid w:val="37225683"/>
    <w:rsid w:val="375021F0"/>
    <w:rsid w:val="379271F2"/>
    <w:rsid w:val="37983B97"/>
    <w:rsid w:val="37A12A4B"/>
    <w:rsid w:val="37E34E12"/>
    <w:rsid w:val="37F25055"/>
    <w:rsid w:val="38327B47"/>
    <w:rsid w:val="390412B7"/>
    <w:rsid w:val="392B46AC"/>
    <w:rsid w:val="392C27E9"/>
    <w:rsid w:val="39363667"/>
    <w:rsid w:val="394E275F"/>
    <w:rsid w:val="39690427"/>
    <w:rsid w:val="396E1053"/>
    <w:rsid w:val="39E7126B"/>
    <w:rsid w:val="39FC21BB"/>
    <w:rsid w:val="3A2F2590"/>
    <w:rsid w:val="3A414072"/>
    <w:rsid w:val="3A970136"/>
    <w:rsid w:val="3AF97588"/>
    <w:rsid w:val="3AFD0BD3"/>
    <w:rsid w:val="3B3B4F65"/>
    <w:rsid w:val="3BE865EF"/>
    <w:rsid w:val="3C432323"/>
    <w:rsid w:val="3C7D5027"/>
    <w:rsid w:val="3CBD6450"/>
    <w:rsid w:val="3CCB1882"/>
    <w:rsid w:val="3CDB255C"/>
    <w:rsid w:val="3CDC0F10"/>
    <w:rsid w:val="3D3665B0"/>
    <w:rsid w:val="3D687B67"/>
    <w:rsid w:val="3D7309E6"/>
    <w:rsid w:val="3D8A3F82"/>
    <w:rsid w:val="3DB35286"/>
    <w:rsid w:val="3DC54FBA"/>
    <w:rsid w:val="3DCC6348"/>
    <w:rsid w:val="3E015FF2"/>
    <w:rsid w:val="3E077380"/>
    <w:rsid w:val="3E530817"/>
    <w:rsid w:val="3E547185"/>
    <w:rsid w:val="3EE33949"/>
    <w:rsid w:val="3EE55E99"/>
    <w:rsid w:val="3F23643C"/>
    <w:rsid w:val="3F603688"/>
    <w:rsid w:val="3FCE63A8"/>
    <w:rsid w:val="3FDC2362"/>
    <w:rsid w:val="402E5098"/>
    <w:rsid w:val="4057639D"/>
    <w:rsid w:val="40591713"/>
    <w:rsid w:val="409C64A6"/>
    <w:rsid w:val="40BF6B7E"/>
    <w:rsid w:val="40EF4A1C"/>
    <w:rsid w:val="410858E9"/>
    <w:rsid w:val="411F7702"/>
    <w:rsid w:val="412A3AB2"/>
    <w:rsid w:val="41CA0DF1"/>
    <w:rsid w:val="41D74E79"/>
    <w:rsid w:val="42562684"/>
    <w:rsid w:val="42750D5C"/>
    <w:rsid w:val="42935686"/>
    <w:rsid w:val="4359242C"/>
    <w:rsid w:val="43917E18"/>
    <w:rsid w:val="43C755E8"/>
    <w:rsid w:val="43D61CCF"/>
    <w:rsid w:val="43DA2B56"/>
    <w:rsid w:val="43F63FFD"/>
    <w:rsid w:val="44044A8E"/>
    <w:rsid w:val="446C618F"/>
    <w:rsid w:val="447A4D50"/>
    <w:rsid w:val="44F00B6E"/>
    <w:rsid w:val="455410FD"/>
    <w:rsid w:val="45611A6C"/>
    <w:rsid w:val="45A528D8"/>
    <w:rsid w:val="45BE2A1A"/>
    <w:rsid w:val="45D109A0"/>
    <w:rsid w:val="46120D67"/>
    <w:rsid w:val="462C5BD6"/>
    <w:rsid w:val="462E7BA0"/>
    <w:rsid w:val="46470C62"/>
    <w:rsid w:val="46887276"/>
    <w:rsid w:val="46B87139"/>
    <w:rsid w:val="46F012F9"/>
    <w:rsid w:val="473A07C7"/>
    <w:rsid w:val="476F277A"/>
    <w:rsid w:val="477C7218"/>
    <w:rsid w:val="47BB36B5"/>
    <w:rsid w:val="47D12ED9"/>
    <w:rsid w:val="47F210A1"/>
    <w:rsid w:val="48190548"/>
    <w:rsid w:val="48621D83"/>
    <w:rsid w:val="488F069E"/>
    <w:rsid w:val="48985CE3"/>
    <w:rsid w:val="48AD0432"/>
    <w:rsid w:val="48C7608A"/>
    <w:rsid w:val="48FE2571"/>
    <w:rsid w:val="490C7F41"/>
    <w:rsid w:val="494D47E1"/>
    <w:rsid w:val="49675177"/>
    <w:rsid w:val="49973CAE"/>
    <w:rsid w:val="499C3073"/>
    <w:rsid w:val="49CA7BE0"/>
    <w:rsid w:val="4A712751"/>
    <w:rsid w:val="4A767D68"/>
    <w:rsid w:val="4B7818BD"/>
    <w:rsid w:val="4B810772"/>
    <w:rsid w:val="4BA16A96"/>
    <w:rsid w:val="4BB32AB9"/>
    <w:rsid w:val="4BC726A9"/>
    <w:rsid w:val="4C4A325A"/>
    <w:rsid w:val="4C83676C"/>
    <w:rsid w:val="4CD80866"/>
    <w:rsid w:val="4CDD7C2A"/>
    <w:rsid w:val="4D0B6926"/>
    <w:rsid w:val="4D0C6761"/>
    <w:rsid w:val="4D4A0EC5"/>
    <w:rsid w:val="4D5D520F"/>
    <w:rsid w:val="4D7A1D09"/>
    <w:rsid w:val="4D924EB8"/>
    <w:rsid w:val="4DA415D6"/>
    <w:rsid w:val="4DD0778F"/>
    <w:rsid w:val="4DD70B1D"/>
    <w:rsid w:val="4E5C68DA"/>
    <w:rsid w:val="4E7520E4"/>
    <w:rsid w:val="4EAC3D58"/>
    <w:rsid w:val="4EE23C1E"/>
    <w:rsid w:val="4F6F4610"/>
    <w:rsid w:val="4F7A5C04"/>
    <w:rsid w:val="4F7B66F6"/>
    <w:rsid w:val="4F7C2BBC"/>
    <w:rsid w:val="4F8C3B89"/>
    <w:rsid w:val="4FC652ED"/>
    <w:rsid w:val="4FD70883"/>
    <w:rsid w:val="500B0F52"/>
    <w:rsid w:val="50357D7D"/>
    <w:rsid w:val="503B514F"/>
    <w:rsid w:val="505A5A36"/>
    <w:rsid w:val="507F724A"/>
    <w:rsid w:val="50945932"/>
    <w:rsid w:val="50B47D82"/>
    <w:rsid w:val="50CE160C"/>
    <w:rsid w:val="50DB373D"/>
    <w:rsid w:val="51167BAE"/>
    <w:rsid w:val="51387B25"/>
    <w:rsid w:val="51E101BC"/>
    <w:rsid w:val="523D116B"/>
    <w:rsid w:val="524E4C50"/>
    <w:rsid w:val="52872D62"/>
    <w:rsid w:val="52AF3E17"/>
    <w:rsid w:val="53114AD1"/>
    <w:rsid w:val="53193986"/>
    <w:rsid w:val="53C92CE4"/>
    <w:rsid w:val="54300F87"/>
    <w:rsid w:val="54420CBA"/>
    <w:rsid w:val="54532EC8"/>
    <w:rsid w:val="5455436A"/>
    <w:rsid w:val="54FC530D"/>
    <w:rsid w:val="552705DC"/>
    <w:rsid w:val="552B0183"/>
    <w:rsid w:val="55A75279"/>
    <w:rsid w:val="55BD0055"/>
    <w:rsid w:val="55CC04E7"/>
    <w:rsid w:val="567D422C"/>
    <w:rsid w:val="56956E42"/>
    <w:rsid w:val="574576C2"/>
    <w:rsid w:val="57BD55CF"/>
    <w:rsid w:val="57CA626D"/>
    <w:rsid w:val="57CC04F9"/>
    <w:rsid w:val="57DF495C"/>
    <w:rsid w:val="57E724A7"/>
    <w:rsid w:val="57FF771A"/>
    <w:rsid w:val="58003366"/>
    <w:rsid w:val="58095D77"/>
    <w:rsid w:val="583865FC"/>
    <w:rsid w:val="583C439E"/>
    <w:rsid w:val="5847689F"/>
    <w:rsid w:val="58A4692E"/>
    <w:rsid w:val="58F06F37"/>
    <w:rsid w:val="590F5373"/>
    <w:rsid w:val="592A2449"/>
    <w:rsid w:val="59570D64"/>
    <w:rsid w:val="597B2CA5"/>
    <w:rsid w:val="598A113A"/>
    <w:rsid w:val="59D40607"/>
    <w:rsid w:val="5A7A7400"/>
    <w:rsid w:val="5A843DDB"/>
    <w:rsid w:val="5A9C38F0"/>
    <w:rsid w:val="5AA31307"/>
    <w:rsid w:val="5B4425A0"/>
    <w:rsid w:val="5B7420A1"/>
    <w:rsid w:val="5B865931"/>
    <w:rsid w:val="5B977B3E"/>
    <w:rsid w:val="5B9B13DC"/>
    <w:rsid w:val="5BA97F8E"/>
    <w:rsid w:val="5BB57FC4"/>
    <w:rsid w:val="5BFE5E0F"/>
    <w:rsid w:val="5C412E25"/>
    <w:rsid w:val="5C675762"/>
    <w:rsid w:val="5C732359"/>
    <w:rsid w:val="5C757E7F"/>
    <w:rsid w:val="5C814A76"/>
    <w:rsid w:val="5C871960"/>
    <w:rsid w:val="5CFC0C70"/>
    <w:rsid w:val="5D243653"/>
    <w:rsid w:val="5D331AE8"/>
    <w:rsid w:val="5D6D0B56"/>
    <w:rsid w:val="5D8D11F8"/>
    <w:rsid w:val="5D9B70D9"/>
    <w:rsid w:val="5DE66B5A"/>
    <w:rsid w:val="5E086AD1"/>
    <w:rsid w:val="5E1C257C"/>
    <w:rsid w:val="5E31427A"/>
    <w:rsid w:val="5E526B83"/>
    <w:rsid w:val="5E9640DD"/>
    <w:rsid w:val="5EB153BA"/>
    <w:rsid w:val="5EC724E8"/>
    <w:rsid w:val="5F0A76E4"/>
    <w:rsid w:val="5F125E59"/>
    <w:rsid w:val="5F442E8C"/>
    <w:rsid w:val="5F587A19"/>
    <w:rsid w:val="5F661D01"/>
    <w:rsid w:val="5F6D308F"/>
    <w:rsid w:val="5F981780"/>
    <w:rsid w:val="5FA36AB1"/>
    <w:rsid w:val="5FAE5456"/>
    <w:rsid w:val="5FC1162D"/>
    <w:rsid w:val="5FC44C79"/>
    <w:rsid w:val="60216B36"/>
    <w:rsid w:val="603E496C"/>
    <w:rsid w:val="60870181"/>
    <w:rsid w:val="608E7761"/>
    <w:rsid w:val="60A747B7"/>
    <w:rsid w:val="611973CB"/>
    <w:rsid w:val="61722BDF"/>
    <w:rsid w:val="61BE5E24"/>
    <w:rsid w:val="61CF5F64"/>
    <w:rsid w:val="62326812"/>
    <w:rsid w:val="62C751AC"/>
    <w:rsid w:val="630E6937"/>
    <w:rsid w:val="631F28F3"/>
    <w:rsid w:val="634C4FC7"/>
    <w:rsid w:val="63807109"/>
    <w:rsid w:val="63EE1ECA"/>
    <w:rsid w:val="63FA6EBC"/>
    <w:rsid w:val="648F3AA8"/>
    <w:rsid w:val="64942E6C"/>
    <w:rsid w:val="649B07F3"/>
    <w:rsid w:val="64A907A2"/>
    <w:rsid w:val="64CF4D32"/>
    <w:rsid w:val="64E97D5C"/>
    <w:rsid w:val="65041A83"/>
    <w:rsid w:val="65046244"/>
    <w:rsid w:val="65750EF0"/>
    <w:rsid w:val="658A4BFB"/>
    <w:rsid w:val="66EB02DA"/>
    <w:rsid w:val="670839E4"/>
    <w:rsid w:val="67334BBF"/>
    <w:rsid w:val="673565FE"/>
    <w:rsid w:val="67857251"/>
    <w:rsid w:val="67CE2B39"/>
    <w:rsid w:val="683E7A5D"/>
    <w:rsid w:val="68550B65"/>
    <w:rsid w:val="685A43CD"/>
    <w:rsid w:val="687A5E9B"/>
    <w:rsid w:val="68A6077F"/>
    <w:rsid w:val="68B7181F"/>
    <w:rsid w:val="69112CDD"/>
    <w:rsid w:val="6933534A"/>
    <w:rsid w:val="694E2184"/>
    <w:rsid w:val="69894F6A"/>
    <w:rsid w:val="69A2474E"/>
    <w:rsid w:val="69B37C4A"/>
    <w:rsid w:val="69D65CD5"/>
    <w:rsid w:val="6A0665BA"/>
    <w:rsid w:val="6A334ED5"/>
    <w:rsid w:val="6A7F011B"/>
    <w:rsid w:val="6AAB7162"/>
    <w:rsid w:val="6ADC556D"/>
    <w:rsid w:val="6B00125C"/>
    <w:rsid w:val="6B546B21"/>
    <w:rsid w:val="6B59096C"/>
    <w:rsid w:val="6BE648F5"/>
    <w:rsid w:val="6BEC7A32"/>
    <w:rsid w:val="6C212F58"/>
    <w:rsid w:val="6C411B2C"/>
    <w:rsid w:val="6C490686"/>
    <w:rsid w:val="6C77554D"/>
    <w:rsid w:val="6C8B2DA7"/>
    <w:rsid w:val="6C904861"/>
    <w:rsid w:val="6C90660F"/>
    <w:rsid w:val="6C924135"/>
    <w:rsid w:val="6CF43042"/>
    <w:rsid w:val="6D095081"/>
    <w:rsid w:val="6D4A2C62"/>
    <w:rsid w:val="6D723F67"/>
    <w:rsid w:val="6D820A07"/>
    <w:rsid w:val="6D8A7447"/>
    <w:rsid w:val="6DD218E2"/>
    <w:rsid w:val="6DDC08EA"/>
    <w:rsid w:val="6EC16F54"/>
    <w:rsid w:val="6EC6456A"/>
    <w:rsid w:val="6F190B3E"/>
    <w:rsid w:val="6F3E2352"/>
    <w:rsid w:val="6FA50623"/>
    <w:rsid w:val="6FBE7937"/>
    <w:rsid w:val="6FC665D1"/>
    <w:rsid w:val="703B69D9"/>
    <w:rsid w:val="70853FB1"/>
    <w:rsid w:val="70912956"/>
    <w:rsid w:val="70926DFA"/>
    <w:rsid w:val="709541F4"/>
    <w:rsid w:val="70E92792"/>
    <w:rsid w:val="71754026"/>
    <w:rsid w:val="71F66F14"/>
    <w:rsid w:val="72587BCF"/>
    <w:rsid w:val="725E2D0C"/>
    <w:rsid w:val="72964253"/>
    <w:rsid w:val="72F13B80"/>
    <w:rsid w:val="72F1592E"/>
    <w:rsid w:val="72F84F0E"/>
    <w:rsid w:val="730B162C"/>
    <w:rsid w:val="73497518"/>
    <w:rsid w:val="73931191"/>
    <w:rsid w:val="73D43285"/>
    <w:rsid w:val="73E87E58"/>
    <w:rsid w:val="743326A2"/>
    <w:rsid w:val="74B63819"/>
    <w:rsid w:val="74C34716"/>
    <w:rsid w:val="74E4574A"/>
    <w:rsid w:val="74F57957"/>
    <w:rsid w:val="74F65DB6"/>
    <w:rsid w:val="75063912"/>
    <w:rsid w:val="751D0C5C"/>
    <w:rsid w:val="757717D3"/>
    <w:rsid w:val="75AE054D"/>
    <w:rsid w:val="75B01AD0"/>
    <w:rsid w:val="75BC2223"/>
    <w:rsid w:val="75F419BD"/>
    <w:rsid w:val="7621477C"/>
    <w:rsid w:val="762D5299"/>
    <w:rsid w:val="768371E5"/>
    <w:rsid w:val="769413F2"/>
    <w:rsid w:val="769767EC"/>
    <w:rsid w:val="76A72ED3"/>
    <w:rsid w:val="770E2F52"/>
    <w:rsid w:val="772B567C"/>
    <w:rsid w:val="774C5829"/>
    <w:rsid w:val="77514BED"/>
    <w:rsid w:val="77613082"/>
    <w:rsid w:val="77706477"/>
    <w:rsid w:val="778D20C9"/>
    <w:rsid w:val="77C81353"/>
    <w:rsid w:val="77C818D0"/>
    <w:rsid w:val="782D7E16"/>
    <w:rsid w:val="78401548"/>
    <w:rsid w:val="785D5F3F"/>
    <w:rsid w:val="78AD22F7"/>
    <w:rsid w:val="78C0027C"/>
    <w:rsid w:val="78C25DA2"/>
    <w:rsid w:val="78F543CA"/>
    <w:rsid w:val="794C29F4"/>
    <w:rsid w:val="796E3E18"/>
    <w:rsid w:val="79703A50"/>
    <w:rsid w:val="79B002F1"/>
    <w:rsid w:val="79E62108"/>
    <w:rsid w:val="7A044199"/>
    <w:rsid w:val="7A3C725B"/>
    <w:rsid w:val="7A3C7DD6"/>
    <w:rsid w:val="7A41719B"/>
    <w:rsid w:val="7A5073DE"/>
    <w:rsid w:val="7A7E03EF"/>
    <w:rsid w:val="7AAC5317"/>
    <w:rsid w:val="7AAF05A8"/>
    <w:rsid w:val="7AEB4F51"/>
    <w:rsid w:val="7B3C6D3D"/>
    <w:rsid w:val="7B4E1B6F"/>
    <w:rsid w:val="7B95154C"/>
    <w:rsid w:val="7BC10593"/>
    <w:rsid w:val="7BDA1655"/>
    <w:rsid w:val="7CEA1476"/>
    <w:rsid w:val="7D2C4132"/>
    <w:rsid w:val="7D595B58"/>
    <w:rsid w:val="7D5B0573"/>
    <w:rsid w:val="7D7D673C"/>
    <w:rsid w:val="7D8950E1"/>
    <w:rsid w:val="7DC70845"/>
    <w:rsid w:val="7DE762AB"/>
    <w:rsid w:val="7E1217A0"/>
    <w:rsid w:val="7E2E5FEA"/>
    <w:rsid w:val="7E633B84"/>
    <w:rsid w:val="7E7D485F"/>
    <w:rsid w:val="7E8D0C00"/>
    <w:rsid w:val="7E9975A5"/>
    <w:rsid w:val="7EED78F1"/>
    <w:rsid w:val="7EFE565A"/>
    <w:rsid w:val="7F2257ED"/>
    <w:rsid w:val="7F2777ED"/>
    <w:rsid w:val="7F6F2608"/>
    <w:rsid w:val="7F795BF1"/>
    <w:rsid w:val="7F8C3A2D"/>
    <w:rsid w:val="7F8E2E82"/>
    <w:rsid w:val="7FAD2F8A"/>
    <w:rsid w:val="7FB4040F"/>
    <w:rsid w:val="7FCA0AAF"/>
    <w:rsid w:val="7FCC39AA"/>
    <w:rsid w:val="7FD0524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nhideWhenUsed="0" w:uiPriority="99"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4"/>
      <w:lang w:val="en-US" w:eastAsia="zh-CN" w:bidi="ar-SA"/>
    </w:rPr>
  </w:style>
  <w:style w:type="paragraph" w:styleId="2">
    <w:name w:val="heading 1"/>
    <w:basedOn w:val="1"/>
    <w:next w:val="1"/>
    <w:link w:val="13"/>
    <w:qFormat/>
    <w:locked/>
    <w:uiPriority w:val="9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3"/>
    <w:basedOn w:val="1"/>
    <w:next w:val="1"/>
    <w:link w:val="14"/>
    <w:qFormat/>
    <w:locked/>
    <w:uiPriority w:val="99"/>
    <w:pPr>
      <w:spacing w:beforeAutospacing="1" w:afterAutospacing="1"/>
      <w:jc w:val="left"/>
      <w:outlineLvl w:val="2"/>
    </w:pPr>
    <w:rPr>
      <w:rFonts w:ascii="宋体" w:hAnsi="宋体" w:cs="Times New Roman"/>
      <w:b/>
      <w:kern w:val="0"/>
      <w:sz w:val="27"/>
      <w:szCs w:val="27"/>
    </w:rPr>
  </w:style>
  <w:style w:type="character" w:default="1" w:styleId="10">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link w:val="15"/>
    <w:qFormat/>
    <w:uiPriority w:val="99"/>
  </w:style>
  <w:style w:type="paragraph" w:styleId="5">
    <w:name w:val="toc 5"/>
    <w:basedOn w:val="1"/>
    <w:next w:val="1"/>
    <w:qFormat/>
    <w:locked/>
    <w:uiPriority w:val="99"/>
    <w:pPr>
      <w:ind w:left="1680" w:leftChars="800"/>
    </w:pPr>
  </w:style>
  <w:style w:type="paragraph" w:styleId="6">
    <w:name w:val="footer"/>
    <w:basedOn w:val="1"/>
    <w:link w:val="16"/>
    <w:semiHidden/>
    <w:qFormat/>
    <w:uiPriority w:val="99"/>
    <w:pPr>
      <w:tabs>
        <w:tab w:val="center" w:pos="4153"/>
        <w:tab w:val="right" w:pos="8306"/>
      </w:tabs>
      <w:snapToGrid w:val="0"/>
      <w:jc w:val="left"/>
    </w:pPr>
    <w:rPr>
      <w:sz w:val="18"/>
      <w:szCs w:val="18"/>
    </w:rPr>
  </w:style>
  <w:style w:type="paragraph" w:styleId="7">
    <w:name w:val="header"/>
    <w:basedOn w:val="1"/>
    <w:link w:val="17"/>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1">
    <w:name w:val="Strong"/>
    <w:basedOn w:val="10"/>
    <w:qFormat/>
    <w:locked/>
    <w:uiPriority w:val="99"/>
    <w:rPr>
      <w:rFonts w:cs="Times New Roman"/>
      <w:b/>
      <w:bCs/>
    </w:rPr>
  </w:style>
  <w:style w:type="character" w:styleId="12">
    <w:name w:val="Hyperlink"/>
    <w:basedOn w:val="10"/>
    <w:qFormat/>
    <w:uiPriority w:val="99"/>
    <w:rPr>
      <w:rFonts w:cs="Times New Roman"/>
      <w:color w:val="0000FF"/>
      <w:u w:val="single"/>
    </w:rPr>
  </w:style>
  <w:style w:type="character" w:customStyle="1" w:styleId="13">
    <w:name w:val="Heading 1 Char"/>
    <w:basedOn w:val="10"/>
    <w:link w:val="2"/>
    <w:qFormat/>
    <w:uiPriority w:val="9"/>
    <w:rPr>
      <w:rFonts w:cs="Arial"/>
      <w:b/>
      <w:bCs/>
      <w:kern w:val="44"/>
      <w:sz w:val="44"/>
      <w:szCs w:val="44"/>
    </w:rPr>
  </w:style>
  <w:style w:type="character" w:customStyle="1" w:styleId="14">
    <w:name w:val="Heading 3 Char"/>
    <w:basedOn w:val="10"/>
    <w:link w:val="3"/>
    <w:semiHidden/>
    <w:qFormat/>
    <w:locked/>
    <w:uiPriority w:val="99"/>
    <w:rPr>
      <w:rFonts w:cs="Arial"/>
      <w:b/>
      <w:bCs/>
      <w:sz w:val="32"/>
      <w:szCs w:val="32"/>
    </w:rPr>
  </w:style>
  <w:style w:type="character" w:customStyle="1" w:styleId="15">
    <w:name w:val="Body Text Char"/>
    <w:basedOn w:val="10"/>
    <w:link w:val="4"/>
    <w:semiHidden/>
    <w:qFormat/>
    <w:locked/>
    <w:uiPriority w:val="99"/>
    <w:rPr>
      <w:rFonts w:ascii="Calibri" w:hAnsi="Calibri" w:eastAsia="宋体" w:cs="Arial"/>
      <w:kern w:val="2"/>
      <w:sz w:val="24"/>
      <w:szCs w:val="24"/>
      <w:lang w:val="en-US" w:eastAsia="zh-CN" w:bidi="ar-SA"/>
    </w:rPr>
  </w:style>
  <w:style w:type="character" w:customStyle="1" w:styleId="16">
    <w:name w:val="Footer Char"/>
    <w:basedOn w:val="10"/>
    <w:link w:val="6"/>
    <w:semiHidden/>
    <w:qFormat/>
    <w:locked/>
    <w:uiPriority w:val="99"/>
    <w:rPr>
      <w:rFonts w:cs="Times New Roman"/>
      <w:sz w:val="18"/>
      <w:szCs w:val="18"/>
    </w:rPr>
  </w:style>
  <w:style w:type="character" w:customStyle="1" w:styleId="17">
    <w:name w:val="Header Char"/>
    <w:basedOn w:val="10"/>
    <w:link w:val="7"/>
    <w:semiHidden/>
    <w:qFormat/>
    <w:locked/>
    <w:uiPriority w:val="99"/>
    <w:rPr>
      <w:rFonts w:cs="Times New Roman"/>
      <w:sz w:val="18"/>
      <w:szCs w:val="18"/>
    </w:rPr>
  </w:style>
  <w:style w:type="character" w:customStyle="1" w:styleId="18">
    <w:name w:val="font31"/>
    <w:qFormat/>
    <w:uiPriority w:val="99"/>
    <w:rPr>
      <w:rFonts w:ascii="宋体" w:hAnsi="宋体" w:eastAsia="宋体"/>
      <w:color w:val="000000"/>
      <w:sz w:val="18"/>
      <w:u w:val="none"/>
    </w:rPr>
  </w:style>
  <w:style w:type="character" w:customStyle="1" w:styleId="19">
    <w:name w:val="font51"/>
    <w:qFormat/>
    <w:uiPriority w:val="99"/>
    <w:rPr>
      <w:rFonts w:ascii="宋体" w:hAnsi="宋体" w:eastAsia="宋体"/>
      <w:color w:val="FF0000"/>
      <w:sz w:val="18"/>
      <w:u w:val="none"/>
    </w:rPr>
  </w:style>
  <w:style w:type="character" w:customStyle="1" w:styleId="20">
    <w:name w:val="text_tban4 bold_uwsl6"/>
    <w:basedOn w:val="10"/>
    <w:qFormat/>
    <w:uiPriority w:val="99"/>
    <w:rPr>
      <w:rFonts w:cs="Times New Roman"/>
    </w:rPr>
  </w:style>
  <w:style w:type="character" w:customStyle="1" w:styleId="21">
    <w:name w:val="text_tban4"/>
    <w:basedOn w:val="10"/>
    <w:qFormat/>
    <w:uiPriority w:val="99"/>
    <w:rPr>
      <w:rFonts w:cs="Times New Roman"/>
    </w:rPr>
  </w:style>
  <w:style w:type="character" w:customStyle="1" w:styleId="22">
    <w:name w:val="font151"/>
    <w:qFormat/>
    <w:uiPriority w:val="99"/>
    <w:rPr>
      <w:rFonts w:ascii="宋体" w:hAnsi="宋体" w:eastAsia="宋体"/>
      <w:color w:val="000000"/>
      <w:sz w:val="18"/>
      <w:u w:val="none"/>
    </w:rPr>
  </w:style>
  <w:style w:type="character" w:customStyle="1" w:styleId="23">
    <w:name w:val="font121"/>
    <w:qFormat/>
    <w:uiPriority w:val="99"/>
    <w:rPr>
      <w:rFonts w:ascii="Times New Roman" w:hAnsi="Times New Roman"/>
      <w:color w:val="000000"/>
      <w:sz w:val="18"/>
      <w:u w:val="none"/>
    </w:rPr>
  </w:style>
  <w:style w:type="character" w:customStyle="1" w:styleId="24">
    <w:name w:val="font21"/>
    <w:qFormat/>
    <w:uiPriority w:val="99"/>
    <w:rPr>
      <w:rFonts w:ascii="宋体" w:hAnsi="宋体" w:eastAsia="宋体"/>
      <w:color w:val="000000"/>
      <w:sz w:val="18"/>
      <w:u w:val="none"/>
    </w:rPr>
  </w:style>
  <w:style w:type="character" w:customStyle="1" w:styleId="25">
    <w:name w:val="font11"/>
    <w:qFormat/>
    <w:uiPriority w:val="99"/>
    <w:rPr>
      <w:rFonts w:ascii="宋体" w:hAnsi="宋体" w:eastAsia="宋体"/>
      <w:color w:val="000000"/>
      <w:sz w:val="22"/>
      <w:u w:val="none"/>
    </w:rPr>
  </w:style>
  <w:style w:type="character" w:customStyle="1" w:styleId="26">
    <w:name w:val="font01"/>
    <w:qFormat/>
    <w:uiPriority w:val="99"/>
    <w:rPr>
      <w:rFonts w:ascii="宋体" w:hAnsi="宋体" w:eastAsia="宋体"/>
      <w:b/>
      <w:color w:val="000000"/>
      <w:sz w:val="18"/>
      <w:u w:val="none"/>
    </w:rPr>
  </w:style>
  <w:style w:type="paragraph" w:customStyle="1" w:styleId="27">
    <w:name w:val="Table Paragraph"/>
    <w:basedOn w:val="1"/>
    <w:qFormat/>
    <w:uiPriority w:val="99"/>
    <w:pPr>
      <w:autoSpaceDE w:val="0"/>
      <w:autoSpaceDN w:val="0"/>
      <w:jc w:val="left"/>
    </w:pPr>
    <w:rPr>
      <w:rFonts w:ascii="宋体" w:cs="宋体"/>
      <w:kern w:val="0"/>
      <w:sz w:val="22"/>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Microsoft</Company>
  <Pages>248</Pages>
  <Words>15482</Words>
  <Characters>16042</Characters>
  <Lines>0</Lines>
  <Paragraphs>0</Paragraphs>
  <TotalTime>22</TotalTime>
  <ScaleCrop>false</ScaleCrop>
  <LinksUpToDate>false</LinksUpToDate>
  <CharactersWithSpaces>16126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2023-12-17T07:07:00Z</dcterms:created>
  <dc:creator>dell</dc:creator>
  <cp:lastModifiedBy>远方不远</cp:lastModifiedBy>
  <cp:lastPrinted>2025-08-07T08:35:00Z</cp:lastPrinted>
  <dcterms:modified xsi:type="dcterms:W3CDTF">2025-09-15T02:24:00Z</dcterms:modified>
  <cp:revision>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eyJoZGlkIjoiZDIzYjAzODJiMWY2MzRhMjM2MmIwMDM2N2ZjYmUzZGYiLCJ1c2VySWQiOiI1Mzk3NDc3NzIifQ==</vt:lpwstr>
  </property>
  <property fmtid="{D5CDD505-2E9C-101B-9397-08002B2CF9AE}" pid="4" name="ICV">
    <vt:lpwstr>0F4431DB4AA941478080C1C755454423_12</vt:lpwstr>
  </property>
</Properties>
</file>