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tbl>
      <w:tblPr>
        <w:jc w:val="left"/>
        <w:tblInd w:w="-15" w:type="dxa"/>
        <w:tblW w:w="15787" w:type="dxa"/>
        <w:tblBorders>
          <w:top w:val="none" w:sz="0" w:space="0" w:color="auto"/>
          <w:left w:val="none" w:sz="0" w:space="0" w:color="auto"/>
          <w:bottom w:val="none" w:sz="0" w:space="0" w:color="auto"/>
          <w:right w:val="none" w:sz="0" w:space="0" w:color="auto"/>
        </w:tblBorders>
        <w:shd w:val="clear" w:color="auto" w:fill="auto"/>
        <w:tblLayout w:type="fixed"/>
        <w:tblCellMar>
          <w:top w:w="0" w:type="dxa"/>
          <w:left w:w="108" w:type="dxa"/>
          <w:bottom w:w="0" w:type="dxa"/>
          <w:right w:w="108" w:type="dxa"/>
        </w:tblCellMar>
        <w:tblLook w:val="0600" w:firstRow="0" w:lastRow="0" w:firstColumn="0" w:lastColumn="0" w:noHBand="1" w:noVBand="1"/>
      </w:tblPr>
      <w:tblGrid>
        <w:gridCol w:w="106"/>
        <w:gridCol w:w="438"/>
        <w:gridCol w:w="106"/>
        <w:gridCol w:w="744"/>
        <w:gridCol w:w="106"/>
        <w:gridCol w:w="1134"/>
        <w:gridCol w:w="3012"/>
        <w:gridCol w:w="106"/>
        <w:gridCol w:w="140"/>
        <w:gridCol w:w="888"/>
        <w:gridCol w:w="106"/>
        <w:gridCol w:w="858"/>
        <w:gridCol w:w="106"/>
        <w:gridCol w:w="3863"/>
        <w:gridCol w:w="105"/>
        <w:gridCol w:w="1"/>
        <w:gridCol w:w="3296"/>
        <w:gridCol w:w="105"/>
        <w:gridCol w:w="1"/>
        <w:gridCol w:w="461"/>
        <w:gridCol w:w="105"/>
        <w:gridCol w:w="1"/>
      </w:tblGrid>
      <w:tr>
        <w:trPr>
          <w:trHeight w:val="567"/>
          <w:tblHeader/>
          <w:gridBefore w:val="1"/>
          <w:wBefore w:w="106" w:type="dxa"/>
          <w:gridAfter w:val="1"/>
          <w:wAfter w:w="1" w:type="dxa"/>
        </w:trPr>
        <w:tc>
          <w:tcPr>
            <w:tcW w:w="544" w:type="dxa"/>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序号</w:t>
            </w:r>
          </w:p>
        </w:tc>
        <w:tc>
          <w:tcPr>
            <w:tcW w:w="850" w:type="dxa"/>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权力</w:t>
              <w:br/>
              <w:t>类型</w:t>
            </w:r>
          </w:p>
        </w:tc>
        <w:tc>
          <w:tcPr>
            <w:tcW w:w="1134" w:type="dxa"/>
            <w:tcBorders>
              <w:top w:val="single" w:sz="4" w:space="0" w:color="000000"/>
              <w:left w:val="single" w:sz="4" w:space="0" w:color="000000"/>
              <w:bottom w:val="nil"/>
              <w:right w:val="single" w:sz="4" w:space="0" w:color="000000"/>
            </w:tcBorders>
            <w:shd w:val="clear" w:color="auto" w:fill="auto"/>
            <w:vAlign w:val="center"/>
          </w:tcPr>
          <w:p>
            <w:pPr>
              <w:keepNext w:val="0"/>
              <w:keepLines w:val="0"/>
              <w:widowControl/>
              <w:suppressLineNumbers w:val="0"/>
              <w:jc w:val="center"/>
              <w:textAlignment w:val="center"/>
              <w:rPr>
                <w:rFonts w:ascii="黑体" w:eastAsia="黑体" w:cs="黑体" w:hAnsi="黑体" w:hint="eastAsia"/>
                <w:b w:val="0"/>
                <w:bCs w:val="0"/>
                <w:i w:val="0"/>
                <w:iCs w:val="0"/>
                <w:kern w:val="0"/>
                <w:sz w:val="24"/>
                <w:szCs w:val="24"/>
                <w:u w:val="none"/>
                <w:lang w:val="en-US" w:eastAsia="zh-CN"/>
              </w:rPr>
            </w:pPr>
            <w:r>
              <w:rPr>
                <w:rFonts w:ascii="黑体" w:eastAsia="黑体" w:cs="黑体" w:hAnsi="黑体" w:hint="eastAsia"/>
                <w:b w:val="0"/>
                <w:bCs w:val="0"/>
                <w:i w:val="0"/>
                <w:iCs w:val="0"/>
                <w:kern w:val="0"/>
                <w:sz w:val="24"/>
                <w:szCs w:val="24"/>
                <w:u w:val="none"/>
                <w:lang w:val="en-US" w:eastAsia="zh-CN"/>
              </w:rPr>
              <w:t>权力</w:t>
            </w:r>
          </w:p>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事项</w:t>
            </w:r>
          </w:p>
        </w:tc>
        <w:tc>
          <w:tcPr>
            <w:tcW w:w="3258" w:type="dxa"/>
            <w:gridSpan w:val="3"/>
            <w:tcBorders>
              <w:top w:val="single" w:sz="4" w:space="0" w:color="000000"/>
              <w:left w:val="single" w:sz="4" w:space="0" w:color="000000"/>
              <w:bottom w:val="nil"/>
              <w:right w:val="single" w:sz="4" w:space="0" w:color="000000"/>
            </w:tcBorders>
            <w:shd w:val="clear" w:color="auto" w:fill="auto"/>
            <w:vAlign w:val="center"/>
          </w:tcPr>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实施依据</w:t>
            </w:r>
          </w:p>
        </w:tc>
        <w:tc>
          <w:tcPr>
            <w:tcW w:w="994" w:type="dxa"/>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pPr>
              <w:keepNext w:val="0"/>
              <w:keepLines w:val="0"/>
              <w:widowControl/>
              <w:suppressLineNumbers w:val="0"/>
              <w:jc w:val="center"/>
              <w:textAlignment w:val="center"/>
              <w:rPr>
                <w:rFonts w:ascii="黑体" w:eastAsia="黑体" w:cs="黑体" w:hAnsi="黑体" w:hint="eastAsia"/>
                <w:b w:val="0"/>
                <w:bCs w:val="0"/>
                <w:i w:val="0"/>
                <w:iCs w:val="0"/>
                <w:kern w:val="0"/>
                <w:sz w:val="24"/>
                <w:szCs w:val="24"/>
                <w:u w:val="none"/>
                <w:lang w:val="en-US" w:eastAsia="zh-CN"/>
              </w:rPr>
            </w:pPr>
            <w:r>
              <w:rPr>
                <w:rFonts w:ascii="黑体" w:eastAsia="黑体" w:cs="黑体" w:hAnsi="黑体" w:hint="eastAsia"/>
                <w:b w:val="0"/>
                <w:bCs w:val="0"/>
                <w:i w:val="0"/>
                <w:iCs w:val="0"/>
                <w:kern w:val="0"/>
                <w:sz w:val="24"/>
                <w:szCs w:val="24"/>
                <w:u w:val="none"/>
                <w:lang w:val="en-US" w:eastAsia="zh-CN"/>
              </w:rPr>
              <w:t>省级</w:t>
            </w:r>
          </w:p>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主管部门</w:t>
            </w:r>
          </w:p>
        </w:tc>
        <w:tc>
          <w:tcPr>
            <w:tcW w:w="964" w:type="dxa"/>
            <w:gridSpan w:val="2"/>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pPr>
              <w:keepNext w:val="0"/>
              <w:keepLines w:val="0"/>
              <w:widowControl/>
              <w:suppressLineNumbers w:val="0"/>
              <w:jc w:val="center"/>
              <w:textAlignment w:val="center"/>
              <w:rPr>
                <w:rFonts w:ascii="黑体" w:eastAsia="黑体" w:cs="黑体" w:hAnsi="黑体" w:hint="eastAsia"/>
                <w:b w:val="0"/>
                <w:bCs w:val="0"/>
                <w:i w:val="0"/>
                <w:iCs w:val="0"/>
                <w:kern w:val="0"/>
                <w:sz w:val="24"/>
                <w:szCs w:val="24"/>
                <w:u w:val="none"/>
                <w:lang w:val="en-US" w:eastAsia="zh-CN"/>
              </w:rPr>
            </w:pPr>
            <w:r>
              <w:rPr>
                <w:rFonts w:ascii="黑体" w:eastAsia="黑体" w:cs="黑体" w:hAnsi="黑体" w:hint="eastAsia"/>
                <w:b w:val="0"/>
                <w:bCs w:val="0"/>
                <w:i w:val="0"/>
                <w:iCs w:val="0"/>
                <w:kern w:val="0"/>
                <w:sz w:val="24"/>
                <w:szCs w:val="24"/>
                <w:u w:val="none"/>
                <w:lang w:val="en-US" w:eastAsia="zh-CN"/>
              </w:rPr>
              <w:t>实施</w:t>
            </w:r>
          </w:p>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层级</w:t>
            </w:r>
          </w:p>
        </w:tc>
        <w:tc>
          <w:tcPr>
            <w:tcW w:w="3968" w:type="dxa"/>
            <w:gridSpan w:val="2"/>
            <w:tcBorders>
              <w:top w:val="single" w:sz="4" w:space="0" w:color="000000"/>
              <w:left w:val="single" w:sz="4" w:space="0" w:color="000000"/>
              <w:bottom w:val="nil"/>
              <w:right w:val="single" w:sz="4" w:space="0" w:color="000000"/>
            </w:tcBorders>
            <w:shd w:val="clear" w:color="auto" w:fill="auto"/>
            <w:vAlign w:val="center"/>
          </w:tcPr>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责任事项</w:t>
            </w:r>
          </w:p>
        </w:tc>
        <w:tc>
          <w:tcPr>
            <w:tcW w:w="3402" w:type="dxa"/>
            <w:gridSpan w:val="3"/>
            <w:tcBorders>
              <w:top w:val="single" w:sz="4" w:space="0" w:color="000000"/>
              <w:left w:val="single" w:sz="4" w:space="0" w:color="000000"/>
              <w:bottom w:val="nil"/>
              <w:right w:val="single" w:sz="4" w:space="0" w:color="000000"/>
            </w:tcBorders>
            <w:shd w:val="clear" w:color="auto" w:fill="auto"/>
            <w:vAlign w:val="center"/>
          </w:tcPr>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追责情形</w:t>
            </w:r>
          </w:p>
        </w:tc>
        <w:tc>
          <w:tcPr>
            <w:tcW w:w="567" w:type="dxa"/>
            <w:gridSpan w:val="3"/>
            <w:tcBorders>
              <w:top w:val="single" w:sz="4" w:space="0" w:color="000000"/>
              <w:left w:val="single" w:sz="4" w:space="0" w:color="000000"/>
              <w:bottom w:val="nil"/>
              <w:right w:val="single" w:sz="4" w:space="0" w:color="000000"/>
            </w:tcBorders>
            <w:shd w:val="clear" w:color="auto" w:fill="auto"/>
            <w:tcMar>
              <w:left w:w="0" w:type="dxa"/>
              <w:right w:w="0" w:type="dxa"/>
            </w:tcMar>
            <w:vAlign w:val="center"/>
          </w:tcPr>
          <w:p>
            <w:pPr>
              <w:keepNext w:val="0"/>
              <w:keepLines w:val="0"/>
              <w:widowControl/>
              <w:suppressLineNumbers w:val="0"/>
              <w:jc w:val="center"/>
              <w:textAlignment w:val="center"/>
              <w:rPr>
                <w:rFonts w:ascii="黑体" w:eastAsia="黑体" w:cs="黑体" w:hAnsi="黑体" w:hint="eastAsia"/>
                <w:b w:val="0"/>
                <w:bCs w:val="0"/>
                <w:i w:val="0"/>
                <w:iCs w:val="0"/>
                <w:sz w:val="24"/>
                <w:szCs w:val="24"/>
                <w:u w:val="none"/>
              </w:rPr>
            </w:pPr>
            <w:r>
              <w:rPr>
                <w:rFonts w:ascii="黑体" w:eastAsia="黑体" w:cs="黑体" w:hAnsi="黑体" w:hint="eastAsia"/>
                <w:b w:val="0"/>
                <w:bCs w:val="0"/>
                <w:i w:val="0"/>
                <w:iCs w:val="0"/>
                <w:kern w:val="0"/>
                <w:sz w:val="24"/>
                <w:szCs w:val="24"/>
                <w:u w:val="none"/>
                <w:lang w:val="en-US" w:eastAsia="zh-CN"/>
              </w:rPr>
              <w:t>备注</w:t>
            </w: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行政许可</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可能影响石油天然气管道保护的施工作业审批</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18"/>
                <w:szCs w:val="18"/>
              </w:rPr>
            </w:pPr>
            <w:r>
              <w:rPr>
                <w:rFonts w:ascii="仿宋_GB2312" w:eastAsia="仿宋_GB2312" w:cs="仿宋_GB2312" w:hint="eastAsia"/>
                <w:kern w:val="0"/>
                <w:sz w:val="18"/>
                <w:szCs w:val="18"/>
              </w:rPr>
              <w:t>《中华人民共和国石油天然气管道保护法》第三十五条 进行下列施工作业，施工单位应当向管道所在地县级人民政府主管管道保护工作的部门提出申请：</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18"/>
                <w:szCs w:val="18"/>
              </w:rPr>
            </w:pPr>
            <w:r>
              <w:rPr>
                <w:rFonts w:ascii="仿宋_GB2312" w:eastAsia="仿宋_GB2312" w:cs="仿宋_GB2312" w:hint="eastAsia"/>
                <w:kern w:val="0"/>
                <w:sz w:val="18"/>
                <w:szCs w:val="18"/>
              </w:rPr>
              <w:t>（一）穿跨越管道的施工作业；</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18"/>
                <w:szCs w:val="18"/>
              </w:rPr>
            </w:pPr>
            <w:r>
              <w:rPr>
                <w:rFonts w:ascii="仿宋_GB2312" w:eastAsia="仿宋_GB2312" w:cs="仿宋_GB2312" w:hint="eastAsia"/>
                <w:kern w:val="0"/>
                <w:sz w:val="18"/>
                <w:szCs w:val="18"/>
              </w:rPr>
              <w:t>（二）在管道线路中心线两侧各五米至五十米和本法第五十八条第一项所列管道附属设施周边一百米地域范围内，新建、改建、扩建铁路、公路、河渠，架设电力线路，埋设地下电缆、光缆，设置安全接地体、避雷接地体；</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18"/>
                <w:szCs w:val="18"/>
              </w:rPr>
            </w:pPr>
            <w:r>
              <w:rPr>
                <w:rFonts w:ascii="仿宋_GB2312" w:eastAsia="仿宋_GB2312" w:cs="仿宋_GB2312" w:hint="eastAsia"/>
                <w:kern w:val="0"/>
                <w:sz w:val="18"/>
                <w:szCs w:val="18"/>
              </w:rPr>
              <w:t>（三）在管道线路中心线两侧各二百米和本法第五十八条第一项所列管道附属设施周边五百米地域范围内，进行爆破、地震法勘探或者工程挖掘、工程钻探、采矿。</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Ansi="仿宋_GB2312" w:hint="eastAsia"/>
                <w:kern w:val="0"/>
                <w:sz w:val="18"/>
                <w:szCs w:val="18"/>
              </w:rPr>
            </w:pPr>
            <w:r>
              <w:rPr>
                <w:rFonts w:ascii="仿宋_GB2312" w:eastAsia="仿宋_GB2312" w:cs="仿宋_GB2312" w:hint="eastAsia"/>
                <w:kern w:val="0"/>
                <w:sz w:val="18"/>
                <w:szCs w:val="18"/>
              </w:rPr>
              <w:t>县级人民政府主管管道保护工作的部门接到申请后，应当组织施工单位与管道企业协商确定施工作业方案，并签订安全防护协议；协商不成的，主管管道保护工作的部门应当组织进行安全评审，作出是否批准作业的决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1.公示责任：公示行政许可事项的名称、依据、条件、数量、程序、期限以及需要提交的全部材料的目录和申请书示范文本。</w:t>
              <w:br/>
              <w:t>2.受理责任：对申请材料齐全、符合法定形式的，依法受理。申请材料存在可以当场更正的错误的，允许申请人当场更正。申请材料不齐全或者不符合法定形式的，即时或者自收到申请材料之日起五日内一次告知申请人需要补正的全部内容和合理的补正期限。</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3.审查责任：按照规定，对书面申请材料进行审查，提出是否同意的审核意见，告知申请人、利害相关人享有听证权利：涉及公共利益的重大许可，向社会公告，并举行听证。</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4.决定责任：作出行政许可或不予行政许可决定，法定告知（不予许可的应当书面告知理由）。</w:t>
              <w:br/>
              <w:t>5.事后监管责任：对施工作业进行随机抽查监督。</w:t>
              <w:br/>
              <w:t>6.其他法律法规规章文件规定应履行的责任。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因不履行或不正确履行行政职责，有下列情形的，具体承办业务的行政机关及其工作人员应承担相应责任：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1.对符合法定条件的行政许可申请不予受理的；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2.不在办公场所公示依法应当公示的材料的；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3.在受理、审查、决定行政许可过程中，未向申请人、利害关系人履行法定告知义务的；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4.申请人提交的申请材料不齐全、不符合法定形式，不一次告知申请人必须补正的全部内容的；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5.未依法说明不受理行政许可申请或者不予行政许可的理由的；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6.依法应当举行听证而不举行听证的；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7.对不符合法定条件的申请人准予行政许可或者超越法定职权作出准予行政许可决定的；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8.对符合法定条件的申请人不予行政许可或者不在法定期限内作出准予行政许可决定的。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2</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行政许可</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在电力设施周围或电力设施保护区内进行可能危及电力设施安全作业的审批</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18"/>
                <w:szCs w:val="18"/>
                <w:lang w:val="en-US" w:eastAsia="zh-CN"/>
              </w:rPr>
            </w:pPr>
            <w:r>
              <w:rPr>
                <w:rFonts w:ascii="仿宋_GB2312" w:eastAsia="仿宋_GB2312" w:cs="仿宋_GB2312" w:hAnsi="仿宋_GB2312" w:hint="eastAsia"/>
                <w:kern w:val="0"/>
                <w:sz w:val="18"/>
                <w:szCs w:val="18"/>
                <w:lang w:val="en-US" w:eastAsia="zh-CN"/>
              </w:rPr>
              <w:t>1</w:t>
            </w:r>
            <w:r>
              <w:rPr>
                <w:rFonts w:ascii="仿宋_GB2312" w:eastAsia="仿宋_GB2312" w:cs="仿宋_GB2312" w:hint="eastAsia"/>
                <w:kern w:val="0"/>
                <w:sz w:val="18"/>
                <w:szCs w:val="18"/>
                <w:lang w:val="en-US" w:eastAsia="zh-CN"/>
              </w:rPr>
              <w:t>电力设施保护条例》</w:t>
            </w:r>
            <w:r>
              <w:rPr>
                <w:rFonts w:ascii="仿宋_GB2312" w:eastAsia="仿宋_GB2312" w:cs="仿宋_GB2312" w:hint="eastAsia"/>
                <w:kern w:val="0"/>
                <w:sz w:val="18"/>
                <w:szCs w:val="18"/>
              </w:rPr>
              <w:t>第十七条　任何单位或个人必须经县级以上地方电力管理部门批准，并采取安全措施后，方可进行下列作业或活动：（一）在架空电力线路保护区内进行农田水利基本建设工程及打桩、钻探、开挖等作业；（二）起重机械的任何部位进入架空电力线路保护区进行施工；（三）小于导线距穿越物体之间的安全距离，通过架空电力线路保护区；（四）在电力电缆线路保护区内进行作业。</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Ansi="仿宋_GB2312" w:hint="eastAsia"/>
                <w:kern w:val="0"/>
                <w:sz w:val="18"/>
                <w:szCs w:val="18"/>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1.公示责任：公示项目申报指南、列明项目核准的申报材料及所需附件、办理依据、办理条件、办理流程、办理时限批复结果等。</w:t>
              <w:br/>
              <w:t>2.受理责任:对申请材料齐全、符合法定形式的，依法受理。申请材料存在可以当场更正的错误的，允许申请人当场更正。申请材料不齐全或者不符合法定形式的，即时或者自收到申请材料之日起五日内一次告知申请人需要补正的全部内容和合理的补正期限。依法受理或不予受理。（不予受理应告知理由）。</w:t>
              <w:br/>
              <w:t>3.审查责任：按照规定，对书面申请材料进行审查和现场核查。</w:t>
              <w:br/>
              <w:t>4.决定责任：依法作出行政许可或不予行政许可决定，法定告知（不予许可的应当书面告知理由）。</w:t>
              <w:br/>
              <w:t>5.送达责任：依法送达批准文件。</w:t>
              <w:br/>
              <w:t>6.监管责任：对施工作业进行现场监督。</w:t>
              <w:br/>
              <w:t>7.其他法律法规规章文件规定应履行的责任。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 xml:space="preserve">因不履行或不正确履行行政职责，有下列情形的，行政机关及相关工作人员应承担相应责任：  </w:t>
              <w:br/>
              <w:t>1.对受理的举报、投诉案件未及时处理造成严重后果的；</w:t>
              <w:br/>
              <w:t>2.在执法过程中徇私舞弊，发现违法行为不予查处的；</w:t>
              <w:br/>
              <w:t>3.泄露电力企业、电力用户商业秘密的；</w:t>
              <w:br/>
              <w:t>4.不依法履行电力保护职责的。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行政许可</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新建不能满足管道保护要求的石油天然气管道防护方案审批</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《中华人民共和国石油天然气管道保护法》（2010年版）第十三条 .新建管道通过的区域受地理条件限制，不能满足前款规定的管道保护要求的，管道企业应当提出防护方案，经管道保护方面的专家评审论证，并经管道所在地县级以上地方人民政府主管管道保护工作的部门批准后，方可建设。管道建设项目应当依法进行环境影响评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1.受理责任：公示依法应当提交的材料；一次性告知补正材料；依法受理或不予受理（不予受理应当告知理由）。</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2.审查责任：对申请材料进行审查，提出审核意见。</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3.决定阶段责任：作出行政许可或者不予行政许可决定，法定告知（不予行政许可的应当书面告知理由）。</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4.送达责任：制发相关文书，信息公开。</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5.监管责任：建立实施监督检查的运行机制和管理制度，开展定期和不定期检查，依法采取相关处置措施。</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6.其他法律规章规定应履行的责任。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因不履行或不正确履行行政职责，有下列情形的行政机关及相关工作人员应承担相应的责任：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1.对符合法定条件的项目申请不予受理。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2.对不符合法定条件的项目准予行政许可或者超越法定权限作出准予许可决定的。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3.对符合法定条件的项目不予行政许可或者不在法定期限内作出准予许可行政决定的。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4.违反法定程序实施行政许可的。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5.索取或者收受他人财物或者谋取其他利益的。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sz w:val="20"/>
                <w:szCs w:val="20"/>
                <w:u w:val="none"/>
              </w:rPr>
              <w:t>拟新增事项</w:t>
            </w: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对违法使用国家明令淘汰的电力设备和技术的处罚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《中华人民共和国电力法电力法》（2018年12月29日修订版）</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第六十四条 违反本法第十四条规定,电力建设项目使用国家明令淘汰的电力设备和技术的,由电力管理部门责令停止使用,没收国家明令淘汰的电力设备,并处五万元以下的罚款。</w:t>
            </w:r>
          </w:p>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第十四条 电力建设项目应当符合电力发展规划,符合国家电力产业政策。电力建设项目不得使用国家明令淘汰的电力设备和技术。</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市、县电力管理部门</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立案责任:发现涉嫌违反《电力法》《电力设施保护条例》《河北省电力条例》《电力设施保护条例实施细则》《供用电监督管理办法》的行为(或者下级电力管理部门上报或其他机关移送的违法案件等)，予以审查，决定是否立案。</w:t>
              <w:br/>
              <w:t>2.调查责任:电力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7.执行责任:依照生效的行政处罚决定，做出相应处罚。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kern w:val="2"/>
                <w:sz w:val="20"/>
                <w:szCs w:val="20"/>
                <w:u w:val="none"/>
                <w:lang w:val="en-US" w:eastAsia="zh-CN" w:bidi="ar-SA"/>
                <w:highlight w:val="auto"/>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2</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对危害供电、用电安全或者扰乱供电、用电秩序，情节严重或者拒绝改正的处罚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《中华人民共和国电力法电力法》（2018年12月29日修订版）</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第六十五条 违反本法第三十二条规定，危害供电、用电安全或者扰乱供电、用电秩序的，由电力管理部门责令改正，给予警告；情节严重或者拒绝改正的，可以中止供电，可以并处五万元以下的罚款。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18"/>
                <w:szCs w:val="18"/>
                <w:u w:val="none"/>
                <w:lang w:val="en-US" w:eastAsia="zh-CN"/>
              </w:rPr>
              <w:t>第三十二条 用户用电不得危害供电、用电安全和扰乱供电、用电秩序。对危害供电、用电安全和扰乱供电、用电秩序的,供电企业有权制止</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市、县电力管理部门</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立案责任:发现涉嫌违反《电力法》《电力设施保护条例》《河北省电力条例》《电力设施保护条例实施细则》《供用电监督管理办法》的行为(或者下级电力管理部门上报或其他机关移送的违法案件等)，予以审查，决定是否立案。</w:t>
              <w:br/>
              <w:t>2.调查责任:电力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7.执行责任:依照生效的行政处罚决定，做出相应处罚。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3</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对盗窃电能的处罚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《中华人民共和国电力法电力法》（2018年12月29日修订版）</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第七十一条 盗窃电能的,由电力管理部门责令停止违法行为,追缴电费并处应交电费五倍以下的罚款;构成犯罪的,依照刑法有关规定追究刑事责任。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《电力供应与使用条例》（国务院令第196号发布）</w:t>
            </w:r>
          </w:p>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第四十一条 违反本条例第三十一条规定，盗窃电能的，由电力管理部门责令停止违法行为，追缴电费并处应交电费5倍以下的罚款；构成犯罪的，依法追究刑事责任。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市、县电力管理部门</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立案责任:发现涉嫌违反《电力法》《电力设施保护条例》《河北省电力条例》《电力设施保护条例实施细则》《供用电监督管理办法》的行为(或者下级电力管理部门上报或其他机关移送的违法案件等)，予以审查，决定是否立案。</w:t>
              <w:br/>
              <w:t>2.调查责任:电力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7.执行责任:依照生效的行政处罚决定，做出相应处罚。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4</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对危害发电设施、变电设施和电力线路设施，拒不改正的处罚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《电力设施保护条例》（2011年1月8日修订版）</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18"/>
                <w:szCs w:val="18"/>
                <w:u w:val="none"/>
                <w:lang w:val="en-US" w:eastAsia="zh-CN"/>
                <w:highlight w:val="auto"/>
              </w:rPr>
              <w:t>第二十七条 违反本条例规定，危害发电设施、变电设施和电力线路设施的，由电力管理部门责令改正;拒不改正的，处1万元以下的罚款。</w:t>
            </w:r>
            <w:r>
              <w:rPr>
                <w:rFonts w:ascii="仿宋_GB2312" w:eastAsia="仿宋_GB2312" w:cs="仿宋_GB2312" w:hAnsi="仿宋_GB2312" w:hint="eastAsia"/>
                <w:i w:val="0"/>
                <w:iCs w:val="0"/>
                <w:kern w:val="0"/>
                <w:sz w:val="20"/>
                <w:szCs w:val="20"/>
                <w:u w:val="none"/>
                <w:lang w:val="en-US" w:eastAsia="zh-CN"/>
              </w:rPr>
              <w:t>。</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市、县电力管理部门</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立案责任:发现涉嫌违反《电力法》《电力设施保护条例》《河北省电力条例》《电力设施保护条例实施细则》《供用电监督管理办法》的行为(或者下级电力管理部门上报或其他机关移送的违法案件等)，予以审查，决定是否立案。</w:t>
              <w:br/>
              <w:t>2.调查责任:电力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7.执行责任:依照生效的行政处罚决定，做出相应处罚。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5</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对供电企业实施损害电力用户合法权益拒不改正的处罚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《河北省电力条例》（河北省第十二届人民代表大会常务委员会公告第24号发布）</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第四十八条 违反本条例第三十八条规定的，由县级以上人民政府电力行政管理部门责令限期改正；拒不改正的，处一万元以上三万元以下罚款；给用户造成损失的，应当依法给予赔偿。</w:t>
            </w:r>
          </w:p>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第三十八条 供电企业不得实施下列损害电力用户合法权益的行为：（一）无正当理由拒绝供电或者擅自中断供电的；（二）非法增设供电条件或者变相增加用户负担的；（三）为电力用户指定电力设计、施工和设备材料供应单位的；（四）其他损害电力用户合法利益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市、县电力管理部门</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立案责任:发现涉嫌违反《电力法》《电力设施保护条例》《河北省电力条例》《电力设施保护条例实施细则》《供用电监督管理办法》的行为(或者下级电力管理部门上报或其他机关移送的违法案件等)，予以审查，决定是否立案。</w:t>
              <w:br/>
              <w:t>2.调查责任:电力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7.执行责任:依照生效的行政处罚决定，做出相应处罚。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6</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对危害电力设施行为的处罚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《电力设施保护条例实施细则》（1999年3月18日国家经济贸易委员会、公安部令第8号发布根据2011年6月30日国家发展和改革委员会令第10号修改）</w:t>
            </w:r>
          </w:p>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第二十条 下列危害电力设施的行为，情节显著轻微的，由电力管理部门责令改正;拒不改正的，处1000元以上10000元以下罚款:(一)损坏使用中的杆塔基础的;(二)损坏、拆卸、盗窃使用中或备用塔材、导线等电力设施的;(三)拆卸、盗窃使用中或备用变压器等电力设备的。破坏电力设备、危害公共安全构成犯罪的，依法追究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市、县电力管理部门</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1.立案责任:发现涉嫌违反《电力法》《电力设施保护条例》《河北省电力条例》《电力设施保护条例实施细则》《供用电监督管理办法》的行为(或者下级电力管理部门上报或其他机关移送的违法案件等)，予以审查，决定是否立案。</w:t>
              <w:br/>
              <w:t>2.调查责任:电力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7.执行责任:依照生效的行政处罚决定，做出相应处罚。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sz w:val="20"/>
                <w:szCs w:val="20"/>
                <w:u w:val="none"/>
                <w:lang w:val="en-US"/>
              </w:rPr>
            </w:pPr>
            <w:r>
              <w:rPr>
                <w:rFonts w:ascii="仿宋_GB2312" w:eastAsia="仿宋_GB2312" w:cs="仿宋_GB2312" w:hAnsi="仿宋_GB2312" w:hint="eastAsia"/>
                <w:i w:val="0"/>
                <w:iCs w:val="0"/>
                <w:kern w:val="0"/>
                <w:sz w:val="20"/>
                <w:szCs w:val="20"/>
                <w:u w:val="none"/>
                <w:lang w:val="en-US" w:eastAsia="zh-CN"/>
              </w:rPr>
              <w:t>10</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对使用列入淘汰名录的技术、工艺、设备、材料的或者违规使用不符合国家规定的燃油发电机组、燃油锅炉的处罚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autoSpaceDE w:val="0"/>
              <w:autoSpaceDN w:val="0"/>
              <w:adjustRightInd w:val="0"/>
              <w:spacing w:line="220" w:lineRule="exact"/>
              <w:ind w:firstLineChars="200" w:firstLine="360"/>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《中华人民共和国循环经济促进法》（主席令第四号）</w:t>
            </w:r>
          </w:p>
          <w:p>
            <w:pPr>
              <w:autoSpaceDE w:val="0"/>
              <w:autoSpaceDN w:val="0"/>
              <w:adjustRightInd w:val="0"/>
              <w:spacing w:line="220" w:lineRule="exact"/>
              <w:ind w:firstLineChars="200" w:firstLine="360"/>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第五十条 使用列入淘汰名录的技术、工艺、设备、材料的，由县级以上地方人民政府循环经济发展综合管理部门责令停止使用，没收违法使用的设备、材料，并处五万元以上二十万元以下的罚款；情节严重的，由县级以上人民政府循环经济发展综合管理部门提出意见，报请本级人民政府按照国务院规定的权限责令停业或者关闭。</w:t>
            </w:r>
          </w:p>
          <w:p>
            <w:pPr>
              <w:autoSpaceDE w:val="0"/>
              <w:autoSpaceDN w:val="0"/>
              <w:adjustRightInd w:val="0"/>
              <w:spacing w:line="220" w:lineRule="exact"/>
              <w:ind w:firstLineChars="200" w:firstLine="360"/>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第五十二条 电力、石油加工、化工、钢铁、有色金属和建材等企业未在规定的范围或者期限内停止使用不符合国家规定的燃油发电机组或者燃油锅炉的，由县级以上地方人民政府循环经济发展综合管理部门责令限期改正；逾期不改正的，责令拆除该燃油发电机组或者燃油锅炉，并处五万元以上五十万元以下的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立案责任：发现使用列入淘汰名录的技术、工艺、设备、材料的及电力、石油加工、化工、钢铁、有色金属和建材等企业未在规定的范围或者期限内停止使用不符合国家规定的燃油发电机组或者燃油锅炉的，予以审查，决定是否立案。                           2.调查责任:行政主管部门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11</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对从事节能咨询、设计、评估、检测、审计、认证等服务机构提供虚假信息的处罚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int="eastAsia"/>
                <w:kern w:val="0"/>
                <w:sz w:val="18"/>
                <w:szCs w:val="18"/>
              </w:rPr>
            </w:pPr>
            <w:r>
              <w:rPr>
                <w:rFonts w:ascii="仿宋_GB2312" w:eastAsia="仿宋_GB2312" w:cs="仿宋_GB2312" w:hint="eastAsia"/>
                <w:kern w:val="0"/>
                <w:sz w:val="18"/>
                <w:szCs w:val="18"/>
              </w:rPr>
              <w:t>《中华人民共和国节约能源法》</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kern w:val="0"/>
                <w:sz w:val="18"/>
                <w:szCs w:val="18"/>
              </w:rPr>
            </w:pPr>
            <w:r>
              <w:rPr>
                <w:rFonts w:ascii="仿宋_GB2312" w:eastAsia="仿宋_GB2312" w:cs="仿宋_GB2312" w:hint="eastAsia"/>
                <w:kern w:val="0"/>
                <w:sz w:val="18"/>
                <w:szCs w:val="18"/>
              </w:rPr>
              <w:t>第七十六条　从事节能咨询、设计、评估、检测、审计、认证等服务的机构提供虚假信息的，由管理节能工作的部门责令改正，没收违法所得，并处五万元以上十万元以下罚款。</w:t>
            </w:r>
          </w:p>
          <w:p>
            <w:pPr>
              <w:spacing w:line="240" w:lineRule="exact"/>
              <w:ind w:left="0" w:firstLineChars="200" w:firstLine="360"/>
              <w:rPr>
                <w:rFonts w:ascii="仿宋_GB2312" w:eastAsia="仿宋_GB2312" w:cs="仿宋_GB2312"/>
                <w:kern w:val="0"/>
                <w:sz w:val="18"/>
                <w:szCs w:val="18"/>
                <w:lang w:val="en-US" w:eastAsia="zh-CN"/>
              </w:rPr>
            </w:pPr>
            <w:r>
              <w:rPr>
                <w:rFonts w:ascii="仿宋_GB2312" w:eastAsia="仿宋_GB2312" w:cs="仿宋_GB2312"/>
                <w:kern w:val="0"/>
                <w:sz w:val="18"/>
                <w:szCs w:val="18"/>
                <w:lang w:val="en-US" w:eastAsia="zh-CN"/>
              </w:rPr>
              <w:t xml:space="preserve">《河北省节约能源条例》 </w:t>
            </w:r>
          </w:p>
          <w:p>
            <w:pPr>
              <w:spacing w:line="240" w:lineRule="exact"/>
              <w:ind w:left="0" w:firstLineChars="200" w:firstLine="360"/>
              <w:rPr>
                <w:rFonts w:ascii="黑体" w:eastAsia="黑体" w:cs="仿宋_GB2312"/>
                <w:kern w:val="0"/>
                <w:sz w:val="18"/>
                <w:szCs w:val="18"/>
              </w:rPr>
            </w:pPr>
            <w:r>
              <w:rPr>
                <w:rFonts w:ascii="仿宋_GB2312" w:eastAsia="仿宋_GB2312" w:cs="仿宋_GB2312" w:hint="eastAsia"/>
                <w:kern w:val="0"/>
                <w:sz w:val="18"/>
                <w:szCs w:val="18"/>
              </w:rPr>
              <w:t>第五十五条　节能服务机构从事节能咨询、设计、评估、检测、审计、认证等活动提供虚假信息的，由节能主管部门责令改正，没收违法所得，并处八万元以上十万元以下罚款。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1.立案责任：</w:t>
            </w:r>
            <w:r>
              <w:rPr>
                <w:rFonts w:ascii="仿宋_GB2312" w:eastAsia="仿宋_GB2312" w:cs="仿宋_GB2312"/>
                <w:i w:val="0"/>
                <w:iCs w:val="0"/>
                <w:kern w:val="0"/>
                <w:sz w:val="20"/>
                <w:szCs w:val="20"/>
                <w:u w:val="none"/>
                <w:lang w:val="en-US" w:eastAsia="zh-CN"/>
                <w:highlight w:val="auto"/>
              </w:rPr>
              <w:t>对发现</w:t>
            </w:r>
            <w:r>
              <w:rPr>
                <w:rFonts w:ascii="仿宋_GB2312" w:eastAsia="仿宋_GB2312" w:cs="仿宋_GB2312" w:hint="eastAsia"/>
                <w:i w:val="0"/>
                <w:iCs w:val="0"/>
                <w:kern w:val="0"/>
                <w:sz w:val="20"/>
                <w:szCs w:val="20"/>
                <w:u w:val="none"/>
                <w:lang w:val="en-US" w:eastAsia="zh-CN"/>
                <w:highlight w:val="auto"/>
              </w:rPr>
              <w:t>从事节能咨询、设计、评估、检测、审计、认证等服务机构提供虚假信息的，予以审查，决定是否立案。                           2.调查责任:行政主管部门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12</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对违法无偿向本单位职工提供能源或者对能源消费实行包费制的处罚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《中华人民共和国节约能源法》第七十七条　违反本法规定，无偿向本单位职工提供能源或者对能源消费实行包费制的，由管理节能工作的部门责令限期改正；逾期不改正的，处五万元以上二十万元以下罚款。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1.立案责任：</w:t>
            </w:r>
            <w:r>
              <w:rPr>
                <w:rFonts w:ascii="仿宋_GB2312" w:eastAsia="仿宋_GB2312" w:cs="仿宋_GB2312"/>
                <w:i w:val="0"/>
                <w:iCs w:val="0"/>
                <w:kern w:val="0"/>
                <w:sz w:val="20"/>
                <w:szCs w:val="20"/>
                <w:u w:val="none"/>
                <w:lang w:val="en-US" w:eastAsia="zh-CN"/>
                <w:highlight w:val="auto"/>
              </w:rPr>
              <w:t>对发现</w:t>
            </w:r>
            <w:r>
              <w:rPr>
                <w:rFonts w:ascii="仿宋_GB2312" w:eastAsia="仿宋_GB2312" w:cs="仿宋_GB2312" w:hint="eastAsia"/>
                <w:i w:val="0"/>
                <w:iCs w:val="0"/>
                <w:kern w:val="0"/>
                <w:sz w:val="20"/>
                <w:szCs w:val="20"/>
                <w:u w:val="none"/>
                <w:lang w:val="en-US" w:eastAsia="zh-CN"/>
                <w:highlight w:val="auto"/>
              </w:rPr>
              <w:t>违法无偿向本单位职工提供能源或者对能源消费实行包费制的，予以审查，决定是否立案。                           2.调查责任:行政主管部门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13</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对重点用能单位未按照本法规定报送能源利用状况报告或者报告内容不实的处罚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kern w:val="0"/>
                <w:sz w:val="20"/>
                <w:szCs w:val="20"/>
                <w:highlight w:val="auto"/>
              </w:rPr>
              <w:t>《中华人民共和国节约能源法》第八十二条　重点用能单位未按照本法规定报送能源利用状况报告或者报告内容不实的，由管理节能工作的部门责令限期改正；逾期不改正的，处一万元以上五万元以下罚款。</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1.立案责任：</w:t>
            </w:r>
            <w:r>
              <w:rPr>
                <w:rFonts w:ascii="仿宋_GB2312" w:eastAsia="仿宋_GB2312" w:cs="仿宋_GB2312"/>
                <w:i w:val="0"/>
                <w:iCs w:val="0"/>
                <w:kern w:val="0"/>
                <w:sz w:val="20"/>
                <w:szCs w:val="20"/>
                <w:u w:val="none"/>
                <w:lang w:val="en-US" w:eastAsia="zh-CN"/>
                <w:highlight w:val="auto"/>
              </w:rPr>
              <w:t>对发现</w:t>
            </w:r>
            <w:r>
              <w:rPr>
                <w:rFonts w:ascii="仿宋_GB2312" w:eastAsia="仿宋_GB2312" w:cs="仿宋_GB2312" w:hint="eastAsia"/>
                <w:i w:val="0"/>
                <w:iCs w:val="0"/>
                <w:kern w:val="0"/>
                <w:sz w:val="20"/>
                <w:szCs w:val="20"/>
                <w:u w:val="none"/>
                <w:lang w:val="en-US" w:eastAsia="zh-CN"/>
                <w:highlight w:val="auto"/>
              </w:rPr>
              <w:t>对重点用能单位未按照本法规定报送能源利用状况报告或者报告内容不实的，予以审查，决定是否立案。                           2.调查责任:行政主管部门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14</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对重点用能单位无正当理由拒不落实整改要求或者整改没有达到要求的处罚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《中华人民共和国节约能源法》第八十三条　重点用能单位无正当理由拒不落实本法第五十四条规定的整改要求或者整改没有达到要求的，由管理节能工作的部门处十万元以上三十万元以下罚款。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kern w:val="0"/>
                <w:sz w:val="20"/>
                <w:szCs w:val="20"/>
                <w:lang w:val="en-US" w:eastAsia="zh-CN"/>
                <w:highlight w:val="auto"/>
              </w:rPr>
            </w:pPr>
            <w:r>
              <w:rPr>
                <w:rFonts w:ascii="仿宋_GB2312" w:eastAsia="仿宋_GB2312" w:cs="仿宋_GB2312" w:hint="eastAsia"/>
                <w:kern w:val="0"/>
                <w:sz w:val="20"/>
                <w:szCs w:val="20"/>
                <w:lang w:val="en-US" w:eastAsia="zh-CN"/>
                <w:highlight w:val="auto"/>
              </w:rPr>
              <w:t>第五十四条 管理节能工作的部门应当对重点用能单位报送的能源利用状况报告进行审查。对节能管理制度不健全、节能措施不落实、能源利用效率低的重点用能单位,管理节能工作的部门应当开展现场调查,组织实施用能设备能源效率检测,责令实施能源审计,并提出书面整改要求,限期整改。</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1.立案责任：</w:t>
            </w:r>
            <w:r>
              <w:rPr>
                <w:rFonts w:ascii="仿宋_GB2312" w:eastAsia="仿宋_GB2312" w:cs="仿宋_GB2312"/>
                <w:i w:val="0"/>
                <w:iCs w:val="0"/>
                <w:kern w:val="0"/>
                <w:sz w:val="20"/>
                <w:szCs w:val="20"/>
                <w:u w:val="none"/>
                <w:lang w:val="en-US" w:eastAsia="zh-CN"/>
                <w:highlight w:val="auto"/>
              </w:rPr>
              <w:t>对发现</w:t>
            </w:r>
            <w:r>
              <w:rPr>
                <w:rFonts w:ascii="仿宋_GB2312" w:eastAsia="仿宋_GB2312" w:cs="仿宋_GB2312" w:hint="eastAsia"/>
                <w:i w:val="0"/>
                <w:iCs w:val="0"/>
                <w:kern w:val="0"/>
                <w:sz w:val="20"/>
                <w:szCs w:val="20"/>
                <w:u w:val="none"/>
                <w:lang w:val="en-US" w:eastAsia="zh-CN"/>
                <w:highlight w:val="auto"/>
              </w:rPr>
              <w:t>重点用能单位无正当理由拒不落实整改要求或者整改没有达到要求的，予以审查，决定是否立案。                           2.调查责任:行政主管部门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15</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对重点用能单位未依法设立能源管理岗位，聘任能源管理负责人，并报管理节能工作的部门和有关部门备案的处罚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ind w:firstLineChars="200" w:firstLine="360"/>
              <w:rPr>
                <w:rFonts w:ascii="黑体" w:eastAsia="黑体" w:cs="仿宋_GB2312" w:hint="eastAsia"/>
                <w:kern w:val="0"/>
                <w:sz w:val="18"/>
                <w:szCs w:val="18"/>
              </w:rPr>
            </w:pPr>
            <w:r>
              <w:rPr>
                <w:rFonts w:ascii="仿宋_GB2312" w:eastAsia="仿宋_GB2312" w:cs="仿宋_GB2312" w:hint="eastAsia"/>
                <w:kern w:val="0"/>
                <w:sz w:val="18"/>
                <w:szCs w:val="18"/>
                <w:lang w:eastAsia="zh-CN"/>
              </w:rPr>
              <w:t>《</w:t>
            </w:r>
            <w:r>
              <w:rPr>
                <w:rFonts w:ascii="仿宋_GB2312" w:eastAsia="仿宋_GB2312" w:cs="仿宋_GB2312" w:hint="eastAsia"/>
                <w:kern w:val="0"/>
                <w:sz w:val="18"/>
                <w:szCs w:val="18"/>
              </w:rPr>
              <w:t>中华人民共和国节约能源法》</w:t>
            </w:r>
          </w:p>
          <w:p>
            <w:pPr>
              <w:spacing w:line="240" w:lineRule="exact"/>
              <w:ind w:firstLineChars="200" w:firstLine="360"/>
              <w:rPr>
                <w:rFonts w:ascii="仿宋_GB2312" w:eastAsia="仿宋_GB2312" w:cs="仿宋_GB2312" w:hint="eastAsia"/>
                <w:kern w:val="0"/>
                <w:sz w:val="18"/>
                <w:szCs w:val="18"/>
              </w:rPr>
            </w:pPr>
            <w:r>
              <w:rPr>
                <w:rFonts w:ascii="仿宋_GB2312" w:eastAsia="仿宋_GB2312" w:cs="仿宋_GB2312" w:hint="eastAsia"/>
                <w:kern w:val="0"/>
                <w:sz w:val="18"/>
                <w:szCs w:val="18"/>
              </w:rPr>
              <w:t>第八十四条　重点用能单位未按照本法规定设立能源管理岗位，聘任能源管理负责人，并报管理节能工作的部门和有关部门备案的，由管理节能工作的部门责令改正；拒不改正的，处一万元以上三万元以下罚款。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kern w:val="0"/>
                <w:sz w:val="20"/>
                <w:szCs w:val="20"/>
                <w:lang w:val="en-US" w:eastAsia="zh-CN" w:bidi="ar-SA"/>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kern w:val="0"/>
                <w:sz w:val="20"/>
                <w:szCs w:val="20"/>
                <w:lang w:val="en-US" w:eastAsia="zh-CN" w:bidi="ar-SA"/>
                <w:highlight w:val="auto"/>
              </w:rPr>
            </w:pPr>
            <w:r>
              <w:rPr>
                <w:rFonts w:ascii="仿宋_GB2312" w:eastAsia="仿宋_GB2312" w:cs="仿宋_GB2312"/>
                <w:kern w:val="0"/>
                <w:sz w:val="20"/>
                <w:szCs w:val="20"/>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1.立案责任：</w:t>
            </w:r>
            <w:r>
              <w:rPr>
                <w:rFonts w:ascii="仿宋_GB2312" w:eastAsia="仿宋_GB2312" w:cs="仿宋_GB2312"/>
                <w:i w:val="0"/>
                <w:iCs w:val="0"/>
                <w:kern w:val="0"/>
                <w:sz w:val="20"/>
                <w:szCs w:val="20"/>
                <w:u w:val="none"/>
                <w:lang w:val="en-US" w:eastAsia="zh-CN"/>
                <w:highlight w:val="auto"/>
              </w:rPr>
              <w:t>对发现</w:t>
            </w:r>
            <w:r>
              <w:rPr>
                <w:rFonts w:ascii="仿宋_GB2312" w:eastAsia="仿宋_GB2312" w:cs="仿宋_GB2312" w:hint="eastAsia"/>
                <w:i w:val="0"/>
                <w:iCs w:val="0"/>
                <w:kern w:val="0"/>
                <w:sz w:val="20"/>
                <w:szCs w:val="20"/>
                <w:u w:val="none"/>
                <w:lang w:val="en-US" w:eastAsia="zh-CN"/>
                <w:highlight w:val="auto"/>
              </w:rPr>
              <w:t xml:space="preserve">重点用能单位未依法设立能源管理岗位，聘任能源管理负责人，并报管理节能工作的部门和有关部门备案的，予以审查，决定是否立案。                          </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 xml:space="preserve"> 2.调查责任:行政主管部门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sz w:val="20"/>
                <w:szCs w:val="20"/>
                <w:u w:val="none"/>
                <w:lang w:val="en-US"/>
              </w:rPr>
            </w:pPr>
            <w:r>
              <w:rPr>
                <w:rFonts w:ascii="仿宋_GB2312" w:eastAsia="仿宋_GB2312" w:cs="仿宋_GB2312" w:hAnsi="仿宋_GB2312" w:hint="eastAsia"/>
                <w:i w:val="0"/>
                <w:iCs w:val="0"/>
                <w:kern w:val="0"/>
                <w:sz w:val="20"/>
                <w:szCs w:val="20"/>
                <w:u w:val="none"/>
                <w:lang w:val="en-US" w:eastAsia="zh-CN"/>
              </w:rPr>
              <w:t>16</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对被监察单位无正当理由拒绝节能监测的处罚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《中华人民共和国节约能源法》（2008年4月1日执行）</w:t>
            </w:r>
          </w:p>
          <w:p>
            <w:pPr>
              <w:keepNext w:val="0"/>
              <w:keepLines w:val="0"/>
              <w:pageBreakBefore w:val="0"/>
              <w:widowControl/>
              <w:suppressLineNumbers w:val="0"/>
              <w:kinsoku/>
              <w:wordWrap/>
              <w:overflowPunct/>
              <w:topLinePunct w:val="0"/>
              <w:autoSpaceDE/>
              <w:autoSpaceDN/>
              <w:bidi w:val="0"/>
              <w:adjustRightInd/>
              <w:snapToGrid/>
              <w:spacing w:line="240" w:lineRule="exact"/>
              <w:ind w:firstLineChars="200" w:firstLine="360"/>
              <w:jc w:val="left"/>
              <w:textAlignment w:val="center"/>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第十二条 县级以上人民政府管理节能工作的部门和有关部门应当在各自的职责范围内，加强对节能法律、法规和节能标准执行情况的监督检查，依法查处违法用能行为。</w:t>
            </w:r>
          </w:p>
          <w:p>
            <w:pPr>
              <w:spacing w:line="240" w:lineRule="exact"/>
              <w:ind w:firstLineChars="200" w:firstLine="360"/>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《河北省节约能源条例》（2017年5月1日执行）</w:t>
            </w:r>
          </w:p>
          <w:p>
            <w:pPr>
              <w:numPr>
                <w:ilvl w:val="0"/>
                <w:numId w:val="2"/>
              </w:numPr>
              <w:spacing w:line="240" w:lineRule="exact"/>
              <w:ind w:left="0" w:firstLineChars="200" w:firstLine="360"/>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县级以上人民政府节能主管部门和有关部门应当加强对节能工作的监督管理，依法查处违法违规用能行为。节能监察机构对能源生产、经营、使用单位和其他相关单位执行节能法律、法规、规章和强制性节能标准等情况进行监督检查。被监察单位应当予以配合，不得拒绝监察。</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 xml:space="preserve">1.立案责任：发现违反《中华人民共和国节约能源法》第七十六条、第八十二条、第八十三条行为的，予以审查，决定是否立案。                  </w:t>
              <w:br/>
              <w:t>2.调查责任: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4.告知责任:作出行政处罚决定前，应制作《行政处罚告知书》送达当事人，告知违法事实及其享有的陈述、申辩等权利。符合听证规定的，制作并送达《行政处罚听证告知书》。</w:t>
              <w:br/>
              <w:t>5.决定责任:制作行政处罚决定书，载明行政处罚告知、当事人陈述申辩或者听证情况等内容。</w:t>
              <w:br/>
              <w:t>6.送达责任:行政处罚决定书按法律规定的方式送达当事人。</w:t>
              <w:br/>
              <w:t>7.执行责任:依照生效的行政处罚决定，依法进行处罚。</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1.没有法定的行政处罚依据的；</w:t>
              <w:br/>
              <w:t>2.违反法定的行政处罚程序的；</w:t>
              <w:br/>
              <w:t>3.擅自改变行政处罚种类、幅度的；</w:t>
              <w:br/>
              <w:t>4.处罚使用非法单据的；</w:t>
              <w:br/>
              <w:t>5.违法实行检查措施或者执行措施，给公民人身或者财产造成损害、给法人或者其他组织造成损失的；</w:t>
              <w:br/>
              <w:t>6.自行收缴罚款的；</w:t>
              <w:br/>
              <w:t>7.对应当依法移交司法机关追究刑事责任的不移交，以行政处罚代替刑罚，徇私舞弊、包庇纵容违法行为的；                                                                      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17</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对虚报、瞒报、拒报或者伪造、篡</w:t>
            </w:r>
            <w:r>
              <w:rPr>
                <w:rFonts w:ascii="仿宋_GB2312" w:eastAsia="仿宋_GB2312" w:cs="仿宋_GB2312" w:hAnsi="仿宋_GB2312"/>
                <w:i w:val="0"/>
                <w:iCs w:val="0"/>
                <w:kern w:val="0"/>
                <w:sz w:val="20"/>
                <w:szCs w:val="20"/>
                <w:u w:val="none"/>
                <w:lang w:val="en-US" w:eastAsia="zh-CN"/>
                <w:highlight w:val="auto"/>
              </w:rPr>
              <w:t>改</w:t>
            </w:r>
            <w:r>
              <w:rPr>
                <w:rFonts w:ascii="仿宋_GB2312" w:eastAsia="仿宋_GB2312" w:cs="仿宋_GB2312" w:hAnsi="仿宋_GB2312" w:hint="eastAsia"/>
                <w:i w:val="0"/>
                <w:iCs w:val="0"/>
                <w:kern w:val="0"/>
                <w:sz w:val="20"/>
                <w:szCs w:val="20"/>
                <w:u w:val="none"/>
                <w:lang w:val="en-US" w:eastAsia="zh-CN"/>
                <w:highlight w:val="auto"/>
              </w:rPr>
              <w:t>价格监测资料的处罚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《河北省价格监测规定》（河北省政府令2008第13号）第二十五条 价格监测定点单位和临时定点单位迟报、虚报、瞒报、拒报或者伪造、篡改价格监测资料的，由县级以上人民政府价格主管部门责令改正；对虚报、瞒报、拒报或者伪造、篡改价格监测资料的，处一千元以下的罚款。</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1.立案责任：发现虚报、瞒报、拒报、屡次迟报、伪造、篡改价格监测资料的违法行为，予以审查，决定是否立案。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2.调查责任：指定专人负责，及时组织调查取证，与当事人有直接利害关系的应当回避。执法人员不得少于两人，调查时应出示执法证件，允许当事人辩解陈述。执法人员应保守有关秘密。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3.审查责任：审理案件调查报告，对案件违法事实、证据、调查取证程序、法律适用、处罚种类和幅度、当事人陈述和申辩理由等方面进行审查，提出处理意见（主要证据不足时，以适当的方式补充调查）。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7.执行责任：依照生效的行政处罚决定予以处罚。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1.没有法定的行政处罚依据的。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2.擅自改变行政处罚种类、幅度的。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3.违反法定的行政处罚程序的。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4.违反委托处罚规定的。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5.处罚使用非法单据的。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6.自行收缴罚款的。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7.将罚款、没收的违法所得或者财物截留、私分或者变相私分的。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8.索取或者收受他人财物、收缴罚款据为己有的。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9.使用或者损毁扣押的财物，对当事人造成损失的。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10.违法实行检查措施或者执行措施，给公民人身或者财产造成损害、给法人或者其他组织造成损失的。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11.对应当依法移交司法机关追究刑事责任的不移交，以行政处罚代替刑罚，徇私舞弊、包庇纵容违法行为的。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12.玩忽职守，对应当予以制止和处罚的违法行为不予制止、处罚，致使公民、法人或者其他组织的合法权益、公共利益和社会秩序遭受损害的。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18</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6"/>
                <w:szCs w:val="16"/>
                <w:u w:val="none"/>
                <w:lang w:val="en-US" w:eastAsia="zh-CN"/>
                <w:highlight w:val="auto"/>
              </w:rPr>
            </w:pPr>
            <w:r>
              <w:rPr>
                <w:rFonts w:ascii="仿宋_GB2312" w:eastAsia="仿宋_GB2312" w:cs="仿宋_GB2312" w:hAnsi="仿宋_GB2312" w:hint="eastAsia"/>
                <w:i w:val="0"/>
                <w:iCs w:val="0"/>
                <w:kern w:val="0"/>
                <w:sz w:val="16"/>
                <w:szCs w:val="16"/>
                <w:u w:val="none"/>
                <w:lang w:val="en-US" w:eastAsia="zh-CN"/>
                <w:highlight w:val="auto"/>
              </w:rPr>
              <w:t>对未依照本法规定对管道进行巡护、检测和维修的;不符合安全使用条件的管道未及时更新、改造或者停止使用的;未依照规定设置、修复或者更新有关管道标志的;未依照规定将管道竣工测量图报人民政府主管管道保护工作的部门备案的;未制定本企业管道事故应急预案，或者未将本企业管道事故应急预案报人民政府主管管道保护工作的部门备案的;发生管道事故，未采取有效措施消除或者减轻事故危害的;未对停止运行、封存、报废的管道采取必要的安全防护措施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jc w:val="left"/>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《中华人民共和国石油天然气管道保护法》第五十条 管道企业有下列行为之一的，由县级以上地方人民政府主管管道保护的部门责令限期改正；逾期不改正的，处二万以上十万以下的罚款；对直接负责的主管人员和其他责任人员给予处分：1.未依照本法规定对管道进行巡护、检测和维修的；2.对不符合安全使用条件的管道未及时更新、改造或者停止使用的；3.未依照本法规定设置、修复或者更新有关管道标志的；4.未依照本法规定将管道竣工测量图报人民政府主管管道保护工作的部门备案的；5.未制定本企业管道事故应急预案，或者未将本企业管道事故应急预案报人民政府主管管道保护工作的部门备案的；6.发生管道事故，未采取有效措施消除或者减轻事故危害的；7.未对停止运行、封存、报废的管道采取必要的安全防护措施的。</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eastAsia="仿宋_GB2312" w:cs="仿宋_GB2312" w:hint="eastAsia"/>
                <w:kern w:val="0"/>
                <w:sz w:val="20"/>
                <w:szCs w:val="20"/>
                <w:lang w:val="en-US" w:eastAsia="zh-CN"/>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一般程序：</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1.发现或接到举报有依法应当给予行政处罚行为，以及有关部门移送的案件，予以审查，决定是否立案；</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2.对立案的案件，组织调查取证（必要时，依法进行检查）；</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3.调查时执法人员不得少于两人，执法时应出示执法身份证件，允许当事人辩解陈述，执法人员与当事人有直接利害关系的应当回避；</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4.对违法事实、证据、调查取证程序、法律适用、处罚种类和幅度、当事人陈述和申辩理由等方面进行审查，提出处理意见；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5.作出行政处罚决定之前，应告知当事人处罚的事实、理由和依据及其依法享有的陈述、申辩等权利。符合听证规定的，行政机关应当组织听证;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6.制作编有号码的行政处罚决定书，并按法律规定的方式送达当事人；</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7.责令当事人改正或限期改正违法行为，当事人逾期不履行行政处罚决定的，依法采取措施或申请人民法院强制执行；</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8.监督实施情况。</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因不履行或不正确履行行政职责，有下列情形的行政机关及相关工作人员应承担相应的责任：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1.对符合法定条件的项目申请不予受理。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2.对不符合法定条件的项目准予行政许可或者超越法定权限作出准予许可决定的。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3.对符合法定条件的项目不予行政许可或者不在法定期限内作出准予许可行政决定的。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4.违反法定程序实施行政许可的。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5.索取或者收受他人财物或者谋取其他利益的。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sz w:val="20"/>
                <w:szCs w:val="20"/>
                <w:u w:val="none"/>
                <w:lang w:val="en-US"/>
              </w:rPr>
            </w:pPr>
            <w:r>
              <w:rPr>
                <w:rFonts w:ascii="仿宋_GB2312" w:eastAsia="仿宋_GB2312" w:cs="仿宋_GB2312" w:hAnsi="仿宋_GB2312" w:hint="eastAsia"/>
                <w:i w:val="0"/>
                <w:iCs w:val="0"/>
                <w:kern w:val="0"/>
                <w:sz w:val="20"/>
                <w:szCs w:val="20"/>
                <w:u w:val="none"/>
                <w:lang w:val="en-US" w:eastAsia="zh-CN"/>
              </w:rPr>
              <w:t>19</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对危害石油天然气管道安全违法行为的处罚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adjustRightInd w:val="0"/>
              <w:snapToGrid w:val="0"/>
              <w:spacing w:beforeAutospacing="0" w:afterAutospacing="0" w:line="200" w:lineRule="exact"/>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第五十二条 违反本法第二十九条、三十条、三十二条或者第三十三条第一款的规定，实施危害管道安全行为的，由县级以上地方人民政府主管管道保护的部门责令停止违法行为；情节较重的，对单位处一万元以上十万元以下的罚款，对个人处二百元以上二千元以下的罚款；对违法修建的建筑物、构筑物或者其他设施限期拆除；逾期未拆除的，由县级以上地方人民政府主管管道保护工作的部门组织拆除，所需费用由违法行为人承担。</w:t>
            </w:r>
          </w:p>
          <w:p>
            <w:pPr>
              <w:keepNext w:val="0"/>
              <w:keepLines w:val="0"/>
              <w:pageBreakBefore w:val="0"/>
              <w:widowControl/>
              <w:suppressLineNumbers w:val="0"/>
              <w:kinsoku/>
              <w:wordWrap/>
              <w:overflowPunct/>
              <w:topLinePunct w:val="0"/>
              <w:autoSpaceDE/>
              <w:autoSpaceDN/>
              <w:bidi w:val="0"/>
              <w:adjustRightInd/>
              <w:snapToGrid/>
              <w:spacing w:line="200" w:lineRule="exact"/>
              <w:ind w:left="0" w:right="0" w:firstLine="0"/>
              <w:jc w:val="left"/>
              <w:textAlignment w:val="center"/>
              <w:outlineLvl w:val="9"/>
              <w:rPr>
                <w:rFonts w:ascii="仿宋_GB2312" w:eastAsia="仿宋_GB2312" w:cs="仿宋_GB2312" w:hAnsi="仿宋_GB2312" w:hint="eastAsia"/>
                <w:i w:val="0"/>
                <w:iCs w:val="0"/>
                <w:kern w:val="0"/>
                <w:sz w:val="20"/>
                <w:szCs w:val="20"/>
                <w:u w:val="none"/>
                <w:lang w:val="en-US" w:eastAsia="zh-CN"/>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 xml:space="preserve">1.立案责任：发现危害石油天然气管道安全的违法行为，由县级以上地方人民政府主管管道保护工作的部门依法予以审查，决定是否立案。                                    </w:t>
              <w:br/>
              <w:t>2.调查责任：县级以上地方人民政府主管管道保护工作的部门对立案的案件，指定专人负责，及时组织调查取证，与当事人有直接利害关系的应当回避，执法人员不得少于两人，调查时应出示执法证件，允许当事人辩解陈述，执法人员应保守有关秘密。                                                                                                3.审查责任：审理案件调查报告，对案件违法事实、证据、调查取证程序、法律适用、处罚种类和幅度、当时人陈述和申辩理由等方面进行审查，提出处理意见（主要证据不足时，以适当的方式补充调查）。                                                                                                                                  4.告知责任：作出行政处罚决定前，应当制作《行政处罚告知书》送达当事人，告知违法事实及其享有的陈述、申辩等权利。符合听证规定的，制作并送达《行政处罚听证告知书》。                                                                                                                                                          5.决定责任：制作行政处罚决定书，载明行政处罚告知、当事人陈述申辩或者情况等内容。                                                                                         6.送达责任：行政处罚决定书按法律规定的方式送达当事人。                                                                                                              7.执行责任：依照生效的行政处罚决定，处以罚款。                                                                                                                    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因不履行或不正确履行行政职责，出现以下情形的，行政机关及其相关人员应承担相应责任：</w:t>
              <w:br/>
              <w:t>1.不具备行政执法资格实施对涉及石油天然气管道保护违法行为行政处罚的；</w:t>
              <w:br/>
              <w:t>2.无法律或事实依据实施行政处罚的；</w:t>
              <w:br/>
              <w:t>3.违反规定设立对涉及石油天然气管道保护违法行为处罚种类或者改变处罚幅度的；</w:t>
              <w:br/>
              <w:t>4.违反法定程序对涉及石油天然气管道保护违法行为进行处罚的；</w:t>
              <w:br/>
              <w:t>5.对应当予以制止和处罚的石油天然气管道违法行为不予制止、处罚的；</w:t>
              <w:br/>
              <w:t>6.依法应当组织听证而不组织听证的；</w:t>
              <w:br/>
              <w:t>7.在查处涉及石油天然气管道保护违法行为过程中，滥用职权或者玩忽职守侵犯行政相对人合法权利的；</w:t>
              <w:br/>
              <w:t>8.其他违反法律法规文件规定的行为。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20</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对未经依法批准施工作业的处罚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00" w:lineRule="exact"/>
              <w:rPr>
                <w:rFonts w:ascii="仿宋_GB2312" w:eastAsia="仿宋_GB2312" w:cs="仿宋_GB2312" w:hint="eastAsia"/>
                <w:kern w:val="0"/>
                <w:sz w:val="18"/>
                <w:szCs w:val="18"/>
                <w:lang w:val="en-US" w:eastAsia="zh-CN"/>
              </w:rPr>
            </w:pPr>
            <w:r>
              <w:rPr>
                <w:rFonts w:ascii="仿宋_GB2312" w:eastAsia="仿宋_GB2312" w:cs="仿宋_GB2312" w:hint="eastAsia"/>
                <w:kern w:val="0"/>
                <w:sz w:val="18"/>
                <w:szCs w:val="18"/>
                <w:lang w:val="en-US" w:eastAsia="zh-CN"/>
              </w:rPr>
              <w:t>《中华人民共和国石油天然气管道保护法》第五十三条 未经依法批准，进行本法第三十三条第二款或者第三十五条规定的施工作业的，由县级以上地方人民政府主管管道保护工作的部门责令停止违法行为；情节较重的，处一万以上五万以下的罚款；对违法修建的危害管道安全的建筑物、构筑物或者其他设施限期拆除；逾期未拆除的，由县级以上地方人民政府主管管道保护工作的部门组织拆除，所需费用由违法行为人承担。</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仿宋_GB2312" w:eastAsia="仿宋_GB2312" w:cs="仿宋_GB2312" w:hint="eastAsia"/>
                <w:kern w:val="0"/>
                <w:sz w:val="16"/>
                <w:szCs w:val="16"/>
                <w:lang w:val="en-US" w:eastAsia="zh-CN"/>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一般程序：</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1.发现或接到举报有依法应当给予行政处罚行为，以及有关部门移送的案件，予以审查，决定是否立案；</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2.对立案的案件，组织调查取证（必要时，依法进行检查）；</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3.调查时执法人员不得少于两人，执法时应出示执法身份证件，允许当事人辩解陈述，执法人员与当事人有直接利害关系的应当回避；</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4.对违法事实、证据、调查取证程序、法律适用、处罚种类和幅度、当事人陈述和申辩理由等方面进行审查，提出处理意见；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5.作出行政处罚决定之前，应告知当事人处罚的事实、理由和依据及其依法享有的陈述、申辩等权利。符合听证规定的，行政机关应当组织听证;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6.制作编有号码的行政处罚决定书，并按法律规定的方式送达当事人；</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7.责令当事人改正或限期改正违法行为，当事人逾期不履行行政处罚决定的，依法采取措施或申请人民法院强制执行；</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8.监督实施情况。</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因不履行或不正确履行行政职责，有下列情形的行政机关及相关工作人员应承担相应的责任：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1.对符合法定条件的项目申请不予受理。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2.对不符合法定条件的项目准予行政许可或者超越法定权限作出准予许可决定的。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3.对符合法定条件的项目不予行政许可或者不在法定期限内作出准予许可行政决定的。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4.违反法定程序实施行政许可的。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5.索取或者收受他人财物或者谋取其他利益的。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21</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对擅自开启、关闭管道阀门的;移动、毁损、涂改管道标志的;在埋地管道上方巡查便道上行驶重型车辆的;在地面管道线路、架空管道线路和管桥上行走或者放置重物的;阻碍依法进行的管道建设的处罚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Calibri" w:eastAsia="宋体" w:cs="Arial" w:hAnsi="Calibri" w:hint="eastAsia"/>
                <w:kern w:val="2"/>
                <w:sz w:val="20"/>
                <w:szCs w:val="20"/>
                <w:lang w:val="en-US" w:eastAsia="zh-CN" w:bidi="ar-SA"/>
                <w:highlight w:val="auto"/>
              </w:rPr>
            </w:pPr>
            <w:r>
              <w:rPr>
                <w:rFonts w:ascii="仿宋_GB2312" w:eastAsia="仿宋_GB2312" w:cs="仿宋_GB2312" w:hint="eastAsia"/>
                <w:kern w:val="0"/>
                <w:sz w:val="20"/>
                <w:szCs w:val="20"/>
                <w:lang w:val="en-US" w:eastAsia="zh-CN"/>
                <w:highlight w:val="auto"/>
              </w:rPr>
              <w:t>《中华人民共和国石油天然气管道保护法》第五十四条 违反本法规定，有下列行为之一的，由县级以上地方人民政府主管管道保护工作的部门责令改正；情节严重的，处二百元以上一千元以下的罚款：（一）擅自开启、关闭管道阀门的；（二）移动、损毁、涂改管道标志的；（三）在埋地管道上方巡查便道上行驶重型车辆的；（四）在地面管道线路、架空管道线路和管桥上行走或者放置重物的；（五）阻碍依法进行的管道建设的。</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一般程序：</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1.发现或接到举报有依法应当给予行政处罚行为，以及有关部门移送的案件，予以审查，决定是否立案；</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2.对立案的案件，组织调查取证（必要时，依法进行检查）；</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3.调查时执法人员不得少于两人，执法时应出示执法身份证件，允许当事人辩解陈述，执法人员与当事人有直接利害关系的应当回避；</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4.对违法事实、证据、调查取证程序、法律适用、处罚种类和幅度、当事人陈述和申辩理由等方面进行审查，提出处理意见；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5.作出行政处罚决定之前，应告知当事人处罚的事实、理由和依据及其依法享有的陈述、申辩等权利。符合听证规定的，行政机关应当组织听证;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6.制作编有号码的行政处罚决定书，并按法律规定的方式送达当事人；</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7.责令当事人改正或限期改正违法行为，当事人逾期不履行行政处罚决定的，依法采取措施或申请人民法院强制执行；</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8.监督实施情况。</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因不履行或不正确履行行政职责，有下列情形的行政机关及相关工作人员应承担相应的责任：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1.对符合法定条件的项目申请不予受理。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2.对不符合法定条件的项目准予行政许可或者超越法定权限作出准予许可决定的。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3.对符合法定条件的项目不予行政许可或者不在法定期限内作出准予许可行政决定的。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4.违反法定程序实施行政许可的。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5.索取或者收受他人财物或者谋取其他利益的。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23</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sz w:val="20"/>
                <w:szCs w:val="20"/>
                <w:u w:val="none"/>
                <w:lang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sz w:val="20"/>
                <w:szCs w:val="20"/>
                <w:u w:val="none"/>
              </w:rPr>
              <w:t>对承储政府粮食储备的企业或者其他组织拒不执行或者违反政府粮食储备的收购、销售、轮换、动用等规定行为的行政处罚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lang w:val="en-US" w:eastAsia="zh-CN"/>
              </w:rPr>
            </w:pPr>
            <w:r>
              <w:rPr>
                <w:rFonts w:ascii="仿宋_GB2312" w:eastAsia="仿宋_GB2312" w:cs="仿宋_GB2312" w:hAnsi="仿宋_GB2312" w:hint="eastAsia"/>
                <w:i w:val="0"/>
                <w:iCs w:val="0"/>
                <w:sz w:val="20"/>
                <w:szCs w:val="20"/>
                <w:u w:val="none"/>
              </w:rPr>
              <w:t>《中华人民共和国粮食安全保障法》第六十七条</w:t>
            </w:r>
            <w:r>
              <w:rPr>
                <w:rFonts w:ascii="仿宋_GB2312" w:eastAsia="仿宋_GB2312" w:cs="仿宋_GB2312" w:hAnsi="仿宋_GB2312" w:hint="eastAsia"/>
                <w:i w:val="0"/>
                <w:iCs w:val="0"/>
                <w:sz w:val="20"/>
                <w:szCs w:val="20"/>
                <w:u w:val="none"/>
                <w:lang w:val="en-US" w:eastAsia="zh-CN"/>
              </w:rPr>
              <w:t xml:space="preserve"> 违反本法规定，承储政府粮食储备的企业或者其他组织有下列行为之一的，依照有关行政法规的规定处罚：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lang w:val="en-US" w:eastAsia="zh-CN"/>
              </w:rPr>
            </w:pPr>
            <w:r>
              <w:rPr>
                <w:rFonts w:ascii="仿宋_GB2312" w:eastAsia="仿宋_GB2312" w:cs="仿宋_GB2312" w:hAnsi="仿宋_GB2312" w:hint="eastAsia"/>
                <w:i w:val="0"/>
                <w:iCs w:val="0"/>
                <w:sz w:val="20"/>
                <w:szCs w:val="20"/>
                <w:u w:val="none"/>
                <w:lang w:val="en-US" w:eastAsia="zh-CN"/>
              </w:rPr>
              <w:t>（一）拒不执行或者违反政府粮食储备的收购、销售、轮换、动用等规定；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lang w:val="en-US" w:eastAsia="zh-CN"/>
              </w:rPr>
            </w:pPr>
            <w:r>
              <w:rPr>
                <w:rFonts w:ascii="仿宋_GB2312" w:eastAsia="仿宋_GB2312" w:cs="仿宋_GB2312" w:hAnsi="仿宋_GB2312" w:hint="eastAsia"/>
                <w:i w:val="0"/>
                <w:iCs w:val="0"/>
                <w:sz w:val="20"/>
                <w:szCs w:val="20"/>
                <w:u w:val="none"/>
                <w:lang w:val="en-US" w:eastAsia="zh-CN"/>
              </w:rPr>
              <w:t>（二）未对政府粮食储备的收购、销售、轮换、动用等进行全过程记录；</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lang w:val="en-US" w:eastAsia="zh-CN"/>
              </w:rPr>
            </w:pPr>
            <w:r>
              <w:rPr>
                <w:rFonts w:ascii="仿宋_GB2312" w:eastAsia="仿宋_GB2312" w:cs="仿宋_GB2312" w:hAnsi="仿宋_GB2312" w:hint="eastAsia"/>
                <w:i w:val="0"/>
                <w:iCs w:val="0"/>
                <w:sz w:val="20"/>
                <w:szCs w:val="20"/>
                <w:u w:val="none"/>
                <w:lang w:val="en-US" w:eastAsia="zh-CN"/>
              </w:rPr>
              <w:t>（三）未按照规定保障政府粮食储备数量、质量安全。</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sz w:val="20"/>
                <w:szCs w:val="20"/>
                <w:u w:val="none"/>
                <w:lang w:val="en-US" w:eastAsia="zh-CN"/>
              </w:rPr>
              <w:t>从事粮食收购、储存、加工、销售的经营者以及饲料、工业用粮企业未按照规定建立粮食经营台账，或者报送粮食基本数据和有关情况的，依照前款规定处罚。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7.执行责任：依照生效的行政处罚决定，没收违法所得，并处相应数额的罚款。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24</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sz w:val="20"/>
                <w:szCs w:val="20"/>
                <w:u w:val="none"/>
                <w:lang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对侵占、损毁、擅自拆除或者迁移政府投资建设的粮食流通基础设施，或者擅自改变其用途行为的行政处罚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i w:val="0"/>
                <w:iCs w:val="0"/>
                <w:kern w:val="0"/>
                <w:sz w:val="20"/>
                <w:szCs w:val="20"/>
                <w:u w:val="none"/>
                <w:lang w:val="en-US" w:eastAsia="zh-CN" w:bidi="ar-SA"/>
                <w:highlight w:val="auto"/>
              </w:rPr>
            </w:pPr>
            <w:r>
              <w:rPr>
                <w:rFonts w:ascii="仿宋_GB2312" w:eastAsia="仿宋_GB2312" w:cs="仿宋_GB2312" w:hAnsi="Calibri" w:hint="eastAsia"/>
                <w:i w:val="0"/>
                <w:iCs w:val="0"/>
                <w:kern w:val="0"/>
                <w:sz w:val="20"/>
                <w:szCs w:val="20"/>
                <w:u w:val="none"/>
                <w:lang w:val="en-US" w:eastAsia="zh-CN" w:bidi="ar-SA"/>
                <w:highlight w:val="auto"/>
              </w:rPr>
              <w:t>1.《中华人民共和国粮食安全保障法》第六十八条</w:t>
            </w:r>
            <w:r>
              <w:rPr>
                <w:rFonts w:ascii="仿宋_GB2312" w:eastAsia="仿宋_GB2312" w:cs="仿宋_GB2312" w:hint="eastAsia"/>
                <w:i w:val="0"/>
                <w:iCs w:val="0"/>
                <w:kern w:val="0"/>
                <w:sz w:val="20"/>
                <w:szCs w:val="20"/>
                <w:u w:val="none"/>
                <w:lang w:val="en-US" w:eastAsia="zh-CN" w:bidi="ar-SA"/>
                <w:highlight w:val="auto"/>
              </w:rPr>
              <w:t xml:space="preserve"> 违反本法规定，侵占、损毁、擅自拆除或者迁移政府投资建设的粮食流通基础设施，或者擅自改变其用途的，由县级以上地方人民政府有关部门依照职责责令停止违法行为，限期恢复原状或者采取其他补救措施；逾期不恢复原状、不采取其他补救措施的，对单位处五万元以上五十万元以下罚款，对个人处五千元以上五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Calibri" w:hint="eastAsia"/>
                <w:i w:val="0"/>
                <w:iCs w:val="0"/>
                <w:kern w:val="0"/>
                <w:sz w:val="20"/>
                <w:szCs w:val="20"/>
                <w:u w:val="none"/>
                <w:lang w:val="en-US" w:eastAsia="zh-CN" w:bidi="ar-SA"/>
                <w:highlight w:val="auto"/>
              </w:rPr>
              <w:t>2.《国有粮油仓储物流设施保护办法》（2016年国家发展改革委令第40号）第二十一条任何公民、法人和其他组织违反本办法规定拆除、迁移粮油仓储物流设施，非法侵占、损坏粮油仓储物流设施或者擅自改变其用途，由粮油仓储物流设施所在地粮食行政管理部门责令其限期改正，并依法予以警告或者罚款；有违法所得的，没收违法所得；造成财产损失的，依法承担民事赔偿责任；构成犯罪的，依法追究刑事责任。</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7.执行责任：依照生效的行政处罚决定，没收违法所得，并处相应数额的罚款。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25</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sz w:val="20"/>
                <w:szCs w:val="20"/>
                <w:u w:val="none"/>
                <w:lang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1"/>
                <w:szCs w:val="21"/>
                <w:u w:val="none"/>
                <w:lang w:val="en-US" w:eastAsia="zh-CN"/>
                <w:highlight w:val="auto"/>
              </w:rPr>
              <w:t>对粮食应急状态发生时，不服从县级以上人民政府的统一指挥和调度，或者不配合采取应急处置措施行为的行政处罚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Calibri" w:hint="eastAsia"/>
                <w:i w:val="0"/>
                <w:iCs w:val="0"/>
                <w:kern w:val="0"/>
                <w:sz w:val="20"/>
                <w:szCs w:val="20"/>
                <w:u w:val="none"/>
                <w:lang w:val="en-US" w:eastAsia="zh-CN" w:bidi="ar-SA"/>
                <w:highlight w:val="auto"/>
              </w:rPr>
              <w:t>《中华人民共和国粮食安全保障法》第六十九条</w:t>
            </w:r>
            <w:r>
              <w:rPr>
                <w:rFonts w:ascii="仿宋_GB2312" w:eastAsia="仿宋_GB2312" w:cs="仿宋_GB2312" w:hint="eastAsia"/>
                <w:i w:val="0"/>
                <w:iCs w:val="0"/>
                <w:kern w:val="0"/>
                <w:sz w:val="20"/>
                <w:szCs w:val="20"/>
                <w:u w:val="none"/>
                <w:lang w:val="en-US" w:eastAsia="zh-CN" w:bidi="ar-SA"/>
                <w:highlight w:val="auto"/>
              </w:rPr>
              <w:t xml:space="preserve"> 违反本法规定，粮食应急状态发生时，不服从县级以上人民政府的统一指挥和调度，或者不配合采取应急处置措施的，由县级以上人民政府有关部门依照职责责令改正，给予警告；拒不改正的，对单位处二万元以上二十万元以下罚款，对个人处二千元以上二万元以下罚款；情节严重的，对单位处二十万元以上二百万元以下罚款，对个人处二万元以上二十万元以下罚款。</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7.执行责任：依照生效的行政处罚决定，没收违法所得，并处相应数额的罚款。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26</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粮食收购企业未按照规定备案或者提供虚假备案信息的的行政处罚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1.《粮食流通管理条例》（2021年国务院令第740号）第四十三条 粮食收购企业未按照规定备案或者提供虚假备案信息的，由粮食和储备行政管理部门责令改正，给予警告；拒不改正的，处2万元以上5万元以下罚款。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2.《河北省粮食流通管理规定》（河北省人民政府令〔2022〕第3号）第六十九条 粮食收购企业违反本规定第三十四条规定，未按照规定备案或者提供虚假备案信息的，由县级以上人民政府粮食和物资储备行政管理部门依照《粮食流通管理条例》第四十三条规定进行处罚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7.执行责任：依照生效的行政处罚决定，没收违法所得，并处相应数额的罚款。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27</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1"/>
                <w:szCs w:val="21"/>
                <w:u w:val="none"/>
                <w:lang w:val="en-US" w:eastAsia="zh-CN"/>
              </w:rPr>
              <w:t>对粮食收购者未执行国家粮食质量标准等行为的行政处罚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1.《粮食流通管理条例》（2021年国务院令第740号）第四十五条 有下列情形之一的，由粮食和储备行政管理部门责令改正，给予警告，可以并处20万元以下罚款；情节严重的，并处20万元以上50万元以下罚款：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（一）粮食收购者未执行国家粮食质量标准；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（二）粮食收购者未及时向售粮者支付售粮款；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（三）粮食收购者违反本条例规定代扣、代缴税、费和其他款项；</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（四）粮食收购者收购粮食，未按照国家有关规定进行质量安全检验，或者对不符合食品安全标准的粮食未作为非食用用途单独储存；</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（五）从事粮食收购、销售、储存、加工的粮食经营者以及饲料、工业用粮企业未建立粮食经营台账，或者未按照规定报送粮食基本数据和有关情况；</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（六）粮食储存企业未按照规定进行粮食销售出库质量安全检验。</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2.《河北省粮食流通管理规定》（河北省人民政府令〔2022〕第3号）第六十七条 粮食收购者违反本规定第三十一条第一款第一项、第四项、第五项、第六项，第三十三条规定，未执行国家粮食质量标准，未及时向售粮者支付售粮款，违反规定代扣、代缴税、费和其他款项，未按照国家有关规定进行质量安全检验，或者对不符合食品安全标准的粮食未作为非食用用途单独储存的，由县级以上人民政府粮食和物资储备行政管理部门依照《粮食流通管理条例》第四十五条规定进行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3"/>
                <w:szCs w:val="13"/>
                <w:u w:val="none"/>
                <w:lang w:val="en-US" w:eastAsia="zh-CN"/>
              </w:rPr>
            </w:pPr>
            <w:r>
              <w:rPr>
                <w:rFonts w:ascii="仿宋_GB2312" w:eastAsia="仿宋_GB2312" w:cs="仿宋_GB2312" w:hAnsi="仿宋_GB2312" w:hint="eastAsia"/>
                <w:i w:val="0"/>
                <w:iCs w:val="0"/>
                <w:kern w:val="0"/>
                <w:sz w:val="13"/>
                <w:szCs w:val="13"/>
                <w:u w:val="none"/>
                <w:lang w:val="en-US" w:eastAsia="zh-CN"/>
              </w:rPr>
              <w:t>第七十二条　粮食储存企业违反本规定第五十三条规定，未按照规定进行粮食销售出库质量安全检验的，由县级以上人民政府粮食和物资储备行政管理部门依照《粮食流通管理条例》第四十五条规定进行处罚。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13"/>
                <w:szCs w:val="13"/>
                <w:u w:val="none"/>
                <w:lang w:val="en-US" w:eastAsia="zh-CN"/>
              </w:rPr>
              <w:t>第七十四条　从事粮食收购、销售、储存、加工的粮食经营者及饲料、工业用粮企业违反本规定第五十七条第一款规定，未建立粮食经营台账，或者未按照规定报送粮食基本数据和有关情况的，由县级以上人民政府粮食和物资储备行政管理部门依照《粮食流通管理条例》第四十五条规定进行处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7.执行责任：依照生效的行政处罚决定，予以警告，相应数额的罚款，暂停或者取消粮食收购许可证。</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28</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对粮食收购者、粮食储存企业未按照规定使用仓储设施、运输工具行为的行政处罚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1.《粮食流通管理条例》（2021年国务院令第740号）第四十六条　粮食收购者、粮食储存企业未按照本条例规定使用仓储设施、运输工具的，由粮食和储备行政管理等部门按照职责责令改正，给予警告；被污染的粮食不得非法销售、加工。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2.《河北省粮食流通管理规定》（河北省人民政府令〔2022〕第3号）第七十条 粮食收购者、粮食储存企业未按照本规定第四十条、第四十五条规定使用仓储设施、运输工具的，由县级以上人民政府粮食和物资储备行政管理等部门按照职责责令改正，给予警告。被污染的粮食不得非法销售、加工。</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29</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对粮食收购者、粮食储存企业将不得作为食用用途的粮食作为食用用途销售出库行为的行政处罚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粮食流通管理条例》（2021年国务院令第740号）第四十七条粮食收购者、粮食储存企业将下列粮食作为食用用途销售出库的，由粮食和储备行政管理部门没收违法所得；违法销售出库的粮食货值金额不足1万元的，并处1万元以上5万元以下罚款，货值金额1万元以上的，并处货值金额1倍以上5倍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（一）真菌毒素、农药残留、重金属等污染物质以及其他危害人体健康的物质含量超过食品安全标准限量的；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（二）霉变或者色泽、气味异常的；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（三）储存期间使用储粮药剂未满安全间隔期的；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（四）被包装材料、容器、运输工具等污染的；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（五）其他法律、法规或者国家有关规定明确不得作为食用用途销售的。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2.《河北省粮食流通管理规定》（河北省人民政府令〔2022〕第3号）第七十三条　粮食收购者、粮食储存企业有违反本规定第五十四条行为之一的，由县级以上人民政府粮食和物资储备行政管理部门依照《粮食流通管理条例》第四十七条规定进行处罚。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30</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对从事政策性粮食经营活动虚报粮食收储数量等行为的行政处罚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1.《粮食流通管理条例》（2021年国务院令第740号）第四十九条　从事政策性粮食经营活动，有下列情形之一的，由粮食和储备行政管理部门责令改正，给予警告，没收违法所得，并处50万元以上200万元以下罚款；情节严重的，并处200万元以上500万元以下罚款：（一）虚报粮食收储数量；</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（二）通过以陈顶新、以次充好、低收高转、虚假购销、虚假轮换、违规倒卖等方式，套取粮食价差和财政补贴，骗取信贷资金；</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（三）挤占、挪用、克扣财政补贴、信贷资金；</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（四）以政策性粮食为债务作担保或者清偿债务；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（五）利用政策性粮食进行除政府委托的政策性任务以外的其他商业经营；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（六）在政策性粮食出库时掺杂使假、以次充好、调换标的物，拒不执行出库指令或者阻挠出库；</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（七）购买国家限定用途的政策性粮食，违规倒卖或者不按照规定用途处置；</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（八）擅自动用政策性粮食；</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（九）其他违反国家政策性粮食经营管理规定的行为。</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8"/>
                <w:szCs w:val="18"/>
                <w:u w:val="none"/>
                <w:lang w:val="en-US" w:eastAsia="zh-CN"/>
              </w:rPr>
            </w:pPr>
            <w:r>
              <w:rPr>
                <w:rFonts w:ascii="仿宋_GB2312" w:eastAsia="仿宋_GB2312" w:cs="仿宋_GB2312" w:hAnsi="仿宋_GB2312" w:hint="eastAsia"/>
                <w:i w:val="0"/>
                <w:iCs w:val="0"/>
                <w:kern w:val="0"/>
                <w:sz w:val="18"/>
                <w:szCs w:val="18"/>
                <w:u w:val="none"/>
                <w:lang w:val="en-US" w:eastAsia="zh-CN"/>
              </w:rPr>
              <w:t>粮食应急预案启动后，不按照国家要求承担应急任务，不服从国家的统一安排和调度的，依照前款规定予以处罚。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18"/>
                <w:szCs w:val="18"/>
                <w:u w:val="none"/>
                <w:lang w:val="en-US" w:eastAsia="zh-CN" w:bidi="ar-SA"/>
              </w:rPr>
            </w:pPr>
            <w:r>
              <w:rPr>
                <w:rFonts w:ascii="仿宋_GB2312" w:eastAsia="仿宋_GB2312" w:cs="仿宋_GB2312" w:hAnsi="仿宋_GB2312" w:hint="eastAsia"/>
                <w:i w:val="0"/>
                <w:iCs w:val="0"/>
                <w:kern w:val="0"/>
                <w:sz w:val="18"/>
                <w:szCs w:val="18"/>
                <w:u w:val="none"/>
                <w:lang w:val="en-US" w:eastAsia="zh-CN"/>
              </w:rPr>
              <w:t>2.《河北省粮食流通管理规定》（河北省人民政府令〔2022〕第3号）第六十五条　粮食经营者从事政策性粮食经营活动，有违反本规定第十六条行为之一的，由县级以上人民政府粮食和物资储备行政管理部门依照《粮食流通管理条例》第四十九条规定进行处罚。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31</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对有违反《粮食流通管理条例》规定的违法情形且情节严重的从事粮食经营活动的企业的法定代表人、主要负责人、直接负责的主管人员和其他直接责任人员的行政处罚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《粮食流通管理条例》（2021年国务院令第740号）第五十一条　从事粮食经营活动的企业有违反本条例规定的违法情形且情节严重的，对其法定代表人、主要负责人、直接负责的主管人员和其他直接责任人员处以其上一年度从本企业取得收入的1倍以上10倍以下罚款。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32</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对粮食经营者采购或者供应不符合规定的质量等级要求的政策性粮食行为的行政处罚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河北省粮食流通管理规定》（河北省人民政府令〔2022〕第3号）粮食经营者违反本规定第十八条规定，采购或者供应不符合规定的质量等级要求的政策性粮食的，由县级以上人民政府粮食和物资储备行政管理部门责令改正，予以警告</w:t>
            </w:r>
            <w:r>
              <w:rPr>
                <w:rFonts w:ascii="仿宋_GB2312" w:eastAsia="仿宋_GB2312" w:cs="仿宋_GB2312" w:hAnsi="仿宋_GB2312" w:hint="eastAsia"/>
                <w:i w:val="0"/>
                <w:iCs w:val="0"/>
                <w:kern w:val="0"/>
                <w:sz w:val="20"/>
                <w:szCs w:val="20"/>
                <w:u w:val="none"/>
                <w:lang w:val="en-US" w:eastAsia="zh-CN"/>
                <w:highlight w:val="auto"/>
              </w:rPr>
              <w:t>。</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33</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对粮油仓储单位违反备案规定的行政处罚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1.《粮油仓储管理办法》（2009年国家发展改革委令第5号）第二十八条 粮油仓储单位违反本办法第六条规定，未在规定时间向粮食行政管理部门备案，或者备案内容弄虚作假的，由负责备案管理的粮食行政管理部门责令改正，给予警告；拒不改正的，处1万元以下罚款。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2.《国有粮油仓储物流设施保护办法》（2016年国家发展改革委令第40号）第二十三条第一款 粮油仓储单位违反本办法规定，未及时备案的，由备案管辖的粮食行政管理部门责令限期改正。</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34</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对粮油仓储单位不具备《粮油仓储管理办法》规定的仓储条件的行政处罚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highlight w:val="auto"/>
              </w:rPr>
              <w:t>《粮油仓储管理办法》（国家发展改革委令第5号）第二十九条</w:t>
            </w:r>
            <w:r>
              <w:rPr>
                <w:rFonts w:ascii="仿宋_GB2312" w:eastAsia="仿宋_GB2312" w:cs="仿宋_GB2312" w:hAnsi="仿宋_GB2312" w:hint="eastAsia"/>
                <w:i w:val="0"/>
                <w:iCs w:val="0"/>
                <w:kern w:val="0"/>
                <w:sz w:val="20"/>
                <w:szCs w:val="20"/>
                <w:u w:val="none"/>
                <w:lang w:val="en-US" w:eastAsia="zh-CN"/>
              </w:rPr>
              <w:t xml:space="preserve"> 粮油仓储单位不具备本办法第七条规定条件的，由负责备案管理的粮食行政管理部门责令改正，给予警告；拒不改正的，处1万元以上3万元以下罚款。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第七条 粮油仓储单位应当具备以下条件：（一）拥有固定经营场地，并符合本办法有关污染源、危险源安全距离的规定；（二）拥有与从事粮油仓储活动相适应的设备，并符合粮油储藏技术规范的要求；（三）拥有相应的专业技术管理人员。</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35</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对粮油仓储单位名称不符合规定的行政处罚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《粮油仓储管理办法》（2009年国家发展改革委令第6号）第三十条 粮油仓储单位的名称不符合本办法第八条规定的，由负责备案管理的粮食行政管理部门责令改正，给予警告。</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240" w:lineRule="exact"/>
              <w:ind w:left="425" w:hanging="425"/>
              <w:jc w:val="center"/>
              <w:textAlignment w:val="center"/>
              <w:rPr>
                <w:rFonts w:ascii="仿宋_GB2312" w:eastAsia="仿宋_GB2312" w:cs="仿宋_GB2312" w:hAnsi="仿宋_GB2312"/>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36</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对粮油仓储单位违反粮油出入库、储存等管理规定的行政处罚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《粮油仓储管理办法》（2009年国家发展改革委令第7号）第三十一条  粮油仓储单位违反本办法有关粮油出入库、储存等管理规定的，由所在地粮食行政管理部门责令改正，给予警告；情节严重的，可以并处3万元以下罚款；造成粮油储存事故或者安全生产事故的，按照有关法律法规和国家有关规定给予处罚。</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1.立案责任：对日常监督检查、群众举报、上级交办、下级报请、有关部门移送或其他方式披露的案件线索，予以审查，决定是否立案。</w:t>
              <w:br/>
              <w:t>2.调查责任：粮食行政管理部门对立案的案件，指定专人负责，及时组织调查取证，与当事人有直接利害关系的应当回避。执法人员不得少于两人，调查时应出示执法证件，允许当事人辩解陈述。执法人员应保守有关秘密。</w:t>
              <w:br/>
              <w:t>3.审查责任：审理案件调查报告，对案件违法事实、证据、调查取证程序、法律适用、处罚种类和幅度、当事人陈述和申辩理由等方面进行审查，提出处理意见（主要证据不足时，以适当的方式补充调查）。</w:t>
              <w:br/>
              <w:t>4.告知责任：作出行政处罚决定前，应制作《行政处罚事先告知书》送达当事人，告知违法事实及其享有的陈述、申辩等权利。符合听证规定的，应当告知当事人有要求举行听证的权利。</w:t>
              <w:br/>
              <w:t>5.决定责任：制作行政处罚决定书，载明当事人基本情况、主要违法事实、履行方式和期限以及不服行政处罚决定，申请行政复议或者提起行政诉讼的途径和期限等内容。</w:t>
              <w:br/>
              <w:t>6.送达责任：行政处罚决定书按法律规定的方式送达当事人。</w:t>
              <w:br/>
              <w:t>7.执行责任：依照生效的行政处罚决定，予以警告或者相应数额的罚款。</w:t>
              <w:br/>
              <w:t>8.其他法律法规规章文件规定应履行的责任。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2"/>
                <w:sz w:val="20"/>
                <w:szCs w:val="20"/>
                <w:u w:val="none"/>
                <w:lang w:val="en-US" w:eastAsia="zh-CN" w:bidi="ar-SA"/>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1.没有法律和事实依据实施行政处罚的；</w:t>
              <w:br/>
              <w:t>2.行政处罚显失公正的；</w:t>
              <w:br/>
              <w:t>3.执法人员玩忽职守，对应当予以制止和处罚的违法行为不予制止、处罚的；</w:t>
              <w:br/>
              <w:t>4.不具备行政执法资格实施行政处罚的；</w:t>
              <w:br/>
              <w:t>5.应当依法移送追究刑事责任，而未依法移送有权机关的；</w:t>
              <w:br/>
              <w:t>6.擅自改变行政处罚种类、幅度的；</w:t>
              <w:br/>
              <w:t>7.违反法定的行政处罚程序的；</w:t>
              <w:br/>
              <w:t>8.符合听证条件、行政管理相对人要求听证，应予组织听证而不组织听证的；</w:t>
              <w:br/>
              <w:t>9.在行政处罚过程中发生腐败行为的；</w:t>
              <w:br/>
              <w:t>10.其他违反法律法规规章文件规定的行为。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kern w:val="2"/>
                <w:sz w:val="20"/>
                <w:szCs w:val="20"/>
                <w:u w:val="none"/>
                <w:lang w:val="en-US" w:eastAsia="zh-CN" w:bidi="ar-SA"/>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iCs w:val="0"/>
                <w:kern w:val="0"/>
                <w:sz w:val="20"/>
                <w:szCs w:val="20"/>
                <w:u w:val="none"/>
                <w:lang w:val="en-US" w:eastAsia="zh-CN"/>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对未取得资质认定，擅自从事报废机动车回收活动的处罚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《报废机动车回收管理办法》第十九条 未取得资质认定，擅自从事报废机动车回收活动的，由负责报废机动车回收管理的部门没收非法回收的报废机动车、报废机动车“五大总成”和其他零部件，没收违法所得；违法所得在5万元以上的，并处违法所得2倍以上5倍以下的罚款；违法所得不足5万元或者没有违法所得的，并处5万元以上10万元以下的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1.立案责任：发现涉嫌未取得资质认定，擅自从事报废机动车回收活动的违法行为，予以审查，决定是否立案。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对出售不具备再制造条件的报废机动车“五大总成”；出售不能继续使用的报废机动车“五大总成”以外的零部件；出售的报废机动车“五大总成”以外的零部件未标明“报废机动车回用件”的处罚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《报废机动车回收管理办法》第二十一条 报废机动车回收企业有下列情形之一的，由负责报废机动车回收管理的部门责令改正，没收报废机动车“五大总成”和其他零部件，没收违法所得；违法所得在5万元以上的，并处违法所得2倍以上5倍以下的罚款；违法所得不足5万元或者没有违法所得的，并处5万元以上10万元以下的罚款；情节严重的，责令停业整顿直至由原发证部门吊销资质认定书：（一）出售不具备再制造条件的报废机动车“五大总成”；（二）出售不能继续使用的报废机动车“五大总成”以外的零部件；（三）出售的报废机动车“五大总成”以外的零部件未标明“报废机动车回用件”。《报废机动车回收管理办法》第二十三条 报废机动车回收企业未如实记录本企业回收的报废机动车“五大总成”等主要部件的数量、型号、流向等信息并上传至报废机动车回收信息系统的，由负责报废机动车回收管理的部门责令改正，并处1万元以上5万元以下的罚款；情节严重的，责令停业整顿。</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1.立案责任：发现涉嫌未取得资质认定，擅自从事报废机动车回收活动的违法行为，予以审查，决定是否立案。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对未按照国家有关规定及时向公安机关交通管理部门办理注销登记并将注销证明转交机动车所有人的处罚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《报废机动车回收管理办法》第二十二条 报废机动车回收企业对回收的报废机动车，未按照国家有关规定及时向公安机关交通管理部门办理注销登记并将注销证明转交机动车所有人的，由负责报废机动车回收管理的部门责令改正，可以处1万元以上5万元以下的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1.立案责任：发现涉嫌未取得资质认定，擅自从事报废机动车回收活动的违法行为，予以审查，决定是否立案。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对未如实记录本企业回收的报废机动车“五大总成”等主要部件的数量、型号、流向等信息并上传至报废机动车回收信息系统的处罚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《报废机动车回收管理办法》第二十三条 报废机动车回收企业未如实记录本企业回收的报废机动车“五大总成”等主要部件的数量、型号、流向等信息并上传至报废机动车回收信息系统的，由负责报废机动车回收管理的部门责令改正，并处1万元以上5万元以下的罚款；情节严重的，责令停业整顿。</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1.立案责任：发现涉嫌未取得资质认定，擅自从事报废机动车回收活动的违法行为，予以审查，决定是否立案。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对未提供交易的场所、设施及相关服务；未按照本规定确定的交易方式和交易对象，建立健全业务规则与各项规章制度的处罚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《商品现货市场交易特别规定（试行）》第十一条 市场经营者应当履行下列职责：（一）提供交易的场所、设施及相关服务；（二）按照本规定确定的交易方式和交易对象，建立健全交易、交收、结算、仓储、信息发布、风险控制、市场管理等业务规则与各项规章制度；（三）法律法规规定的其他职责。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对市场经营者未公开业务规则和规章制度的处罚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《商品现货市场交易特别规定（试行）》第十二条 市场经营者应当公开业务规则和规章制度。制定、修改和变更业务规则和规章制度，应当在合理时间内提前公示。第二十三条同上。第二十三条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对市场经营者未制定应急预案的处罚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《商品现货市场交易特别规定（试行）》第十三条 商品现货市场应当制定应急预案。出现异常情况时，应当及时采取有效措施，防止出现市场风险。第二十三条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对市场经营者未加强资金管理力度的处罚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《商品现货市场交易特别规定（试行）》第十四条市场经营者应当采取合同约束、系统控制、强化内部管理等措施，加强资金管理力度。市场经营者不得以任何形式侵占或挪用交易者的资金。第二十三条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对市场经营者未建立完善商品信息发布制度，发布虚假信息的处罚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《商品现货市场交易特别规定（试行）》第十七条 市场经营者应当建立完善商品信息发布制度，公布交易商品的名称、数量、质量、规格、产地等相关信息，保证信息的真实、准确，不得发布虚假信息。第二十三条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对市场经营者未按规定记录、保存商品相关信息的处罚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《商品现货市场交易特别规定（试行）》第十八条 采用现代信息化技术开展交易活动的，市场经营者应当实时记录商品仓储、交易、交收、结算、支付等相关信息，采取措施保证相关信息的完整和安全，并保存五年以上。第二十三条同上。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对市场经营者擅自篡改、销毁相关信息和资料的处罚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《商品现货市场交易特别规定（试行）》第十九条 市场经营者不得擅自篡改、销毁相关信息和资料。第二十三条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对市场经营者未根据相关部门的要求报送有关经营信息与资料的处罚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《商品现货市场交易特别规定（试行）》第二十一条市场经营者应当根据相关部门的要求报送有关经营信息与资料。第二十三条 市场经营者违反第十一条、第十二条、第十三条、第十四条、第十七条、第十八条、第十九条、第二十一条规定，由县级以上商务主管部门会同有关部门责令改正。逾期不改的，处一万元以上三万元以下罚款。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adjustRightInd/>
              <w:snapToGrid/>
              <w:spacing w:line="240" w:lineRule="exact"/>
              <w:ind w:left="0" w:firstLine="0"/>
              <w:jc w:val="both"/>
              <w:textAlignment w:val="center"/>
              <w:rPr>
                <w:rFonts w:ascii="仿宋_GB2312" w:eastAsia="仿宋_GB2312" w:cs="仿宋_GB2312" w:hAnsi="仿宋_GB2312" w:hint="eastAsia"/>
                <w:i w:val="0"/>
                <w:sz w:val="24"/>
                <w:u w:val="none"/>
              </w:rPr>
            </w:pPr>
            <w:r>
              <w:rPr>
                <w:rFonts w:ascii="仿宋_GB2312" w:eastAsia="仿宋_GB2312" w:cs="仿宋_GB2312" w:hAnsi="仿宋_GB2312" w:hint="eastAsia"/>
                <w:kern w:val="0"/>
                <w:sz w:val="20"/>
                <w:szCs w:val="20"/>
              </w:rPr>
              <w:t>对经销商在销售汽车、配件及其他相关产品的价格和各项服务收费标准标价之外加价销售或收取额外费用的处罚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《汽车销售管理办法》第十条 经销商应当在经营场所以适当形式明示销售汽车、配件及其他相关产品的价格和各项服务收费标准，不得在标价之外加价销售或收取额外费用。第三十二条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对经销商出售未经授权销售的汽车未以书面形式告知消费者的处罚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《汽车销售管理办法》第十二条 经销商出售未经供应商授权销售的汽车，或者未经境外汽车生产企业授权销售的进口汽车，应当以书面形式向消费者作出提醒和说明，并书面告知向消费者承担相关责任的主体。未经供应商授权或者授权终止的，经销商不得以供应商授权销售汽车的名义从事经营活动。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对供应商、经销商限定、强制消费者相关服务的处罚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《汽车销售管理办法》第十四条 供应商、经销商不得限定消费者户籍所在地，不得对消费者限定汽车配件、用品、金融、保险、救援等产品的提供商和售后服务商，但家用汽车产品“三包”服务、</w:t>
              <w:br/>
              <w:t>召回等由供应商承担费用时使用的配件和服务除外。经销商销售汽车时不得强制消费者购买保险或者强制为其提供代办车辆注册登记等服务。第三十二条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对经销商、售后服务商销售或者提供配件未如实标明配件信息的处罚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《汽车销售管理办法》第十七条 经销商、售后服务商销售或者提供配件应当如实标明原厂配件、质量相当配件、再制造件、回用件等，明示生产商（进口产品为进口商）、生产日期、适配车型等信息，向消费者销售或者提供原厂配件以外的其他配件时，应当予以提醒和说明。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对供应商限制配件生产商（进口产品为进口商）的销售对象、限制经销商、售后服务商转售配件的处罚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《汽车销售管理办法》第二十一条 供应商不得限制配件生产商（进口产品为进口商）的销售对象，不得限制经销商、售后服务商转售配件，有关法律法规规章及其配套的规范性文件另有规定的除外。供应商应当及时向社会公布停产或者停止销售的车型，并保证其后至少10年的配件供应以及相应的售后服务。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对供应商、承担“三包”责任的经销商未能向消费者提供相应的售后服务的处罚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《汽车销售管理办法》第二十三条 经销商不再经营供应商产品的，应当将客户、车辆资料和维修历史记录在授权合同终止后30日内移交给供应商，不得实施有损于供应商品牌形象的行为；家用汽车产品经销商不再经营供应商产品时，应当及时通知消费者，在供应商的配合下变更承担“三包”责任的经销商。供应商、承担“三包”责任的经销商应当保证为消费者继续提供相应的售后服务。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对供应商向经销商实施违反规定要求的行为的处罚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《汽车销售管理办法》第二十四条 供应商可以要求经销商为本企业品牌汽车设立单独展区，满足经营需要和维护品牌形象的基本功能，但不得对经销商实施下列行为：（一）要求同时具备销售、售后服务等功能；（二）规定整车、配件库存品种或数量，或者规定汽车销售数量，但双方在签署授权合同或合同延期时就上述内容书面达成一致的除外；（三）限制经营其他供应商商品；（四）限制为其他供应商的汽车提供配件及其他售后服务；（五）要求承担以汽车供应商名义实施的广告、车展等宣传推广费用，或者限定广告宣传方式和媒体；（六）限定不合理的经营场地面积、建筑物结构以及有偿设计单位、建筑单位、建筑材料、通用设备以及办公设施的品牌或者供应商；（七）搭售未订购的汽车、配件及其他商品；（八）干涉经销商人力资源和财务管理以及其他属于经销商自主经营范围内的活动；（九）限制本企业汽车产品经销商之间相互转售。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对供应商制定或实施营销奖励等商务政策未遵循公平、公正、透明的原则的处罚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《汽车销售管理办法》第二十五条 供应商制定或实施营销奖励等商务政策应当遵循公平、公正、透明的原则。供应商应当向经销商明确商务政策的主要内容，对于临时性商务政策，应当提前以双方约定的方式告知；对于被解除授权的经销商，应当维护经销商在授权期间应有的权益，不得拒绝或延迟支付销售返利。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对供应商在经销商获得授权销售区域内向消费者直接销售汽车的处罚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《汽车销售管理办法》第二十六条 除双方合同另有约定外,供应商在经销商获得授权销售区域内不得向消费者直接销售汽车。第三十二条 违反本办法第十条、第十二条、第十四条、第十七条第一款、第二十一条、第二十三条第二款、第二十四条、第二十五条、第二十六条有关规定的，由县级以上地方商务主管部门责令改正，并可给予警告或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sz w:val="20"/>
                <w:szCs w:val="20"/>
                <w:u w:val="none"/>
              </w:rPr>
              <w:t>对经销商未在经营场所明示所出售的汽车产品质量保证、保修服务及消费者需知悉的其他售后服务政策；出售家用汽车产品的经销商未在经营场所明示家用汽车产品的“三包”信息的处罚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《汽车销售管理办法》第十一条 经销商应当在经营场所明示所出售的汽车产品质量保证、保修服务及消费者需知悉的其他售后服务政策，出售家用汽车产品的经销商还应当在经营场所明示家用汽车产品的“三包”信息。第三十三条 违反本办法第十一条、第十五条、第十八条、第二十条第二款、第二十七条、第二十八条有关规定的，由县级以上地方商务主管部门责令改正，并可给予警告或1万元以下罚款。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对经销商向消费者销售汽车时，未核实登记消费者的有效身份证明、未签订销售合同、未如实开具销售发票的处罚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《汽车销售管理办法》第十五条 经销商向消费者销售汽车时，应当核实登记消费者的有效身份证明，签订销售合同，并如实开具销售发票。第三十三条 违反本办法第十一条、第十五条、第十八条、第二十条第二款、第二十七条、第二十八条有关规定的，由县级以上地方商务主管部门责令改正，并可给予警告或1万元以下罚款。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对供应商、经销商未建立健全消费者投诉制度的处罚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《汽车销售管理办法》第十八条 供应商、经销商应当建立健全消费者投诉制度，明确受理消费者投诉的具体部门和人员，并向消费者明示投诉渠道。投诉的受理、转交以及处理情况应当自收到投诉之日起7个工作日内通知投诉的消费者。第三十三条 违反本办法第十一条、第十五条、第十八条、第二十条第二款、第二十七条、第二十八条有关规定的，由县级以上地方商务主管部门责令改正，并可给予警告或1万元以下罚款。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对供应商、经销商未在本企业网站或经营场所公示与其合作的售后服务商名单的处罚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《汽车销售管理办法》第二十条 供应商、经销商应当在本企业网站或经营场所公示与其合作的售后服务商名单。第三十三条 违反本办法第十一条、第十五条、第十八条、第二十条第二款、第二十七条、第二十八条有关规定的，由县级以上地方商务主管部门责令改正，并可给予警告或1万元以下罚款。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对供应商、经销商未按规定备案、更新、报送信息的处罚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《汽车销售管理办法》第二十七条 供应商、经销商应当自取得营业执照之日起90日内通过国务院商务主管部门全国汽车流通信息管理系统备案基本信息。供应商、经销商备案的基本信息发生变更的，应当自信息变更之日起30日内完成信息更新。本办法实施以前已设立的供应商、经销商应当自本办法实施之日起90日内按前款规定备案基本信息。供应商、经销商应当按照国务院商务主管部门的要求，及时通过全国汽车流通信息管理系统报送汽车销售数量、种类等信息。第三十三条 违反本办法第十一条、第十五条、第十八条、第二十条第二款、第二十七条、第二十八条有关规定的，由县级以上地方商务主管部门责令改正，并可给予警告或1万元以下罚款。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对经销商未按规定建立、保存销售汽车、用户等信息档案的处罚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《汽车销售管理办法》第二十八条 经销商应当建立销售汽车、用户等信息档案，准确、及时地反映本区域销售动态、用户要求和其他相关信息。汽车销售、用户等信息档案保存期不得少于10年。第三十三条 违反本办法第十一条、第十五条、第十八条、第二十条第二款、第二十七条、第二十八条有关规定的，由县级以上地方商务主管部门责令改正，并可给予警告或1万元以下罚款。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1.立案责任：发现经销商、供应商涉嫌违法，予以审查，决定是否立案。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对经营者收购旧电器电子产品时未对收购产品进行登记的处罚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《旧电器电子产品流通管理办法》第七条 经营者收购旧电器电子产品时应当对收购产品进行登记。登记信息应包括旧电器电子产品的品名、商标、型号、出售人原始购买凭证或者出售人身份信息等。第十九条 经营者违反本办法第七条、第八条、第十五条规定的，由县级以上地方商务主管部门责令改正；逾期不改正的，可处二千元以上一万元以下罚款。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对经营者未建立旧电器电子产品档案资料的处罚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《旧电器电子产品流通管理办法》第八条 经营者应当建立旧电器电子产品档案资料。档案资料应当包括产品的收购登记信息，质量性能状况、主要部件的维修、翻新情况和后配件的商标、生产者信息等情况。第十九条 经营者违反本办法第七条、第八条、第十五条规定的，由县级以上地方商务主管部门责令改正；逾期不改正的，可处二千元以上一万元以下罚款。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对旧电器电子产品市场未建立旧电器电子经营者档案的处罚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《旧电器电子产品流通管理办法》第十五条 旧电器电子产品市场应当建立旧电器电子经营者档案，如实记录市场内经营者身份信息和信用信息。第十九条 经营者违反本办法第七条、第八条、第十五条规定的，由县级以上地方商务主管部门责令改正；逾期不改正的，可处二千元以上一万元以下罚款。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对经营者将在流通过程中获得的机关、企（事）业单位及个人信息用于与旧电器电子产品流通活动无关的领域的处罚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《旧电器电子产品流通管理办法》第九条 经营者不得将在流通过程中获得的机关、企（事）业单位及个人信息用于与旧电器电子产品流通活动无关的领域。旧电器电子产品涉及商业秘密、个人隐私的，出售人应当在出售前妥善处置相关信息，经营者收购上述产品前应作出提示。退出使用的涉密旧电器电子产品的流通活动应当符合《保守国家秘密法》和国家有关保密规定。第二十条 经营者违反本办法第九条、第十一条、第十二条、第十三条、第十八条规定的，由法律、行政法规规定的有关部门依法处理；法律法规未作规定的，由县级以上地方商务主管部门责令改正；逾期不改正的，可处二千元以上一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对待售的旧电器电子产品未在显著位置标识为旧货的处罚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《旧电器电子产品流通管理办法》第十一条 待售的旧电器电子产品应在显著位置标识为旧货。第二十条 经营者违反本办法第九条、第十一条、第十二条、第十三条、第十八条规定的，由法律、行政法规规定的有关部门依法处理；法律法规未作规定的，由县级以上地方商务主管部门责令改正；逾期不改正的，可处二千元以上一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对经营者以翻新产品冒充新产品出售的处罚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《旧电器电子产品流通管理办法》第十二条 经营者销售旧电器电子产品时，应当向购买者明示产品质量性能状况、主要部件维修、翻新等有关情况。严禁经营者以翻新产品冒充新产品出售。第二十条 经营者违反本办法第九条、第十一条、第十二条、第十三条、第十八条规定的，由法律、行政法规规定的有关部门依法处理；法律法规未作规定的，由县级以上地方商务主管部门责令改正；逾期不改正的，可处二千元以上一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对经营者未向购买者出具销售凭证或发票、提供包修服务、设立销售台账的处罚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《旧电器电子产品流通管理办法》第十三条 经营者应当向购买者出具销售凭证或发票，并应当提供不少于3个月的免费包修服务，交易双方另有约定的除外。旧电器电子产品仍在三包有效期内的，经营者应依法履行三包责任。经营者应当设立销售台账，对销售情况进行如实、准确记录。第二十条 经营者违反本办法第九条、第十一条、第十二条、第十三条、第十八条规定的，由法律、行政法规规定的有关部门依法处理；法律法规未作规定的，由县级以上地方商务主管部门责令改正；逾期不改正的，可处二千元以上一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对经营者和旧电器电子产品市场未配合商务主管部门的监督检查，如实提供、报送相关信息、数据和材料的处罚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《旧电器电子产品流通管理办法》第十八条 县级以上地方商务主管部门应当根据本地实际，建立定期检查及不定期抽查制度，及时发现和处理有关问题。经营者和旧电器电子产品市场应配合商务主管部门的监督检查，如实提供信息和材料。县级以上地方商务主管部门应当组织本行政区域内的行业统计工作，经营者应按照商务主管部门要求及时报送相关信息和数据。第二十条 经营者违反本办法第九条、第十一条、第十二条、第十三条、第十八条规定的，由法律、行政法规规定的有关部门依法处理；法律法规未作规定的，由县级以上地方商务主管部门责令改正；逾期不改正的，可处二千元以上一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对经营者收购禁止收购的旧电器电子产品的处罚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《旧电器电子产品流通管理办法》第十条 禁止经营者收购下列旧电器电子产品：（一）依法查封、扣押的；（二）明知是通过盗窃、抢劫、诈骗、走私或其他违法犯罪手段获得的；（三）不能说明合法来源的；（四）其他法律、行政法规禁止收购的。第二十一条 经营者违反本办法第十条、第十四条规定的，由法律、行政法规规定的有关部门依法处理；法律法规未作规定的，由县级以上地方商务主管部门责令改正；逾期不改正的，可处一万元以上三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对经营者销售禁止销售的旧电器电子产品的处罚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《旧电器电子产品流通管理办法》第十四条 禁止经营者销售下列旧电器电子产品：（一）丧失全部使用功能或达到国家强制报废条件的；（二）不符合保障人体健康和人身、财产安全等强制性标准要求的；（三）其他法律、行政法规禁止销售的。第二十一条 经营者违反本办法第十条、第十四条规定的，由法律、行政法规规定的有关部门依法处理；法律法规未作规定的，由县级以上地方商务主管部门责令改正；逾期不改正的，可处一万元以上三万元以下罚款；构成犯罪的，依法追究刑事责任。</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1.立案责任：发现旧电器电子产品市场、经营者涉嫌违法，予以审查，决定是否立案。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对发卡企业未按规定办理备案的处罚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《单用途商业预付卡管理办法（试行）》第七条 发卡企业应在开展单用途卡业务之日起30日内按照下列规定办理备案：（一）集团发卡企业和品牌发卡企业向其工商登记注册地省、自治区、直辖市人民政府商务主管部门备案；（二）规模发卡企业向其工商登记注册地设区的市人民政府商务主管部门备案；（三）其他发卡企业向其工商登记注册地县（市、区）人民政府商务主管部门备案。第三十六条 发卡企业违反本办法第七条规定的，由违法行为发生地县级以上地方人民政府商务主管部门责令限期改正；逾期仍不改正的，处以1万元以上3万元以下罚款。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对发卡企业或售卡企业未按规定向购卡人公示或提供单用途卡章程、签订购卡协议的处罚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《单用途商业预付卡管理办法（试行）》第十四条 发卡企业或售卡企业应公示或向购卡人提供单用途卡章程，并应购卡人要求签订购卡协议。发卡企业或售卡企业应履行提示告知义务，确保购卡人知晓并认可单用途卡章程或协议内容。单用途卡章程和购卡协议应包括以下内容：（一）单用途卡的名称、种类和功能；（二）单用途卡购买、充值、使用、退卡方式，记名卡还应包括挂失、转让方式；（三）收费项目和标准；（四）当事人的权利、义务；（五）纠纷处理原则和违约责任；（六）相关法律法规规章和规范性文件规定的其他事项。第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对发卡企业或售卡企业未按规定留存购卡人及其代理人姓名或单位名称、有效身份证件号码和联系方式的处罚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《单用途商业预付卡管理办法（试行）》第十五条 个人或单位购买（含充值，下同）记名卡的，或一次性购买1万元（含）以上不记名卡的，发卡企业或售卡企业应要求购卡人及其代理人出示有效身份证件，并留存购卡人及其代理人姓名或单位名称、有效身份证件号码和联系方式。个人有效身份证件包括居民身份证、户口簿、军人身份证件、武警身份证件、港澳台居民通行证、护照等。单位有效身份证件包括营业执照、事业单位法人证书、税务登记证、组织机构代码证等。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对发卡企业和售卡企业未保存购卡人的登记信息5年以上的处罚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《单用途商业预付卡管理办法（试行）》第十六条 发卡企业和售卡企业应保存购卡人的登记信息5年以上。发卡企业和售卡企业应对购卡人及其代理人的身份信息和交易信息保密，除法律另有规定外，不得向第三方提供。三十七条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对发卡企业或售卡企业未按规定对转出、转入账户名称、账号、金额等进行逐笔登记的处罚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《单用途商业预付卡管理办法（试行）》第十七条 单位一次性购买单用途卡金额达5000元（含）以上或个人一次性购卡金额达5万元（含）以上的，以及单位或个人采用非现场方式购卡的，应通过银行转账，不得使用现金，发卡企业或售卡企业应对转出、转入账户名称、账号、金额等进行逐笔登记。发卡企业和售卡企业应严格按照国家有关规定开具发票。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对单张记名卡限额超过5000元、单张不记名卡限额超过1000元的处罚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《单用途商业预付卡管理办法（试行）》第十八条单张记名卡限额不得超过5000元，单张不记名卡限额不得超过1000元。单张单用途卡充值后资金余额不得超过前款规定的限额。三十七条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 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对记名卡设有效期；不记名卡有效期少于3年的处罚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《单用途商业预付卡管理办法（试行）》第十九条 记名卡不得设有效期；不记名卡有效期不得少于3年。发卡企业或售卡企业对超过有效期尚有资金余额的不记名卡应提供激活、换卡等配套服务。三十七条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对使用单用途卡购买商品后需要退货的，发卡企业或受理企业未按规定将资金退至原卡的处罚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《单用途商业预付卡管理办法（试行）》第二十条 使用单用途卡购买商品后需要退货的，发卡企业或受理企业应将资金退至原卡。原单用途卡不存在或退货后卡内资金余额超过单用途卡限额的，应退回至持卡人在同一发卡企业的同类单用途卡内。退货金额不足100元（含）的，可支付现金。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对发卡企业或售卡企业应未依单用途卡章程或协议约定提供退卡服务、留存退卡人相关信息的处罚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《单用途商业预付卡管理办法（试行）》第二十一条 发卡企业或售卡企业应依单用途卡章程或协议约定，提供退卡服务。办理退卡时，发卡企业或售卡企业应要求退卡人出示有效身份证件，并留存退卡人姓名、有效身份证件号码、退卡卡号、金额等信息。发卡企业或售卡企业应将资金退至与退卡人同名的银行账户内，并留存银行账户信息。卡内资金余额不足100元（含）的，可支付现金。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对发卡企业终止兑付未到期单用途卡的，发卡企业和售卡企业未按规定办理退卡业务的处罚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《单用途商业预付卡管理办法（试行）》第二十二条 发卡企业终止兑付未到期单用途卡的，发卡企业和售卡企业应向持卡人提供免费退卡服务，并在终止兑付日前至少30日在备案机关指定的媒体上进行公示。第三十七条同上。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对发卡企业未按规定对预收资金进行严格管理的处罚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《单用途商业预付卡管理办法（试行）》第二十四条 发卡企业应对预收资金进行严格管理。预收资金只能用于发卡企业主营业务，不得用于不动产、股权、证券等投资及借贷。三十七条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2"/>
                <w:szCs w:val="22"/>
                <w:u w:val="none"/>
              </w:rPr>
            </w:pPr>
            <w:r>
              <w:rPr>
                <w:rFonts w:ascii="仿宋_GB2312" w:eastAsia="仿宋_GB2312"/>
                <w:sz w:val="22"/>
                <w:szCs w:val="22"/>
              </w:rPr>
              <w:t>对主营业务为零售业、住宿和餐饮业的发卡企业预收资金余额超过规定要求的处罚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《单用途商业预付卡管理办法（试行）》第二十五条 主营业务为零售业、住宿和餐饮业的发卡企业，预收资金余额不得超过其上一会计年度主营业务收入的40%；主营业务为居民服务业的发卡企业的预收资金余额不得超过其上一会计年度主营业务收入；工商注册登记不足一年的发卡企业的预收资金余额不得超过其注册资本的2倍。集团发卡企业预收资金余额不得超过其上一会计年度本集团营业收入的30%。本办法所称预收资金是指发卡企业通过发行单用途卡所预收的资金总额，预收资金余额是指预收资金扣减已兑付商品或服务价款后的余额。三十七条 发卡企业或售卡企业违反本办法第十四条至第二十二条规定的，由违法行为发生地县级以上地方人民政府商务主管部门责令限期改正；逾期仍不改正的，处以1万元以上3万元以下罚款。发卡企业违反本办法第二十四条至第二十七条、第三十一条规定的，由备案机关责令限期改正；逾期仍不改正的，处以1万元以上3万元以下罚款。集团发卡企业、品牌发卡企业疏于管理，其隶属的售卡企业12个月内3次违反本办法规定受到行政处罚的，备案机关可以对集团发卡企业、品牌发卡企业处以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1.立案责任：发现发卡企业、售卡企业涉嫌违法，予以审查，决定是否立案。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对零售商滥用优势地位从事不公平交易行为的处罚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《零售商供应商公平交易管理办法》第六条 零售商不得滥用优势地位从事下列不公平交易行为：（一）与供应商签订特定商品的供货合同，双方就商品的特定规格、型号、款式等达成一致后，又拒绝接收该商品。但具有可归责于供应商的事由，或经供应商同意、零售商负责承担由此产生的损失的除外；（二）要求供应商承担事先未约定的商品损责任；（三）事先未约定或者不符合事先约定的商品下架或撤柜的条件，零售商无正当理由将供应商所供货物下架或撤柜的；但是零售商根据法律法规或行政机关依法作出的行政决定将供应商所供货物下架、撤柜的除外；（四）强迫供应商无条件销售返利，或者约定以一定销售额为销售返利前提，未完成约定销售额却向供应商收取返利的；（五）强迫供应商购买指定的商品或接受指定的服务。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对零售商从事妨碍公平竞争的行为的处罚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《零售商供应商公平交易管理办法》第七条 零售商不得从事下列妨碍公平竞争的行为：（一）对供应商直接向消费者、其他经营者销售商品的价格予以限制；（二）对供应商向其他零售商供货或提供销售服务予以限制。第二十三条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对零售商未按规定要求供应商派遣人员到零售商经营场所提供服务的处罚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《零售商供应商公平交易管理办法》第八条 零售商不得要求供应商派遣人员到零售商经营场所提供服务，下列情形除外：（一）经供应商同意，并且供应商派遣人员仅从事与该供应商所供商品有关的销售服务工作；（二）与供应商协商一致，就供应商派遣人员的工作内容、劳动时间、工作期限等条件达成一致，且派遣人员所需费用由零售商承担。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对零售商未按规定向供应商收取促销服务费的处罚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《零售商供应商公平交易管理办法》第十条 零售商向供应商收取促销服务费的，应当事先征得供应商的同意，订立合同，明确约定提供服务的项目、内容、期限；收费的项目、标准、数额、用途、方式及违约责任等内容。本办法所称促销服务费是指，依照合同约定，为促进供应商特定品牌或特定品种商品的销售，零售商以提供印制海报、开展促销活动、广告宣传等相应服务为条件，向供应商收取的费用。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对零售商收取促销服务费后，未按照合同约定向供应商提供相应的服务的处罚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《零售商供应商公平交易管理办法》第十一条 零售商收取促销服务费后，应当按照合同约定向供应商提供相应的服务，不得擅自中止服务或降低服务标准。零售商未完全提供相应服务的，应当向供应商返还未提供服务部分的费用。第二十三条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对零售商未将所收取的促销服务费登记入账、开具发票、按规定纳税的处罚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《零售商供应商公平交易管理办法》第十二条 零售商应当将所收取的促销服务费登记入账，向供应商开具发票，按规定纳税。第二十三条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对零售商未按规定收取或变相收取费用的处罚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《零售商供应商公平交易管理办法》第十三条 零售商不得收取或变相收取以下费用：（一）以签订或续签合同为由收取的费用；（二）要求已经按照国家有关规定取得商品条码并可在零售商经营场所内正常使用的供应商，购买店内码而收取的费用；（三）向使用店内码的供应商收取超过实际成本的条码费；（四）店铺改造、装修时，向供应商收取的未专门用于该供应商特定商品销售区域的装修、装饰费；（五）未提供促销服务，以节庆、店庆、新店开业、重新开业、企业上市、合并等为由收取的费用；（六）其他与销售商品没有直接关系、应当由零售商自身承担或未提供服务而收取的费用。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对零售商与供应商未按商品的属性在合同中明确约定货款支付的期限，或约定的支付期限最长超过收货后60天的处罚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《零售商供应商公平交易管理办法》第十四条 零售商与供应商应按商品的属性在合同中明确约定货款支付的期限，但约定的支付期限最长不超过收货后60天。第二十三条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对除合同另有约定或供应商没有提供必要单据外，零售商未及时与供应商对账的处罚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《零售商供应商公平交易管理办法》第十五条 除合同另有约定或供应商没有提供必要单据外，零售商应当及时与供应商对账。第二十三条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对零售商以代销方式销售商品的，零售商未供应商查询零售商尚未付款商品的销售情况提供便利条件或拒绝的处罚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《零售商供应商公平交易管理办法》第十六条 零售商以代销方式销售商品的，供应商有权查询零售商尚未付款商品的销售情况，零售商应当提供便利条件，不得拒绝。第二十三条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对零售商未按规定延迟支付供应商货款的处罚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《零售商供应商公平交易管理办法》第十七条 零售商不得以下列情形为由延迟支付供应商货款：（一）供应商的个别商品未能及时供货；（二）供应商的个别商品的退换货手续尚未办结；（三）供应商所供商品的销售额未达到零售商设定的数额；（四）供应商未与零售商续签供货合同；（五）零售商提出的其他违反公平原则的事由。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对供应商供货时，零售商从事妨碍公平竞争的行为的处罚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《零售商供应商公平交易管理办法》第十八条 供应商供货时，不得从事下列妨碍公平竞争的行为：（一）强行搭售零售商未订购的商品；（二）限制零售商销售其他供应商的商品。第二十三条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1.立案责任：发现零售商、供应商涉嫌违法，予以审查，决定是否立案。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对零售商开展促销活动未遵循合法、公平、诚实信用的原则的处罚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《零售商促销行为管理办法》第四条 零售商开展促销活动应当遵循合法、公平、诚实信用的原则，遵守商业道德，不得开展违反社会公德的促销活动，不得扰乱市场竞争秩序和社会公共秩序，不得侵害消费者和其他经营者的合法权益。第二十三条 零售商违反本办法规定，法律法规有规定的，从其规定；没有规定的，责令改正，有违法所得的，可处违法所得三倍以下罚款，但最高不超过三万元；没有违法所得的，可处一万元以下罚款；并可予以公告。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对零售商开展促销活动未具备相应的安全设备和管理措施的处罚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《零售商促销行为管理办法》第五条 零售商开展促销活动应当具备相应的安全设备和管理措施，确保消防安全通道的畅通。对开业、节庆、店庆等规模较大的促销活动，零售商应当制定安全应急预案，保证良好的购物秩序，防止因促销活动造成交通拥堵、秩序混乱、疾病传播、人身伤害和财产损失。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对零售商促销活动的广告和其他宣传，其内容未真实、合法、清晰、易懂的处罚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《零售商促销行为管理办法》第六条 零售商促销活动的广告和其他宣传，其内容应当真实、合法、清晰、易懂，不得使用含糊、易引起误解的语言、文字、图片或影像。不得以保留最终解释权为由，损害消费者的合法权益。第二十三条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对零售商开展促销活动未在经营场所的显著位置明示促销内容的处罚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七条零售商开展促销活动，应当在经营场所的显著位置明示促销内容，促销内容应当包括促销原因、促销方式、促销规则、促销期限、促销商品的范围，以及相关限制性条件等。对不参加促销活动的柜台或商品，应当明示，并不得宣称全场促销；明示例外商品、含有限制性条件、附加条件的促销规则时，其文字、图片应当醒目明确。零售商开展促销活动后在明示期限内不得变更促销内容，因不可抗力而导致的变更除外。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对零售商开展促销活动未建立健全、妥善保存内部价格管理档案的处罚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《零售商促销行为管理办法》第九条 零售商开展促销活动应当建立健全内部价格管理档案，如实、准确、完整记录促销活动前、促销活动中的价格资料，妥善保存并依法接受监督检查。第二十三条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对零售商开展有奖销售活动未展示奖品、赠品的处罚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《零售商促销行为管理办法》第十三条 零售商开展有奖销售活动，应当展示奖品、赠品，不得以虚构的奖品、赠品价值额或含糊的语言文字误导消费者。第二十三条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对零售商未按规定开展限时、限量促销活动的的处罚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《零售商促销行为管理办法》第十四条 零售商开展限时促销活动的，应当保证商品在促销时段内的充足供应。零售商开展限量促销活动的，应当明示促销商品的具体数量。连锁企业所属多家店铺同时开展限量促销活动的，应当明示各店铺促销商品的具体数量。限量促销的，促销商品售完后应即时明示。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对零售商开展积分优惠卡促销活动的未事先明示获得积分的方式、积分有效时间、可以获得的购物优惠等相关内容的处罚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《零售商促销行为管理办法》第十五条 零售商开展积分优惠卡促销活动的，应当事先明示获得积分的方式、积分有效时间、可以获得的购物优惠等相关内容。消费者办理积分优惠卡后，零售商不得变更已明示的前款事项；增加消费者权益的变更除外。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对零售商虚构清仓、拆迁、停业、歇业、转行等事由开展促销活动的处罚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《零售商促销行为管理办法》第十六条 零售商不得虚构清仓、拆迁、停业、歇业、转行等事由开展促销活动。第二十三条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单店营业面积在3000平方米以上的零售商，以新店开业、节庆、店庆等名义开展促销活动，未在促销活动结束后十五日内，将其明示的促销内容，向经营场所所在地的县级以上（含县级）商务主管部门备案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《零售商促销行为管理办法》第二十条 单店营业面积在3000平方米以上的零售商，以新店开业、节庆、店庆等名义开展促销活动，应当在促销活动结束后十五日内，将其明示的促销内容，向经营场所所在地的县级以上（含县级）商务主管部门备案。第二十三条 零售商或者供应商违反本办法规定的，法律法规有规定的，从其规定；没有规定的，责令改正；有违法所得的，可处违法所得三倍以下罚款，但最高不超过三万元；没有违法所得的，可处一万元以下罚款；并可向社会公告。</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1.立案责任：发现零售商涉嫌违法，予以审查，决定是否立案。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对未公开服务项目、收费标准和投诉监督电话的处罚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《家庭服务业管理暂行办法》第九条 家庭服务机构应在经营场所醒目位置悬挂有关证照，公开服务项目、收费标准和投诉监督电话。第三十二条 家庭服务机构违反本办法第九条规定，未公开服务项目、收费标准和投诉监督电话的，由商务主管部门责令改正；拒不改正的，可处5000元以下罚款。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对未按要求建立工作档案、跟踪管理制度，对消费者和家庭服务员之间的投诉不予妥善处理的处罚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《家庭服务业管理暂行办法》第十条 家庭服务机构须建立家庭服务员工作档案，接受并协调消费者和家庭服务员投诉，建立家庭服务员服务质量跟踪管理制度。第三十三条 家庭服务机构违反本办法第十条规定，未按要求建立工作档案、跟踪管理制度，对消费者和家庭服务员之间的投诉不予妥善处理的，由商务主管部门责令改正；拒不改正的，可处2万元以下罚款。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对家庭服务机构未按照县级以上商务主管部门要求及时准确地提供经营档案信息的;对家庭服务机构未按要求及时报送经营情况信息的处罚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《家庭服务业管理暂行办法》第十一条 家庭服务机构应按照县级以上商务主管部门要求及时准确地提供经营档案信息。第二十六条 商务部建立家庭服务业信息报送系统。家庭服务机构应按要求及时报送经营情况信息，具体报送内容由商务部另行规定。第三十四条 家庭服务机构违反本办法第十一条、第二十六条规定，未按要求提供信息的，由商务主管部门责令改正；拒不改正的，可处1万元以下罚款。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对家庭服务机构在家庭服务活动中存在规定禁止行为的处罚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《家庭服务业管理暂行办法》第十二条 家庭服务机构在家庭服务活动中不得有下列行为：（一）以低于成本价格或抬高价格等手段进行不正当竞争；（二）不按服务合同约定提供服务；（三）唆使家庭服务员哄抬价格或有意违约骗取服务费用；（四）发布虚假广告或隐瞒真实信息误导消费者；（五）利用家庭服务之便强行向消费者推销商品；（六）扣押、拖欠家庭服务员工资或收取高额管理费，以及其他损害家庭服务员合法权益的行为；（七）扣押家庭服务员身份、学历、资格证明等证件原件；（八）法律、法规禁止的其他行为。第三十五条 家庭服务机构有本办法第十二条规定行为的，由商务主管部门或有关主管部门责令改正；拒不改正的，属于商务主管部门职责的，可处3万元以下罚款，属于其他部门职责的，由商务主管部门提请有关主管部门处理。</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对从事家庭服务活动，家庭服务机构或家庭服务员未与消费者以书面形式签订家庭服务合同的处罚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《家庭服务业管理暂行办法》第十三条 从事家庭服务活动，家庭服务机构或家庭服务员应当与消费者以书面形式签订家庭服务合同。第三十六条 家庭服务机构违反本办法第十三条、第十四条、第十五条规定，未按要求订立家庭服务合同的，拒绝家庭服务员获取家庭服务合同的，由商务主管部门或有关部门责令改正；拒不改正的，可处3万元以下罚款。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对家庭服务合同未包括规定内容的处罚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《家庭服务业管理暂行办法》第十四条 家庭服务合同应至少包括以下内容：（一）家庭服务机构的名称、地址、负责人、联系方式和家庭服务员的姓名、身份证号码、健康状况、技能培训情况、联系方式等信息；消费者的姓名、身份证号码、住所、联系方式等信息。（二）服务地点、内容、方式和期限等。（三）服务费用及其支付形式。（四）各方权利与义务、违约责任与争议解决方式等。第三十六条 家庭服务机构违反本办法第十三条、第十四条、第十五条规定，未按要求订立家庭服务合同的，拒绝家庭服务员获取家庭服务合同的，由商务主管部门或有关部门责令改正；拒不改正的，可处3万元以下罚款。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对家庭服务机构未明确告知涉及家庭服务员利益的服务合同内容的处罚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《家庭服务业管理暂行办法》第十五条 家庭服务机构应当明确告知涉及家庭服务员利益的服务合同内容，应允许家庭服务员查阅、复印家庭服务合同，保护其合法权益。第三十六条 家庭服务机构违反本办法第十三条、第十四条、第十五条规定，未按要求订立家庭服务合同的，拒绝家庭服务员获取家庭服务合同的，由商务主管部门或有关部门责令改正；拒不改正的，可处3万元以下罚款。</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1.立案责任：发现家庭服务机构涉嫌违法，予以审查，决定是否立案。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对家电维修从业人员不具备从事相应维修活动的职业、技术资质的处罚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《家电维修服务业管理办法》第四条 家电维修经营者及从业人员应当遵守国家有关法律、法规和标准。家电维修从业人员应当具备从事相应维修活动的职业、技术资质。从事高处作业、焊接与热切割作业、制冷与空调作业、电工作业、危险化学品安全作业等特种作业的人员，应具备国家规定的特种作业资格，执证上岗。涉及特种作业的家电维修经营者，其负责人和安全管理人员，须进行相关安全责任培训。家电维修经营者应当配备相应质量合格的作业设备和劳动保护用具。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对家电维修经营者未在经营场所显著位置悬挂营业执照、明示服务项目、授权证明的处罚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《家电维修服务业管理办法》第五条 家电维修经营者应在经营场所显著位置悬挂营业执照，明示服务项目和家电配件的收费标准、质量规范、质保期限以及投诉电话。家电维修经营者从事特约维修，须取得商标权人授权，并在经营场所显著位置明示有效期内的授权证明。获得授权的家电维修经营者应在其被授权范围内提供维修服务。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对家电维修经营者未向消费者出示上岗工作人员配制职业资质标识的处罚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《家电维修服务业管理办法》第六条 家电维修经营者应通过企业互联网站、电话等形式向消费者提供本企业维修服务人员身份资质查验，应为上岗工作人员配制职业资质标识，要求在岗工作时佩戴或向消费者出示。第十四条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对家电维修经营者在提供维修服务前未向消费者明确告知维修方案及需注意和配合的事项的；家电维修经营者在提供维修服务时未向消费者提供维修服务凭证和收费发票的处罚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《家电维修服务业管理办法》第七条 家电维修经营者在提供维修服务前应当向消费者明确告知维修方案及需注意和配合的事项，尊重消费者选择。家电维修经营者在提供维修服务时应当向消费者提供维修服务凭证和收费发票。维修服务凭证应如实填写维修服务项目、维修详细情况、维修服务质量责任及注意事项等内容。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对家电维修经营者在维修服务中获得的机关、企（事）业单位及个人信息用于与维修活动无关的领域的处罚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《家电维修服务业管理办法》第八条 家电维修经营者在维修服务中获得的机关、企（事）业单位及个人信息不得用于与维修活动无关的领域，对于知悉的商业秘密、个人隐私负有保密义务。第十四条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对家电维修经营者和从业人员存在规定禁止行为的处罚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《家电维修服务业管理办法》第九条 家电维修经营者和从业人员应恪守职业道德，不得有下列行为：（一）虚列、夸大、伪造维修服务项目或内容；（二）隐瞒、掩饰因维修服务导致用户产品损毁的事实；（三）虚报故障部件，故意替换性能正常的部件；（四）冒用家电生产者商标或特约维修标识。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6.擅自改变行政处罚种类、幅度的；7.违反法定的行政处罚程序的；8.符合听证条件、行政管理相对人要求听证，应予组织听证而不组织听证的；9.在行政处罚过程中发生腐败行为的；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对家电维修经营者在维修服务中发现同一品牌、类型或批次的家电存在安全、质量问题的未向所在地县级商务主管部门报告的处罚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《家电维修服务业管理办法》第十条 家电维修经营者在维修服务中发现同一品牌、类型或批次的家电存在安全、质量问题的，应及时通报生产者、销售者，并向所在地县级商务主管部门报告。第十四条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numPr>
                <w:ilvl w:val="0"/>
                <w:numId w:val="1"/>
              </w:numPr>
              <w:kinsoku/>
              <w:wordWrap/>
              <w:overflowPunct/>
              <w:topLinePunct w:val="0"/>
              <w:autoSpaceDE/>
              <w:autoSpaceDN/>
              <w:bidi w:val="0"/>
              <w:adjustRightInd/>
              <w:snapToGrid/>
              <w:spacing w:before="0" w:after="0" w:line="240" w:lineRule="atLeast"/>
              <w:ind w:left="425" w:right="0" w:hanging="425"/>
              <w:jc w:val="center"/>
              <w:outlineLvl w:val="9"/>
              <w:rPr>
                <w:rFonts w:ascii="仿宋_GB2312" w:eastAsia="仿宋_GB2312" w:cs="仿宋_GB2312" w:hAnsi="仿宋_GB2312" w:hint="eastAsia"/>
                <w:i w:val="0"/>
                <w:sz w:val="20"/>
                <w:szCs w:val="20"/>
                <w:u w:val="none"/>
              </w:rPr>
            </w:pP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行政处罚</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对家电维修经营者在维修服务中使用和销售的配件和耗材使用和销售假冒伪劣产品的处罚</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《家电维修服务业管理办法》第十一条 家电维修经营者在维修服务中使用和销售的配件和耗材，其质量、规格应符合国家有关产品质量安全规定和标准，不得使用和销售假冒伪劣产品。第十四条 各级商务主管部门对于违反本办法的家电维修经营者可以予以警告，责令限期改正；拒不改正的，可以向社会公告；违反本办法第九条规定，情节严重的，可处3万元以下罚款；对依据有关法律、法规应予以处罚的，各级商务主管部门应提请有关部门依法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1.立案责任：发现家电维修经营者涉嫌违法，予以审查，决定是否立案。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调查责任：商务主管部门对立案的案件，指定专人负责，及时组织调查取证，与当事人有直接利害关系的应当回避。执法人员不得少于两人，调查时应出示执法证件，允许当事人辩解陈述。执法人员应保守有关秘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3.审查责任：审理案件调查报告，对案件违法事实、证据、调查取证程序、法律适用、处罚种类和幅度、当事人陈述和申辩理由等方面进行审查，提出处理意见。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4.告知责任：作出行政处罚决定前，应制作《行政处罚告知书》送达当事人，告知违法事实及其享有的陈述、申辩等权利。符合听证规定的，制作并送达《行政处罚听证告知书》。</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5.决定责任：制作行政处罚决定书，载明行政处罚告知、当事人陈述申辩或者听证情况等内容。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6.送达责任：行政处罚决定书按法律规定的方式送达当事人。</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7.执行责任：依照生效的行政处罚决定，依法依程序执行。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8.其他法律法规规章文件规定应履行的责任。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1.没有法律和事实依据实施行政处罚的；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2.行政处罚显失公正的；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3.执法人员玩忽职守，对应予以制止和处罚的违法行为不予制止、处罚，致使当事人的合法权益遭受损害的；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4.不具备行政执法资格实施行政处罚的；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5.应当依法移送追究刑事责任，而未依法移送有权机关的；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6.擅自改变行政处罚种类、幅度的；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7.违反法定的行政处罚程序的；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8.符合听证条件、行政管理相对人要求听证，应予组织听证而不组织听证的；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9.在行政处罚过程中发生腐败行为的；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10.其他违反法律法规规章文件规定的行为。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对用能单位实施节能监察</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1.《中华人民共和国节约能源法》第十条 县级以上地方各级人民政府管理节能工作的部门负责本行政区域内的节能监督管理工作。县级以上地方各级人民政府有关部门在各自的职责范围内负责节能监督管理工作，并接受同级管理节能工作的部门的指导。</w:t>
              <w:br/>
              <w:t>2.《河北省节约能源条例》第十一条　县级以上人民政府节能主管部门和有关部门应当加强对节能工作的监督管理，依法查处违法违规用能行为。节能监察机构对能源生产、经营、使用单位和其他相关单位执行节能法律、法规、规章和强制性节能标准等情况进行监督检查。被监察单位应当予以配合，不得拒绝监察。</w:t>
              <w:br/>
              <w:t>3.《国家节能监察办法》第三条　国家发展和改革委员会负责全国节能监察工作的统筹协调和指导。县级以上地方人民政府管理节能工作的部门负责本行政区域内节能监察工作的统筹协调和指导。</w:t>
              <w:br/>
              <w:t>4.《河北省节能监察办法》第二条 在本省行政区域内从事节能监察及其相关活动，应当遵守本办法。法律、法规另有规定的，从其规定。本办法所称节能监察，是指节能主管部门对能源生产、经营、使用单位和其他有关单位（以下统称被监察单位）执行节能法律、法规、规章和强制性节能标准的情况进行监督检查，督促其加强节能管理和提高能源资源利用效率，并对其违法用能行为依法予以制止和处理的活动。</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1.监督检查被监察单位执行节能法律、法规、规章和强制性节能标准的情况，督促被监察单位依法用能、合理用能，依法处理违法违规行为。</w:t>
              <w:br/>
              <w:t>2.受理对违法违规用能行为的举报和投诉，办理其他行政执法单位依法移送或者政府有关部门交办的违法违规用能案件。</w:t>
              <w:br/>
              <w:t>3.协助政府管理节能工作的部门和有关部门开展其他节能监督管理工作。</w:t>
              <w:br/>
              <w:t>4.节能法律、法规、规章和规范性文件规定的其他工作。</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1.泄露被监察单位的技术秘密和商业秘密的；</w:t>
              <w:br/>
              <w:t>2.利用职务之便非法谋取利益的；</w:t>
              <w:br/>
              <w:t>3.实施节能监察时向被监察单位收费或者变相收费的；</w:t>
              <w:br/>
              <w:t>4.有其他违法违规行为并造成较为严重后果的。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i w:val="0"/>
                <w:iCs w:val="0"/>
                <w:kern w:val="0"/>
                <w:sz w:val="20"/>
                <w:szCs w:val="20"/>
                <w:u w:val="none"/>
                <w:lang w:val="en-US" w:eastAsia="zh-CN"/>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水泥、预拌混凝土和预拌砂浆生产单位监督检查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ind w:firstLineChars="200" w:firstLine="360"/>
              <w:rPr>
                <w:rFonts w:ascii="黑体" w:eastAsia="黑体" w:cs="仿宋_GB2312" w:hint="eastAsia"/>
                <w:kern w:val="0"/>
                <w:sz w:val="18"/>
                <w:szCs w:val="18"/>
              </w:rPr>
            </w:pPr>
            <w:r>
              <w:rPr>
                <w:rFonts w:ascii="仿宋_GB2312" w:eastAsia="仿宋_GB2312" w:cs="仿宋_GB2312"/>
                <w:i w:val="0"/>
                <w:iCs w:val="0"/>
                <w:kern w:val="0"/>
                <w:sz w:val="18"/>
                <w:szCs w:val="18"/>
                <w:u w:val="none"/>
                <w:lang w:val="en-US" w:eastAsia="zh-CN"/>
              </w:rPr>
              <w:t>《河北省散装水泥管理条例》第九条</w:t>
            </w:r>
          </w:p>
          <w:p>
            <w:pPr>
              <w:spacing w:line="240" w:lineRule="exact"/>
              <w:ind w:left="0" w:firstLineChars="200" w:firstLine="360"/>
              <w:rPr>
                <w:rFonts w:ascii="仿宋_GB2312" w:eastAsia="仿宋_GB2312" w:cs="仿宋_GB2312" w:hint="eastAsia"/>
                <w:i w:val="0"/>
                <w:iCs w:val="0"/>
                <w:kern w:val="0"/>
                <w:sz w:val="18"/>
                <w:szCs w:val="18"/>
                <w:u w:val="none"/>
                <w:lang w:val="en-US" w:eastAsia="zh-CN"/>
              </w:rPr>
            </w:pPr>
            <w:r>
              <w:rPr>
                <w:rFonts w:ascii="仿宋_GB2312" w:eastAsia="仿宋_GB2312" w:cs="仿宋_GB2312" w:hint="eastAsia"/>
                <w:i w:val="0"/>
                <w:iCs w:val="0"/>
                <w:kern w:val="0"/>
                <w:sz w:val="18"/>
                <w:szCs w:val="18"/>
                <w:u w:val="none"/>
                <w:lang w:val="en-US" w:eastAsia="zh-CN"/>
              </w:rPr>
              <w:t>1、监督检查被监察单位执行</w:t>
            </w:r>
            <w:r>
              <w:rPr>
                <w:rFonts w:ascii="仿宋_GB2312" w:eastAsia="仿宋_GB2312" w:cs="仿宋_GB2312"/>
                <w:i w:val="0"/>
                <w:iCs w:val="0"/>
                <w:kern w:val="0"/>
                <w:sz w:val="18"/>
                <w:szCs w:val="18"/>
                <w:u w:val="none"/>
                <w:lang w:val="en-US" w:eastAsia="zh-CN"/>
              </w:rPr>
              <w:t>散装水泥</w:t>
            </w:r>
            <w:r>
              <w:rPr>
                <w:rFonts w:ascii="仿宋_GB2312" w:eastAsia="仿宋_GB2312" w:cs="仿宋_GB2312" w:hint="eastAsia"/>
                <w:i w:val="0"/>
                <w:iCs w:val="0"/>
                <w:kern w:val="0"/>
                <w:sz w:val="18"/>
                <w:szCs w:val="18"/>
                <w:u w:val="none"/>
                <w:lang w:val="en-US" w:eastAsia="zh-CN"/>
              </w:rPr>
              <w:t>法律、法规、规章和强制性节能标准的情况，督促被监察单位依法用能、合理用能，依法处理违法违规行为。</w:t>
              <w:br/>
              <w:t xml:space="preserve">    2、受理对违法违规的举报和投诉，办理其他行政执法单位依法移送或者政府有关部门交办的违法违规用能案件。</w:t>
              <w:br/>
              <w:t xml:space="preserve">    </w:t>
            </w:r>
            <w:r>
              <w:rPr>
                <w:rFonts w:ascii="仿宋_GB2312" w:eastAsia="仿宋_GB2312" w:cs="仿宋_GB2312"/>
                <w:i w:val="0"/>
                <w:iCs w:val="0"/>
                <w:kern w:val="0"/>
                <w:sz w:val="18"/>
                <w:szCs w:val="18"/>
                <w:u w:val="none"/>
                <w:lang w:val="en-US" w:eastAsia="zh-CN"/>
              </w:rPr>
              <w:t>3</w:t>
            </w:r>
            <w:r>
              <w:rPr>
                <w:rFonts w:ascii="仿宋_GB2312" w:eastAsia="仿宋_GB2312" w:cs="仿宋_GB2312" w:hint="eastAsia"/>
                <w:i w:val="0"/>
                <w:iCs w:val="0"/>
                <w:kern w:val="0"/>
                <w:sz w:val="18"/>
                <w:szCs w:val="18"/>
                <w:u w:val="none"/>
                <w:lang w:val="en-US" w:eastAsia="zh-CN"/>
              </w:rPr>
              <w:t>.</w:t>
            </w:r>
            <w:r>
              <w:rPr>
                <w:rFonts w:ascii="仿宋_GB2312" w:eastAsia="仿宋_GB2312" w:cs="仿宋_GB2312"/>
                <w:i w:val="0"/>
                <w:iCs w:val="0"/>
                <w:kern w:val="0"/>
                <w:sz w:val="18"/>
                <w:szCs w:val="18"/>
                <w:u w:val="none"/>
                <w:lang w:val="en-US" w:eastAsia="zh-CN"/>
              </w:rPr>
              <w:t>散装水泥</w:t>
            </w:r>
            <w:r>
              <w:rPr>
                <w:rFonts w:ascii="仿宋_GB2312" w:eastAsia="仿宋_GB2312" w:cs="仿宋_GB2312" w:hint="eastAsia"/>
                <w:i w:val="0"/>
                <w:iCs w:val="0"/>
                <w:kern w:val="0"/>
                <w:sz w:val="18"/>
                <w:szCs w:val="18"/>
                <w:u w:val="none"/>
                <w:lang w:val="en-US" w:eastAsia="zh-CN"/>
              </w:rPr>
              <w:t>法律、法规、规章和规范性文件规定的其他工作。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ascii="仿宋_GB2312" w:eastAsia="仿宋_GB2312" w:cs="仿宋_GB2312" w:hAnsi="仿宋_GB2312" w:hint="eastAsia"/>
                <w:i w:val="0"/>
                <w:iCs w:val="0"/>
                <w:kern w:val="0"/>
                <w:sz w:val="20"/>
                <w:szCs w:val="20"/>
                <w:u w:val="none"/>
                <w:lang w:val="en-US" w:eastAsia="zh-CN"/>
                <w:highlight w:val="auto"/>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1.监督检查被监察单位执行</w:t>
            </w:r>
            <w:r>
              <w:rPr>
                <w:rFonts w:ascii="仿宋_GB2312" w:eastAsia="仿宋_GB2312" w:cs="仿宋_GB2312"/>
                <w:i w:val="0"/>
                <w:iCs w:val="0"/>
                <w:kern w:val="0"/>
                <w:sz w:val="20"/>
                <w:szCs w:val="20"/>
                <w:u w:val="none"/>
                <w:lang w:val="en-US" w:eastAsia="zh-CN"/>
                <w:highlight w:val="auto"/>
              </w:rPr>
              <w:t>散装水泥</w:t>
            </w:r>
            <w:r>
              <w:rPr>
                <w:rFonts w:ascii="仿宋_GB2312" w:eastAsia="仿宋_GB2312" w:cs="仿宋_GB2312" w:hint="eastAsia"/>
                <w:i w:val="0"/>
                <w:iCs w:val="0"/>
                <w:kern w:val="0"/>
                <w:sz w:val="20"/>
                <w:szCs w:val="20"/>
                <w:u w:val="none"/>
                <w:lang w:val="en-US" w:eastAsia="zh-CN"/>
                <w:highlight w:val="auto"/>
              </w:rPr>
              <w:t>法律、法规、规章和强制性节能标准的情况，督促被监察单位依法用能、合理用能，依法处理违法违规行为。</w:t>
              <w:br/>
              <w:t>2.受理对违法违规的举报和投诉，办理其他行政执法单位依法移送或者政府有关部门交办的违法违规用能案件。</w:t>
              <w:br/>
            </w:r>
            <w:r>
              <w:rPr>
                <w:rFonts w:ascii="仿宋_GB2312" w:eastAsia="仿宋_GB2312" w:cs="仿宋_GB2312"/>
                <w:i w:val="0"/>
                <w:iCs w:val="0"/>
                <w:kern w:val="0"/>
                <w:sz w:val="20"/>
                <w:szCs w:val="20"/>
                <w:u w:val="none"/>
                <w:lang w:val="en-US" w:eastAsia="zh-CN"/>
                <w:highlight w:val="auto"/>
              </w:rPr>
              <w:t>3</w:t>
            </w:r>
            <w:r>
              <w:rPr>
                <w:rFonts w:ascii="仿宋_GB2312" w:eastAsia="仿宋_GB2312" w:cs="仿宋_GB2312" w:hint="eastAsia"/>
                <w:i w:val="0"/>
                <w:iCs w:val="0"/>
                <w:kern w:val="0"/>
                <w:sz w:val="20"/>
                <w:szCs w:val="20"/>
                <w:u w:val="none"/>
                <w:lang w:val="en-US" w:eastAsia="zh-CN"/>
                <w:highlight w:val="auto"/>
              </w:rPr>
              <w:t>.</w:t>
            </w:r>
            <w:r>
              <w:rPr>
                <w:rFonts w:ascii="仿宋_GB2312" w:eastAsia="仿宋_GB2312" w:cs="仿宋_GB2312"/>
                <w:i w:val="0"/>
                <w:iCs w:val="0"/>
                <w:kern w:val="0"/>
                <w:sz w:val="20"/>
                <w:szCs w:val="20"/>
                <w:u w:val="none"/>
                <w:lang w:val="en-US" w:eastAsia="zh-CN"/>
                <w:highlight w:val="auto"/>
              </w:rPr>
              <w:t>散装水泥</w:t>
            </w:r>
            <w:r>
              <w:rPr>
                <w:rFonts w:ascii="仿宋_GB2312" w:eastAsia="仿宋_GB2312" w:cs="仿宋_GB2312" w:hint="eastAsia"/>
                <w:i w:val="0"/>
                <w:iCs w:val="0"/>
                <w:kern w:val="0"/>
                <w:sz w:val="20"/>
                <w:szCs w:val="20"/>
                <w:u w:val="none"/>
                <w:lang w:val="en-US" w:eastAsia="zh-CN"/>
                <w:highlight w:val="auto"/>
              </w:rPr>
              <w:t>法律、法规、规章和规范性文件规定的其他工作。</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1.泄露被监察单位的技术秘密和商业秘密的；</w:t>
              <w:br/>
              <w:t>2.利用职务之便非法谋取利益的；</w:t>
              <w:br/>
            </w:r>
            <w:r>
              <w:rPr>
                <w:rFonts w:ascii="仿宋_GB2312" w:eastAsia="仿宋_GB2312" w:cs="仿宋_GB2312"/>
                <w:i w:val="0"/>
                <w:iCs w:val="0"/>
                <w:kern w:val="0"/>
                <w:sz w:val="20"/>
                <w:szCs w:val="20"/>
                <w:u w:val="none"/>
                <w:lang w:val="en-US" w:eastAsia="zh-CN"/>
                <w:highlight w:val="auto"/>
              </w:rPr>
              <w:t>3</w:t>
            </w:r>
            <w:r>
              <w:rPr>
                <w:rFonts w:ascii="仿宋_GB2312" w:eastAsia="仿宋_GB2312" w:cs="仿宋_GB2312" w:hint="eastAsia"/>
                <w:i w:val="0"/>
                <w:iCs w:val="0"/>
                <w:kern w:val="0"/>
                <w:sz w:val="20"/>
                <w:szCs w:val="20"/>
                <w:u w:val="none"/>
                <w:lang w:val="en-US" w:eastAsia="zh-CN"/>
                <w:highlight w:val="auto"/>
              </w:rPr>
              <w:t>.有其他违法违规行为并造成较为严重后果的。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对电力供应与使用监督检查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rPr>
                <w:rFonts w:ascii="仿宋_GB2312" w:eastAsia="仿宋_GB2312" w:cs="仿宋_GB2312" w:hint="eastAsia"/>
                <w:kern w:val="0"/>
                <w:sz w:val="18"/>
                <w:szCs w:val="18"/>
                <w:lang w:val="en-US" w:eastAsia="zh-CN"/>
              </w:rPr>
            </w:pPr>
            <w:r>
              <w:rPr>
                <w:rFonts w:ascii="仿宋_GB2312" w:eastAsia="仿宋_GB2312" w:cs="仿宋_GB2312" w:hint="eastAsia"/>
                <w:kern w:val="0"/>
                <w:sz w:val="18"/>
                <w:szCs w:val="18"/>
                <w:lang w:val="en-US" w:eastAsia="zh-CN"/>
              </w:rPr>
              <w:t>《电力供应与使用条例》第三条</w:t>
            </w:r>
          </w:p>
          <w:p>
            <w:pPr>
              <w:spacing w:line="240" w:lineRule="exact"/>
              <w:rPr>
                <w:rFonts w:ascii="仿宋_GB2312" w:eastAsia="仿宋_GB2312" w:cs="仿宋_GB2312" w:hint="eastAsia"/>
                <w:kern w:val="0"/>
                <w:sz w:val="18"/>
                <w:szCs w:val="18"/>
                <w:lang w:val="en-US" w:eastAsia="zh-CN"/>
              </w:rPr>
            </w:pPr>
            <w:r>
              <w:rPr>
                <w:rFonts w:ascii="仿宋_GB2312" w:eastAsia="仿宋_GB2312" w:cs="仿宋_GB2312"/>
                <w:kern w:val="0"/>
                <w:sz w:val="18"/>
                <w:szCs w:val="18"/>
                <w:lang w:val="en-US" w:eastAsia="zh-CN"/>
              </w:rPr>
              <w:t>　国务院电力管理部门负责全国电力供应与使用的监督管理工作。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ascii="仿宋_GB2312" w:eastAsia="仿宋_GB2312" w:cs="仿宋_GB2312" w:hAnsi="仿宋_GB2312" w:hint="eastAsia"/>
                <w:i w:val="0"/>
                <w:iCs w:val="0"/>
                <w:sz w:val="20"/>
                <w:szCs w:val="20"/>
                <w:u w:val="none"/>
              </w:rPr>
            </w:pPr>
            <w:r>
              <w:rPr>
                <w:rFonts w:ascii="仿宋_GB2312" w:eastAsia="仿宋_GB2312" w:cs="仿宋_GB2312"/>
                <w:kern w:val="0"/>
                <w:sz w:val="18"/>
                <w:szCs w:val="18"/>
                <w:lang w:val="en-US" w:eastAsia="zh-CN"/>
              </w:rPr>
              <w:t>县级以上地方人民政府电力管理部门负责本行政区域内电力供应与使用的监督管理工作。</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1.检查责任：对电力供应与使用情况组织监督检查。</w:t>
              <w:br/>
              <w:t>2.处置责任：对监督检查发现的问题，责令其限期整改、依法实施处罚。</w:t>
              <w:br/>
              <w:t>3.移送责任：及时予以公告，对构成违法犯罪的移交司法机关。</w:t>
              <w:br/>
              <w:t>4.其他责任：法律法规规章规定应履行的责任。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1.不对电力供应与使用情况进行监督检查的；</w:t>
              <w:br/>
              <w:t>2.对检查中发现的问题不责令限期整改、依法实施处罚的；</w:t>
              <w:br/>
              <w:t>3.对构成违法犯罪的不移交司法机关的；</w:t>
              <w:br/>
              <w:t>4.其他法律法规规章文件规定的行为。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kern w:val="0"/>
                <w:sz w:val="20"/>
                <w:szCs w:val="20"/>
              </w:rPr>
              <w:t>中</w:t>
            </w:r>
            <w:r>
              <w:rPr>
                <w:rFonts w:ascii="仿宋_GB2312" w:eastAsia="仿宋_GB2312" w:cs="仿宋_GB2312" w:hAnsi="仿宋_GB2312" w:hint="eastAsia"/>
                <w:kern w:val="0"/>
                <w:sz w:val="18"/>
                <w:szCs w:val="18"/>
              </w:rPr>
              <w:t>央预算内投资补助和贴息资金项目实施情况监督检查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《中央预算内投资补助和贴息项目管理办法》（国家发展改革委令2016年第45号）第二十三条 各级发展改革部门应当会同有关部门，依据职责分工，利用在线平台，对使用投资补助和贴息资金的项目加强监管，防止转移、侵占或者挪用投资补助和贴息资金，保证政府投资资金的合理使用和项目顺利建设实施。</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1.检查责任：对中央预算内投资补助和贴息资金项目实施情况组织监督检查。</w:t>
              <w:br/>
              <w:t>2.处置责任：对打捆和切块下达投资计划的项目存在转移、侵占或者挪用投资补助和贴息资金的，责令其限期整改；拒不整改或者整改后仍不符合要求的，核减、收回或者停止拨付投资补助和贴息资金，暂停其申报中央投资补助和贴息项目，将相关信息纳入全国信用信息共享平台和在 信用中国网站公开，并可以根据情节轻重提请或者和移交有关机关依法追究有关责任人的行政或者法律现任。</w:t>
              <w:br/>
              <w:t>3.移送责任：对构成违法犯罪的移交司法机关。</w:t>
              <w:br/>
              <w:t>4.其他责任：法律法规规章等规定应履行的责任。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1.不对本辖区内中央预算内投资补助和贴息资金项目实施情况进行监督检查的；</w:t>
              <w:br/>
              <w:t>2.对检查中发现的问题不责令限期整改、依法实施处罚的；</w:t>
              <w:br/>
              <w:t>3.对构成犯罪的不移交司法机关的；</w:t>
              <w:br/>
              <w:t>4.其他违反法律法规规章文件规定的行为。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i w:val="0"/>
                <w:iCs w:val="0"/>
                <w:kern w:val="0"/>
                <w:sz w:val="20"/>
                <w:szCs w:val="20"/>
                <w:u w:val="none"/>
                <w:lang w:val="en-US" w:eastAsia="zh-CN"/>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石油天然气管道企业履行管道保护义务情况的监督检查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kern w:val="0"/>
                <w:sz w:val="18"/>
                <w:szCs w:val="18"/>
                <w:lang w:val="en-US" w:eastAsia="zh-CN"/>
              </w:rPr>
              <w:t>《中华人民共和国石油天然气管道保护法》第五十条 管道企业有下列行为之一的，由县级以上地方人民政府主管管道保护的部门责令限期改正；逾期不改正的，处二万以上十万以下的罚款；对直接负责的主管人员和其他责任人员给予处分：1.未依照本法规定对管道进行巡护、检测和维修的；</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i w:val="0"/>
                <w:iCs w:val="0"/>
                <w:kern w:val="0"/>
                <w:sz w:val="20"/>
                <w:szCs w:val="20"/>
                <w:u w:val="none"/>
                <w:lang w:val="en-US"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一般程序：</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1.发现或接到举报有依法应当给予行政处罚行为，以及有关部门移送的案件，予以审查，决定是否立案；</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2.对立案的案件，组织调查取证（必要时，依法进行检查）；</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3.调查时执法人员不得少于两人，执法时应出示执法身份证件，允许当事人辩解陈述，执法人员与当事人有直接利害关系的应当回避；</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4.对违法事实、证据、调查取证程序、法律适用、处罚种类和幅度、当事人陈述和申辩理由等方面进行审查，提出处理意见；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5.作出行政处罚决定之前，应告知当事人处罚的事实、理由和依据及其依法享有的陈述、申辩等权利。符合听证规定的，行政机关应当组织听证;</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6.制作编有号码的行政处罚决定书，并按法律规定的方式送达当事人；</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7.责令当事人改正或限期改正违法行为，当事人逾期不履行行政处罚决定的，依法采取措施或申请人民法院强制执行；</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ascii="仿宋_GB2312" w:eastAsia="仿宋_GB2312" w:cs="仿宋_GB2312" w:hint="eastAsia"/>
                <w:kern w:val="0"/>
                <w:sz w:val="20"/>
                <w:szCs w:val="20"/>
                <w:highlight w:val="auto"/>
              </w:rPr>
            </w:pPr>
            <w:r>
              <w:rPr>
                <w:rFonts w:ascii="仿宋_GB2312" w:eastAsia="仿宋_GB2312" w:cs="仿宋_GB2312" w:hint="eastAsia"/>
                <w:kern w:val="0"/>
                <w:sz w:val="20"/>
                <w:szCs w:val="20"/>
                <w:highlight w:val="auto"/>
              </w:rPr>
              <w:t>8.监督实施情况。</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因不履行或不正确履行行政职责，有下列情形的行政机关及相关工作人员应承担相应的责任：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1.对符合法定条件的项目申请不予受理。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2.对不符合法定条件的项目准予行政许可或者超越法定权限作出准予许可决定的。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3.对符合法定条件的项目不予行政许可或者不在法定期限内作出准予许可行政决定的。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int="eastAsia"/>
                <w:i w:val="0"/>
                <w:iCs w:val="0"/>
                <w:kern w:val="0"/>
                <w:sz w:val="20"/>
                <w:szCs w:val="20"/>
                <w:u w:val="none"/>
                <w:lang w:val="en-US" w:eastAsia="zh-CN"/>
                <w:highlight w:val="auto"/>
              </w:rPr>
            </w:pPr>
            <w:r>
              <w:rPr>
                <w:rFonts w:ascii="仿宋_GB2312" w:eastAsia="仿宋_GB2312" w:cs="仿宋_GB2312" w:hint="eastAsia"/>
                <w:i w:val="0"/>
                <w:iCs w:val="0"/>
                <w:kern w:val="0"/>
                <w:sz w:val="20"/>
                <w:szCs w:val="20"/>
                <w:u w:val="none"/>
                <w:lang w:val="en-US" w:eastAsia="zh-CN"/>
                <w:highlight w:val="auto"/>
              </w:rPr>
              <w:t>4.违反法定程序实施行政许可的。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Calibri" w:hint="eastAsia"/>
                <w:i w:val="0"/>
                <w:iCs w:val="0"/>
                <w:kern w:val="0"/>
                <w:sz w:val="20"/>
                <w:szCs w:val="20"/>
                <w:u w:val="none"/>
                <w:lang w:val="en-US" w:eastAsia="zh-CN" w:bidi="ar-SA"/>
                <w:highlight w:val="auto"/>
              </w:rPr>
            </w:pPr>
            <w:r>
              <w:rPr>
                <w:rFonts w:ascii="仿宋_GB2312" w:eastAsia="仿宋_GB2312" w:cs="仿宋_GB2312" w:hint="eastAsia"/>
                <w:i w:val="0"/>
                <w:iCs w:val="0"/>
                <w:kern w:val="0"/>
                <w:sz w:val="20"/>
                <w:szCs w:val="20"/>
                <w:u w:val="none"/>
                <w:lang w:val="en-US" w:eastAsia="zh-CN"/>
                <w:highlight w:val="auto"/>
              </w:rPr>
              <w:t>5.索取或者收受他人财物或者谋取其他利益的。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对粮食库存的行政检查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6"/>
                <w:szCs w:val="16"/>
                <w:u w:val="none"/>
                <w:lang w:val="en-US" w:eastAsia="zh-CN"/>
              </w:rPr>
            </w:pPr>
            <w:r>
              <w:rPr>
                <w:rFonts w:ascii="仿宋_GB2312" w:eastAsia="仿宋_GB2312" w:cs="仿宋_GB2312" w:hAnsi="仿宋_GB2312" w:hint="eastAsia"/>
                <w:i w:val="0"/>
                <w:iCs w:val="0"/>
                <w:kern w:val="0"/>
                <w:sz w:val="16"/>
                <w:szCs w:val="16"/>
                <w:u w:val="none"/>
                <w:lang w:val="en-US" w:eastAsia="zh-CN"/>
              </w:rPr>
              <w:t>《粮食流通管理条例》（2021年国务院令第740号）第三十八条 粮食和储备行政管理部门依照本条例对粮食经营者从事粮食收购、储存、运输活动和政策性粮食的购销活动，以及执行国家粮食流通统计制度的情况进行监督检查......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6"/>
                <w:szCs w:val="16"/>
                <w:u w:val="none"/>
                <w:lang w:val="en-US" w:eastAsia="zh-CN"/>
              </w:rPr>
            </w:pPr>
            <w:r>
              <w:rPr>
                <w:rFonts w:ascii="仿宋_GB2312" w:eastAsia="仿宋_GB2312" w:cs="仿宋_GB2312" w:hAnsi="仿宋_GB2312" w:hint="eastAsia"/>
                <w:i w:val="0"/>
                <w:iCs w:val="0"/>
                <w:kern w:val="0"/>
                <w:sz w:val="16"/>
                <w:szCs w:val="16"/>
                <w:u w:val="none"/>
                <w:lang w:val="en-US" w:eastAsia="zh-CN"/>
              </w:rPr>
              <w:t>2.《粮食质量安全监管办法》（2023年国家发展改革委令第4号）第三十八条 县级以上粮食和储备行政管理部门在履行粮食质量安全监督管理职责过程中，有权采取下列措施：（一）进入粮食经营者经营场所检查粮食质量安全情况，对检验仪器设备和扦样、检验的规范性进行检查；（二）向有关单位和人员调查、了解相关情况；（三）查阅、复制与粮食经营活动中与质量安全有关的合同、票据、账簿、检验报告以及其他资料、凭证；（四）对粮食经营者经营的粮食进行扦样检验；（五）检查粮食仓储设施、设备是否符合有关标准、技术规范和安全生产要求；（六）查封、扣押非法收购或者不符合国家粮食质量安全标准的粮食，用于违法经营或者被污染的工具、设备以及有关账簿资料；（七）查封违法从事粮食经营活动的场所。</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6"/>
                <w:szCs w:val="16"/>
                <w:u w:val="none"/>
                <w:lang w:val="en-US" w:eastAsia="zh-CN"/>
              </w:rPr>
            </w:pPr>
            <w:r>
              <w:rPr>
                <w:rFonts w:ascii="仿宋_GB2312" w:eastAsia="仿宋_GB2312" w:cs="仿宋_GB2312" w:hAnsi="仿宋_GB2312" w:hint="eastAsia"/>
                <w:i w:val="0"/>
                <w:iCs w:val="0"/>
                <w:kern w:val="0"/>
                <w:sz w:val="16"/>
                <w:szCs w:val="16"/>
                <w:u w:val="none"/>
                <w:lang w:val="en-US" w:eastAsia="zh-CN"/>
              </w:rPr>
              <w:t>　　粮食经营者拒绝检查的，粮食和储备行政管理部门应当向本级人民政府、上一级粮食和储备行政管理部门报告。</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6"/>
                <w:szCs w:val="16"/>
                <w:u w:val="none"/>
                <w:lang w:val="en-US" w:eastAsia="zh-CN"/>
              </w:rPr>
            </w:pPr>
            <w:r>
              <w:rPr>
                <w:rFonts w:ascii="仿宋_GB2312" w:eastAsia="仿宋_GB2312" w:cs="仿宋_GB2312" w:hAnsi="仿宋_GB2312" w:hint="eastAsia"/>
                <w:i w:val="0"/>
                <w:iCs w:val="0"/>
                <w:kern w:val="0"/>
                <w:sz w:val="16"/>
                <w:szCs w:val="16"/>
                <w:u w:val="none"/>
                <w:lang w:val="en-US" w:eastAsia="zh-CN"/>
              </w:rPr>
              <w:t>3.《国有粮油仓储物流设施保护办法》（2016年国家发展改革委令第40号）第十六条县级以上地方人民政府粮食行政管理部门会同有关部门对侵占、损坏、擅自拆除粮油仓储物流设施，擅自改变粮油仓储物流设施用途，危害粮油仓储物流设施安全和粮油储存安全的违法行为予以依法制止和查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16"/>
                <w:szCs w:val="16"/>
                <w:u w:val="none"/>
                <w:lang w:val="en-US" w:eastAsia="zh-CN"/>
              </w:rPr>
            </w:pPr>
            <w:r>
              <w:rPr>
                <w:rFonts w:ascii="仿宋_GB2312" w:eastAsia="仿宋_GB2312" w:cs="仿宋_GB2312" w:hAnsi="仿宋_GB2312" w:hint="eastAsia"/>
                <w:i w:val="0"/>
                <w:iCs w:val="0"/>
                <w:kern w:val="0"/>
                <w:sz w:val="16"/>
                <w:szCs w:val="16"/>
                <w:u w:val="none"/>
                <w:lang w:val="en-US" w:eastAsia="zh-CN"/>
              </w:rPr>
              <w:t>4.《河北省粮食流通管理规定》（河北省人民政府令〔2022〕第3号）第五十九条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16"/>
                <w:szCs w:val="16"/>
                <w:u w:val="none"/>
                <w:lang w:val="en-US" w:eastAsia="zh-CN"/>
              </w:rPr>
              <w:t>5.《粮食库存检查办法》（国粮执法规〔2022〕248号）第十六条</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1.检查责任：对本辖区内政策性粮食承储企业粮食库存情况组织抽查。</w:t>
              <w:br/>
              <w:t>2.处置责任：对抽查发现的问题，责令限期整改、依法实施处罚。</w:t>
              <w:br/>
              <w:t>3.移送责任：检查结果及时予以公告，对构成违法犯罪的移交司法机关。</w:t>
              <w:br/>
              <w:t>4.事后管理责任：对抽查发现的问题，被检查单位整改完成后，对整改情况进行核查。</w:t>
              <w:br/>
              <w:t>5.其他责任：法律法规规章等规定应履行的责任。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1.不对本辖区内政策性粮食承储企业粮食库存情况组织抽查的；</w:t>
              <w:br/>
              <w:t>2.对在抽查中发现的问题，不责令限期整改、不依法实施处罚的；</w:t>
              <w:br/>
              <w:t>3.不及时予以公告，对构成违法犯罪的不移交司法机关的；</w:t>
              <w:br/>
              <w:t>4.对抽查发现的问题，被检查单位整改完成后，不对整改情况进行核查的；</w:t>
              <w:br/>
              <w:t>5.其他违反法律法规规章文件规定的行为。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对夏粮、秋粮收购的专项行政检查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《粮食流通管理条例》（2021年国务院令第740号）第三十八条 粮食和储备行政管理部门依照本条例对粮食经营者从事粮食收购、储存、运输活动和政策性粮食的购销活动，以及执行国家粮食流通统计制度的情况进行监督检查......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粮食质量安全监管办法》（2023年国家发展改革委令第4号）第三十八条县级以上粮食和储备行政管理部门在履行粮食质量安全监督管理职责过程中，有权采取下列措施：（一）进入粮食经营者经营场所检查粮食质量安全情况，对检验仪器设备和扦样、检验的规范性进行检查；（二）向有关单位和人员调查、了解相关情况；（三）查阅、复制与粮食经营活动中与质量安全有关的合同、票据、账簿、检验报告以及其他资料、凭证；（四）对粮食经营者经营的粮食进行扦样检验；（五）检查粮食仓储设施、设备是否符合有关标准、技术规范和安全生产要求；（六）查封、扣押非法收购或者不符合国家粮食质量安全标准的粮食，用于违法经营或者被污染的工具、设备以及有关账簿资料；（七）查封违法从事粮食经营活动的场所。</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　　粮食经营者拒绝检查的，粮食和储备行政管理部门应当向本级人民政府、上一级粮食和储备行政管理部门报告。</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3.《河北省粮食流通管理规定》（河北省人民政府令〔2022〕第3号）第五十九条</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1.检查责任：对本辖区内夏粮收购情况组织监督检查。</w:t>
              <w:br/>
              <w:t>2.处置责任：对监督检查发现的问题，责令限期整改、依法实施处罚。</w:t>
              <w:br/>
              <w:t>3.移送责任：检查结果及时予以公告，对构成违法犯罪的移交司法机关。</w:t>
              <w:br/>
              <w:t>4.事后管理责任：对监督检查发现的问题，被检查单位整改完成后，对整改情况组织进行核查。</w:t>
              <w:br/>
              <w:t>5.其他责任：法律法规规章等规定应履行的责任。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1.不对本辖区内夏粮收购情况组织监督检查的；</w:t>
              <w:br/>
              <w:t>2.对在检查中发现的问题，不责令限期整改、不依法实施处罚的；</w:t>
              <w:br/>
              <w:t>3.不及时予以公告，对构成违法犯罪的不移交司法机关的；</w:t>
              <w:br/>
              <w:t>4.对监督检查发现的问题，被检查单位整改完成后，不对整改情况组织进行核查的；</w:t>
              <w:br/>
              <w:t>5.其他违反法律法规规章文件规定的行为。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i w:val="0"/>
                <w:iCs w:val="0"/>
                <w:sz w:val="20"/>
                <w:szCs w:val="20"/>
                <w:u w:val="none"/>
                <w:lang w:val="en-US"/>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对国家政策性粮食销售出库的行政检查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highlight w:val="auto"/>
              </w:rPr>
              <w:t xml:space="preserve">1.《粮食流通管理条例》（2021年国务院令第740号第三次修订）第三十八条  </w:t>
            </w:r>
            <w:r>
              <w:rPr>
                <w:rFonts w:ascii="仿宋_GB2312" w:eastAsia="仿宋_GB2312" w:cs="仿宋_GB2312" w:hAnsi="仿宋_GB2312" w:hint="eastAsia"/>
                <w:i w:val="0"/>
                <w:iCs w:val="0"/>
                <w:kern w:val="0"/>
                <w:sz w:val="20"/>
                <w:szCs w:val="20"/>
                <w:u w:val="none"/>
                <w:lang w:val="en-US" w:eastAsia="zh-CN"/>
              </w:rPr>
              <w:t>粮食和储备行政管理部门依照本条例对粮食经营者从事粮食收购、储存、运输活动和政策性粮食的购销活动，以及执行国家粮食流通统计制度的情况进行监督检查......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2.《国家政策性粮食出库管理暂行办法》（发改经贸〔2012〕1520号）第五条</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sz w:val="20"/>
                <w:szCs w:val="20"/>
                <w:u w:val="none"/>
                <w:lang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1.检查责任：对本辖区内国家政策性粮食销售出库情况组织监督检查。</w:t>
              <w:br/>
              <w:t>2.处置责任：对监督检查发现的问题，责令限期整改、依法实施处罚。</w:t>
              <w:br/>
              <w:t>3.移送责任：检查结果及时予以公告，对构成违法犯罪的移交司法机关。</w:t>
              <w:br/>
              <w:t>4.事后管理责任：对监督检查发现的问题，被检查单位整改完成后，对整改情况组织进行核查。</w:t>
              <w:br/>
              <w:t>5.其他责任：法律法规规章等规定应履行的责任。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br/>
              <w:t>1.不对本辖区内国家政策性粮食销售出库情况组织监督检查的；</w:t>
              <w:br/>
              <w:t>2.对在检查中发现的问题，不责令限期整改、不依法实施处罚的；</w:t>
              <w:br/>
              <w:t>3.不及时予以公告，对构成违法犯罪的不移交司法机关的；</w:t>
              <w:br/>
              <w:t>4.对监督检查发现的问题，被检查单位整改完成后，不对整改情况组织进行核查的；</w:t>
              <w:br/>
              <w:t>5.其他违反法律法规规章文件规定的行为。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i w:val="0"/>
                <w:iCs w:val="0"/>
                <w:kern w:val="0"/>
                <w:sz w:val="20"/>
                <w:szCs w:val="20"/>
                <w:u w:val="none"/>
                <w:lang w:val="en-US" w:eastAsia="zh-CN"/>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储备粮轮换专项检查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1.《粮食流通管理条例》（2021年国务院令第740号）第三十八条 粮食和储备行政管理部门依照本条例对粮食经营者从事粮食收购、储存、运输活动和政策性粮食的购销活动，以及执行国家粮食流通统计制度的情况进行监督检查......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2.《粮食质量安全监管办法》（国家发展改革委令2023年第4号）第三十七条 县级以上粮食和储备行政管理部门依法依规依职责对粮食经营者进行质量安全监督管理，制定粮食质量安全监督抽查计划，采用普查、随机抽查、巡查、重点检查、交叉检查、提级查办等方式，对本行政区域内收购、储存、运输活动和政策性粮食购销活动中的质量安全状况实施监督抽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3.《河北省地方储备粮管理办法》（河北省人民政府令〔2023〕第6号）第五条第二款粮食和物资储备行政管理部门负责本级储备粮的行政管理，完善管理制度，对本行政区域内地方储备粮实施监督检查，对下级储备粮管理进行指导和协调。</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1.检查责任：对储备粮轮换情况组织监督检查。</w:t>
              <w:br/>
              <w:t>2.处置责任：对监督检查发现的问题，责令限期整改、依法实施处罚。</w:t>
              <w:br/>
              <w:t>3.移送责任：检查结果及时予以公告，对构成违法犯罪的移交司法机关。</w:t>
              <w:br/>
              <w:t>4.事后管理责任：对监督检查发现的问题，被检查单位整改完成后，对整改情况组织进行核查。</w:t>
              <w:br/>
              <w:t>5.其他责任：法律法规规章等规定应履行的责任。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1.不对本辖区储备粮轮换情况组织监督检查的；</w:t>
              <w:br/>
              <w:t>2.对在检查中发现的问题，不责令限期整改、不依法实施处罚的；</w:t>
              <w:br/>
              <w:t>3.不及时予以公告，对构成违法犯罪的不移交司法机关的；</w:t>
              <w:br/>
              <w:t>4.对监督检查发现的问题，被检查单位整改完成后，不对整改情况组织进行核查的；</w:t>
              <w:br/>
              <w:t>5.其他违反法律法规规章文件规定的行为。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3"/>
              </w:numPr>
              <w:spacing w:line="240" w:lineRule="exact"/>
              <w:ind w:left="425" w:hanging="425"/>
              <w:jc w:val="center"/>
              <w:rPr>
                <w:rFonts w:ascii="仿宋_GB2312" w:eastAsia="仿宋_GB2312" w:cs="仿宋_GB2312" w:hAnsi="仿宋_GB2312"/>
                <w:i w:val="0"/>
                <w:iCs w:val="0"/>
                <w:sz w:val="20"/>
                <w:szCs w:val="20"/>
                <w:u w:val="none"/>
                <w:lang w:val="en-US"/>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行政检查</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粮食和物资储备行业安全生产检查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1.《中华人民共和国安全生产法》（2021年6月10日中华人民共和国主席令第八十八号第三次修正）第十条、第六十五条。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2.《粮食流通管理条例》（2021年国务院令第740号第三次修订）第十三条。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3.河北省粮食流通管理规定（河北省人民政府令〔2022〕第3号）第四十条。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4.《粮库安全生产守则》（国粮储〔2016〕234号）。</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省粮食和物资储备局</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sz w:val="20"/>
                <w:szCs w:val="20"/>
                <w:u w:val="none"/>
                <w:lang w:eastAsia="zh-CN"/>
                <w:highlight w:val="auto"/>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1.检查责任：对粮食和物资储备行业安全生产情况组织监督检查。</w:t>
              <w:br/>
              <w:t>2.处置责任：对监督检查发现的问题，责令限期整改、依法实施处罚。</w:t>
              <w:br/>
              <w:t>3.移送责任：检查结果及时予以公告，对构成违法犯罪的移交司法机关。</w:t>
              <w:br/>
              <w:t>4.事后管理责任：对监督检查发现的问题，被检查单位整改完成后，对整改情况组织进行核查。</w:t>
              <w:br/>
              <w:t>5.其他责任：法律法规规章等规定应履行的责任。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br/>
              <w:t>1.不对本辖区内粮食和物资储备行业安全生产情况组织监督检查的；</w:t>
              <w:br/>
              <w:t>2.对在检查中发现的问题，不责令限期整改、不依法实施处罚的；</w:t>
              <w:br/>
              <w:t>3.不及时予以公告，对构成违法犯罪的不移交司法机关的；</w:t>
              <w:br/>
              <w:t>4.对监督检查发现的问题，被检查单位整改完成后，不对整改情况组织进行核查的；</w:t>
              <w:br/>
              <w:t>5.其他违反法律法规规章文件规定的行为。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11</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对家庭服务机构的监督检查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《家庭服务业管理暂行办法》（商务部令2012年第11号，2012年12月18日发布）第四条 县级以上商务主管部门负责本行政区域内家庭服务业的监督管理。第二十九条 县级以上商务主管部门积极会同相关部门，依法规范家庭服务机构从业行为，查处违法经营行为。</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1.检查责任：对本辖区内家庭服务业企业经营情况组织监督检查。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3.移送责任：及时予以公告，涉及其他部门职责的，移交其他部门，对构成违法犯罪的移送司法机关。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1.不对本辖区内内家庭服务业及家庭服务机构从业工作情况组织监督检查；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12</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对家电维修服务业进行监督检查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《家电维修服务业管理办法》（商务部令2012年第7号，2012年6月9日发布）第三条 各级商务主管部门负责本行政区域内的家电维修服务业的指导、协调和监督管理工作。</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1.检查责任：对本辖区内家电维修服务企业经营情况组织监督检查。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3.移送责任：及时予以公告，涉及其他部门职责的，移交其他部门；对构成违法犯罪的移送司法机关。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1.不对本辖区内家电维修服务业工作情况组织监督检查；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13</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对洗染业的监督管理</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《洗染业管理办法》（商务部、国家工商总局、环保总局令2007年第5号，2007年5月11日发布）第三条 地方各级商务主管部门负责本行政区域内洗染行业指导、协调、监督和管理工作。</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1.检查责任：对本辖区内洗染企业经营情况组织监督检查。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3.移送责任：及时予以公告，涉及其他部门职责的，移交其他部门；对构成违法犯罪的移送司法机关。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1.不对本辖区内洗染业工作情况组织监督检查；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14</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rPr>
                <w:rFonts w:hint="eastAsia"/>
              </w:rPr>
            </w:pPr>
            <w:r>
              <w:rPr>
                <w:rFonts w:ascii="仿宋_GB2312" w:eastAsia="仿宋_GB2312" w:cs="仿宋_GB2312" w:hAnsi="仿宋_GB2312" w:hint="eastAsia"/>
                <w:kern w:val="0"/>
                <w:sz w:val="20"/>
                <w:szCs w:val="20"/>
              </w:rPr>
              <w:t>对餐饮业经营者违反食品浪费相关行为的监督检查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kern w:val="0"/>
                <w:sz w:val="20"/>
                <w:szCs w:val="20"/>
              </w:rPr>
              <w:t>《餐饮业经营管理办法》（商务部、国家发展改革委令2014年第4号） 第十八条  县级以上地方商务主管部门应当定期对餐饮行业开展反食品浪费相关行为进行监督检查，并给予相应奖励或处罚。</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1.检查责任：对本辖区内餐饮</w:t>
            </w:r>
            <w:r>
              <w:rPr>
                <w:rFonts w:ascii="仿宋_GB2312" w:eastAsia="仿宋_GB2312" w:cs="仿宋_GB2312" w:hAnsi="仿宋_GB2312"/>
                <w:i w:val="0"/>
                <w:kern w:val="0"/>
                <w:sz w:val="20"/>
                <w:szCs w:val="20"/>
                <w:u w:val="none"/>
                <w:lang w:val="en-US" w:eastAsia="zh-CN"/>
              </w:rPr>
              <w:t>业经营者</w:t>
            </w:r>
            <w:r>
              <w:rPr>
                <w:rFonts w:ascii="仿宋_GB2312" w:eastAsia="仿宋_GB2312" w:cs="仿宋_GB2312" w:hAnsi="仿宋_GB2312" w:hint="eastAsia"/>
                <w:i w:val="0"/>
                <w:kern w:val="0"/>
                <w:sz w:val="20"/>
                <w:szCs w:val="20"/>
                <w:u w:val="none"/>
                <w:lang w:val="en-US" w:eastAsia="zh-CN"/>
              </w:rPr>
              <w:t>经营情况组织监督检查。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3.移送责任：及时予以公告，涉及其他部门职责的，移交其他部门；对构成违法犯罪的移送司法机关。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1.不对本辖区内餐饮企业工作情况组织监督检查；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15</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旧电器电子产品流通的行业管理</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cs="仿宋_GB2312" w:hAnsi="仿宋_GB2312" w:hint="eastAsia"/>
                <w:kern w:val="0"/>
                <w:sz w:val="20"/>
                <w:szCs w:val="20"/>
              </w:rPr>
            </w:pPr>
            <w:r>
              <w:rPr>
                <w:rFonts w:ascii="仿宋_GB2312" w:eastAsia="仿宋_GB2312" w:cs="仿宋_GB2312" w:hAnsi="仿宋_GB2312" w:hint="eastAsia"/>
                <w:kern w:val="0"/>
                <w:sz w:val="20"/>
                <w:szCs w:val="20"/>
              </w:rPr>
              <w:t>《旧电器电子产品流通管理办法》（商务部令2013年第1号，2013年3月20日发布）</w:t>
            </w:r>
          </w:p>
          <w:p>
            <w:pPr>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cs="仿宋_GB2312" w:hAnsi="仿宋_GB2312" w:hint="eastAsia"/>
                <w:kern w:val="0"/>
                <w:sz w:val="20"/>
                <w:szCs w:val="20"/>
              </w:rPr>
            </w:pPr>
            <w:r>
              <w:rPr>
                <w:rFonts w:ascii="仿宋_GB2312" w:eastAsia="仿宋_GB2312" w:cs="仿宋_GB2312" w:hAnsi="仿宋_GB2312" w:hint="eastAsia"/>
                <w:kern w:val="0"/>
                <w:sz w:val="20"/>
                <w:szCs w:val="20"/>
              </w:rPr>
              <w:t>第五条　商务部负责旧电器电子产品流通的行业管理工作，负责制定行业发展规划、政策。</w:t>
            </w:r>
          </w:p>
          <w:p>
            <w:pPr>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cs="仿宋_GB2312" w:hAnsi="仿宋_GB2312" w:hint="eastAsia"/>
                <w:kern w:val="0"/>
                <w:sz w:val="20"/>
                <w:szCs w:val="20"/>
              </w:rPr>
            </w:pPr>
            <w:r>
              <w:rPr>
                <w:rFonts w:ascii="仿宋_GB2312" w:eastAsia="仿宋_GB2312" w:cs="仿宋_GB2312" w:hAnsi="仿宋_GB2312" w:hint="eastAsia"/>
                <w:kern w:val="0"/>
                <w:sz w:val="20"/>
                <w:szCs w:val="20"/>
              </w:rPr>
              <w:t>县级以上地方商务主管部门负责本行政区域内旧电器电子产品流通的行业管理工作。</w:t>
            </w:r>
          </w:p>
          <w:p>
            <w:pPr>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cs="仿宋_GB2312" w:hAnsi="仿宋_GB2312" w:hint="eastAsia"/>
                <w:kern w:val="0"/>
                <w:sz w:val="20"/>
                <w:szCs w:val="20"/>
              </w:rPr>
            </w:pPr>
            <w:r>
              <w:rPr>
                <w:rFonts w:ascii="仿宋_GB2312" w:eastAsia="仿宋_GB2312" w:cs="仿宋_GB2312" w:hAnsi="仿宋_GB2312" w:hint="eastAsia"/>
                <w:kern w:val="0"/>
                <w:sz w:val="20"/>
                <w:szCs w:val="20"/>
              </w:rPr>
              <w:t>第十八条 县级以上地方商务主管部门应当根据本地实际，建立定期检查及不定期抽查制度，及时发现和处理有关问题。经营者和旧电器电子产品市场应配合商务主管部门的监督检查，如实提供信息和材料。</w:t>
            </w:r>
          </w:p>
          <w:p>
            <w:pPr>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仿宋_GB2312" w:eastAsia="仿宋_GB2312" w:cs="仿宋_GB2312" w:hAnsi="仿宋_GB2312" w:hint="eastAsia"/>
                <w:kern w:val="0"/>
                <w:sz w:val="20"/>
                <w:szCs w:val="20"/>
              </w:rPr>
            </w:pPr>
            <w:r>
              <w:rPr>
                <w:rFonts w:ascii="仿宋_GB2312" w:eastAsia="仿宋_GB2312" w:cs="仿宋_GB2312" w:hAnsi="仿宋_GB2312" w:hint="eastAsia"/>
                <w:kern w:val="0"/>
                <w:sz w:val="20"/>
                <w:szCs w:val="20"/>
              </w:rPr>
              <w:t>县级以上地方商务主管部门应当组织本行政区域内的行业统计工作，经营者应按照商务主管部门要求及时报送相关信息和数据。</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1.检查责任：对本辖区内旧电器电子产品流通企业经营情况组织监督检查。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3.移送责任：及时予以公告，涉及其他部门职责的，移交其他部门；对构成违法犯罪的移送司法机关。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1.不对本辖区内旧电器电子产品流通企业工作情况组织监督检查；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16</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对单用途商业预付卡的检查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Microsoft yahei" w:hAnsi="Microsoft yahei"/>
                <w:b w:val="0"/>
                <w:bCs w:val="0"/>
                <w:i w:val="0"/>
                <w:iCs w:val="0"/>
                <w:caps w:val="0"/>
                <w:smallCaps w:val="0"/>
                <w:spacing w:val="0"/>
                <w:sz w:val="24"/>
                <w:szCs w:val="24"/>
              </w:rPr>
              <w:t>《</w:t>
            </w:r>
            <w:r>
              <w:rPr>
                <w:rFonts w:ascii="仿宋_GB2312" w:eastAsia="仿宋_GB2312" w:cs="仿宋_GB2312" w:hAnsi="仿宋_GB2312" w:hint="eastAsia"/>
                <w:kern w:val="0"/>
                <w:sz w:val="20"/>
                <w:szCs w:val="20"/>
              </w:rPr>
              <w:t>单用途商业预付卡管理办法（试行）》（商务部令2012年第9号）第三十三条 商务部和地方人民政府商务主管部门应对发卡企业和售卡企业的单用途卡业务活动、内部控制和风险状况等进行定期或不定期的现场及非现场检查。发卡企业和售卡企业应配合商务主管部门的检查。 第三十四条 商务部应建立健全“单用途商业预付卡业务信息系统”。地方人民政府商务主管部门应充分运用信息化手段加强对发卡企业的监督管理。第三十五条 商务部和地方人民政府商务主管部门应通过12312商务举报投诉服务平台接受与本办法有关的举报和投诉。</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1.检查责任：对发行单用途商业预付卡的企业进行监督检查。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2.处置责任：对检查发现问题的企业，责令限期整改。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3.移送责任：对整改后仍违反《单用途商业预付卡管理办法》的企业，移交行政处罚环节处理。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4.其他责任：法律法规规章等规定应履行的责任。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1.不对本辖区发行单用途商业预付卡的企业工作情况组织监督检查；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17</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对零售商经营行为的监督检查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《零售商供应商公平交易管理办法》（商务部、发改委、公安部、税务总局、工商总局2006年第17号）第二十一条　县级以上商务主管部门应会同同级有关部门对零售商供应商公平交易行为实行动态监测，进行风险预警，及时采取防范措施。</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1.检查责任：对本辖区内年销售额在1000万以上的零售企业工作情况组织监督检查。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3.移送责任：发现零售商涉嫌骗取供应商货款的，应当将其涉嫌犯罪的线索移送当地公安机关。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4.事后管理现责任：对监督检查发现的问题，在整改完成后及时对整改情况进行核查。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1.不对本辖区内对外劳务合作企业工作情况组织监督检查。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18</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对报废机动车回收活动的监督检查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《报废机动车回收管理办法》（国务院令第715号，2019年6月1日起施行）</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第四条 县级以上地方人民政府负责报废机动车回收管理的部门对本行政区域内报废机动车回收活动实施监督管理。县级以上地方人民政府公安、生态环境、工业和信息化、交通运输、市场监督管理等部门在各自的职责范围内对本行政区域内报废机动车回收活动实施有关的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sz w:val="20"/>
                <w:szCs w:val="20"/>
                <w:u w:val="none"/>
              </w:rPr>
              <w:t>第十六条  县级以上地方人民政府负责报废机动车回收管理的部门应当加强对报废机动车回收企业的监督检查，建立和完善以随机抽查为重点的日常监督检查制度，公布抽查事项目录，明确抽查的依据、频次、方式、内容和程序，随机抽取被检查企业，随机选派被检查人员。抽查情况和抽查结果应当及时向社会公布。</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1.检查责任：对本行政区域内报废机动车回收活动实施监督管理。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2.处置责任：对监督检查发现的问题，责令限期整改，依法实施处罚。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3.移送责任：在监督管理工作中发现不属于本部门处理权限的违法行为的，应当及时移交有权处理的部门；有权处理的部门应当及时依法调查处理，并将处理结果告知负责报废机动车回收管理的部门。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4.事后管理现责任：对监督检查发现的问题，在整改完成后及时对整改情况进行核查。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1.不对本辖区报废机动车回收活动情况组织监督检查；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19</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对汽车销售及其相关服务活动进行监督检查</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《汽车销售管理办法》2017年7月1日起施行（商务部令2017年第1号）第七条 国务院商务主管部门负责制定全国汽车销售及其相关服务活动的政策规章，对地方商务主管部门的监督管理工作进行指导、协调和监督。县级以上地方商务主管部门依据本办法对本行政区域内汽车销售及其相关服务活动进行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1.检查责任：对本行政区域内汽车销售及其相关服务活动实施监督管理。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2.移送责任：在监督管理工作中发现不属于本部门处理权限的违法行为的，应当及时移交有权处理的部门；有权处理的部门应当及时依法调查处理，并将处理结果告知负责汽车销售行业管理的部门。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3.事后管理现责任：对监督检查发现的问题，在整改完成后及时对整改情况进行核查。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4.其他责任：法律法规规章等规定应履行的责任。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1.不对本辖区内汽车销售及其相关服务情况组织监督检查；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spacing w:line="240" w:lineRule="exact"/>
              <w:jc w:val="both"/>
              <w:rPr>
                <w:rFonts w:ascii="仿宋_GB2312" w:eastAsia="仿宋_GB2312" w:cs="仿宋_GB2312" w:hAnsi="仿宋_GB2312" w:hint="eastAsia"/>
                <w:i w:val="0"/>
                <w:sz w:val="20"/>
                <w:szCs w:val="20"/>
                <w:u w:val="none"/>
              </w:rPr>
            </w:pPr>
            <w:r>
              <w:rPr>
                <w:rFonts w:ascii="仿宋_GB2312" w:eastAsia="仿宋_GB2312" w:cs="仿宋_GB2312" w:hAnsi="仿宋_GB2312"/>
                <w:i w:val="0"/>
                <w:sz w:val="20"/>
                <w:szCs w:val="20"/>
                <w:u w:val="none"/>
              </w:rPr>
              <w:t>20</w:t>
            </w:r>
          </w:p>
        </w:tc>
        <w:tc>
          <w:tcPr>
            <w:tcW w:w="85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行政检查</w:t>
            </w:r>
          </w:p>
        </w:tc>
        <w:tc>
          <w:tcPr>
            <w:tcW w:w="1134"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负责本行政区域内商品现货市场的行业管理</w:t>
            </w:r>
          </w:p>
        </w:tc>
        <w:tc>
          <w:tcPr>
            <w:tcW w:w="3118"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《商品现货市场交易特别规定（试行）》（商务部令2013年第3号，发布日期2013年11月8日）第二十条 县级以上人民政府商务主管部门负责本行政区域内的商品现货市场的行业管理，并按照要求及时报送行业发展规划和其他具体措施。</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1.检查责任：对本行政区域内商品现货市场实施监督管理。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2.移送责任：在监督管理工作中发现不属于本部门处理权限的违法行为的，应当及时移交有权处理的部门；有权处理的部门应当及时依法调查处理，并将处理结果告知负责二手车流通行业监管的部门。</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3.事后管理责任：对监督检查发现的问题，在整改完成后及时对整改情况进行核查。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4.其他责任：法律法规规章等规定应履行的责任。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1.不对本辖区内商品现货市场情况组织监督检查；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2.对监督检查发现的问题，不责令限期整改，依法实施处罚；</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3.不及时予以公告，对应吊销资格证书的不依规移送市行政审批局，对构成违法犯罪的不移送司法机关；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4.对监督检查发现的问题，在整改完成后不对整改情况进行核查；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5.其他违反法律法规规章等规定应履行的责任。</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center"/>
              <w:outlineLvl w:val="9"/>
              <w:rPr>
                <w:rFonts w:ascii="仿宋_GB2312" w:eastAsia="仿宋_GB2312" w:cs="仿宋_GB2312" w:hAnsi="宋体" w:hint="eastAsia"/>
                <w:i w:val="0"/>
                <w:sz w:val="20"/>
                <w:szCs w:val="20"/>
                <w:u w:val="none"/>
              </w:rPr>
            </w:pPr>
          </w:p>
        </w:tc>
      </w:tr>
      <w:tr>
        <w:trPr>
          <w:trHeight w:val="8957"/>
          <w:gridBefore w:val="1"/>
          <w:wBefore w:w="106" w:type="dxa"/>
          <w:gridAfter w:val="1"/>
          <w:wAfter w:w="1" w:type="dxa"/>
        </w:trPr>
        <w:tc>
          <w:tcPr>
            <w:tcW w:w="544" w:type="dxa"/>
            <w:gridSpan w:val="2"/>
            <w:tcBorders>
              <w:left w:val="single" w:sz="6" w:space="0" w:color="000000"/>
              <w:tl2br w:val="nil"/>
              <w:tr2bl w:val="nil"/>
            </w:tcBorders>
            <w:shd w:val="clear" w:color="auto" w:fill="auto"/>
            <w:vAlign w:val="center"/>
          </w:tcPr>
          <w:p>
            <w:pPr>
              <w:spacing w:line="240" w:lineRule="exact"/>
              <w:jc w:val="both"/>
              <w:rPr>
                <w:rFonts w:ascii="仿宋_GB2312" w:eastAsia="仿宋_GB2312" w:cs="仿宋_GB2312" w:hAnsi="仿宋_GB2312"/>
                <w:sz w:val="20"/>
                <w:szCs w:val="20"/>
              </w:rPr>
            </w:pPr>
            <w:r>
              <w:rPr>
                <w:rFonts w:ascii="仿宋_GB2312" w:eastAsia="仿宋_GB2312" w:cs="仿宋_GB2312" w:hAnsi="仿宋_GB2312"/>
                <w:sz w:val="20"/>
                <w:szCs w:val="20"/>
              </w:rPr>
              <w:t>21</w:t>
            </w:r>
          </w:p>
        </w:tc>
        <w:tc>
          <w:tcPr>
            <w:tcW w:w="850" w:type="dxa"/>
            <w:gridSpan w:val="2"/>
            <w:tcBorders>
              <w:left w:val="single" w:sz="6" w:space="0" w:color="000000"/>
              <w:righ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行政检查</w:t>
            </w:r>
          </w:p>
        </w:tc>
        <w:tc>
          <w:tcPr>
            <w:tcW w:w="1134" w:type="dxa"/>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对人民防空教育的监督检查</w:t>
            </w:r>
          </w:p>
        </w:tc>
        <w:tc>
          <w:tcPr>
            <w:tcW w:w="311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河北省实施〈中华人民共和国人民防空法〉办法》（1998年12月26日河北省第九届人民代表大会常务委员会第六次会议通过，2022年5月27日河北省第十三届人民代表大会常务委员会第三十次会议《河北省人民代表大会常务委员会关于修改</w:t>
            </w:r>
            <w:r>
              <w:rPr>
                <w:rFonts w:ascii="仿宋_GB2312" w:eastAsia="仿宋_GB2312" w:cs="仿宋_GB2312" w:hAnsi="仿宋_GB2312"/>
                <w:kern w:val="0"/>
                <w:sz w:val="20"/>
                <w:szCs w:val="20"/>
              </w:rPr>
              <w:t>&lt;</w:t>
            </w:r>
            <w:r>
              <w:rPr>
                <w:rFonts w:ascii="仿宋_GB2312" w:eastAsia="仿宋_GB2312" w:cs="仿宋_GB2312" w:hAnsi="仿宋_GB2312" w:hint="eastAsia"/>
                <w:kern w:val="0"/>
                <w:sz w:val="20"/>
                <w:szCs w:val="20"/>
              </w:rPr>
              <w:t>河北省实施《中华人民共和国人民防空法》办法</w:t>
            </w:r>
            <w:r>
              <w:rPr>
                <w:rFonts w:ascii="仿宋_GB2312" w:eastAsia="仿宋_GB2312" w:cs="仿宋_GB2312" w:hAnsi="仿宋_GB2312"/>
                <w:kern w:val="0"/>
                <w:sz w:val="20"/>
                <w:szCs w:val="20"/>
              </w:rPr>
              <w:t>&gt;</w:t>
            </w:r>
            <w:r>
              <w:rPr>
                <w:rFonts w:ascii="仿宋_GB2312" w:eastAsia="仿宋_GB2312" w:cs="仿宋_GB2312" w:hAnsi="仿宋_GB2312" w:hint="eastAsia"/>
                <w:kern w:val="0"/>
                <w:sz w:val="20"/>
                <w:szCs w:val="20"/>
              </w:rPr>
              <w:t>的决定》修正）第二十八条 人民防空教育应当纳入国防教育计划。县级以上人民防空主管部门负责统一组织、指导和监督本行政区域的人民防空教育。在校学生的人民防空教育，由各级教育主管部门和人民防空主管部门按照国家和省的有关规定组织实施。国家机关、社会团体、企业事业组织的人员和居（村）民的人民防空教育，由所在单位或者城乡基层人民政府的人民武装部门组织实施。</w:t>
            </w:r>
          </w:p>
        </w:tc>
        <w:tc>
          <w:tcPr>
            <w:tcW w:w="1134" w:type="dxa"/>
            <w:gridSpan w:val="3"/>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省人防办</w:t>
            </w:r>
          </w:p>
        </w:tc>
        <w:tc>
          <w:tcPr>
            <w:tcW w:w="964" w:type="dxa"/>
            <w:gridSpan w:val="2"/>
            <w:tcBorders>
              <w:lef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市级、县级</w:t>
            </w:r>
          </w:p>
        </w:tc>
        <w:tc>
          <w:tcPr>
            <w:tcW w:w="396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1.检查责任：按照工作计划安排开展监督检查，由2人以上行政执法人员，出示行政执法证，严格落实行政执法“三项制度”。</w:t>
              <w:br/>
              <w:t>2.处置责任：对监督检查发现的问题，出具《责令（限期）整改通知书》责令限期整改。</w:t>
              <w:br/>
              <w:t>3.事后监管责任：按要求对监督检查发现问题的整改情况进行核查。</w:t>
              <w:br/>
              <w:t>4.法律法规规章等规定应履行的责任。</w:t>
            </w:r>
          </w:p>
        </w:tc>
        <w:tc>
          <w:tcPr>
            <w:tcW w:w="3402" w:type="dxa"/>
            <w:gridSpan w:val="3"/>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因不履行或不正确履行行政职责，有下列情形的，行政机关及相关工作人员应承担相应责任：</w:t>
              <w:br/>
              <w:t>1.不履行法定职能，未组织开展相关监督检查；</w:t>
              <w:br/>
              <w:t>2.在行政检查过程中忽职守、滥用职权、徇私舞弊的；</w:t>
              <w:br/>
              <w:t>3.对监督检查发现的问题整改情况未组织进行核查，造成严重后果和不良影响的；</w:t>
              <w:br/>
              <w:t>4.其他违反法律法规规章文件规定的行为。</w:t>
            </w:r>
          </w:p>
        </w:tc>
        <w:tc>
          <w:tcPr>
            <w:tcW w:w="567" w:type="dxa"/>
            <w:gridSpan w:val="3"/>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w:t>
            </w:r>
          </w:p>
        </w:tc>
      </w:tr>
      <w:tr>
        <w:trPr>
          <w:trHeight w:val="8957"/>
          <w:gridBefore w:val="1"/>
          <w:wBefore w:w="106" w:type="dxa"/>
          <w:gridAfter w:val="1"/>
          <w:wAfter w:w="1" w:type="dxa"/>
        </w:trPr>
        <w:tc>
          <w:tcPr>
            <w:tcW w:w="544" w:type="dxa"/>
            <w:gridSpan w:val="2"/>
            <w:tcBorders>
              <w:left w:val="single" w:sz="6" w:space="0" w:color="000000"/>
              <w:tl2br w:val="nil"/>
              <w:tr2bl w:val="nil"/>
            </w:tcBorders>
            <w:shd w:val="clear" w:color="auto" w:fill="auto"/>
            <w:vAlign w:val="center"/>
          </w:tcPr>
          <w:p>
            <w:pPr>
              <w:spacing w:line="240" w:lineRule="exact"/>
              <w:jc w:val="both"/>
              <w:rPr>
                <w:rFonts w:ascii="仿宋_GB2312" w:eastAsia="仿宋_GB2312" w:cs="仿宋_GB2312" w:hAnsi="仿宋_GB2312"/>
                <w:sz w:val="20"/>
                <w:szCs w:val="20"/>
              </w:rPr>
            </w:pPr>
            <w:r>
              <w:rPr>
                <w:rFonts w:ascii="仿宋_GB2312" w:eastAsia="仿宋_GB2312" w:cs="仿宋_GB2312" w:hAnsi="仿宋_GB2312"/>
                <w:sz w:val="20"/>
                <w:szCs w:val="20"/>
              </w:rPr>
              <w:t>22</w:t>
            </w:r>
          </w:p>
        </w:tc>
        <w:tc>
          <w:tcPr>
            <w:tcW w:w="850" w:type="dxa"/>
            <w:gridSpan w:val="2"/>
            <w:tcBorders>
              <w:left w:val="single" w:sz="6" w:space="0" w:color="000000"/>
              <w:righ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kern w:val="2"/>
                <w:sz w:val="20"/>
                <w:szCs w:val="20"/>
                <w:lang w:val="en-US" w:eastAsia="zh-CN" w:bidi="ar-SA"/>
              </w:rPr>
            </w:pPr>
            <w:r>
              <w:rPr>
                <w:rFonts w:ascii="仿宋_GB2312" w:eastAsia="仿宋_GB2312" w:cs="仿宋_GB2312" w:hAnsi="仿宋_GB2312" w:hint="eastAsia"/>
                <w:kern w:val="0"/>
                <w:sz w:val="20"/>
                <w:szCs w:val="20"/>
              </w:rPr>
              <w:t>行政检查</w:t>
            </w:r>
          </w:p>
        </w:tc>
        <w:tc>
          <w:tcPr>
            <w:tcW w:w="1134" w:type="dxa"/>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对人民防空指挥通信终端设备和警报通信终端设备维护工作的监督检查</w:t>
            </w:r>
            <w:r>
              <w:rPr>
                <w:rFonts w:ascii="仿宋_GB2312" w:eastAsia="仿宋_GB2312" w:cs="仿宋_GB2312" w:hAnsi="仿宋_GB2312" w:hint="eastAsia"/>
                <w:kern w:val="0"/>
                <w:sz w:val="20"/>
                <w:szCs w:val="20"/>
                <w:lang w:val="en-US" w:eastAsia="zh-CN"/>
              </w:rPr>
              <w:t xml:space="preserve"> </w:t>
            </w:r>
          </w:p>
        </w:tc>
        <w:tc>
          <w:tcPr>
            <w:tcW w:w="311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《河北省人民防空通信管理规定》第二十一条 人防部门负责自建的人民防空通信设施的维护，指导、监督人民防空指挥通信终端设备和警报通信终端设备设置单位对终端设备进行维护，定期检测人民防空指挥通信网和警报通信网的开通情况。</w:t>
            </w:r>
          </w:p>
        </w:tc>
        <w:tc>
          <w:tcPr>
            <w:tcW w:w="1134" w:type="dxa"/>
            <w:gridSpan w:val="3"/>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省人防办</w:t>
            </w:r>
          </w:p>
        </w:tc>
        <w:tc>
          <w:tcPr>
            <w:tcW w:w="964" w:type="dxa"/>
            <w:gridSpan w:val="2"/>
            <w:tcBorders>
              <w:lef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市级、县级</w:t>
            </w:r>
          </w:p>
        </w:tc>
        <w:tc>
          <w:tcPr>
            <w:tcW w:w="396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1.检查责任：按照工作计划安排开展监督检查，由2人以上行政执法人员，出示行政执法证，严格落实行政执法“三项制度”。</w:t>
              <w:br/>
              <w:t>2.处置责任：对监督检查发现的问题，出具《责令（限期）整改通知书》责令限期整改。</w:t>
              <w:br/>
              <w:t>3.事后监管责任：按要求对监督检查发现问题的整改情况进行核查。</w:t>
              <w:br/>
              <w:t>4.法律法规规章等规定应履行的责任。</w:t>
            </w:r>
          </w:p>
        </w:tc>
        <w:tc>
          <w:tcPr>
            <w:tcW w:w="3402" w:type="dxa"/>
            <w:gridSpan w:val="3"/>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因不履行或不正确履行行政职责，有下列情形的，行政机关及相关工作人员应承担相应责任：</w:t>
              <w:br/>
              <w:t>1.不履行法定职能，未组织开展相关监督检查；</w:t>
              <w:br/>
              <w:t>2.在行政检查过程中忽职守、滥用职权、徇私舞弊的；</w:t>
              <w:br/>
              <w:t>3.对监督检查发现的问题整改情况未组织进行核查，造成严重后果和不良影响的；</w:t>
              <w:br/>
              <w:t>4.其他违反法律法规规章文件规定的行为。</w:t>
            </w:r>
          </w:p>
        </w:tc>
        <w:tc>
          <w:tcPr>
            <w:tcW w:w="567" w:type="dxa"/>
            <w:gridSpan w:val="3"/>
            <w:tcBorders>
              <w:left w:val="single" w:sz="6" w:space="0" w:color="000000"/>
              <w:tl2br w:val="nil"/>
              <w:tr2bl w:val="nil"/>
            </w:tcBorders>
            <w:shd w:val="clear" w:color="auto" w:fill="auto"/>
            <w:vAlign w:val="center"/>
          </w:tcPr>
          <w:p>
            <w:pPr>
              <w:spacing w:line="240" w:lineRule="exact"/>
              <w:jc w:val="center"/>
              <w:rPr>
                <w:rFonts w:ascii="仿宋_GB2312" w:eastAsia="仿宋_GB2312" w:cs="仿宋_GB2312" w:hAnsi="仿宋_GB2312"/>
                <w:sz w:val="20"/>
                <w:szCs w:val="20"/>
              </w:rPr>
            </w:pPr>
          </w:p>
        </w:tc>
      </w:tr>
      <w:tr>
        <w:trPr>
          <w:trHeight w:val="8957"/>
          <w:gridBefore w:val="1"/>
          <w:wBefore w:w="106" w:type="dxa"/>
          <w:gridAfter w:val="1"/>
          <w:wAfter w:w="1" w:type="dxa"/>
        </w:trPr>
        <w:tc>
          <w:tcPr>
            <w:tcW w:w="544" w:type="dxa"/>
            <w:gridSpan w:val="2"/>
            <w:tcBorders>
              <w:left w:val="single" w:sz="6" w:space="0" w:color="000000"/>
              <w:tl2br w:val="nil"/>
              <w:tr2bl w:val="nil"/>
            </w:tcBorders>
            <w:shd w:val="clear" w:color="auto" w:fill="auto"/>
            <w:vAlign w:val="center"/>
          </w:tcPr>
          <w:p>
            <w:pPr>
              <w:spacing w:line="240" w:lineRule="exact"/>
              <w:jc w:val="both"/>
              <w:rPr>
                <w:rFonts w:ascii="仿宋_GB2312" w:eastAsia="仿宋_GB2312" w:cs="仿宋_GB2312" w:hAnsi="仿宋_GB2312"/>
                <w:sz w:val="20"/>
                <w:szCs w:val="20"/>
              </w:rPr>
            </w:pPr>
            <w:r>
              <w:rPr>
                <w:rFonts w:ascii="仿宋_GB2312" w:eastAsia="仿宋_GB2312" w:cs="仿宋_GB2312" w:hAnsi="仿宋_GB2312"/>
                <w:sz w:val="20"/>
                <w:szCs w:val="20"/>
              </w:rPr>
              <w:t>23</w:t>
            </w:r>
          </w:p>
        </w:tc>
        <w:tc>
          <w:tcPr>
            <w:tcW w:w="850" w:type="dxa"/>
            <w:gridSpan w:val="2"/>
            <w:tcBorders>
              <w:left w:val="single" w:sz="6" w:space="0" w:color="000000"/>
              <w:righ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kern w:val="2"/>
                <w:sz w:val="20"/>
                <w:szCs w:val="20"/>
                <w:lang w:val="en-US" w:eastAsia="zh-CN" w:bidi="ar-SA"/>
              </w:rPr>
            </w:pPr>
            <w:r>
              <w:rPr>
                <w:rFonts w:ascii="仿宋_GB2312" w:eastAsia="仿宋_GB2312" w:cs="仿宋_GB2312" w:hAnsi="仿宋_GB2312" w:hint="eastAsia"/>
                <w:kern w:val="0"/>
                <w:sz w:val="20"/>
                <w:szCs w:val="20"/>
              </w:rPr>
              <w:t>行政检查</w:t>
            </w:r>
          </w:p>
        </w:tc>
        <w:tc>
          <w:tcPr>
            <w:tcW w:w="1134" w:type="dxa"/>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kern w:val="2"/>
                <w:sz w:val="20"/>
                <w:szCs w:val="20"/>
                <w:lang w:val="en-US" w:eastAsia="zh-CN" w:bidi="ar-SA"/>
              </w:rPr>
            </w:pPr>
            <w:r>
              <w:rPr>
                <w:rFonts w:ascii="仿宋_GB2312" w:eastAsia="仿宋_GB2312" w:cs="仿宋_GB2312" w:hAnsi="仿宋_GB2312" w:hint="eastAsia"/>
                <w:kern w:val="0"/>
                <w:sz w:val="20"/>
                <w:szCs w:val="20"/>
              </w:rPr>
              <w:t>对人防工程维护管理的监督检查</w:t>
            </w:r>
          </w:p>
        </w:tc>
        <w:tc>
          <w:tcPr>
            <w:tcW w:w="311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2"/>
                <w:sz w:val="18"/>
                <w:szCs w:val="18"/>
                <w:lang w:val="en-US" w:eastAsia="zh-CN" w:bidi="ar-SA"/>
              </w:rPr>
            </w:pPr>
            <w:r>
              <w:rPr>
                <w:rFonts w:ascii="仿宋_GB2312" w:eastAsia="仿宋_GB2312" w:cs="仿宋_GB2312" w:hAnsi="仿宋_GB2312" w:hint="eastAsia"/>
                <w:kern w:val="0"/>
                <w:sz w:val="18"/>
                <w:szCs w:val="18"/>
              </w:rPr>
              <w:t>1.《中华人民共和国人民防空法》（1996年月29日第八届全国人民代表大会常务委员会第二十二次会议通过，2009年8月27日修正）第二十五条 人民防空主管部门对人民防空工程的维护管理进行监督检查。</w:t>
              <w:br/>
              <w:t>2.《河北省实施〈中华人民共和国人民防空法〉办法》（1998年12月26日河北省第九届人民代表大会常务委员会第六次会议通过，2022年5月27日河北省第十三届人民代表大会常务委员会第三十次会议《河北省人民代表大会常务委员会关于修改</w:t>
            </w:r>
            <w:r>
              <w:rPr>
                <w:rFonts w:ascii="仿宋_GB2312" w:eastAsia="仿宋_GB2312" w:cs="仿宋_GB2312" w:hAnsi="仿宋_GB2312"/>
                <w:kern w:val="0"/>
                <w:sz w:val="18"/>
                <w:szCs w:val="18"/>
              </w:rPr>
              <w:t>&lt;</w:t>
            </w:r>
            <w:r>
              <w:rPr>
                <w:rFonts w:ascii="仿宋_GB2312" w:eastAsia="仿宋_GB2312" w:cs="仿宋_GB2312" w:hAnsi="仿宋_GB2312" w:hint="eastAsia"/>
                <w:kern w:val="0"/>
                <w:sz w:val="18"/>
                <w:szCs w:val="18"/>
              </w:rPr>
              <w:t>河北省实施《中华人民共和国人民防空法》办法</w:t>
            </w:r>
            <w:r>
              <w:rPr>
                <w:rFonts w:ascii="仿宋_GB2312" w:eastAsia="仿宋_GB2312" w:cs="仿宋_GB2312" w:hAnsi="仿宋_GB2312"/>
                <w:kern w:val="0"/>
                <w:sz w:val="18"/>
                <w:szCs w:val="18"/>
              </w:rPr>
              <w:t>&gt;</w:t>
            </w:r>
            <w:r>
              <w:rPr>
                <w:rFonts w:ascii="仿宋_GB2312" w:eastAsia="仿宋_GB2312" w:cs="仿宋_GB2312" w:hAnsi="仿宋_GB2312" w:hint="eastAsia"/>
                <w:kern w:val="0"/>
                <w:sz w:val="18"/>
                <w:szCs w:val="18"/>
              </w:rPr>
              <w:t>的决定》修正）第十六条第二款 人民防空主管部门应当对人民防空工程的维护管理进行监督检查，被监督检查单位应当如实提供情况和必要的资料。</w:t>
              <w:br/>
              <w:t>3.《河北省人民防空工程维护与使用管理条例》（2006年 7 月 1 日河北省第十届人民代表大会常务委员会公告第 56 号）第五条 县级以上人民政府人民防空主管部门负责本行政区域内人民防空工程维护与使用的监督管理。第十九条人民防空主管部门应当定期对人民防空工程的维护与使用情况进行监督检查，以保障人民防空工程的安全和使用效能。被检查者应当予以配合，如实反映情况，提供有关材料。</w:t>
              <w:br/>
              <w:t>4.《秦皇岛市物业管理条例》（2017年10月27日秦皇岛市十四届人民代表大会常务委员会第5次会议通过，2018年3月29日河北省第十三届人民代表大会常务委员会第二次会议批准。）第六十条 市、县（区）各有关部门履行下列职责：（九）人防部门负责物业管理区域内人防工程维护管理的监督检查工作。</w:t>
            </w:r>
          </w:p>
        </w:tc>
        <w:tc>
          <w:tcPr>
            <w:tcW w:w="1134" w:type="dxa"/>
            <w:gridSpan w:val="3"/>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kern w:val="2"/>
                <w:sz w:val="20"/>
                <w:szCs w:val="20"/>
                <w:lang w:val="en-US" w:eastAsia="zh-CN" w:bidi="ar-SA"/>
              </w:rPr>
            </w:pPr>
            <w:r>
              <w:rPr>
                <w:rFonts w:ascii="仿宋_GB2312" w:eastAsia="仿宋_GB2312" w:cs="仿宋_GB2312" w:hAnsi="仿宋_GB2312" w:hint="eastAsia"/>
                <w:kern w:val="0"/>
                <w:sz w:val="20"/>
                <w:szCs w:val="20"/>
              </w:rPr>
              <w:t>省人防办</w:t>
            </w:r>
          </w:p>
        </w:tc>
        <w:tc>
          <w:tcPr>
            <w:tcW w:w="964" w:type="dxa"/>
            <w:gridSpan w:val="2"/>
            <w:tcBorders>
              <w:lef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kern w:val="2"/>
                <w:sz w:val="20"/>
                <w:szCs w:val="20"/>
                <w:lang w:val="en-US" w:eastAsia="zh-CN" w:bidi="ar-SA"/>
              </w:rPr>
            </w:pPr>
            <w:r>
              <w:rPr>
                <w:rFonts w:ascii="仿宋_GB2312" w:eastAsia="仿宋_GB2312" w:cs="仿宋_GB2312" w:hAnsi="仿宋_GB2312" w:hint="eastAsia"/>
                <w:kern w:val="0"/>
                <w:sz w:val="20"/>
                <w:szCs w:val="20"/>
              </w:rPr>
              <w:t>市级、县级</w:t>
            </w:r>
          </w:p>
        </w:tc>
        <w:tc>
          <w:tcPr>
            <w:tcW w:w="396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2"/>
                <w:sz w:val="20"/>
                <w:szCs w:val="20"/>
                <w:lang w:val="en-US" w:eastAsia="zh-CN" w:bidi="ar-SA"/>
              </w:rPr>
            </w:pPr>
            <w:r>
              <w:rPr>
                <w:rFonts w:ascii="仿宋_GB2312" w:eastAsia="仿宋_GB2312" w:cs="仿宋_GB2312" w:hAnsi="仿宋_GB2312" w:hint="eastAsia"/>
                <w:kern w:val="0"/>
                <w:sz w:val="20"/>
                <w:szCs w:val="20"/>
              </w:rPr>
              <w:t>1.检查责任：按照工作计划安排开展监督检查，由2人以上行政执法人员，出示行政执法证，严格落实行政执法“三项制度”。</w:t>
              <w:br/>
              <w:t>2.处置责任：对监督检查发现的问题，出具《责令（限期）整改通知书》责令限期整改。</w:t>
              <w:br/>
              <w:t>3.事后监管责任：按要求对监督检查发现问题的整改情况进行核查。</w:t>
              <w:br/>
              <w:t>4.法律法规规章等规定应履行的责任。</w:t>
            </w:r>
          </w:p>
        </w:tc>
        <w:tc>
          <w:tcPr>
            <w:tcW w:w="3402" w:type="dxa"/>
            <w:gridSpan w:val="3"/>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2"/>
                <w:sz w:val="20"/>
                <w:szCs w:val="20"/>
                <w:lang w:val="en-US" w:eastAsia="zh-CN" w:bidi="ar-SA"/>
              </w:rPr>
            </w:pPr>
            <w:r>
              <w:rPr>
                <w:rFonts w:ascii="仿宋_GB2312" w:eastAsia="仿宋_GB2312" w:cs="仿宋_GB2312" w:hAnsi="仿宋_GB2312" w:hint="eastAsia"/>
                <w:kern w:val="0"/>
                <w:sz w:val="20"/>
                <w:szCs w:val="20"/>
              </w:rPr>
              <w:t>因不履行或不正确履行行政职责，有下列情形的，行政机关及相关工作人员应承担相应责任：</w:t>
              <w:br/>
              <w:t>1.不履行法定职能，未组织开展相关监督检查；</w:t>
              <w:br/>
              <w:t>2.在行政检查过程中忽职守、滥用职权、徇私舞弊的；</w:t>
              <w:br/>
              <w:t>3.对监督检查发现的问题整改情况未组织进行核查，造成严重后果和不良影响的；</w:t>
              <w:br/>
              <w:t>4.其他违反法律法规规章文件规定的行为。</w:t>
            </w:r>
          </w:p>
        </w:tc>
        <w:tc>
          <w:tcPr>
            <w:tcW w:w="567" w:type="dxa"/>
            <w:gridSpan w:val="3"/>
            <w:tcBorders>
              <w:left w:val="single" w:sz="6" w:space="0" w:color="000000"/>
              <w:tl2br w:val="nil"/>
              <w:tr2bl w:val="nil"/>
            </w:tcBorders>
            <w:shd w:val="clear" w:color="auto" w:fill="auto"/>
            <w:vAlign w:val="center"/>
          </w:tcPr>
          <w:p>
            <w:pPr>
              <w:spacing w:line="240" w:lineRule="exact"/>
              <w:jc w:val="center"/>
              <w:rPr>
                <w:rFonts w:ascii="仿宋_GB2312" w:eastAsia="仿宋_GB2312" w:cs="仿宋_GB2312" w:hAnsi="仿宋_GB2312"/>
                <w:sz w:val="20"/>
                <w:szCs w:val="20"/>
              </w:rPr>
            </w:pPr>
          </w:p>
        </w:tc>
      </w:tr>
      <w:tr>
        <w:trPr>
          <w:trHeight w:val="8957"/>
          <w:gridBefore w:val="1"/>
          <w:wBefore w:w="106" w:type="dxa"/>
          <w:gridAfter w:val="1"/>
          <w:wAfter w:w="1" w:type="dxa"/>
        </w:trPr>
        <w:tc>
          <w:tcPr>
            <w:tcW w:w="544" w:type="dxa"/>
            <w:gridSpan w:val="2"/>
            <w:tcBorders>
              <w:left w:val="single" w:sz="6" w:space="0" w:color="000000"/>
              <w:tl2br w:val="nil"/>
              <w:tr2bl w:val="nil"/>
            </w:tcBorders>
            <w:shd w:val="clear" w:color="auto" w:fill="auto"/>
            <w:vAlign w:val="center"/>
          </w:tcPr>
          <w:p>
            <w:pPr>
              <w:spacing w:line="240" w:lineRule="exact"/>
              <w:jc w:val="both"/>
              <w:rPr>
                <w:rFonts w:ascii="仿宋_GB2312" w:eastAsia="仿宋_GB2312" w:cs="仿宋_GB2312" w:hAnsi="仿宋_GB2312"/>
                <w:sz w:val="20"/>
                <w:szCs w:val="20"/>
              </w:rPr>
            </w:pPr>
            <w:r>
              <w:rPr>
                <w:rFonts w:ascii="仿宋_GB2312" w:eastAsia="仿宋_GB2312" w:cs="仿宋_GB2312" w:hAnsi="仿宋_GB2312"/>
                <w:sz w:val="20"/>
                <w:szCs w:val="20"/>
              </w:rPr>
              <w:t>1</w:t>
            </w:r>
          </w:p>
        </w:tc>
        <w:tc>
          <w:tcPr>
            <w:tcW w:w="850" w:type="dxa"/>
            <w:gridSpan w:val="2"/>
            <w:tcBorders>
              <w:left w:val="single" w:sz="6" w:space="0" w:color="000000"/>
              <w:right w:val="single" w:sz="6" w:space="0" w:color="000000"/>
              <w:tl2br w:val="nil"/>
              <w:tr2bl w:val="nil"/>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行政强制</w:t>
            </w:r>
          </w:p>
        </w:tc>
        <w:tc>
          <w:tcPr>
            <w:tcW w:w="1134" w:type="dxa"/>
            <w:tcBorders>
              <w:left w:val="single" w:sz="6" w:space="0" w:color="00000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对非法收购或者不符合国家粮食质量安全标准的粮食等行为的行政强制</w:t>
            </w:r>
          </w:p>
        </w:tc>
        <w:tc>
          <w:tcPr>
            <w:tcW w:w="3118" w:type="dxa"/>
            <w:gridSpan w:val="2"/>
            <w:tcBorders>
              <w:left w:val="single" w:sz="6" w:space="0" w:color="00000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《粮食流通管理条例》（2021年国务院令第740号）第三十八条 粮食和储备行政管理部门依照本条例对粮食经营者从事粮食收购、储存、运输活动和政策性粮食的购销活动，以及执行国家粮食流通统计制度的情况进行监督检查......查封、扣押非法收购或者不符合国家粮食质量安全标准的粮食，用于违法经营或者被污染的工具、设备以及有关账簿资料；查封违法从事粮食经营活动的场所。</w:t>
            </w:r>
          </w:p>
        </w:tc>
        <w:tc>
          <w:tcPr>
            <w:tcW w:w="1134" w:type="dxa"/>
            <w:gridSpan w:val="3"/>
            <w:tcBorders>
              <w:left w:val="single" w:sz="6" w:space="0" w:color="00000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省粮食和物资储备局</w:t>
            </w:r>
          </w:p>
        </w:tc>
        <w:tc>
          <w:tcPr>
            <w:tcW w:w="964" w:type="dxa"/>
            <w:gridSpan w:val="2"/>
            <w:tcBorders>
              <w:left w:val="single" w:sz="6" w:space="0" w:color="000000"/>
              <w:tl2br w:val="nil"/>
              <w:tr2bl w:val="nil"/>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2"/>
                <w:sz w:val="20"/>
                <w:szCs w:val="20"/>
                <w:u w:val="none"/>
                <w:lang w:val="en-US" w:eastAsia="zh-CN" w:bidi="ar-SA"/>
                <w:highlight w:val="auto"/>
              </w:rPr>
            </w:pPr>
            <w:r>
              <w:rPr>
                <w:rFonts w:ascii="仿宋_GB2312" w:eastAsia="仿宋_GB2312" w:cs="仿宋_GB2312" w:hAnsi="仿宋_GB2312" w:hint="eastAsia"/>
                <w:i w:val="0"/>
                <w:iCs w:val="0"/>
                <w:sz w:val="20"/>
                <w:szCs w:val="20"/>
                <w:u w:val="none"/>
                <w:lang w:eastAsia="zh-CN"/>
                <w:highlight w:val="auto"/>
              </w:rPr>
              <w:t>市级、县级</w:t>
            </w:r>
          </w:p>
        </w:tc>
        <w:tc>
          <w:tcPr>
            <w:tcW w:w="3968" w:type="dxa"/>
            <w:gridSpan w:val="2"/>
            <w:tcBorders>
              <w:left w:val="single" w:sz="6" w:space="0" w:color="00000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1.告知责任：通知当事人到场。依法告知当事人实施行政强制的理由、依据以及当事人依法享有的权利、救济途径。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2.决定责任：充分听取当事人的意见，对当事人提出的事实、理由和证据进行记录、复核，无正当理由的，向行政机关负责人报告并经批准作出行政强制执行决定，送达行政强制执行决定书。根据中止和终结执行的适用情形，做出中止和终结执行决定。</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3.执行责任：妥善保管查封、扣押的场所、设施设备、财物或者资料；及时查清事实，在查封、扣押的法定期限内作出处理决定；对违法事实清楚，依法应当没收的非法财物予以没收，法律、行政法规规定应当销毁的，依法销毁，应当解除查封、扣押的，作出解除查封、扣押的决定。</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4.其他法律法规规章等规定应履行的责任。</w:t>
            </w:r>
          </w:p>
        </w:tc>
        <w:tc>
          <w:tcPr>
            <w:tcW w:w="3402" w:type="dxa"/>
            <w:gridSpan w:val="3"/>
            <w:tcBorders>
              <w:left w:val="single" w:sz="6" w:space="0" w:color="00000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1.对不符合条件的实施行政强制的。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2.因违法实施行政强制，给行政相对人造成损失的。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3.未依法实施强制造成行政相对人合法利益损害和财产损失的。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4.违反法定权限、程序实施行政强制的。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5.在实施行政强制中玩忽职守、滥用职权的。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highlight w:val="auto"/>
              </w:rPr>
            </w:pPr>
            <w:r>
              <w:rPr>
                <w:rFonts w:ascii="仿宋_GB2312" w:eastAsia="仿宋_GB2312" w:cs="仿宋_GB2312" w:hAnsi="仿宋_GB2312" w:hint="eastAsia"/>
                <w:i w:val="0"/>
                <w:iCs w:val="0"/>
                <w:kern w:val="0"/>
                <w:sz w:val="20"/>
                <w:szCs w:val="20"/>
                <w:u w:val="none"/>
                <w:lang w:val="en-US" w:eastAsia="zh-CN"/>
                <w:highlight w:val="auto"/>
              </w:rPr>
              <w:t>6.在行使行政强制权过程中发生腐败行为的。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kern w:val="0"/>
                <w:sz w:val="20"/>
                <w:szCs w:val="20"/>
                <w:u w:val="none"/>
                <w:lang w:val="en-US" w:eastAsia="zh-CN" w:bidi="ar-SA"/>
                <w:highlight w:val="auto"/>
              </w:rPr>
            </w:pPr>
            <w:r>
              <w:rPr>
                <w:rFonts w:ascii="仿宋_GB2312" w:eastAsia="仿宋_GB2312" w:cs="仿宋_GB2312" w:hAnsi="仿宋_GB2312" w:hint="eastAsia"/>
                <w:i w:val="0"/>
                <w:iCs w:val="0"/>
                <w:kern w:val="0"/>
                <w:sz w:val="20"/>
                <w:szCs w:val="20"/>
                <w:u w:val="none"/>
                <w:lang w:val="en-US" w:eastAsia="zh-CN"/>
                <w:highlight w:val="auto"/>
              </w:rPr>
              <w:t>7.其他违反法律法规规章等规定的行为。</w:t>
            </w:r>
          </w:p>
        </w:tc>
        <w:tc>
          <w:tcPr>
            <w:tcW w:w="567" w:type="dxa"/>
            <w:gridSpan w:val="3"/>
            <w:tcBorders>
              <w:left w:val="single" w:sz="6" w:space="0" w:color="000000"/>
              <w:tl2br w:val="nil"/>
              <w:tr2bl w:val="nil"/>
            </w:tcBorders>
            <w:shd w:val="clear" w:color="auto" w:fill="auto"/>
            <w:vAlign w:val="center"/>
          </w:tcPr>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center"/>
              <w:rPr>
                <w:rFonts w:ascii="仿宋_GB2312" w:eastAsia="仿宋_GB2312" w:cs="仿宋_GB2312" w:hAnsi="仿宋_GB2312"/>
                <w:sz w:val="20"/>
                <w:szCs w:val="20"/>
              </w:rPr>
            </w:pPr>
          </w:p>
          <w:p>
            <w:pPr>
              <w:spacing w:line="240" w:lineRule="exact"/>
              <w:jc w:val="both"/>
              <w:rPr>
                <w:rFonts w:ascii="仿宋_GB2312" w:eastAsia="仿宋_GB2312" w:cs="仿宋_GB2312" w:hAnsi="仿宋_GB2312"/>
                <w:sz w:val="20"/>
                <w:szCs w:val="20"/>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行政确认</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价格认定</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 xml:space="preserve">1.国家计划委员会、最高人民法院、最高人民检察院、公安部《关于印发＜扣押、追缴、没收物品估价管理办法＞的通知》（计办【1997】808号） </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2.国家发展改革委、最高人民法院、最高人民检察院、公安部、财政部《关于扣押、追缴、没收及收缴财物价格鉴定管理的补充通知》（发改价格【2008】1392号）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3.国务院清理经济鉴证类社会中介机构领导小组《关于印发＜关于规范价格鉴证机构管理意见＞的通知》（国清3号）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4.国家计委转发《关于规范价格鉴证机构管理意见的通知》（计经调【2000】1786号）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5.《河北省涉案资产价格鉴证管理条例》（河北省第九届人民代表大会常务委员会第74号公告）</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6.中共中央纪委、国家发展改革委、监察部、财政部关于印发《纪检监察机关查办案件涉案财物价格认定工作暂行办法》的通知（中纪发【2010】35号）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7.国家发展改革委关于印发《价格认定规定》的通知（发改价格【2015】2251号）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8.国家发展改革委、国家税务总局《关于开展涉税财物价格认定工作的指导意见》（发改价格【2010】770号）</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9.河北省物价局、河北省地方税务局、河北省财政厅关于印发《河北省应税物价格认定暂行管理办法》（冀价认字【2007】8号）</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1.审查责任:对纪检监察、司法、行政工作中所涉及的，价格不明或者价格有争议的，实行市场调节价的有形产品、无形资产和各类有偿服务进行价格确认。</w:t>
              <w:br/>
              <w:t>2.决定责任:作出价格认定结论。</w:t>
              <w:br/>
              <w:t>3.其他法律法规规章文件规定应履行的责任。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1.价格认定人员因主观故意或者过失，出具虚假价格认定结论或者价格认定结论有重大差错的；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2.将依法取得的价格认定资料或者了解的情况用于其它目的的；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 xml:space="preserve">3.其它违反法律法规规章文件规定的行为。        </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2</w:t>
            </w: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行政确认</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确认高危及重要电力用户名单及审核批准自备应急电源的配置方案</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spacing w:line="240" w:lineRule="exact"/>
              <w:ind w:firstLineChars="200" w:firstLine="360"/>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《河北省高危及重要电力用户自备应急电源管理办法》(〔2010〕1369号)</w:t>
            </w:r>
          </w:p>
          <w:p>
            <w:pPr>
              <w:numPr>
                <w:ilvl w:val="0"/>
                <w:numId w:val="6"/>
              </w:numPr>
              <w:spacing w:line="240" w:lineRule="exact"/>
              <w:ind w:left="0" w:firstLineChars="200" w:firstLine="360"/>
              <w:rPr>
                <w:rFonts w:ascii="仿宋_GB2312" w:eastAsia="仿宋_GB2312" w:cs="仿宋_GB2312" w:hAnsi="仿宋_GB2312" w:hint="eastAsia"/>
                <w:i w:val="0"/>
                <w:iCs w:val="0"/>
                <w:kern w:val="0"/>
                <w:sz w:val="18"/>
                <w:szCs w:val="18"/>
                <w:u w:val="none"/>
                <w:lang w:val="en-US" w:eastAsia="zh-CN"/>
                <w:highlight w:val="auto"/>
              </w:rPr>
            </w:pPr>
            <w:r>
              <w:rPr>
                <w:rFonts w:ascii="仿宋_GB2312" w:eastAsia="仿宋_GB2312" w:cs="仿宋_GB2312" w:hAnsi="仿宋_GB2312" w:hint="eastAsia"/>
                <w:i w:val="0"/>
                <w:iCs w:val="0"/>
                <w:kern w:val="0"/>
                <w:sz w:val="18"/>
                <w:szCs w:val="18"/>
                <w:u w:val="none"/>
                <w:lang w:val="en-US" w:eastAsia="zh-CN"/>
                <w:highlight w:val="auto"/>
              </w:rPr>
              <w:t xml:space="preserve"> 县级以上人民政府电力行政管理部门负责确定本行政区域内高危及重要电力用户的名单，负责审核批准自备应急电源的配置方案。</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1.受理责任:依法受理或不予受理县级电力行政主管部门推荐意见和材料。</w:t>
              <w:br/>
              <w:t>2.审查责任:审核推荐意见和有关材料，高危及重要电力用户的名单；自备应急电源的配置方案的认定，由市电力行政主管部门自行认定或组织召开评审认定对自备应急电源的配置方案的意见。</w:t>
              <w:br/>
              <w:t>3.决定责任:做出申请人是否通过确认的决定;申请资料不全，一次性告知补交；不符合要求的，应当书面通知申请人。</w:t>
              <w:br/>
              <w:t>4.送达责任:通过确认的，纳入重要电力用户监督管理范围，并报市供电公司会备案。</w:t>
              <w:br/>
              <w:t>5.事后监管责任：对已确认的高危及重要电力用户名单及自备应急电源配置方案的单位或个人进行日常监督检查，并根据检查情况作出警告责令改正或撤销的决定。</w:t>
              <w:br/>
              <w:t>6.其他法律法规规章文件规定应履行的责任。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1.对符合受理条件的行政认定申请不予受理的;</w:t>
              <w:br/>
              <w:t>2.未严格按照相关政策、法律、法规履行审查义务，对应当予以认定的不予认定，或者对不应认定的予以认定;</w:t>
              <w:br/>
              <w:t>3.从事电力管理的工作人员滥用职权、徇私舞弊、玩忽职守的;</w:t>
              <w:br/>
              <w:t>4.从事电力管理管理的工作人员索贿、受贿，谋取不正当利益的；</w:t>
              <w:br/>
              <w:t>5.其他违反法律法规规章文件规定的行为。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After w:val="2"/>
          <w:wAfter w:w="106" w:type="dxa"/>
        </w:trPr>
        <w:tc>
          <w:tcPr>
            <w:tcW w:w="54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1</w:t>
            </w:r>
          </w:p>
        </w:tc>
        <w:tc>
          <w:tcPr>
            <w:tcW w:w="850"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行政备案</w:t>
            </w:r>
          </w:p>
        </w:tc>
        <w:tc>
          <w:tcPr>
            <w:tcW w:w="1240" w:type="dxa"/>
            <w:gridSpan w:val="2"/>
            <w:tcBorders>
              <w:left w:val="single" w:sz="4" w:space="0" w:color="000000"/>
              <w:righ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零售商促销活动内容备案</w:t>
            </w:r>
          </w:p>
        </w:tc>
        <w:tc>
          <w:tcPr>
            <w:tcW w:w="3012" w:type="dxa"/>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《零售商促销行为管理办法》（商务部令2006年第18号，2006年9月12日发布）第二十条 单店营业面积在3000平方米以上的零售商，以新店开业、节庆、店庆等名义开展促销活动，应当在促销活动结束后十五日内，将其明示的促销内容，向经营场所所在地的县级以上（含县级）商务主管部门备案。</w:t>
            </w:r>
          </w:p>
        </w:tc>
        <w:tc>
          <w:tcPr>
            <w:tcW w:w="1134"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省商务厅</w:t>
            </w:r>
          </w:p>
        </w:tc>
        <w:tc>
          <w:tcPr>
            <w:tcW w:w="964"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市级、县级</w:t>
            </w:r>
          </w:p>
        </w:tc>
        <w:tc>
          <w:tcPr>
            <w:tcW w:w="3969" w:type="dxa"/>
            <w:gridSpan w:val="2"/>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1.受理责任：对申请材料进行审查。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2.审核责任：依据《零售商促销行为管理办法》进行审核。</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3.备案责任：对符合备案条件的企业，予以备案。</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4.其他法律法规规章文件规定应履行的责任。</w:t>
            </w:r>
          </w:p>
        </w:tc>
        <w:tc>
          <w:tcPr>
            <w:tcW w:w="3402"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1.符合法定条件未受理、未办理的情形；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2.不符合法定条件受理、办理的情形；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3.不履行或不正确履行行政权力可能出现的不良后果情形；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4.在行政权力行使过程中的失职、渎职情形；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kern w:val="0"/>
                <w:sz w:val="20"/>
                <w:szCs w:val="20"/>
                <w:u w:val="none"/>
                <w:lang w:val="en-US" w:eastAsia="zh-CN"/>
              </w:rPr>
            </w:pPr>
            <w:r>
              <w:rPr>
                <w:rFonts w:ascii="仿宋_GB2312" w:eastAsia="仿宋_GB2312" w:cs="仿宋_GB2312" w:hAnsi="仿宋_GB2312" w:hint="eastAsia"/>
                <w:i w:val="0"/>
                <w:kern w:val="0"/>
                <w:sz w:val="20"/>
                <w:szCs w:val="20"/>
                <w:u w:val="none"/>
                <w:lang w:val="en-US" w:eastAsia="zh-CN"/>
              </w:rPr>
              <w:t>5.出现腐败行为的情形；</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ascii="仿宋_GB2312" w:eastAsia="仿宋_GB2312" w:cs="仿宋_GB2312" w:hAnsi="仿宋_GB2312" w:hint="eastAsia"/>
                <w:i w:val="0"/>
                <w:sz w:val="20"/>
                <w:szCs w:val="20"/>
                <w:u w:val="none"/>
              </w:rPr>
            </w:pPr>
            <w:r>
              <w:rPr>
                <w:rFonts w:ascii="仿宋_GB2312" w:eastAsia="仿宋_GB2312" w:cs="仿宋_GB2312" w:hAnsi="仿宋_GB2312" w:hint="eastAsia"/>
                <w:i w:val="0"/>
                <w:kern w:val="0"/>
                <w:sz w:val="20"/>
                <w:szCs w:val="20"/>
                <w:u w:val="none"/>
                <w:lang w:val="en-US" w:eastAsia="zh-CN"/>
              </w:rPr>
              <w:t>6.其他违反法律法规规章文件规定的行为。</w:t>
            </w:r>
          </w:p>
        </w:tc>
        <w:tc>
          <w:tcPr>
            <w:tcW w:w="567" w:type="dxa"/>
            <w:gridSpan w:val="3"/>
            <w:tcBorders>
              <w:left w:val="single" w:sz="4" w:space="0" w:color="000000"/>
              <w:tl2br w:val="nil"/>
              <w:tr2bl w:val="nil"/>
            </w:tcBorders>
            <w:shd w:val="clear" w:color="auto" w:fill="auto"/>
            <w:tcMar>
              <w:top w:w="15" w:type="dxa"/>
              <w:left w:w="15" w:type="dxa"/>
              <w:bottom w:w="15" w:type="dxa"/>
            </w:tcMar>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right="0" w:firstLine="0"/>
              <w:jc w:val="left"/>
              <w:outlineLvl w:val="9"/>
              <w:rPr>
                <w:rFonts w:ascii="仿宋_GB2312" w:eastAsia="仿宋_GB2312" w:cs="仿宋_GB2312" w:hAnsi="宋体" w:hint="eastAsia"/>
                <w:i w:val="0"/>
                <w:sz w:val="20"/>
                <w:szCs w:val="20"/>
                <w:u w:val="none"/>
              </w:rPr>
            </w:pPr>
          </w:p>
        </w:tc>
      </w:tr>
      <w:tr>
        <w:trPr>
          <w:trHeight w:val="8957"/>
          <w:gridBefore w:val="1"/>
          <w:wBefore w:w="106" w:type="dxa"/>
          <w:gridAfter w:val="1"/>
          <w:wAfter w:w="1" w:type="dxa"/>
        </w:trPr>
        <w:tc>
          <w:tcPr>
            <w:tcW w:w="544" w:type="dxa"/>
            <w:gridSpan w:val="2"/>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1</w:t>
            </w:r>
          </w:p>
        </w:tc>
        <w:tc>
          <w:tcPr>
            <w:tcW w:w="850" w:type="dxa"/>
            <w:gridSpan w:val="2"/>
            <w:tcBorders>
              <w:left w:val="single" w:sz="6" w:space="0" w:color="000000"/>
              <w:righ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行政奖励</w:t>
            </w:r>
          </w:p>
        </w:tc>
        <w:tc>
          <w:tcPr>
            <w:tcW w:w="1134" w:type="dxa"/>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对新建人民防空设施质量优良，管理、维护、保护和利用人民防空设施成绩显著以及在人民防空通信建设、宣传教育、科学研究等工作中做出突出贡献的单位和个人进行表彰和奖励。</w:t>
            </w:r>
          </w:p>
        </w:tc>
        <w:tc>
          <w:tcPr>
            <w:tcW w:w="311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河北省实施〈中华人民共和国人民防空法〉办法》（1998年12月26日河北省第九届人民代表大会常务委员会第六次会议通过，2022年5月27日河北省第十三届人民代表大会常务委员会第三十次会议《河北省人民代表大会常务委员会关于修改</w:t>
            </w:r>
            <w:r>
              <w:rPr>
                <w:rFonts w:ascii="仿宋_GB2312" w:eastAsia="仿宋_GB2312" w:cs="仿宋_GB2312" w:hAnsi="仿宋_GB2312"/>
                <w:kern w:val="0"/>
                <w:sz w:val="20"/>
                <w:szCs w:val="20"/>
              </w:rPr>
              <w:t>&lt;</w:t>
            </w:r>
            <w:r>
              <w:rPr>
                <w:rFonts w:ascii="仿宋_GB2312" w:eastAsia="仿宋_GB2312" w:cs="仿宋_GB2312" w:hAnsi="仿宋_GB2312" w:hint="eastAsia"/>
                <w:kern w:val="0"/>
                <w:sz w:val="20"/>
                <w:szCs w:val="20"/>
              </w:rPr>
              <w:t>河北省实施《中华人民共和国人民防空法》办法</w:t>
            </w:r>
            <w:r>
              <w:rPr>
                <w:rFonts w:ascii="仿宋_GB2312" w:eastAsia="仿宋_GB2312" w:cs="仿宋_GB2312" w:hAnsi="仿宋_GB2312"/>
                <w:kern w:val="0"/>
                <w:sz w:val="20"/>
                <w:szCs w:val="20"/>
              </w:rPr>
              <w:t>&gt;</w:t>
            </w:r>
            <w:r>
              <w:rPr>
                <w:rFonts w:ascii="仿宋_GB2312" w:eastAsia="仿宋_GB2312" w:cs="仿宋_GB2312" w:hAnsi="仿宋_GB2312" w:hint="eastAsia"/>
                <w:kern w:val="0"/>
                <w:sz w:val="20"/>
                <w:szCs w:val="20"/>
              </w:rPr>
              <w:t>的决定》修正）第七条  单位和个人有下列情况之一的，由县级以下人民政府、军事机关或者上级人民防空主管部门给予表彰和奖励：（一）新建人民防空设施质量优良的；（二）管理、维护保护和利用人民防空设施成绩显著的；（三）在人民防空通信建设、宣传教育、科学研究等工作中做出突出贡献的。</w:t>
            </w:r>
          </w:p>
        </w:tc>
        <w:tc>
          <w:tcPr>
            <w:tcW w:w="1134" w:type="dxa"/>
            <w:gridSpan w:val="3"/>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省人防办</w:t>
            </w:r>
          </w:p>
        </w:tc>
        <w:tc>
          <w:tcPr>
            <w:tcW w:w="964" w:type="dxa"/>
            <w:gridSpan w:val="2"/>
            <w:tcBorders>
              <w:lef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市级、县级</w:t>
            </w:r>
          </w:p>
        </w:tc>
        <w:tc>
          <w:tcPr>
            <w:tcW w:w="396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1.制定方案责任：在征求相关业务处室意见基础上，科学制定表彰方案。</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2.组织推荐责任：严格按照表彰方案规定的条件、程序，组织推荐工作，对推荐对象进行初审。</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3.审核公示责任：对符合条件的推荐对象进行审核，并报请主任办公会研究审定，并进行公示。如涉及国家秘密不宜公示的，经主管领导同意可不公示。</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4.表彰责任：需以省政府名义进行表彰的，按程序报请。</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5.其他法律法规规章文件规定应履行的责任。</w:t>
            </w:r>
          </w:p>
        </w:tc>
        <w:tc>
          <w:tcPr>
            <w:tcW w:w="3402" w:type="dxa"/>
            <w:gridSpan w:val="3"/>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因不履行或不正确履行行政职责，有下列情形的，行政机关及相关工作人员应承担相应责任：</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1.对有关举报未及时受理处理的。</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2.有徇私舞弊、弄虚作假、不按规定条件和程序进行奖励等违法违纪行为的。</w:t>
            </w:r>
          </w:p>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3.其他违反法律法规规章文件规定的行为。</w:t>
            </w:r>
          </w:p>
        </w:tc>
        <w:tc>
          <w:tcPr>
            <w:tcW w:w="567" w:type="dxa"/>
            <w:gridSpan w:val="3"/>
            <w:tcBorders>
              <w:left w:val="single" w:sz="6" w:space="0" w:color="000000"/>
              <w:tl2br w:val="nil"/>
              <w:tr2bl w:val="nil"/>
            </w:tcBorders>
            <w:shd w:val="clear" w:color="auto" w:fill="auto"/>
            <w:vAlign w:val="center"/>
          </w:tcPr>
          <w:p>
            <w:pPr>
              <w:spacing w:line="240" w:lineRule="exact"/>
              <w:jc w:val="left"/>
              <w:rPr>
                <w:rFonts w:ascii="仿宋_GB2312" w:eastAsia="仿宋_GB2312" w:cs="仿宋_GB2312" w:hAnsi="仿宋_GB2312"/>
                <w:sz w:val="20"/>
                <w:szCs w:val="20"/>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省战略性新兴产业发展专项资金补助项目资金申请报告转报审核</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《河北省战略性新兴产业发展专项资金管理办法》（冀财规</w:t>
            </w:r>
            <w:r>
              <w:rPr>
                <w:rFonts w:ascii="微软雅黑" w:eastAsia="微软雅黑" w:cs="微软雅黑" w:hAnsi="微软雅黑" w:hint="eastAsia"/>
                <w:i w:val="0"/>
                <w:iCs w:val="0"/>
                <w:kern w:val="0"/>
                <w:sz w:val="20"/>
                <w:szCs w:val="20"/>
                <w:u w:val="none"/>
                <w:lang w:val="en-US" w:eastAsia="zh-CN"/>
              </w:rPr>
              <w:t>〔</w:t>
            </w:r>
            <w:r>
              <w:rPr>
                <w:rFonts w:ascii="仿宋_GB2312" w:eastAsia="仿宋_GB2312" w:cs="仿宋_GB2312" w:hAnsi="仿宋_GB2312" w:hint="eastAsia"/>
                <w:i w:val="0"/>
                <w:iCs w:val="0"/>
                <w:kern w:val="0"/>
                <w:sz w:val="20"/>
                <w:szCs w:val="20"/>
                <w:u w:val="none"/>
                <w:lang w:val="en-US" w:eastAsia="zh-CN"/>
              </w:rPr>
              <w:t>2022</w:t>
            </w:r>
            <w:r>
              <w:rPr>
                <w:rFonts w:ascii="微软雅黑" w:eastAsia="微软雅黑" w:cs="微软雅黑" w:hAnsi="微软雅黑" w:hint="eastAsia"/>
                <w:i w:val="0"/>
                <w:iCs w:val="0"/>
                <w:kern w:val="0"/>
                <w:sz w:val="20"/>
                <w:szCs w:val="20"/>
                <w:u w:val="none"/>
                <w:lang w:val="en-US" w:eastAsia="zh-CN"/>
              </w:rPr>
              <w:t>〕</w:t>
            </w:r>
            <w:r>
              <w:rPr>
                <w:rFonts w:ascii="仿宋_GB2312" w:eastAsia="仿宋_GB2312" w:cs="仿宋_GB2312" w:hAnsi="仿宋_GB2312" w:hint="eastAsia"/>
                <w:i w:val="0"/>
                <w:iCs w:val="0"/>
                <w:kern w:val="0"/>
                <w:sz w:val="20"/>
                <w:szCs w:val="20"/>
                <w:u w:val="none"/>
                <w:lang w:val="en-US" w:eastAsia="zh-CN"/>
              </w:rPr>
              <w:t>6号）第八条 专项资金采取专家论证、竞争性评审、综合审查等方式进行分配。</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1.受理责任：公示依法应当提交的材料，一次性告知补正材料，依法受理或不予受理（不予受理应当告知理由）。</w:t>
              <w:br/>
              <w:t>2.审查责任：对是否符合本规定的资金投向和申请程序、有关专项工作方案或管理办法的要求，主要建设条件是否基本落实，是否通完成审批（核准、备案）情况进行审核。</w:t>
              <w:br/>
              <w:t>3.报送责任：对资金申请报告提出审核意见，汇总省发展改革委。</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1.负责中央预算内投资补助和贴息项目资金申请报告转报审核工作人员徇私舞弊、滥用职权、玩忽职守的。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hint="eastAsia"/>
                <w:i w:val="0"/>
                <w:iCs w:val="0"/>
                <w:sz w:val="20"/>
                <w:szCs w:val="20"/>
                <w:u w:val="none"/>
                <w:lang w:val="en-US" w:eastAsia="zh-CN"/>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价格监测</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1.《价格法》第二十八条 为适应价格调控和管理的需要，政府价格主管部门应当建立价格监测制度，对重要商品、服务价格的变动进行监测。</w:t>
              <w:br/>
              <w:t>2.《价格监测规定》（2003年4月国家发展改革委令第1号）第三条 国务院价格主管部门负责组织和协调全国价格监测工作，县级以上各级人民政府价格主管部门负责组织和协调本地区的价格监测工作。价格监测的具体工作，由各级人民政府价格主管部门的价格监测机构及相关业务机构负责实施。</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1.制定补充的价格监测项目和标准职责：根据本行政区域内经济活动的实际情况和价格工作的需要，制定或授权下级人民政府价格主管部门制定补充的价格监测项目和标准，报国务院价格主管部门备案。</w:t>
              <w:br/>
              <w:t>2.收集价格资料职责：按照价格监测报告制度规定的内容、标准、方法、时间和程序进行。</w:t>
              <w:br/>
              <w:t>3.监测责任：调查和分析重要商品、服务价格，以及相关成本与市场供求的变动情况；跟踪反馈国家重要经济政策在价格领域的反映；实施价格预测、预警，并及时提出政策建议</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因不履行或不正确履行行政职责，有下列情形的行政机关及相关工作人员应承担相应的责任：</w:t>
              <w:br/>
              <w:t>1.不执行价格监测制度，影响价格监测工作的；</w:t>
              <w:br/>
              <w:t>2.上报价格数据错误较多，严重影响数据准确性和代表性的；</w:t>
              <w:br/>
              <w:t>3.玩忽职守、弄虚作假、瞒报、虚报或篡改价格数据资料，造成全国或地区汇总数据严重失实的；</w:t>
              <w:br/>
              <w:t>4.违反有关保密规定的。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政府定价成本调查监审</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价格法》第二十一条制定政府指导价、政府定价，应当依据有关商品或者服务的社会平均成本和市场供求状况，国民经济与社会发展要求以及社会承受能力，实行合理的购销差价、批零差价、地区差价和季节差价。第二十二条 政府价格主管部门和其他有关部门制定政府指导价、政府定价，应当开展价格、成本调查，听取消费者、经营者和有关方面的意见。政府价格主管部门开展对政府指导价、政府定价的价格、成本调查时，有关单位应当如实反映情况提供必需的帐薄、文件以及其他资料。</w:t>
              <w:br/>
              <w:t>2.《政府制定价格成本监审办法》（国家发展改革委2017年第 8 号令）</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1.书面通知责任：书面通知有关经营者明确成本，监审范围，监审形式，监审期间，以及需要提供的资料和进行实地审核的要求等内容。</w:t>
              <w:br/>
              <w:t>2.资料初审责任：按时对资料的完整性进行初审，不完整的限期补充。</w:t>
              <w:br/>
              <w:t>3.实地审核责任：调查了解经营者生产经营情况，查阅、复制有关资料，按照有关规定对经营者成本进行审核。</w:t>
              <w:br/>
              <w:t>4.出具成本监审报告责任：按照法定程序和内容出具成本监审报告。</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1.超越定价权限和范围擅自制定、调整价格或者不执行法定的价格干预措施、紧急措施的；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2.价格工作人员泄露国家秘密、商业秘密以及滥用职权、徇私舞弊、玩忽职守、索贿受贿的。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中央预算内投资补助和贴息项目资金申请报告转报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1.《中央预算内投资补助和贴息项目管理办法》（国家发展改革委令2016年第45号）第十条 资金申请报告由需要申请投资补助或者贴息资金的项目单位提出，按程序报送项目汇总申报单位。项目汇总申报单位应当对资金申请报告提出审核意见，并汇总报送国家发展改革委。资金申请报告可以单独报送，或者与年度投资计划申请合并报送。各省、自治区、直辖市和计划单列市、新疆生产建设兵团发展改革委（以下简称省级发展改革委）、计划单列企业集团和中央管理企业等为项目汇总申报单位。</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1.受理责任：公示依法应当提交的材料，一次性告知补正材料，依法受理或不予受理（不予受理应当告知理由）。</w:t>
              <w:br/>
              <w:t>2.审查责任：对是否符合本办法规定的资金投向和申请程序、有关专项工作方案或管理办法的要求，主要建设条件是否基本落实，对是否列入三年滚动投资计划并通过在线平台完成审批（核准、备案）情况进行审核。</w:t>
              <w:br/>
              <w:t>3.报送责任：对资金申请报告提出审核意见，汇总报送省发展改革委。</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1.提供虚假情况，骗取投资补助和贴息资金的；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2.转移、侵占或者挪用投资补助和贴息资金的；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3.擅自改变主要建设内容和建设标准的；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4.项目建设规模、标准和内容发生较大变化而不及时报告的；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5.无正当理由未及时建设实施的；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6.拒不接受依法进行的稽察或者监督检查的；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7.未按要求通过在线平台报告相关项目信息的；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8.其他违反国家法律法规和本办法规定的行为。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hint="eastAsia"/>
                <w:i w:val="0"/>
                <w:iCs w:val="0"/>
                <w:sz w:val="20"/>
                <w:szCs w:val="20"/>
                <w:u w:val="none"/>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省校科技合作开发资金的审核转报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关于印发《河北省省级省校科技合作开发资金管理实施细则》的通知（冀发改规〔2019〕4 号）</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1.受理责任：公示依法应当提交的材料，一次性告知补正材料，依法受理或不予受理（不予受理应当告知理由）。</w:t>
              <w:br/>
              <w:t>2.审查责任：按照省发改委要求对征集的项目进行初审。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3.报送责任：对符合条件的项目组织县区发改局、申报企业按要求组卷上报省发改委。</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1.负责省校科技合作开发资金审核转报工作人员徇私舞弊、滥用职权、玩忽职守的。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i w:val="0"/>
                <w:iCs w:val="0"/>
                <w:sz w:val="20"/>
                <w:szCs w:val="20"/>
                <w:u w:val="none"/>
                <w:lang w:val="en-US"/>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价格争议行政调解处理</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1.国务院《中华人民共和国价格管理条例》（1987年9月11日）第十五条第（六）款 协调、处理本地区内的价格争议。</w:t>
              <w:br/>
              <w:t>2.《河北省价格争议调解处理办法》（办字【2010】130号）第四条 省政府价格主管部门负责全省价格争议调解处理及监督管理工作；市、县（市、区）政府价格主管部门负责本行政区域内价格争议调解处理工作。省价格鉴证机构具体承担全省价格争议调解处理及业务指导工作；市、县（市、区）政府价格主管部门设立的价格鉴证机构承担本行政区域内价格争议调解处理工作。</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bookmarkStart w:id="0" w:name="_GoBack"/>
            <w:bookmarkEnd w:id="0"/>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kern w:val="0"/>
                <w:sz w:val="20"/>
                <w:szCs w:val="20"/>
                <w:u w:val="none"/>
                <w:lang w:val="en-US" w:eastAsia="zh-CN"/>
              </w:rPr>
            </w:pPr>
            <w:r>
              <w:rPr>
                <w:rFonts w:ascii="仿宋_GB2312" w:eastAsia="仿宋_GB2312" w:cs="仿宋_GB2312" w:hAnsi="仿宋_GB2312" w:hint="eastAsia"/>
                <w:i w:val="0"/>
                <w:iCs w:val="0"/>
                <w:kern w:val="0"/>
                <w:sz w:val="20"/>
                <w:szCs w:val="20"/>
                <w:u w:val="none"/>
                <w:lang w:val="en-US" w:eastAsia="zh-CN"/>
              </w:rPr>
              <w:t>1.受理责任：对提交材料依法予以受理或不予受理（不予受理应当书面告知理由）</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 xml:space="preserve">2.调解责任：依法、公平、公正进行调解，存在相关情况的主动回避，发现当事人有价格违法行为停止调解处理，交有关部门另行处理。                             </w:t>
              <w:br/>
              <w:t xml:space="preserve">3.决定责任：制作调解协议书。    </w:t>
              <w:br/>
              <w:t>4.其他法律法规规章文件规定应履行的责任。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因不履行或不正确履行行政职责，有下列情形的，行政机关及相关工作人员应承担相应责任：</w:t>
              <w:br/>
              <w:t>1.在价格争议调解中滥用职权、徇私舞弊、玩忽职守的。</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numPr>
                <w:ilvl w:val="0"/>
                <w:numId w:val="7"/>
              </w:numPr>
              <w:spacing w:line="240" w:lineRule="exact"/>
              <w:ind w:left="425" w:hanging="425"/>
              <w:jc w:val="left"/>
              <w:rPr>
                <w:rFonts w:ascii="仿宋_GB2312" w:eastAsia="仿宋_GB2312" w:cs="仿宋_GB2312" w:hAnsi="仿宋_GB2312"/>
                <w:i w:val="0"/>
                <w:iCs w:val="0"/>
                <w:sz w:val="20"/>
                <w:szCs w:val="20"/>
                <w:u w:val="none"/>
                <w:lang w:val="en-US"/>
              </w:rPr>
            </w:pPr>
          </w:p>
        </w:tc>
        <w:tc>
          <w:tcPr>
            <w:tcW w:w="850"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其他权力</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农产品成本调查</w:t>
            </w:r>
          </w:p>
        </w:tc>
        <w:tc>
          <w:tcPr>
            <w:tcW w:w="325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1.《价格法》第二十二条 政府价格主管部门和其他有关部门制定政府指导价、政府定价，应当开展价格、成本调查，听取消费者、经营者和有关方面的意见。</w:t>
              <w:br/>
              <w:t>2.《农产品成本调查管理办法（发改价格规〔2017〕1454号）第五条 农本调查工作实行统一领导、分级负责。国务院价格主管部门负责全国农本调查工作，地方各级人民政府价格主管部门负责本行政区域内的农本调查工作。</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省发改委</w:t>
            </w:r>
          </w:p>
        </w:tc>
        <w:tc>
          <w:tcPr>
            <w:tcW w:w="964" w:type="dxa"/>
            <w:gridSpan w:val="2"/>
            <w:tcBorders>
              <w:top w:val="single" w:sz="4" w:space="0" w:color="000000"/>
              <w:left w:val="single" w:sz="4" w:space="0" w:color="000000"/>
              <w:bottom w:val="single" w:sz="4" w:space="0" w:color="000000"/>
              <w:right w:val="single" w:sz="4" w:space="0" w:color="00000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市级、县级</w:t>
            </w:r>
          </w:p>
        </w:tc>
        <w:tc>
          <w:tcPr>
            <w:tcW w:w="3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1.计划部署责任:制订农本调查计划，部署农本调查工作。</w:t>
              <w:br/>
              <w:t>2.组织实施责任:组织开展农本调查，收集、整理、审核、汇总上报和管理农本调查资料；研究分析成本变化原因，预测成本变动趋势。</w:t>
              <w:br/>
              <w:t>3.公开信息责任:建立健全信息公开制度，向社会公开农本调查信息。</w:t>
              <w:br/>
              <w:t>4.指导督促责任:指导、督促和检查农本调查对象的农本调查资料登记和上报工作；指导、监督、检查和考核下级人民政府价格主管部门的农本调查工作和调查队伍建设。</w:t>
              <w:br/>
              <w:t>5.业务培训责任:组织开展对农本调查人员和农本调查对象的业务培训。</w:t>
              <w:br/>
              <w:t>6.其他法律法规规章文件规定应履行的责任。</w:t>
            </w:r>
          </w:p>
        </w:tc>
        <w:tc>
          <w:tcPr>
            <w:tcW w:w="340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仿宋_GB2312" w:hAnsi="仿宋_GB2312" w:hint="eastAsia"/>
                <w:i w:val="0"/>
                <w:iCs w:val="0"/>
                <w:sz w:val="20"/>
                <w:szCs w:val="20"/>
                <w:u w:val="none"/>
              </w:rPr>
            </w:pPr>
            <w:r>
              <w:rPr>
                <w:rFonts w:ascii="仿宋_GB2312" w:eastAsia="仿宋_GB2312" w:cs="仿宋_GB2312" w:hAnsi="仿宋_GB2312" w:hint="eastAsia"/>
                <w:i w:val="0"/>
                <w:iCs w:val="0"/>
                <w:kern w:val="0"/>
                <w:sz w:val="20"/>
                <w:szCs w:val="20"/>
                <w:u w:val="none"/>
                <w:lang w:val="en-US" w:eastAsia="zh-CN"/>
              </w:rPr>
              <w:t>因不履职或者不正确履行行政职责,有下列情形的,行政机关及相关工作人员应承担相应责任:</w:t>
              <w:br/>
              <w:t>1.未经批准擅自变更农本调查制度的；</w:t>
              <w:br/>
              <w:t>2.伪造、篡改农本调查资料的；</w:t>
              <w:br/>
              <w:t>3.要求农本调查对象或者其他机构、人员提供不真实农本调查资料的；</w:t>
              <w:br/>
              <w:t xml:space="preserve">4.未按照农本调查制度的规定报送有关资料的；                </w:t>
              <w:br/>
              <w:t>5.违反规定公布农本调查资料的；</w:t>
              <w:br/>
              <w:t>6.泄露农本调查对象的商业秘密、个人信息或者提供、泄露在农本调查中获得的能够识别或者推断单个农本调查对象身份资料的；</w:t>
              <w:br/>
              <w:t>7.违反国家有关规定，造成农本调查资料毁损、灭失的。</w:t>
              <w:br/>
              <w:t>8.其他违反法律法规规章文件规定的行为。</w:t>
            </w:r>
          </w:p>
        </w:tc>
        <w:tc>
          <w:tcPr>
            <w:tcW w:w="56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i w:val="0"/>
                <w:iCs w:val="0"/>
                <w:sz w:val="20"/>
                <w:szCs w:val="20"/>
                <w:u w:val="none"/>
              </w:rPr>
            </w:pPr>
          </w:p>
        </w:tc>
      </w:tr>
      <w:tr>
        <w:trPr>
          <w:trHeight w:val="8957"/>
          <w:gridBefore w:val="1"/>
          <w:wBefore w:w="106" w:type="dxa"/>
          <w:gridAfter w:val="1"/>
          <w:wAfter w:w="1" w:type="dxa"/>
        </w:trPr>
        <w:tc>
          <w:tcPr>
            <w:tcW w:w="544" w:type="dxa"/>
            <w:gridSpan w:val="2"/>
            <w:tcBorders>
              <w:left w:val="single" w:sz="6" w:space="0" w:color="000000"/>
              <w:tl2br w:val="nil"/>
              <w:tr2bl w:val="nil"/>
            </w:tcBorders>
            <w:shd w:val="clear" w:color="auto" w:fill="auto"/>
            <w:vAlign w:val="center"/>
          </w:tcPr>
          <w:p>
            <w:pPr>
              <w:spacing w:line="240" w:lineRule="exact"/>
              <w:jc w:val="left"/>
              <w:rPr>
                <w:rFonts w:ascii="仿宋_GB2312" w:eastAsia="仿宋_GB2312" w:cs="仿宋_GB2312" w:hAnsi="仿宋_GB2312"/>
                <w:sz w:val="20"/>
                <w:szCs w:val="20"/>
              </w:rPr>
            </w:pPr>
            <w:r>
              <w:rPr>
                <w:rFonts w:ascii="仿宋_GB2312" w:eastAsia="仿宋_GB2312" w:cs="仿宋_GB2312" w:hAnsi="仿宋_GB2312"/>
                <w:sz w:val="20"/>
                <w:szCs w:val="20"/>
              </w:rPr>
              <w:t>8</w:t>
            </w:r>
          </w:p>
        </w:tc>
        <w:tc>
          <w:tcPr>
            <w:tcW w:w="850" w:type="dxa"/>
            <w:gridSpan w:val="2"/>
            <w:tcBorders>
              <w:left w:val="single" w:sz="6" w:space="0" w:color="000000"/>
              <w:righ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其他权力</w:t>
            </w:r>
          </w:p>
        </w:tc>
        <w:tc>
          <w:tcPr>
            <w:tcW w:w="1134" w:type="dxa"/>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人民防空工程平时开发利用登记</w:t>
            </w:r>
          </w:p>
        </w:tc>
        <w:tc>
          <w:tcPr>
            <w:tcW w:w="311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1.《河北省人民防空工程维护与使用管理条例》（2006年 7 月 1 日河北省第十届人民代表大会常务委员会公告第 56 号）第五条 县级以上人民政府人民防空主管部门负责本行政区域内人民防空工程维护与使用的监督管理。</w:t>
              <w:br/>
              <w:t>2.《人民防空工程平时开发利用管理办法》（2001年11月1日，国人防办字〔2001〕第211号）第八条 人民防空工程平时开发利用实行备案登记制度。使用单位在与工程隶属单位签订《人民防空工程租赁使用合同》后5日内到工程所在地人民防空主管部门备案登记，并提交下列资料:(一)使用申请书;(二)使用单位法定代表人的合法证件;(三)《人民防空工程基本情况登记表》;(四)与工程隶属单位签订的《人民防空工程租赁使用合同》:(五)与工程隶属单位签订的《人民防空工程消防安全责任书》。第九条 人民防空主管部门应当根据使用单位提交的备案资料，经审查合格后发给《人民防空工程平时使用证》。第十条 《人民防空工程平时使用证》实行审验制度，人民防空主管部门应当定期对《人民防空工程平时使用证》进行审验，并按规定收取审验费。禁止无证使用人民防空工程或者转让《人民防空工程平时使用证》。第十二条 使用单位在合同期内不得擅自转租人民防空工程或者转让人民防空工程使用权，因故确需转租或者转让的，必须报经原批准使用的人民防空主管部门批准，换发《人民防空工程平时使用证》后方可继续使用。</w:t>
            </w:r>
          </w:p>
        </w:tc>
        <w:tc>
          <w:tcPr>
            <w:tcW w:w="1134" w:type="dxa"/>
            <w:gridSpan w:val="3"/>
            <w:tcBorders>
              <w:left w:val="single" w:sz="6" w:space="0" w:color="000000"/>
              <w:tl2br w:val="nil"/>
              <w:tr2bl w:val="nil"/>
            </w:tcBorders>
            <w:shd w:val="clear" w:color="auto" w:fill="auto"/>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省人防办</w:t>
            </w:r>
          </w:p>
        </w:tc>
        <w:tc>
          <w:tcPr>
            <w:tcW w:w="964" w:type="dxa"/>
            <w:gridSpan w:val="2"/>
            <w:tcBorders>
              <w:left w:val="single" w:sz="6" w:space="0" w:color="000000"/>
              <w:tl2br w:val="nil"/>
              <w:tr2bl w:val="nil"/>
            </w:tcBorders>
            <w:shd w:val="clear" w:color="auto" w:fill="auto"/>
            <w:tcMar>
              <w:left w:w="0" w:type="dxa"/>
              <w:right w:w="0" w:type="dxa"/>
            </w:tcMar>
            <w:vAlign w:val="center"/>
          </w:tcPr>
          <w:p>
            <w:pPr>
              <w:widowControl/>
              <w:spacing w:line="240" w:lineRule="exact"/>
              <w:jc w:val="center"/>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市级、县级</w:t>
            </w:r>
          </w:p>
        </w:tc>
        <w:tc>
          <w:tcPr>
            <w:tcW w:w="3968" w:type="dxa"/>
            <w:gridSpan w:val="2"/>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kern w:val="0"/>
                <w:sz w:val="20"/>
                <w:szCs w:val="20"/>
              </w:rPr>
            </w:pPr>
            <w:r>
              <w:rPr>
                <w:rFonts w:ascii="仿宋_GB2312" w:eastAsia="仿宋_GB2312" w:cs="仿宋_GB2312" w:hAnsi="仿宋_GB2312" w:hint="eastAsia"/>
                <w:kern w:val="0"/>
                <w:sz w:val="20"/>
                <w:szCs w:val="20"/>
              </w:rPr>
              <w:t>1.受理责任：公示应提交的材料，一次性告知补正材料，依法受理或不予受理（不予受理应当告知理由）。</w:t>
              <w:br/>
              <w:t>2.审查责任：在规定的时间内对申请人提交的申报材料进行审查，提出审核意见。</w:t>
              <w:br/>
              <w:t>3.决定责任：对申请人提交的申请材料审核通过后出具《人民防空工程平时使用证》。</w:t>
            </w:r>
          </w:p>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4.送达责任：出具《河人民防空工程平时使用证》并送达申请人。</w:t>
              <w:br/>
              <w:t>5.监管责任：建立实施人防工程平时使用监督机制和管理制度，并针对人防工程平时使用过程中发现的问题，依法采取相关处置措施。</w:t>
              <w:br/>
              <w:t>6.其他法律法规规章文件规定应履行的责任。</w:t>
            </w:r>
          </w:p>
        </w:tc>
        <w:tc>
          <w:tcPr>
            <w:tcW w:w="3402" w:type="dxa"/>
            <w:gridSpan w:val="3"/>
            <w:tcBorders>
              <w:left w:val="single" w:sz="6" w:space="0" w:color="000000"/>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sz w:val="20"/>
                <w:szCs w:val="20"/>
              </w:rPr>
            </w:pPr>
            <w:r>
              <w:rPr>
                <w:rFonts w:ascii="仿宋_GB2312" w:eastAsia="仿宋_GB2312" w:cs="仿宋_GB2312" w:hAnsi="仿宋_GB2312" w:hint="eastAsia"/>
                <w:kern w:val="0"/>
                <w:sz w:val="20"/>
                <w:szCs w:val="20"/>
              </w:rPr>
              <w:t>因不履行或不正确履行行政职责，有下列情形的，行政机关及相关工作人员应承担相应责任：</w:t>
              <w:br/>
              <w:t>1.对符合法定条件的项目申请不予受理的；</w:t>
              <w:br/>
              <w:t>2.对不符合法定条件的项目予以受理的；</w:t>
              <w:br/>
              <w:t>3.擅自增设、变更项目申请程序或条件的；</w:t>
              <w:br/>
              <w:t xml:space="preserve">4.在项目监管中滥用职权、玩忽职守，造成较大损失的；         </w:t>
              <w:br/>
              <w:t>5.其他违反法律法规文件规定的行为。</w:t>
            </w:r>
          </w:p>
        </w:tc>
        <w:tc>
          <w:tcPr>
            <w:tcW w:w="567" w:type="dxa"/>
            <w:gridSpan w:val="3"/>
            <w:tcBorders>
              <w:left w:val="single" w:sz="6" w:space="0" w:color="000000"/>
              <w:tl2br w:val="nil"/>
              <w:tr2bl w:val="nil"/>
            </w:tcBorders>
            <w:shd w:val="clear" w:color="auto" w:fill="auto"/>
            <w:vAlign w:val="center"/>
          </w:tcPr>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p>
            <w:pPr>
              <w:spacing w:line="240" w:lineRule="exact"/>
              <w:jc w:val="left"/>
              <w:rPr>
                <w:rFonts w:ascii="仿宋_GB2312" w:eastAsia="仿宋_GB2312" w:cs="仿宋_GB2312" w:hAnsi="仿宋_GB2312"/>
                <w:sz w:val="20"/>
                <w:szCs w:val="20"/>
              </w:rPr>
            </w:pPr>
          </w:p>
        </w:tc>
      </w:tr>
    </w:tbl>
    <w:p>
      <w:pPr>
        <w:keepNext w:val="0"/>
        <w:keepLines w:val="0"/>
        <w:pageBreakBefore w:val="0"/>
        <w:kinsoku/>
        <w:wordWrap/>
        <w:overflowPunct/>
        <w:topLinePunct w:val="0"/>
        <w:autoSpaceDE/>
        <w:autoSpaceDN/>
        <w:bidi w:val="0"/>
        <w:adjustRightInd/>
        <w:snapToGrid/>
        <w:spacing w:line="240" w:lineRule="exact"/>
        <w:rPr>
          <w:rFonts w:ascii="仿宋_GB2312" w:eastAsia="仿宋_GB2312" w:cs="仿宋_GB2312" w:hAnsi="仿宋_GB2312" w:hint="eastAsia"/>
          <w:sz w:val="20"/>
          <w:szCs w:val="20"/>
        </w:rPr>
      </w:pPr>
    </w:p>
    <w:sectPr>
      <w:pgSz w:w="16838" w:h="11906" w:orient="landscape"/>
      <w:pgMar w:top="720" w:right="720" w:bottom="720" w:left="72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仿宋_GB2312">
    <w:altName w:val="仿宋"/>
    <w:panose1 w:val="02010609030101010101"/>
    <w:charset w:val="86"/>
    <w:family w:val="auto"/>
    <w:pitch w:val="variable"/>
    <w:sig w:usb0="00000000" w:usb1="00000000" w:usb2="00000000" w:usb3="00000000" w:csb0="00040000" w:csb1="00000000"/>
  </w:font>
  <w:font w:name="Calibri">
    <w:panose1 w:val="020F0502020204030204"/>
    <w:charset w:val="00"/>
    <w:family w:val="swiss"/>
    <w:pitch w:val="variable"/>
    <w:sig w:usb0="E4002EFF" w:usb1="C200247B" w:usb2="00000009" w:usb3="00000000" w:csb0="200001FF" w:csb1="00000000"/>
  </w:font>
  <w:font w:name="宋体">
    <w:panose1 w:val="02010600030101010101"/>
    <w:charset w:val="86"/>
    <w:family w:val="auto"/>
    <w:pitch w:val="variable"/>
    <w:sig w:usb0="000002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 w:name="Microsoft yahei">
    <w:panose1 w:val="020B0503020204020204"/>
    <w:charset w:val="86"/>
    <w:family w:val="auto"/>
    <w:pitch w:val="variable"/>
    <w:sig w:usb0="80000287" w:usb1="280F3C52" w:usb2="00000016" w:usb3="00000000" w:csb0="0004001F" w:csb1="00000000"/>
  </w:font>
  <w:font w:name="微软雅黑">
    <w:panose1 w:val="020B0503020204020204"/>
    <w:charset w:val="86"/>
    <w:family w:val="auto"/>
    <w:pitch w:val="variable"/>
    <w:sig w:usb0="80000287" w:usb1="2ACF3C50" w:usb2="00000016" w:usb3="00000000" w:csb0="0004001F" w:csb1="00000000"/>
  </w:font>
  <w:font w:name="Times New Roman">
    <w:panose1 w:val="02020603050405020304"/>
    <w:charset w:val="86"/>
    <w:family w:val="auto"/>
    <w:pitch w:val="variable"/>
    <w:sig w:usb0="E0002EFF" w:usb1="C000785B" w:usb2="00000009" w:usb3="00000000" w:csb0="400001FF" w:csb1="FFFF0000"/>
  </w:font>
</w:fonts>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711438F9"/>
    <w:multiLevelType w:val="singleLevel"/>
    <w:tmpl w:val="711438F9"/>
    <w:lvl w:ilvl="0">
      <w:start w:val="1"/>
      <w:numFmt w:val="decimal"/>
      <w:lvlRestart w:val="0"/>
      <w:lvlText w:val="%1"/>
      <w:lvlJc w:val="left"/>
      <w:pPr>
        <w:tabs>
          <w:tab w:val="num" w:pos="420"/>
        </w:tabs>
        <w:ind w:left="425" w:hanging="425"/>
      </w:pPr>
      <w:rPr>
        <w:rFonts w:hint="default"/>
      </w:rPr>
    </w:lvl>
  </w:abstractNum>
  <w:abstractNum w:abstractNumId="1">
    <w:nsid w:val="7A97C53C"/>
    <w:multiLevelType w:val="singleLevel"/>
    <w:tmpl w:val="7A97C53C"/>
    <w:lvl w:ilvl="0">
      <w:start w:val="11"/>
      <w:numFmt w:val="chineseCounting"/>
      <w:lvlRestart w:val="0"/>
      <w:suff w:val="nothing"/>
      <w:lvlText w:val="第%1条　"/>
      <w:lvlJc w:val="left"/>
      <w:pPr>
        <w:ind w:left="0" w:hanging="0"/>
      </w:pPr>
      <w:rPr>
        <w:rFonts w:hint="eastAsia"/>
      </w:rPr>
    </w:lvl>
  </w:abstractNum>
  <w:abstractNum w:abstractNumId="2">
    <w:nsid w:val="742148BA"/>
    <w:multiLevelType w:val="singleLevel"/>
    <w:tmpl w:val="742148BA"/>
    <w:lvl w:ilvl="0">
      <w:start w:val="1"/>
      <w:numFmt w:val="decimal"/>
      <w:lvlRestart w:val="0"/>
      <w:lvlText w:val="%1"/>
      <w:lvlJc w:val="left"/>
      <w:pPr>
        <w:tabs>
          <w:tab w:val="num" w:pos="420"/>
        </w:tabs>
        <w:ind w:left="425" w:hanging="425"/>
      </w:pPr>
      <w:rPr>
        <w:rFonts w:hint="default"/>
      </w:rPr>
    </w:lvl>
  </w:abstractNum>
  <w:abstractNum w:abstractNumId="3">
    <w:nsid w:val="07C94858"/>
    <w:multiLevelType w:val="singleLevel"/>
    <w:tmpl w:val="07C94858"/>
    <w:lvl w:ilvl="0">
      <w:start w:val="1"/>
      <w:numFmt w:val="decimal"/>
      <w:lvlRestart w:val="0"/>
      <w:lvlText w:val="%1."/>
      <w:lvlJc w:val="left"/>
      <w:pPr>
        <w:tabs>
          <w:tab w:val="num" w:pos="312"/>
        </w:tabs>
      </w:pPr>
    </w:lvl>
  </w:abstractNum>
  <w:abstractNum w:abstractNumId="4">
    <w:nsid w:val="2813BA84"/>
    <w:multiLevelType w:val="singleLevel"/>
    <w:tmpl w:val="2813BA84"/>
    <w:lvl w:ilvl="0">
      <w:start w:val="1"/>
      <w:numFmt w:val="decimal"/>
      <w:lvlRestart w:val="0"/>
      <w:lvlText w:val="%1."/>
      <w:lvlJc w:val="left"/>
      <w:pPr>
        <w:tabs>
          <w:tab w:val="num" w:pos="312"/>
        </w:tabs>
      </w:pPr>
    </w:lvl>
  </w:abstractNum>
  <w:abstractNum w:abstractNumId="5">
    <w:nsid w:val="D0F2E28F"/>
    <w:multiLevelType w:val="singleLevel"/>
    <w:tmpl w:val="D0F2E28F"/>
    <w:lvl w:ilvl="0">
      <w:start w:val="6"/>
      <w:numFmt w:val="chineseCounting"/>
      <w:lvlRestart w:val="0"/>
      <w:suff w:val="space"/>
      <w:lvlText w:val="第%1条"/>
      <w:lvlJc w:val="left"/>
      <w:pPr/>
      <w:rPr>
        <w:rFonts w:hint="eastAsia"/>
      </w:rPr>
    </w:lvl>
  </w:abstractNum>
  <w:abstractNum w:abstractNumId="6">
    <w:nsid w:val="18E356A1"/>
    <w:multiLevelType w:val="singleLevel"/>
    <w:tmpl w:val="18E356A1"/>
    <w:lvl w:ilvl="0">
      <w:start w:val="1"/>
      <w:numFmt w:val="decimal"/>
      <w:lvlRestart w:val="0"/>
      <w:lvlText w:val="%1"/>
      <w:lvlJc w:val="left"/>
      <w:pPr>
        <w:tabs>
          <w:tab w:val="num" w:pos="420"/>
        </w:tabs>
        <w:ind w:left="425" w:hanging="425"/>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doNotDisplayPageBoundaries/>
  <w:bordersDoNotSurroundHeader w:val="0"/>
  <w:bordersDoNotSurroundFooter w:val="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doNotExpandShiftReturn/>
    <w:adjustLineHeightInTable/>
    <w:doNotUseIndentAsNumberingTabStop/>
    <w:useAltKinsokuLineBreakRules/>
    <w:compatSetting w:name="compatibilityMode" w:uri="http://schemas.microsoft.com/office/word" w:val="14"/>
  </w:compat>
  <w:docVars>
    <w:docVar w:name="commondata" w:val="eyJoZGlkIjoiNDU0Y2U1MzQ3NmU4MDA5Y2RjNWU3ZDliZWJlMzBhODMifQ=="/>
  </w:docVars>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autoRedefine/>
  </w:style>
  <w:style w:type="paragraph" w:styleId="92">
    <w:name w:val="Normal (Web)"/>
    <w:qFormat/>
    <w:basedOn w:val="0"/>
    <w:rPr>
      <w:sz w:val="24"/>
      <w:szCs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customXml" Target="../customXml/item1.xml"/><Relationship Id="rId6"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1B180AF4-F29D-446B-8489-A46A29FC02B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379</TotalTime>
  <Application>Yozo_Office27021597764231189</Application>
  <Pages>157</Pages>
  <Words>0</Words>
  <Characters>108069</Characters>
  <Lines>0</Lines>
  <Paragraphs>2</Paragraphs>
  <CharactersWithSpaces>144093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frank</dc:creator>
  <cp:lastModifiedBy>user</cp:lastModifiedBy>
  <cp:revision>1</cp:revision>
  <dcterms:created xsi:type="dcterms:W3CDTF">2022-07-16T05:49:00Z</dcterms:created>
  <dcterms:modified xsi:type="dcterms:W3CDTF">2025-09-01T07:09:43Z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2052-12.1.0.22089</vt:lpwstr>
  </property>
  <property fmtid="{D5CDD505-2E9C-101B-9397-08002B2CF9AE}" pid="3" name="ICV">
    <vt:lpwstr>BEA830A8906C4225A42DED7F45D9EE72</vt:lpwstr>
  </property>
  <property fmtid="{D5CDD505-2E9C-101B-9397-08002B2CF9AE}" pid="4" name="KSOTemplateDocerSaveRecord">
    <vt:lpwstr>eyJoZGlkIjoiOWEwZWUxMjI4NWNhNTdlMGVhYzYwYTU1MTczZTE5YTgiLCJ1c2VySWQiOiIxMTU3ODQ3MDM4In0=</vt:lpwstr>
  </property>
</Properties>
</file>